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311A0">
      <w:pPr>
        <w:spacing w:line="320" w:lineRule="exact"/>
        <w:ind w:left="-53" w:leftChars="-25" w:right="-53" w:rightChars="-25"/>
        <w:jc w:val="center"/>
        <w:rPr>
          <w:rFonts w:eastAsiaTheme="minorEastAsia"/>
          <w:color w:val="FF0000"/>
        </w:rPr>
      </w:pPr>
      <w:bookmarkStart w:id="0" w:name="_Hlk130408408"/>
      <w:bookmarkEnd w:id="0"/>
    </w:p>
    <w:p w14:paraId="0F71F81A">
      <w:pPr>
        <w:pStyle w:val="186"/>
        <w:ind w:left="420" w:firstLine="0" w:firstLineChars="0"/>
        <w:rPr>
          <w:rFonts w:eastAsiaTheme="minorEastAsia"/>
          <w:color w:val="FF0000"/>
        </w:rPr>
      </w:pPr>
    </w:p>
    <w:p w14:paraId="035D98EB">
      <w:pPr>
        <w:jc w:val="center"/>
        <w:rPr>
          <w:rFonts w:eastAsiaTheme="minorEastAsia"/>
          <w:color w:val="000000" w:themeColor="text1"/>
          <w:sz w:val="32"/>
          <w:szCs w:val="32"/>
          <w14:textFill>
            <w14:solidFill>
              <w14:schemeClr w14:val="tx1"/>
            </w14:solidFill>
          </w14:textFill>
        </w:rPr>
      </w:pPr>
    </w:p>
    <w:p w14:paraId="4541D405">
      <w:pPr>
        <w:jc w:val="center"/>
        <w:rPr>
          <w:rFonts w:eastAsiaTheme="minorEastAsia"/>
          <w:color w:val="000000" w:themeColor="text1"/>
          <w:sz w:val="32"/>
          <w:szCs w:val="32"/>
          <w14:textFill>
            <w14:solidFill>
              <w14:schemeClr w14:val="tx1"/>
            </w14:solidFill>
          </w14:textFill>
        </w:rPr>
      </w:pPr>
    </w:p>
    <w:p w14:paraId="12223372">
      <w:pPr>
        <w:jc w:val="center"/>
        <w:rPr>
          <w:rFonts w:eastAsiaTheme="minorEastAsia"/>
          <w:color w:val="000000" w:themeColor="text1"/>
          <w:sz w:val="32"/>
          <w:szCs w:val="32"/>
          <w14:textFill>
            <w14:solidFill>
              <w14:schemeClr w14:val="tx1"/>
            </w14:solidFill>
          </w14:textFill>
        </w:rPr>
      </w:pPr>
    </w:p>
    <w:p w14:paraId="633CCD6E">
      <w:pPr>
        <w:jc w:val="center"/>
        <w:rPr>
          <w:rFonts w:eastAsiaTheme="minorEastAsia"/>
          <w:color w:val="000000" w:themeColor="text1"/>
          <w:sz w:val="32"/>
          <w:szCs w:val="32"/>
          <w14:textFill>
            <w14:solidFill>
              <w14:schemeClr w14:val="tx1"/>
            </w14:solidFill>
          </w14:textFill>
        </w:rPr>
      </w:pPr>
    </w:p>
    <w:p w14:paraId="4DE5E5A6">
      <w:pPr>
        <w:jc w:val="center"/>
        <w:rPr>
          <w:rFonts w:eastAsiaTheme="minorEastAsia"/>
          <w:color w:val="000000" w:themeColor="text1"/>
          <w:sz w:val="32"/>
          <w:szCs w:val="32"/>
          <w14:textFill>
            <w14:solidFill>
              <w14:schemeClr w14:val="tx1"/>
            </w14:solidFill>
          </w14:textFill>
        </w:rPr>
      </w:pPr>
    </w:p>
    <w:p w14:paraId="4CF1EB56">
      <w:pPr>
        <w:spacing w:line="360" w:lineRule="auto"/>
        <w:ind w:left="-421" w:leftChars="-472" w:right="-617" w:rightChars="-294" w:hanging="570" w:hangingChars="129"/>
        <w:jc w:val="center"/>
        <w:rPr>
          <w:rFonts w:eastAsiaTheme="minorEastAsia"/>
          <w:b/>
          <w:color w:val="000000" w:themeColor="text1"/>
          <w:sz w:val="44"/>
          <w:szCs w:val="52"/>
          <w14:textFill>
            <w14:solidFill>
              <w14:schemeClr w14:val="tx1"/>
            </w14:solidFill>
          </w14:textFill>
        </w:rPr>
      </w:pPr>
      <w:r>
        <w:rPr>
          <w:rFonts w:hint="eastAsia" w:eastAsiaTheme="minorEastAsia"/>
          <w:b/>
          <w:color w:val="000000" w:themeColor="text1"/>
          <w:sz w:val="44"/>
          <w:szCs w:val="52"/>
          <w14:textFill>
            <w14:solidFill>
              <w14:schemeClr w14:val="tx1"/>
            </w14:solidFill>
          </w14:textFill>
        </w:rPr>
        <w:t>随县石材产业管理办公室</w:t>
      </w:r>
    </w:p>
    <w:p w14:paraId="75A8CBCD">
      <w:pPr>
        <w:spacing w:line="360" w:lineRule="auto"/>
        <w:ind w:left="-421" w:leftChars="-472" w:right="-617" w:rightChars="-294" w:hanging="570" w:hangingChars="129"/>
        <w:jc w:val="center"/>
        <w:rPr>
          <w:rFonts w:eastAsiaTheme="minorEastAsia"/>
          <w:b/>
          <w:color w:val="000000" w:themeColor="text1"/>
          <w:sz w:val="44"/>
          <w:szCs w:val="52"/>
          <w14:textFill>
            <w14:solidFill>
              <w14:schemeClr w14:val="tx1"/>
            </w14:solidFill>
          </w14:textFill>
        </w:rPr>
      </w:pPr>
      <w:r>
        <w:rPr>
          <w:rFonts w:hint="eastAsia" w:eastAsiaTheme="minorEastAsia"/>
          <w:b/>
          <w:color w:val="000000" w:themeColor="text1"/>
          <w:sz w:val="44"/>
          <w:szCs w:val="52"/>
          <w14:textFill>
            <w14:solidFill>
              <w14:schemeClr w14:val="tx1"/>
            </w14:solidFill>
          </w14:textFill>
        </w:rPr>
        <w:t>随县石材产业发展规划（2024-2035年）</w:t>
      </w:r>
    </w:p>
    <w:p w14:paraId="107F8C0B">
      <w:pPr>
        <w:ind w:left="-420" w:leftChars="-200" w:right="-420" w:rightChars="-200"/>
        <w:jc w:val="center"/>
        <w:rPr>
          <w:rFonts w:eastAsiaTheme="minorEastAsia"/>
          <w:b/>
          <w:color w:val="000000" w:themeColor="text1"/>
          <w:sz w:val="96"/>
          <w:szCs w:val="110"/>
          <w14:textFill>
            <w14:solidFill>
              <w14:schemeClr w14:val="tx1"/>
            </w14:solidFill>
          </w14:textFill>
        </w:rPr>
      </w:pPr>
      <w:r>
        <w:rPr>
          <w:rFonts w:eastAsiaTheme="minorEastAsia"/>
          <w:b/>
          <w:color w:val="000000" w:themeColor="text1"/>
          <w:sz w:val="96"/>
          <w:szCs w:val="110"/>
          <w14:textFill>
            <w14:solidFill>
              <w14:schemeClr w14:val="tx1"/>
            </w14:solidFill>
          </w14:textFill>
        </w:rPr>
        <w:t>环境影响报告书</w:t>
      </w:r>
    </w:p>
    <w:p w14:paraId="661BAA11">
      <w:pPr>
        <w:jc w:val="center"/>
        <w:rPr>
          <w:rFonts w:eastAsiaTheme="minorEastAsia"/>
          <w:b/>
          <w:color w:val="000000" w:themeColor="text1"/>
          <w:sz w:val="36"/>
          <w:szCs w:val="36"/>
          <w14:textFill>
            <w14:solidFill>
              <w14:schemeClr w14:val="tx1"/>
            </w14:solidFill>
          </w14:textFill>
        </w:rPr>
      </w:pPr>
      <w:r>
        <w:rPr>
          <w:rFonts w:eastAsiaTheme="minorEastAsia"/>
          <w:b/>
          <w:color w:val="000000" w:themeColor="text1"/>
          <w:sz w:val="36"/>
          <w:szCs w:val="36"/>
          <w14:textFill>
            <w14:solidFill>
              <w14:schemeClr w14:val="tx1"/>
            </w14:solidFill>
          </w14:textFill>
        </w:rPr>
        <w:t>（</w:t>
      </w:r>
      <w:r>
        <w:rPr>
          <w:rFonts w:hint="eastAsia" w:eastAsiaTheme="minorEastAsia"/>
          <w:b/>
          <w:color w:val="000000" w:themeColor="text1"/>
          <w:sz w:val="36"/>
          <w:szCs w:val="36"/>
          <w14:textFill>
            <w14:solidFill>
              <w14:schemeClr w14:val="tx1"/>
            </w14:solidFill>
          </w14:textFill>
        </w:rPr>
        <w:t>送审稿</w:t>
      </w:r>
      <w:r>
        <w:rPr>
          <w:rFonts w:eastAsiaTheme="minorEastAsia"/>
          <w:b/>
          <w:color w:val="000000" w:themeColor="text1"/>
          <w:sz w:val="36"/>
          <w:szCs w:val="36"/>
          <w14:textFill>
            <w14:solidFill>
              <w14:schemeClr w14:val="tx1"/>
            </w14:solidFill>
          </w14:textFill>
        </w:rPr>
        <w:t>）</w:t>
      </w:r>
    </w:p>
    <w:p w14:paraId="3E905D78">
      <w:pPr>
        <w:jc w:val="center"/>
        <w:rPr>
          <w:rFonts w:eastAsiaTheme="minorEastAsia"/>
          <w:b/>
          <w:color w:val="000000" w:themeColor="text1"/>
          <w:sz w:val="32"/>
          <w:szCs w:val="32"/>
          <w14:textFill>
            <w14:solidFill>
              <w14:schemeClr w14:val="tx1"/>
            </w14:solidFill>
          </w14:textFill>
        </w:rPr>
      </w:pPr>
    </w:p>
    <w:p w14:paraId="2D12BC7B">
      <w:pPr>
        <w:jc w:val="center"/>
        <w:rPr>
          <w:rFonts w:eastAsiaTheme="minorEastAsia"/>
          <w:b/>
          <w:color w:val="000000" w:themeColor="text1"/>
          <w:sz w:val="32"/>
          <w:szCs w:val="32"/>
          <w14:textFill>
            <w14:solidFill>
              <w14:schemeClr w14:val="tx1"/>
            </w14:solidFill>
          </w14:textFill>
        </w:rPr>
      </w:pPr>
    </w:p>
    <w:p w14:paraId="510069F4">
      <w:pPr>
        <w:jc w:val="center"/>
        <w:rPr>
          <w:rFonts w:eastAsiaTheme="minorEastAsia"/>
          <w:b/>
          <w:color w:val="000000" w:themeColor="text1"/>
          <w:sz w:val="32"/>
          <w:szCs w:val="32"/>
          <w14:textFill>
            <w14:solidFill>
              <w14:schemeClr w14:val="tx1"/>
            </w14:solidFill>
          </w14:textFill>
        </w:rPr>
      </w:pPr>
    </w:p>
    <w:p w14:paraId="7B7452F5">
      <w:pPr>
        <w:jc w:val="center"/>
        <w:rPr>
          <w:rFonts w:eastAsiaTheme="minorEastAsia"/>
          <w:b/>
          <w:color w:val="000000" w:themeColor="text1"/>
          <w:sz w:val="32"/>
          <w:szCs w:val="32"/>
          <w14:textFill>
            <w14:solidFill>
              <w14:schemeClr w14:val="tx1"/>
            </w14:solidFill>
          </w14:textFill>
        </w:rPr>
      </w:pPr>
    </w:p>
    <w:p w14:paraId="79B9A087">
      <w:pPr>
        <w:jc w:val="center"/>
        <w:rPr>
          <w:rFonts w:eastAsiaTheme="minorEastAsia"/>
          <w:b/>
          <w:color w:val="000000" w:themeColor="text1"/>
          <w:sz w:val="32"/>
          <w:szCs w:val="32"/>
          <w14:textFill>
            <w14:solidFill>
              <w14:schemeClr w14:val="tx1"/>
            </w14:solidFill>
          </w14:textFill>
        </w:rPr>
      </w:pPr>
    </w:p>
    <w:p w14:paraId="5DEFD729">
      <w:pPr>
        <w:jc w:val="center"/>
        <w:rPr>
          <w:rFonts w:eastAsiaTheme="minorEastAsia"/>
          <w:b/>
          <w:color w:val="000000" w:themeColor="text1"/>
          <w:sz w:val="32"/>
          <w:szCs w:val="32"/>
          <w14:textFill>
            <w14:solidFill>
              <w14:schemeClr w14:val="tx1"/>
            </w14:solidFill>
          </w14:textFill>
        </w:rPr>
      </w:pPr>
    </w:p>
    <w:p w14:paraId="06F22417">
      <w:pPr>
        <w:jc w:val="center"/>
        <w:rPr>
          <w:rFonts w:eastAsiaTheme="minorEastAsia"/>
          <w:b/>
          <w:color w:val="000000" w:themeColor="text1"/>
          <w:sz w:val="32"/>
          <w:szCs w:val="32"/>
          <w14:textFill>
            <w14:solidFill>
              <w14:schemeClr w14:val="tx1"/>
            </w14:solidFill>
          </w14:textFill>
        </w:rPr>
      </w:pPr>
    </w:p>
    <w:p w14:paraId="6C0291B5">
      <w:pPr>
        <w:jc w:val="center"/>
        <w:rPr>
          <w:rFonts w:eastAsiaTheme="minorEastAsia"/>
          <w:b/>
          <w:color w:val="000000" w:themeColor="text1"/>
          <w:sz w:val="32"/>
          <w:szCs w:val="32"/>
          <w14:textFill>
            <w14:solidFill>
              <w14:schemeClr w14:val="tx1"/>
            </w14:solidFill>
          </w14:textFill>
        </w:rPr>
      </w:pPr>
    </w:p>
    <w:p w14:paraId="3315F505">
      <w:pPr>
        <w:jc w:val="center"/>
        <w:rPr>
          <w:rFonts w:eastAsiaTheme="minorEastAsia"/>
          <w:b/>
          <w:color w:val="000000" w:themeColor="text1"/>
          <w:sz w:val="32"/>
          <w:szCs w:val="32"/>
          <w14:textFill>
            <w14:solidFill>
              <w14:schemeClr w14:val="tx1"/>
            </w14:solidFill>
          </w14:textFill>
        </w:rPr>
      </w:pPr>
    </w:p>
    <w:p w14:paraId="22F463CC">
      <w:pPr>
        <w:jc w:val="center"/>
        <w:rPr>
          <w:rFonts w:eastAsiaTheme="minorEastAsia"/>
          <w:b/>
          <w:color w:val="000000" w:themeColor="text1"/>
          <w:sz w:val="32"/>
          <w:szCs w:val="32"/>
          <w14:textFill>
            <w14:solidFill>
              <w14:schemeClr w14:val="tx1"/>
            </w14:solidFill>
          </w14:textFill>
        </w:rPr>
      </w:pPr>
    </w:p>
    <w:p w14:paraId="3AA5CCF4">
      <w:pPr>
        <w:jc w:val="center"/>
        <w:rPr>
          <w:rFonts w:eastAsiaTheme="minorEastAsia"/>
          <w:b/>
          <w:color w:val="000000" w:themeColor="text1"/>
          <w:sz w:val="32"/>
          <w:szCs w:val="32"/>
          <w14:textFill>
            <w14:solidFill>
              <w14:schemeClr w14:val="tx1"/>
            </w14:solidFill>
          </w14:textFill>
        </w:rPr>
      </w:pPr>
    </w:p>
    <w:p w14:paraId="5398C077">
      <w:pPr>
        <w:jc w:val="center"/>
        <w:rPr>
          <w:rFonts w:eastAsiaTheme="minorEastAsia"/>
          <w:b/>
          <w:color w:val="000000" w:themeColor="text1"/>
          <w:sz w:val="32"/>
          <w:szCs w:val="32"/>
          <w14:textFill>
            <w14:solidFill>
              <w14:schemeClr w14:val="tx1"/>
            </w14:solidFill>
          </w14:textFill>
        </w:rPr>
      </w:pPr>
    </w:p>
    <w:p w14:paraId="4407C581">
      <w:pPr>
        <w:jc w:val="center"/>
        <w:rPr>
          <w:rFonts w:eastAsiaTheme="minorEastAsia"/>
          <w:b/>
          <w:color w:val="000000" w:themeColor="text1"/>
          <w:sz w:val="32"/>
          <w:szCs w:val="32"/>
          <w14:textFill>
            <w14:solidFill>
              <w14:schemeClr w14:val="tx1"/>
            </w14:solidFill>
          </w14:textFill>
        </w:rPr>
      </w:pPr>
    </w:p>
    <w:p w14:paraId="420BA308">
      <w:pPr>
        <w:spacing w:line="360" w:lineRule="auto"/>
        <w:ind w:firstLine="1124" w:firstLineChars="350"/>
        <w:jc w:val="left"/>
        <w:rPr>
          <w:rFonts w:eastAsiaTheme="minorEastAsia"/>
          <w:b/>
          <w:color w:val="000000" w:themeColor="text1"/>
          <w:sz w:val="32"/>
          <w:szCs w:val="36"/>
          <w14:textFill>
            <w14:solidFill>
              <w14:schemeClr w14:val="tx1"/>
            </w14:solidFill>
          </w14:textFill>
        </w:rPr>
      </w:pPr>
      <w:bookmarkStart w:id="1" w:name="_Hlk160527468"/>
      <w:r>
        <w:rPr>
          <w:rFonts w:hint="eastAsia" w:eastAsiaTheme="minorEastAsia"/>
          <w:b/>
          <w:color w:val="000000" w:themeColor="text1"/>
          <w:sz w:val="32"/>
          <w:szCs w:val="36"/>
          <w14:textFill>
            <w14:solidFill>
              <w14:schemeClr w14:val="tx1"/>
            </w14:solidFill>
          </w14:textFill>
        </w:rPr>
        <w:t>建设单位：随县石材产业管理办公室</w:t>
      </w:r>
    </w:p>
    <w:p w14:paraId="38AF312D">
      <w:pPr>
        <w:spacing w:line="360" w:lineRule="auto"/>
        <w:ind w:firstLine="1124" w:firstLineChars="350"/>
        <w:jc w:val="left"/>
        <w:rPr>
          <w:rFonts w:eastAsiaTheme="minorEastAsia"/>
          <w:b/>
          <w:color w:val="000000" w:themeColor="text1"/>
          <w:sz w:val="32"/>
          <w:szCs w:val="36"/>
          <w14:textFill>
            <w14:solidFill>
              <w14:schemeClr w14:val="tx1"/>
            </w14:solidFill>
          </w14:textFill>
        </w:rPr>
      </w:pPr>
      <w:r>
        <w:rPr>
          <w:rFonts w:eastAsiaTheme="minorEastAsia"/>
          <w:b/>
          <w:color w:val="000000" w:themeColor="text1"/>
          <w:sz w:val="32"/>
          <w:szCs w:val="36"/>
          <w14:textFill>
            <w14:solidFill>
              <w14:schemeClr w14:val="tx1"/>
            </w14:solidFill>
          </w14:textFill>
        </w:rPr>
        <w:t>评价单位：湖北凌然环保科技有限公司</w:t>
      </w:r>
    </w:p>
    <w:bookmarkEnd w:id="1"/>
    <w:p w14:paraId="0BA4B135">
      <w:pPr>
        <w:spacing w:line="360" w:lineRule="auto"/>
        <w:jc w:val="center"/>
        <w:rPr>
          <w:rFonts w:eastAsiaTheme="minorEastAsia"/>
          <w:b/>
          <w:color w:val="000000" w:themeColor="text1"/>
          <w:sz w:val="32"/>
          <w:szCs w:val="36"/>
          <w14:textFill>
            <w14:solidFill>
              <w14:schemeClr w14:val="tx1"/>
            </w14:solidFill>
          </w14:textFill>
        </w:rPr>
        <w:sectPr>
          <w:headerReference r:id="rId3" w:type="default"/>
          <w:pgSz w:w="11906" w:h="16838"/>
          <w:pgMar w:top="1440" w:right="1797" w:bottom="1440" w:left="1797" w:header="624" w:footer="680" w:gutter="0"/>
          <w:paperSrc w:first="257" w:other="257"/>
          <w:cols w:space="720" w:num="1"/>
          <w:docGrid w:linePitch="312" w:charSpace="0"/>
        </w:sectPr>
      </w:pPr>
      <w:r>
        <w:rPr>
          <w:rFonts w:eastAsiaTheme="minorEastAsia"/>
          <w:b/>
          <w:color w:val="000000" w:themeColor="text1"/>
          <w:sz w:val="32"/>
          <w:szCs w:val="36"/>
          <w14:textFill>
            <w14:solidFill>
              <w14:schemeClr w14:val="tx1"/>
            </w14:solidFill>
          </w14:textFill>
        </w:rPr>
        <w:t>202</w:t>
      </w:r>
      <w:r>
        <w:rPr>
          <w:rFonts w:hint="eastAsia" w:eastAsiaTheme="minorEastAsia"/>
          <w:b/>
          <w:color w:val="000000" w:themeColor="text1"/>
          <w:sz w:val="32"/>
          <w:szCs w:val="36"/>
          <w14:textFill>
            <w14:solidFill>
              <w14:schemeClr w14:val="tx1"/>
            </w14:solidFill>
          </w14:textFill>
        </w:rPr>
        <w:t>5</w:t>
      </w:r>
      <w:r>
        <w:rPr>
          <w:rFonts w:eastAsiaTheme="minorEastAsia"/>
          <w:b/>
          <w:color w:val="000000" w:themeColor="text1"/>
          <w:sz w:val="32"/>
          <w:szCs w:val="36"/>
          <w14:textFill>
            <w14:solidFill>
              <w14:schemeClr w14:val="tx1"/>
            </w14:solidFill>
          </w14:textFill>
        </w:rPr>
        <w:t>年</w:t>
      </w:r>
      <w:r>
        <w:rPr>
          <w:rFonts w:hint="eastAsia" w:eastAsiaTheme="minorEastAsia"/>
          <w:b/>
          <w:color w:val="000000" w:themeColor="text1"/>
          <w:sz w:val="32"/>
          <w:szCs w:val="36"/>
          <w14:textFill>
            <w14:solidFill>
              <w14:schemeClr w14:val="tx1"/>
            </w14:solidFill>
          </w14:textFill>
        </w:rPr>
        <w:t>8</w:t>
      </w:r>
      <w:r>
        <w:rPr>
          <w:rFonts w:eastAsiaTheme="minorEastAsia"/>
          <w:b/>
          <w:color w:val="000000" w:themeColor="text1"/>
          <w:sz w:val="32"/>
          <w:szCs w:val="36"/>
          <w14:textFill>
            <w14:solidFill>
              <w14:schemeClr w14:val="tx1"/>
            </w14:solidFill>
          </w14:textFill>
        </w:rPr>
        <w:t>月</w:t>
      </w:r>
    </w:p>
    <w:p w14:paraId="4B62D577">
      <w:pPr>
        <w:spacing w:line="360" w:lineRule="auto"/>
        <w:jc w:val="center"/>
        <w:rPr>
          <w:rFonts w:eastAsiaTheme="minorEastAsia"/>
          <w:b/>
          <w:color w:val="FF0000"/>
          <w:sz w:val="32"/>
          <w:szCs w:val="36"/>
        </w:rPr>
      </w:pPr>
    </w:p>
    <w:p w14:paraId="624EAB1E">
      <w:pPr>
        <w:rPr>
          <w:rFonts w:eastAsiaTheme="minorEastAsia"/>
          <w:color w:val="FF0000"/>
        </w:rPr>
        <w:sectPr>
          <w:pgSz w:w="11906" w:h="16838"/>
          <w:pgMar w:top="1440" w:right="1797" w:bottom="1440" w:left="1797" w:header="624" w:footer="680" w:gutter="0"/>
          <w:paperSrc w:first="257" w:other="257"/>
          <w:cols w:space="720" w:num="1"/>
          <w:docGrid w:linePitch="312" w:charSpace="0"/>
        </w:sectPr>
      </w:pPr>
    </w:p>
    <w:p w14:paraId="6EAB30D0">
      <w:pPr>
        <w:spacing w:line="276" w:lineRule="auto"/>
        <w:jc w:val="center"/>
        <w:outlineLvl w:val="0"/>
        <w:rPr>
          <w:sz w:val="24"/>
        </w:rPr>
      </w:pPr>
      <w:bookmarkStart w:id="2" w:name="_Toc206494886"/>
      <w:r>
        <w:rPr>
          <w:rFonts w:eastAsiaTheme="minorEastAsia"/>
          <w:b/>
          <w:sz w:val="32"/>
        </w:rPr>
        <w:t>目  录</w:t>
      </w:r>
      <w:bookmarkEnd w:id="2"/>
      <w:r>
        <w:rPr>
          <w:rFonts w:eastAsiaTheme="minorEastAsia"/>
          <w:sz w:val="24"/>
        </w:rPr>
        <w:fldChar w:fldCharType="begin"/>
      </w:r>
      <w:r>
        <w:rPr>
          <w:rFonts w:eastAsiaTheme="minorEastAsia"/>
          <w:sz w:val="24"/>
        </w:rPr>
        <w:instrText xml:space="preserve"> TOC \o "1-3" \h \z \u </w:instrText>
      </w:r>
      <w:r>
        <w:rPr>
          <w:rFonts w:eastAsiaTheme="minorEastAsia"/>
          <w:sz w:val="24"/>
        </w:rPr>
        <w:fldChar w:fldCharType="separate"/>
      </w:r>
    </w:p>
    <w:p w14:paraId="2AB81CFC">
      <w:pPr>
        <w:pStyle w:val="59"/>
        <w:tabs>
          <w:tab w:val="right" w:leader="dot" w:pos="8302"/>
        </w:tabs>
        <w:spacing w:line="276" w:lineRule="auto"/>
        <w:rPr>
          <w:rFonts w:eastAsiaTheme="minorEastAsia"/>
          <w:sz w:val="24"/>
        </w:rPr>
      </w:pPr>
      <w:r>
        <w:fldChar w:fldCharType="begin"/>
      </w:r>
      <w:r>
        <w:instrText xml:space="preserve"> HYPERLINK \l "_Toc206494889" </w:instrText>
      </w:r>
      <w:r>
        <w:fldChar w:fldCharType="separate"/>
      </w:r>
      <w:r>
        <w:rPr>
          <w:rStyle w:val="144"/>
          <w:sz w:val="24"/>
        </w:rPr>
        <w:t>前言</w:t>
      </w:r>
      <w:r>
        <w:rPr>
          <w:sz w:val="24"/>
        </w:rPr>
        <w:tab/>
      </w:r>
      <w:r>
        <w:rPr>
          <w:sz w:val="24"/>
        </w:rPr>
        <w:fldChar w:fldCharType="begin"/>
      </w:r>
      <w:r>
        <w:rPr>
          <w:sz w:val="24"/>
        </w:rPr>
        <w:instrText xml:space="preserve"> PAGEREF _Toc206494889 \h </w:instrText>
      </w:r>
      <w:r>
        <w:rPr>
          <w:sz w:val="24"/>
        </w:rPr>
        <w:fldChar w:fldCharType="separate"/>
      </w:r>
      <w:r>
        <w:rPr>
          <w:sz w:val="24"/>
        </w:rPr>
        <w:t>1</w:t>
      </w:r>
      <w:r>
        <w:rPr>
          <w:sz w:val="24"/>
        </w:rPr>
        <w:fldChar w:fldCharType="end"/>
      </w:r>
      <w:r>
        <w:rPr>
          <w:sz w:val="24"/>
        </w:rPr>
        <w:fldChar w:fldCharType="end"/>
      </w:r>
    </w:p>
    <w:p w14:paraId="7EBCA956">
      <w:pPr>
        <w:pStyle w:val="59"/>
        <w:tabs>
          <w:tab w:val="left" w:pos="420"/>
          <w:tab w:val="right" w:leader="dot" w:pos="8302"/>
        </w:tabs>
        <w:spacing w:line="276" w:lineRule="auto"/>
        <w:rPr>
          <w:rFonts w:eastAsiaTheme="minorEastAsia"/>
          <w:sz w:val="24"/>
        </w:rPr>
      </w:pPr>
      <w:r>
        <w:fldChar w:fldCharType="begin"/>
      </w:r>
      <w:r>
        <w:instrText xml:space="preserve"> HYPERLINK \l "_Toc206494890" </w:instrText>
      </w:r>
      <w:r>
        <w:fldChar w:fldCharType="separate"/>
      </w:r>
      <w:r>
        <w:rPr>
          <w:rStyle w:val="144"/>
          <w:sz w:val="24"/>
        </w:rPr>
        <w:t>1</w:t>
      </w:r>
      <w:r>
        <w:rPr>
          <w:rFonts w:eastAsiaTheme="minorEastAsia"/>
          <w:sz w:val="24"/>
        </w:rPr>
        <w:tab/>
      </w:r>
      <w:r>
        <w:rPr>
          <w:rStyle w:val="144"/>
          <w:sz w:val="24"/>
        </w:rPr>
        <w:t>总则</w:t>
      </w:r>
      <w:r>
        <w:rPr>
          <w:sz w:val="24"/>
        </w:rPr>
        <w:tab/>
      </w:r>
      <w:r>
        <w:rPr>
          <w:sz w:val="24"/>
        </w:rPr>
        <w:fldChar w:fldCharType="begin"/>
      </w:r>
      <w:r>
        <w:rPr>
          <w:sz w:val="24"/>
        </w:rPr>
        <w:instrText xml:space="preserve"> PAGEREF _Toc206494890 \h </w:instrText>
      </w:r>
      <w:r>
        <w:rPr>
          <w:sz w:val="24"/>
        </w:rPr>
        <w:fldChar w:fldCharType="separate"/>
      </w:r>
      <w:r>
        <w:rPr>
          <w:sz w:val="24"/>
        </w:rPr>
        <w:t>3</w:t>
      </w:r>
      <w:r>
        <w:rPr>
          <w:sz w:val="24"/>
        </w:rPr>
        <w:fldChar w:fldCharType="end"/>
      </w:r>
      <w:r>
        <w:rPr>
          <w:sz w:val="24"/>
        </w:rPr>
        <w:fldChar w:fldCharType="end"/>
      </w:r>
    </w:p>
    <w:p w14:paraId="55C67629">
      <w:pPr>
        <w:pStyle w:val="74"/>
        <w:tabs>
          <w:tab w:val="right" w:leader="dot" w:pos="8302"/>
        </w:tabs>
        <w:spacing w:line="276" w:lineRule="auto"/>
        <w:rPr>
          <w:rFonts w:eastAsiaTheme="minorEastAsia"/>
          <w:sz w:val="24"/>
        </w:rPr>
      </w:pPr>
      <w:r>
        <w:fldChar w:fldCharType="begin"/>
      </w:r>
      <w:r>
        <w:instrText xml:space="preserve"> HYPERLINK \l "_Toc206494891" </w:instrText>
      </w:r>
      <w:r>
        <w:fldChar w:fldCharType="separate"/>
      </w:r>
      <w:r>
        <w:rPr>
          <w:rStyle w:val="144"/>
          <w:bCs/>
          <w:sz w:val="24"/>
        </w:rPr>
        <w:t>1.1 编制依据</w:t>
      </w:r>
      <w:r>
        <w:rPr>
          <w:sz w:val="24"/>
        </w:rPr>
        <w:tab/>
      </w:r>
      <w:r>
        <w:rPr>
          <w:sz w:val="24"/>
        </w:rPr>
        <w:fldChar w:fldCharType="begin"/>
      </w:r>
      <w:r>
        <w:rPr>
          <w:sz w:val="24"/>
        </w:rPr>
        <w:instrText xml:space="preserve"> PAGEREF _Toc206494891 \h </w:instrText>
      </w:r>
      <w:r>
        <w:rPr>
          <w:sz w:val="24"/>
        </w:rPr>
        <w:fldChar w:fldCharType="separate"/>
      </w:r>
      <w:r>
        <w:rPr>
          <w:sz w:val="24"/>
        </w:rPr>
        <w:t>3</w:t>
      </w:r>
      <w:r>
        <w:rPr>
          <w:sz w:val="24"/>
        </w:rPr>
        <w:fldChar w:fldCharType="end"/>
      </w:r>
      <w:r>
        <w:rPr>
          <w:sz w:val="24"/>
        </w:rPr>
        <w:fldChar w:fldCharType="end"/>
      </w:r>
    </w:p>
    <w:p w14:paraId="7517429E">
      <w:pPr>
        <w:pStyle w:val="44"/>
        <w:tabs>
          <w:tab w:val="right" w:leader="dot" w:pos="8302"/>
        </w:tabs>
        <w:spacing w:line="276" w:lineRule="auto"/>
        <w:rPr>
          <w:rFonts w:eastAsiaTheme="minorEastAsia"/>
          <w:sz w:val="24"/>
        </w:rPr>
      </w:pPr>
      <w:r>
        <w:fldChar w:fldCharType="begin"/>
      </w:r>
      <w:r>
        <w:instrText xml:space="preserve"> HYPERLINK \l "_Toc206494892" </w:instrText>
      </w:r>
      <w:r>
        <w:fldChar w:fldCharType="separate"/>
      </w:r>
      <w:r>
        <w:rPr>
          <w:rStyle w:val="144"/>
          <w:bCs/>
          <w:sz w:val="24"/>
        </w:rPr>
        <w:t>1.1.1 国家相关法规及文件</w:t>
      </w:r>
      <w:r>
        <w:rPr>
          <w:sz w:val="24"/>
        </w:rPr>
        <w:tab/>
      </w:r>
      <w:r>
        <w:rPr>
          <w:sz w:val="24"/>
        </w:rPr>
        <w:fldChar w:fldCharType="begin"/>
      </w:r>
      <w:r>
        <w:rPr>
          <w:sz w:val="24"/>
        </w:rPr>
        <w:instrText xml:space="preserve"> PAGEREF _Toc206494892 \h </w:instrText>
      </w:r>
      <w:r>
        <w:rPr>
          <w:sz w:val="24"/>
        </w:rPr>
        <w:fldChar w:fldCharType="separate"/>
      </w:r>
      <w:r>
        <w:rPr>
          <w:sz w:val="24"/>
        </w:rPr>
        <w:t>3</w:t>
      </w:r>
      <w:r>
        <w:rPr>
          <w:sz w:val="24"/>
        </w:rPr>
        <w:fldChar w:fldCharType="end"/>
      </w:r>
      <w:r>
        <w:rPr>
          <w:sz w:val="24"/>
        </w:rPr>
        <w:fldChar w:fldCharType="end"/>
      </w:r>
    </w:p>
    <w:p w14:paraId="7C428AAE">
      <w:pPr>
        <w:pStyle w:val="44"/>
        <w:tabs>
          <w:tab w:val="right" w:leader="dot" w:pos="8302"/>
        </w:tabs>
        <w:spacing w:line="276" w:lineRule="auto"/>
        <w:rPr>
          <w:rFonts w:eastAsiaTheme="minorEastAsia"/>
          <w:sz w:val="24"/>
        </w:rPr>
      </w:pPr>
      <w:r>
        <w:fldChar w:fldCharType="begin"/>
      </w:r>
      <w:r>
        <w:instrText xml:space="preserve"> HYPERLINK \l "_Toc206494893" </w:instrText>
      </w:r>
      <w:r>
        <w:fldChar w:fldCharType="separate"/>
      </w:r>
      <w:r>
        <w:rPr>
          <w:rStyle w:val="144"/>
          <w:bCs/>
          <w:sz w:val="24"/>
        </w:rPr>
        <w:t>1.1.2 地方相关法规及文件</w:t>
      </w:r>
      <w:r>
        <w:rPr>
          <w:sz w:val="24"/>
        </w:rPr>
        <w:tab/>
      </w:r>
      <w:r>
        <w:rPr>
          <w:sz w:val="24"/>
        </w:rPr>
        <w:fldChar w:fldCharType="begin"/>
      </w:r>
      <w:r>
        <w:rPr>
          <w:sz w:val="24"/>
        </w:rPr>
        <w:instrText xml:space="preserve"> PAGEREF _Toc206494893 \h </w:instrText>
      </w:r>
      <w:r>
        <w:rPr>
          <w:sz w:val="24"/>
        </w:rPr>
        <w:fldChar w:fldCharType="separate"/>
      </w:r>
      <w:r>
        <w:rPr>
          <w:sz w:val="24"/>
        </w:rPr>
        <w:t>5</w:t>
      </w:r>
      <w:r>
        <w:rPr>
          <w:sz w:val="24"/>
        </w:rPr>
        <w:fldChar w:fldCharType="end"/>
      </w:r>
      <w:r>
        <w:rPr>
          <w:sz w:val="24"/>
        </w:rPr>
        <w:fldChar w:fldCharType="end"/>
      </w:r>
    </w:p>
    <w:p w14:paraId="41D93F79">
      <w:pPr>
        <w:pStyle w:val="44"/>
        <w:tabs>
          <w:tab w:val="right" w:leader="dot" w:pos="8302"/>
        </w:tabs>
        <w:spacing w:line="276" w:lineRule="auto"/>
        <w:rPr>
          <w:rFonts w:eastAsiaTheme="minorEastAsia"/>
          <w:sz w:val="24"/>
        </w:rPr>
      </w:pPr>
      <w:r>
        <w:fldChar w:fldCharType="begin"/>
      </w:r>
      <w:r>
        <w:instrText xml:space="preserve"> HYPERLINK \l "_Toc206494894" </w:instrText>
      </w:r>
      <w:r>
        <w:fldChar w:fldCharType="separate"/>
      </w:r>
      <w:r>
        <w:rPr>
          <w:rStyle w:val="144"/>
          <w:bCs/>
          <w:sz w:val="24"/>
        </w:rPr>
        <w:t>1.1.3 技术规范</w:t>
      </w:r>
      <w:r>
        <w:rPr>
          <w:sz w:val="24"/>
        </w:rPr>
        <w:tab/>
      </w:r>
      <w:r>
        <w:rPr>
          <w:sz w:val="24"/>
        </w:rPr>
        <w:fldChar w:fldCharType="begin"/>
      </w:r>
      <w:r>
        <w:rPr>
          <w:sz w:val="24"/>
        </w:rPr>
        <w:instrText xml:space="preserve"> PAGEREF _Toc206494894 \h </w:instrText>
      </w:r>
      <w:r>
        <w:rPr>
          <w:sz w:val="24"/>
        </w:rPr>
        <w:fldChar w:fldCharType="separate"/>
      </w:r>
      <w:r>
        <w:rPr>
          <w:sz w:val="24"/>
        </w:rPr>
        <w:t>6</w:t>
      </w:r>
      <w:r>
        <w:rPr>
          <w:sz w:val="24"/>
        </w:rPr>
        <w:fldChar w:fldCharType="end"/>
      </w:r>
      <w:r>
        <w:rPr>
          <w:sz w:val="24"/>
        </w:rPr>
        <w:fldChar w:fldCharType="end"/>
      </w:r>
    </w:p>
    <w:p w14:paraId="2C68B55E">
      <w:pPr>
        <w:pStyle w:val="44"/>
        <w:tabs>
          <w:tab w:val="right" w:leader="dot" w:pos="8302"/>
        </w:tabs>
        <w:spacing w:line="276" w:lineRule="auto"/>
        <w:rPr>
          <w:rFonts w:eastAsiaTheme="minorEastAsia"/>
          <w:sz w:val="24"/>
        </w:rPr>
      </w:pPr>
      <w:r>
        <w:fldChar w:fldCharType="begin"/>
      </w:r>
      <w:r>
        <w:instrText xml:space="preserve"> HYPERLINK \l "_Toc206494895" </w:instrText>
      </w:r>
      <w:r>
        <w:fldChar w:fldCharType="separate"/>
      </w:r>
      <w:r>
        <w:rPr>
          <w:rStyle w:val="144"/>
          <w:bCs/>
          <w:sz w:val="24"/>
        </w:rPr>
        <w:t>1.1.4 相关规划</w:t>
      </w:r>
      <w:r>
        <w:rPr>
          <w:sz w:val="24"/>
        </w:rPr>
        <w:tab/>
      </w:r>
      <w:r>
        <w:rPr>
          <w:sz w:val="24"/>
        </w:rPr>
        <w:fldChar w:fldCharType="begin"/>
      </w:r>
      <w:r>
        <w:rPr>
          <w:sz w:val="24"/>
        </w:rPr>
        <w:instrText xml:space="preserve"> PAGEREF _Toc206494895 \h </w:instrText>
      </w:r>
      <w:r>
        <w:rPr>
          <w:sz w:val="24"/>
        </w:rPr>
        <w:fldChar w:fldCharType="separate"/>
      </w:r>
      <w:r>
        <w:rPr>
          <w:sz w:val="24"/>
        </w:rPr>
        <w:t>6</w:t>
      </w:r>
      <w:r>
        <w:rPr>
          <w:sz w:val="24"/>
        </w:rPr>
        <w:fldChar w:fldCharType="end"/>
      </w:r>
      <w:r>
        <w:rPr>
          <w:sz w:val="24"/>
        </w:rPr>
        <w:fldChar w:fldCharType="end"/>
      </w:r>
    </w:p>
    <w:p w14:paraId="10436FD0">
      <w:pPr>
        <w:pStyle w:val="44"/>
        <w:tabs>
          <w:tab w:val="right" w:leader="dot" w:pos="8302"/>
        </w:tabs>
        <w:spacing w:line="276" w:lineRule="auto"/>
        <w:rPr>
          <w:rFonts w:eastAsiaTheme="minorEastAsia"/>
          <w:sz w:val="24"/>
        </w:rPr>
      </w:pPr>
      <w:r>
        <w:fldChar w:fldCharType="begin"/>
      </w:r>
      <w:r>
        <w:instrText xml:space="preserve"> HYPERLINK \l "_Toc206494896" </w:instrText>
      </w:r>
      <w:r>
        <w:fldChar w:fldCharType="separate"/>
      </w:r>
      <w:r>
        <w:rPr>
          <w:rStyle w:val="144"/>
          <w:bCs/>
          <w:sz w:val="24"/>
        </w:rPr>
        <w:t>1.1.5 其他资料</w:t>
      </w:r>
      <w:r>
        <w:rPr>
          <w:sz w:val="24"/>
        </w:rPr>
        <w:tab/>
      </w:r>
      <w:r>
        <w:rPr>
          <w:sz w:val="24"/>
        </w:rPr>
        <w:fldChar w:fldCharType="begin"/>
      </w:r>
      <w:r>
        <w:rPr>
          <w:sz w:val="24"/>
        </w:rPr>
        <w:instrText xml:space="preserve"> PAGEREF _Toc206494896 \h </w:instrText>
      </w:r>
      <w:r>
        <w:rPr>
          <w:sz w:val="24"/>
        </w:rPr>
        <w:fldChar w:fldCharType="separate"/>
      </w:r>
      <w:r>
        <w:rPr>
          <w:sz w:val="24"/>
        </w:rPr>
        <w:t>7</w:t>
      </w:r>
      <w:r>
        <w:rPr>
          <w:sz w:val="24"/>
        </w:rPr>
        <w:fldChar w:fldCharType="end"/>
      </w:r>
      <w:r>
        <w:rPr>
          <w:sz w:val="24"/>
        </w:rPr>
        <w:fldChar w:fldCharType="end"/>
      </w:r>
    </w:p>
    <w:p w14:paraId="169C0427">
      <w:pPr>
        <w:pStyle w:val="74"/>
        <w:tabs>
          <w:tab w:val="right" w:leader="dot" w:pos="8302"/>
        </w:tabs>
        <w:spacing w:line="276" w:lineRule="auto"/>
        <w:rPr>
          <w:rFonts w:eastAsiaTheme="minorEastAsia"/>
          <w:sz w:val="24"/>
        </w:rPr>
      </w:pPr>
      <w:r>
        <w:fldChar w:fldCharType="begin"/>
      </w:r>
      <w:r>
        <w:instrText xml:space="preserve"> HYPERLINK \l "_Toc206494897" </w:instrText>
      </w:r>
      <w:r>
        <w:fldChar w:fldCharType="separate"/>
      </w:r>
      <w:r>
        <w:rPr>
          <w:rStyle w:val="144"/>
          <w:bCs/>
          <w:sz w:val="24"/>
        </w:rPr>
        <w:t>1.2 评价目的及原则</w:t>
      </w:r>
      <w:r>
        <w:rPr>
          <w:sz w:val="24"/>
        </w:rPr>
        <w:tab/>
      </w:r>
      <w:r>
        <w:rPr>
          <w:sz w:val="24"/>
        </w:rPr>
        <w:fldChar w:fldCharType="begin"/>
      </w:r>
      <w:r>
        <w:rPr>
          <w:sz w:val="24"/>
        </w:rPr>
        <w:instrText xml:space="preserve"> PAGEREF _Toc206494897 \h </w:instrText>
      </w:r>
      <w:r>
        <w:rPr>
          <w:sz w:val="24"/>
        </w:rPr>
        <w:fldChar w:fldCharType="separate"/>
      </w:r>
      <w:r>
        <w:rPr>
          <w:sz w:val="24"/>
        </w:rPr>
        <w:t>7</w:t>
      </w:r>
      <w:r>
        <w:rPr>
          <w:sz w:val="24"/>
        </w:rPr>
        <w:fldChar w:fldCharType="end"/>
      </w:r>
      <w:r>
        <w:rPr>
          <w:sz w:val="24"/>
        </w:rPr>
        <w:fldChar w:fldCharType="end"/>
      </w:r>
    </w:p>
    <w:p w14:paraId="6E4F4127">
      <w:pPr>
        <w:pStyle w:val="44"/>
        <w:tabs>
          <w:tab w:val="right" w:leader="dot" w:pos="8302"/>
        </w:tabs>
        <w:spacing w:line="276" w:lineRule="auto"/>
        <w:rPr>
          <w:rFonts w:eastAsiaTheme="minorEastAsia"/>
          <w:sz w:val="24"/>
        </w:rPr>
      </w:pPr>
      <w:r>
        <w:fldChar w:fldCharType="begin"/>
      </w:r>
      <w:r>
        <w:instrText xml:space="preserve"> HYPERLINK \l "_Toc206494898" </w:instrText>
      </w:r>
      <w:r>
        <w:fldChar w:fldCharType="separate"/>
      </w:r>
      <w:r>
        <w:rPr>
          <w:rStyle w:val="144"/>
          <w:bCs/>
          <w:sz w:val="24"/>
        </w:rPr>
        <w:t>1.2.1 评价目的</w:t>
      </w:r>
      <w:r>
        <w:rPr>
          <w:sz w:val="24"/>
        </w:rPr>
        <w:tab/>
      </w:r>
      <w:r>
        <w:rPr>
          <w:sz w:val="24"/>
        </w:rPr>
        <w:fldChar w:fldCharType="begin"/>
      </w:r>
      <w:r>
        <w:rPr>
          <w:sz w:val="24"/>
        </w:rPr>
        <w:instrText xml:space="preserve"> PAGEREF _Toc206494898 \h </w:instrText>
      </w:r>
      <w:r>
        <w:rPr>
          <w:sz w:val="24"/>
        </w:rPr>
        <w:fldChar w:fldCharType="separate"/>
      </w:r>
      <w:r>
        <w:rPr>
          <w:sz w:val="24"/>
        </w:rPr>
        <w:t>7</w:t>
      </w:r>
      <w:r>
        <w:rPr>
          <w:sz w:val="24"/>
        </w:rPr>
        <w:fldChar w:fldCharType="end"/>
      </w:r>
      <w:r>
        <w:rPr>
          <w:sz w:val="24"/>
        </w:rPr>
        <w:fldChar w:fldCharType="end"/>
      </w:r>
    </w:p>
    <w:p w14:paraId="0AE4803E">
      <w:pPr>
        <w:pStyle w:val="44"/>
        <w:tabs>
          <w:tab w:val="right" w:leader="dot" w:pos="8302"/>
        </w:tabs>
        <w:spacing w:line="276" w:lineRule="auto"/>
        <w:rPr>
          <w:rFonts w:eastAsiaTheme="minorEastAsia"/>
          <w:sz w:val="24"/>
        </w:rPr>
      </w:pPr>
      <w:r>
        <w:fldChar w:fldCharType="begin"/>
      </w:r>
      <w:r>
        <w:instrText xml:space="preserve"> HYPERLINK \l "_Toc206494899" </w:instrText>
      </w:r>
      <w:r>
        <w:fldChar w:fldCharType="separate"/>
      </w:r>
      <w:r>
        <w:rPr>
          <w:rStyle w:val="144"/>
          <w:bCs/>
          <w:sz w:val="24"/>
        </w:rPr>
        <w:t>1.2.2 评价原则</w:t>
      </w:r>
      <w:r>
        <w:rPr>
          <w:sz w:val="24"/>
        </w:rPr>
        <w:tab/>
      </w:r>
      <w:r>
        <w:rPr>
          <w:sz w:val="24"/>
        </w:rPr>
        <w:fldChar w:fldCharType="begin"/>
      </w:r>
      <w:r>
        <w:rPr>
          <w:sz w:val="24"/>
        </w:rPr>
        <w:instrText xml:space="preserve"> PAGEREF _Toc206494899 \h </w:instrText>
      </w:r>
      <w:r>
        <w:rPr>
          <w:sz w:val="24"/>
        </w:rPr>
        <w:fldChar w:fldCharType="separate"/>
      </w:r>
      <w:r>
        <w:rPr>
          <w:sz w:val="24"/>
        </w:rPr>
        <w:t>7</w:t>
      </w:r>
      <w:r>
        <w:rPr>
          <w:sz w:val="24"/>
        </w:rPr>
        <w:fldChar w:fldCharType="end"/>
      </w:r>
      <w:r>
        <w:rPr>
          <w:sz w:val="24"/>
        </w:rPr>
        <w:fldChar w:fldCharType="end"/>
      </w:r>
    </w:p>
    <w:p w14:paraId="31D6E801">
      <w:pPr>
        <w:pStyle w:val="74"/>
        <w:tabs>
          <w:tab w:val="right" w:leader="dot" w:pos="8302"/>
        </w:tabs>
        <w:spacing w:line="276" w:lineRule="auto"/>
        <w:rPr>
          <w:rFonts w:eastAsiaTheme="minorEastAsia"/>
          <w:sz w:val="24"/>
        </w:rPr>
      </w:pPr>
      <w:r>
        <w:fldChar w:fldCharType="begin"/>
      </w:r>
      <w:r>
        <w:instrText xml:space="preserve"> HYPERLINK \l "_Toc206494900" </w:instrText>
      </w:r>
      <w:r>
        <w:fldChar w:fldCharType="separate"/>
      </w:r>
      <w:r>
        <w:rPr>
          <w:rStyle w:val="144"/>
          <w:bCs/>
          <w:sz w:val="24"/>
        </w:rPr>
        <w:t>1.3 评价范围及时段</w:t>
      </w:r>
      <w:r>
        <w:rPr>
          <w:sz w:val="24"/>
        </w:rPr>
        <w:tab/>
      </w:r>
      <w:r>
        <w:rPr>
          <w:sz w:val="24"/>
        </w:rPr>
        <w:fldChar w:fldCharType="begin"/>
      </w:r>
      <w:r>
        <w:rPr>
          <w:sz w:val="24"/>
        </w:rPr>
        <w:instrText xml:space="preserve"> PAGEREF _Toc206494900 \h </w:instrText>
      </w:r>
      <w:r>
        <w:rPr>
          <w:sz w:val="24"/>
        </w:rPr>
        <w:fldChar w:fldCharType="separate"/>
      </w:r>
      <w:r>
        <w:rPr>
          <w:sz w:val="24"/>
        </w:rPr>
        <w:t>8</w:t>
      </w:r>
      <w:r>
        <w:rPr>
          <w:sz w:val="24"/>
        </w:rPr>
        <w:fldChar w:fldCharType="end"/>
      </w:r>
      <w:r>
        <w:rPr>
          <w:sz w:val="24"/>
        </w:rPr>
        <w:fldChar w:fldCharType="end"/>
      </w:r>
    </w:p>
    <w:p w14:paraId="161815E0">
      <w:pPr>
        <w:pStyle w:val="74"/>
        <w:tabs>
          <w:tab w:val="right" w:leader="dot" w:pos="8302"/>
        </w:tabs>
        <w:spacing w:line="276" w:lineRule="auto"/>
        <w:rPr>
          <w:rFonts w:eastAsiaTheme="minorEastAsia"/>
          <w:sz w:val="24"/>
        </w:rPr>
      </w:pPr>
      <w:r>
        <w:fldChar w:fldCharType="begin"/>
      </w:r>
      <w:r>
        <w:instrText xml:space="preserve"> HYPERLINK \l "_Toc206494901" </w:instrText>
      </w:r>
      <w:r>
        <w:fldChar w:fldCharType="separate"/>
      </w:r>
      <w:r>
        <w:rPr>
          <w:rStyle w:val="144"/>
          <w:bCs/>
          <w:sz w:val="24"/>
        </w:rPr>
        <w:t>1.4 评价内容与评价重点</w:t>
      </w:r>
      <w:r>
        <w:rPr>
          <w:sz w:val="24"/>
        </w:rPr>
        <w:tab/>
      </w:r>
      <w:r>
        <w:rPr>
          <w:sz w:val="24"/>
        </w:rPr>
        <w:fldChar w:fldCharType="begin"/>
      </w:r>
      <w:r>
        <w:rPr>
          <w:sz w:val="24"/>
        </w:rPr>
        <w:instrText xml:space="preserve"> PAGEREF _Toc206494901 \h </w:instrText>
      </w:r>
      <w:r>
        <w:rPr>
          <w:sz w:val="24"/>
        </w:rPr>
        <w:fldChar w:fldCharType="separate"/>
      </w:r>
      <w:r>
        <w:rPr>
          <w:sz w:val="24"/>
        </w:rPr>
        <w:t>8</w:t>
      </w:r>
      <w:r>
        <w:rPr>
          <w:sz w:val="24"/>
        </w:rPr>
        <w:fldChar w:fldCharType="end"/>
      </w:r>
      <w:r>
        <w:rPr>
          <w:sz w:val="24"/>
        </w:rPr>
        <w:fldChar w:fldCharType="end"/>
      </w:r>
    </w:p>
    <w:p w14:paraId="0D23C0B2">
      <w:pPr>
        <w:pStyle w:val="44"/>
        <w:tabs>
          <w:tab w:val="right" w:leader="dot" w:pos="8302"/>
        </w:tabs>
        <w:spacing w:line="276" w:lineRule="auto"/>
        <w:rPr>
          <w:rFonts w:eastAsiaTheme="minorEastAsia"/>
          <w:sz w:val="24"/>
        </w:rPr>
      </w:pPr>
      <w:r>
        <w:fldChar w:fldCharType="begin"/>
      </w:r>
      <w:r>
        <w:instrText xml:space="preserve"> HYPERLINK \l "_Toc206494902" </w:instrText>
      </w:r>
      <w:r>
        <w:fldChar w:fldCharType="separate"/>
      </w:r>
      <w:r>
        <w:rPr>
          <w:rStyle w:val="144"/>
          <w:bCs/>
          <w:sz w:val="24"/>
        </w:rPr>
        <w:t>1.4.1 评价内容</w:t>
      </w:r>
      <w:r>
        <w:rPr>
          <w:sz w:val="24"/>
        </w:rPr>
        <w:tab/>
      </w:r>
      <w:r>
        <w:rPr>
          <w:sz w:val="24"/>
        </w:rPr>
        <w:fldChar w:fldCharType="begin"/>
      </w:r>
      <w:r>
        <w:rPr>
          <w:sz w:val="24"/>
        </w:rPr>
        <w:instrText xml:space="preserve"> PAGEREF _Toc206494902 \h </w:instrText>
      </w:r>
      <w:r>
        <w:rPr>
          <w:sz w:val="24"/>
        </w:rPr>
        <w:fldChar w:fldCharType="separate"/>
      </w:r>
      <w:r>
        <w:rPr>
          <w:sz w:val="24"/>
        </w:rPr>
        <w:t>8</w:t>
      </w:r>
      <w:r>
        <w:rPr>
          <w:sz w:val="24"/>
        </w:rPr>
        <w:fldChar w:fldCharType="end"/>
      </w:r>
      <w:r>
        <w:rPr>
          <w:sz w:val="24"/>
        </w:rPr>
        <w:fldChar w:fldCharType="end"/>
      </w:r>
    </w:p>
    <w:p w14:paraId="461219C6">
      <w:pPr>
        <w:pStyle w:val="44"/>
        <w:tabs>
          <w:tab w:val="right" w:leader="dot" w:pos="8302"/>
        </w:tabs>
        <w:spacing w:line="276" w:lineRule="auto"/>
        <w:rPr>
          <w:rFonts w:eastAsiaTheme="minorEastAsia"/>
          <w:sz w:val="24"/>
        </w:rPr>
      </w:pPr>
      <w:r>
        <w:fldChar w:fldCharType="begin"/>
      </w:r>
      <w:r>
        <w:instrText xml:space="preserve"> HYPERLINK \l "_Toc206494903" </w:instrText>
      </w:r>
      <w:r>
        <w:fldChar w:fldCharType="separate"/>
      </w:r>
      <w:r>
        <w:rPr>
          <w:rStyle w:val="144"/>
          <w:bCs/>
          <w:sz w:val="24"/>
        </w:rPr>
        <w:t>1.4.2 评价重点</w:t>
      </w:r>
      <w:r>
        <w:rPr>
          <w:sz w:val="24"/>
        </w:rPr>
        <w:tab/>
      </w:r>
      <w:r>
        <w:rPr>
          <w:sz w:val="24"/>
        </w:rPr>
        <w:fldChar w:fldCharType="begin"/>
      </w:r>
      <w:r>
        <w:rPr>
          <w:sz w:val="24"/>
        </w:rPr>
        <w:instrText xml:space="preserve"> PAGEREF _Toc206494903 \h </w:instrText>
      </w:r>
      <w:r>
        <w:rPr>
          <w:sz w:val="24"/>
        </w:rPr>
        <w:fldChar w:fldCharType="separate"/>
      </w:r>
      <w:r>
        <w:rPr>
          <w:sz w:val="24"/>
        </w:rPr>
        <w:t>9</w:t>
      </w:r>
      <w:r>
        <w:rPr>
          <w:sz w:val="24"/>
        </w:rPr>
        <w:fldChar w:fldCharType="end"/>
      </w:r>
      <w:r>
        <w:rPr>
          <w:sz w:val="24"/>
        </w:rPr>
        <w:fldChar w:fldCharType="end"/>
      </w:r>
    </w:p>
    <w:p w14:paraId="1B27E307">
      <w:pPr>
        <w:pStyle w:val="74"/>
        <w:tabs>
          <w:tab w:val="right" w:leader="dot" w:pos="8302"/>
        </w:tabs>
        <w:spacing w:line="276" w:lineRule="auto"/>
        <w:rPr>
          <w:rFonts w:eastAsiaTheme="minorEastAsia"/>
          <w:sz w:val="24"/>
        </w:rPr>
      </w:pPr>
      <w:r>
        <w:fldChar w:fldCharType="begin"/>
      </w:r>
      <w:r>
        <w:instrText xml:space="preserve"> HYPERLINK \l "_Toc206494904" </w:instrText>
      </w:r>
      <w:r>
        <w:fldChar w:fldCharType="separate"/>
      </w:r>
      <w:r>
        <w:rPr>
          <w:rStyle w:val="144"/>
          <w:bCs/>
          <w:sz w:val="24"/>
        </w:rPr>
        <w:t>1.5 区域环境功能区划</w:t>
      </w:r>
      <w:r>
        <w:rPr>
          <w:sz w:val="24"/>
        </w:rPr>
        <w:tab/>
      </w:r>
      <w:r>
        <w:rPr>
          <w:sz w:val="24"/>
        </w:rPr>
        <w:fldChar w:fldCharType="begin"/>
      </w:r>
      <w:r>
        <w:rPr>
          <w:sz w:val="24"/>
        </w:rPr>
        <w:instrText xml:space="preserve"> PAGEREF _Toc206494904 \h </w:instrText>
      </w:r>
      <w:r>
        <w:rPr>
          <w:sz w:val="24"/>
        </w:rPr>
        <w:fldChar w:fldCharType="separate"/>
      </w:r>
      <w:r>
        <w:rPr>
          <w:sz w:val="24"/>
        </w:rPr>
        <w:t>10</w:t>
      </w:r>
      <w:r>
        <w:rPr>
          <w:sz w:val="24"/>
        </w:rPr>
        <w:fldChar w:fldCharType="end"/>
      </w:r>
      <w:r>
        <w:rPr>
          <w:sz w:val="24"/>
        </w:rPr>
        <w:fldChar w:fldCharType="end"/>
      </w:r>
    </w:p>
    <w:p w14:paraId="1EEF5E77">
      <w:pPr>
        <w:pStyle w:val="44"/>
        <w:tabs>
          <w:tab w:val="right" w:leader="dot" w:pos="8302"/>
        </w:tabs>
        <w:spacing w:line="276" w:lineRule="auto"/>
        <w:rPr>
          <w:rFonts w:eastAsiaTheme="minorEastAsia"/>
          <w:sz w:val="24"/>
        </w:rPr>
      </w:pPr>
      <w:r>
        <w:fldChar w:fldCharType="begin"/>
      </w:r>
      <w:r>
        <w:instrText xml:space="preserve"> HYPERLINK \l "_Toc206494905" </w:instrText>
      </w:r>
      <w:r>
        <w:fldChar w:fldCharType="separate"/>
      </w:r>
      <w:r>
        <w:rPr>
          <w:rStyle w:val="144"/>
          <w:bCs/>
          <w:sz w:val="24"/>
        </w:rPr>
        <w:t>1.5.1 环境空气功能区划</w:t>
      </w:r>
      <w:r>
        <w:rPr>
          <w:sz w:val="24"/>
        </w:rPr>
        <w:tab/>
      </w:r>
      <w:r>
        <w:rPr>
          <w:sz w:val="24"/>
        </w:rPr>
        <w:fldChar w:fldCharType="begin"/>
      </w:r>
      <w:r>
        <w:rPr>
          <w:sz w:val="24"/>
        </w:rPr>
        <w:instrText xml:space="preserve"> PAGEREF _Toc206494905 \h </w:instrText>
      </w:r>
      <w:r>
        <w:rPr>
          <w:sz w:val="24"/>
        </w:rPr>
        <w:fldChar w:fldCharType="separate"/>
      </w:r>
      <w:r>
        <w:rPr>
          <w:sz w:val="24"/>
        </w:rPr>
        <w:t>10</w:t>
      </w:r>
      <w:r>
        <w:rPr>
          <w:sz w:val="24"/>
        </w:rPr>
        <w:fldChar w:fldCharType="end"/>
      </w:r>
      <w:r>
        <w:rPr>
          <w:sz w:val="24"/>
        </w:rPr>
        <w:fldChar w:fldCharType="end"/>
      </w:r>
    </w:p>
    <w:p w14:paraId="11D0DA6F">
      <w:pPr>
        <w:pStyle w:val="44"/>
        <w:tabs>
          <w:tab w:val="right" w:leader="dot" w:pos="8302"/>
        </w:tabs>
        <w:spacing w:line="276" w:lineRule="auto"/>
        <w:rPr>
          <w:rFonts w:eastAsiaTheme="minorEastAsia"/>
          <w:sz w:val="24"/>
        </w:rPr>
      </w:pPr>
      <w:r>
        <w:fldChar w:fldCharType="begin"/>
      </w:r>
      <w:r>
        <w:instrText xml:space="preserve"> HYPERLINK \l "_Toc206494906" </w:instrText>
      </w:r>
      <w:r>
        <w:fldChar w:fldCharType="separate"/>
      </w:r>
      <w:r>
        <w:rPr>
          <w:rStyle w:val="144"/>
          <w:bCs/>
          <w:sz w:val="24"/>
        </w:rPr>
        <w:t>1.5.2 地表水功能区划</w:t>
      </w:r>
      <w:r>
        <w:rPr>
          <w:sz w:val="24"/>
        </w:rPr>
        <w:tab/>
      </w:r>
      <w:r>
        <w:rPr>
          <w:sz w:val="24"/>
        </w:rPr>
        <w:fldChar w:fldCharType="begin"/>
      </w:r>
      <w:r>
        <w:rPr>
          <w:sz w:val="24"/>
        </w:rPr>
        <w:instrText xml:space="preserve"> PAGEREF _Toc206494906 \h </w:instrText>
      </w:r>
      <w:r>
        <w:rPr>
          <w:sz w:val="24"/>
        </w:rPr>
        <w:fldChar w:fldCharType="separate"/>
      </w:r>
      <w:r>
        <w:rPr>
          <w:sz w:val="24"/>
        </w:rPr>
        <w:t>10</w:t>
      </w:r>
      <w:r>
        <w:rPr>
          <w:sz w:val="24"/>
        </w:rPr>
        <w:fldChar w:fldCharType="end"/>
      </w:r>
      <w:r>
        <w:rPr>
          <w:sz w:val="24"/>
        </w:rPr>
        <w:fldChar w:fldCharType="end"/>
      </w:r>
    </w:p>
    <w:p w14:paraId="3703AA39">
      <w:pPr>
        <w:pStyle w:val="44"/>
        <w:tabs>
          <w:tab w:val="right" w:leader="dot" w:pos="8302"/>
        </w:tabs>
        <w:spacing w:line="276" w:lineRule="auto"/>
        <w:rPr>
          <w:rFonts w:eastAsiaTheme="minorEastAsia"/>
          <w:sz w:val="24"/>
        </w:rPr>
      </w:pPr>
      <w:r>
        <w:fldChar w:fldCharType="begin"/>
      </w:r>
      <w:r>
        <w:instrText xml:space="preserve"> HYPERLINK \l "_Toc206494907" </w:instrText>
      </w:r>
      <w:r>
        <w:fldChar w:fldCharType="separate"/>
      </w:r>
      <w:r>
        <w:rPr>
          <w:rStyle w:val="144"/>
          <w:bCs/>
          <w:sz w:val="24"/>
        </w:rPr>
        <w:t>1.5.3 声环境功能区划</w:t>
      </w:r>
      <w:r>
        <w:rPr>
          <w:sz w:val="24"/>
        </w:rPr>
        <w:tab/>
      </w:r>
      <w:r>
        <w:rPr>
          <w:sz w:val="24"/>
        </w:rPr>
        <w:fldChar w:fldCharType="begin"/>
      </w:r>
      <w:r>
        <w:rPr>
          <w:sz w:val="24"/>
        </w:rPr>
        <w:instrText xml:space="preserve"> PAGEREF _Toc206494907 \h </w:instrText>
      </w:r>
      <w:r>
        <w:rPr>
          <w:sz w:val="24"/>
        </w:rPr>
        <w:fldChar w:fldCharType="separate"/>
      </w:r>
      <w:r>
        <w:rPr>
          <w:sz w:val="24"/>
        </w:rPr>
        <w:t>10</w:t>
      </w:r>
      <w:r>
        <w:rPr>
          <w:sz w:val="24"/>
        </w:rPr>
        <w:fldChar w:fldCharType="end"/>
      </w:r>
      <w:r>
        <w:rPr>
          <w:sz w:val="24"/>
        </w:rPr>
        <w:fldChar w:fldCharType="end"/>
      </w:r>
    </w:p>
    <w:p w14:paraId="658751BF">
      <w:pPr>
        <w:pStyle w:val="44"/>
        <w:tabs>
          <w:tab w:val="right" w:leader="dot" w:pos="8302"/>
        </w:tabs>
        <w:spacing w:line="276" w:lineRule="auto"/>
        <w:rPr>
          <w:rFonts w:eastAsiaTheme="minorEastAsia"/>
          <w:sz w:val="24"/>
        </w:rPr>
      </w:pPr>
      <w:r>
        <w:fldChar w:fldCharType="begin"/>
      </w:r>
      <w:r>
        <w:instrText xml:space="preserve"> HYPERLINK \l "_Toc206494908" </w:instrText>
      </w:r>
      <w:r>
        <w:fldChar w:fldCharType="separate"/>
      </w:r>
      <w:r>
        <w:rPr>
          <w:rStyle w:val="144"/>
          <w:bCs/>
          <w:sz w:val="24"/>
        </w:rPr>
        <w:t>1.5.4 地下水水环境功能区划</w:t>
      </w:r>
      <w:r>
        <w:rPr>
          <w:sz w:val="24"/>
        </w:rPr>
        <w:tab/>
      </w:r>
      <w:r>
        <w:rPr>
          <w:sz w:val="24"/>
        </w:rPr>
        <w:fldChar w:fldCharType="begin"/>
      </w:r>
      <w:r>
        <w:rPr>
          <w:sz w:val="24"/>
        </w:rPr>
        <w:instrText xml:space="preserve"> PAGEREF _Toc206494908 \h </w:instrText>
      </w:r>
      <w:r>
        <w:rPr>
          <w:sz w:val="24"/>
        </w:rPr>
        <w:fldChar w:fldCharType="separate"/>
      </w:r>
      <w:r>
        <w:rPr>
          <w:sz w:val="24"/>
        </w:rPr>
        <w:t>11</w:t>
      </w:r>
      <w:r>
        <w:rPr>
          <w:sz w:val="24"/>
        </w:rPr>
        <w:fldChar w:fldCharType="end"/>
      </w:r>
      <w:r>
        <w:rPr>
          <w:sz w:val="24"/>
        </w:rPr>
        <w:fldChar w:fldCharType="end"/>
      </w:r>
    </w:p>
    <w:p w14:paraId="68F0D3FE">
      <w:pPr>
        <w:pStyle w:val="44"/>
        <w:tabs>
          <w:tab w:val="right" w:leader="dot" w:pos="8302"/>
        </w:tabs>
        <w:spacing w:line="276" w:lineRule="auto"/>
        <w:rPr>
          <w:rFonts w:eastAsiaTheme="minorEastAsia"/>
          <w:sz w:val="24"/>
        </w:rPr>
      </w:pPr>
      <w:r>
        <w:fldChar w:fldCharType="begin"/>
      </w:r>
      <w:r>
        <w:instrText xml:space="preserve"> HYPERLINK \l "_Toc206494909" </w:instrText>
      </w:r>
      <w:r>
        <w:fldChar w:fldCharType="separate"/>
      </w:r>
      <w:r>
        <w:rPr>
          <w:rStyle w:val="144"/>
          <w:bCs/>
          <w:sz w:val="24"/>
        </w:rPr>
        <w:t>1.5.5 区域生态功能区划</w:t>
      </w:r>
      <w:r>
        <w:rPr>
          <w:sz w:val="24"/>
        </w:rPr>
        <w:tab/>
      </w:r>
      <w:r>
        <w:rPr>
          <w:sz w:val="24"/>
        </w:rPr>
        <w:fldChar w:fldCharType="begin"/>
      </w:r>
      <w:r>
        <w:rPr>
          <w:sz w:val="24"/>
        </w:rPr>
        <w:instrText xml:space="preserve"> PAGEREF _Toc206494909 \h </w:instrText>
      </w:r>
      <w:r>
        <w:rPr>
          <w:sz w:val="24"/>
        </w:rPr>
        <w:fldChar w:fldCharType="separate"/>
      </w:r>
      <w:r>
        <w:rPr>
          <w:sz w:val="24"/>
        </w:rPr>
        <w:t>11</w:t>
      </w:r>
      <w:r>
        <w:rPr>
          <w:sz w:val="24"/>
        </w:rPr>
        <w:fldChar w:fldCharType="end"/>
      </w:r>
      <w:r>
        <w:rPr>
          <w:sz w:val="24"/>
        </w:rPr>
        <w:fldChar w:fldCharType="end"/>
      </w:r>
    </w:p>
    <w:p w14:paraId="33ADD3B2">
      <w:pPr>
        <w:pStyle w:val="74"/>
        <w:tabs>
          <w:tab w:val="right" w:leader="dot" w:pos="8302"/>
        </w:tabs>
        <w:spacing w:line="276" w:lineRule="auto"/>
        <w:rPr>
          <w:rFonts w:eastAsiaTheme="minorEastAsia"/>
          <w:sz w:val="24"/>
        </w:rPr>
      </w:pPr>
      <w:r>
        <w:fldChar w:fldCharType="begin"/>
      </w:r>
      <w:r>
        <w:instrText xml:space="preserve"> HYPERLINK \l "_Toc206494910" </w:instrText>
      </w:r>
      <w:r>
        <w:fldChar w:fldCharType="separate"/>
      </w:r>
      <w:r>
        <w:rPr>
          <w:rStyle w:val="144"/>
          <w:bCs/>
          <w:sz w:val="24"/>
        </w:rPr>
        <w:t>1.6 评价标准</w:t>
      </w:r>
      <w:r>
        <w:rPr>
          <w:sz w:val="24"/>
        </w:rPr>
        <w:tab/>
      </w:r>
      <w:r>
        <w:rPr>
          <w:sz w:val="24"/>
        </w:rPr>
        <w:fldChar w:fldCharType="begin"/>
      </w:r>
      <w:r>
        <w:rPr>
          <w:sz w:val="24"/>
        </w:rPr>
        <w:instrText xml:space="preserve"> PAGEREF _Toc206494910 \h </w:instrText>
      </w:r>
      <w:r>
        <w:rPr>
          <w:sz w:val="24"/>
        </w:rPr>
        <w:fldChar w:fldCharType="separate"/>
      </w:r>
      <w:r>
        <w:rPr>
          <w:sz w:val="24"/>
        </w:rPr>
        <w:t>11</w:t>
      </w:r>
      <w:r>
        <w:rPr>
          <w:sz w:val="24"/>
        </w:rPr>
        <w:fldChar w:fldCharType="end"/>
      </w:r>
      <w:r>
        <w:rPr>
          <w:sz w:val="24"/>
        </w:rPr>
        <w:fldChar w:fldCharType="end"/>
      </w:r>
    </w:p>
    <w:p w14:paraId="642F8CD1">
      <w:pPr>
        <w:pStyle w:val="44"/>
        <w:tabs>
          <w:tab w:val="right" w:leader="dot" w:pos="8302"/>
        </w:tabs>
        <w:spacing w:line="276" w:lineRule="auto"/>
        <w:rPr>
          <w:rFonts w:eastAsiaTheme="minorEastAsia"/>
          <w:sz w:val="24"/>
        </w:rPr>
      </w:pPr>
      <w:r>
        <w:fldChar w:fldCharType="begin"/>
      </w:r>
      <w:r>
        <w:instrText xml:space="preserve"> HYPERLINK \l "_Toc206494911" </w:instrText>
      </w:r>
      <w:r>
        <w:fldChar w:fldCharType="separate"/>
      </w:r>
      <w:r>
        <w:rPr>
          <w:rStyle w:val="144"/>
          <w:bCs/>
          <w:sz w:val="24"/>
        </w:rPr>
        <w:t>1.6.1 标准概述</w:t>
      </w:r>
      <w:r>
        <w:rPr>
          <w:sz w:val="24"/>
        </w:rPr>
        <w:tab/>
      </w:r>
      <w:r>
        <w:rPr>
          <w:sz w:val="24"/>
        </w:rPr>
        <w:fldChar w:fldCharType="begin"/>
      </w:r>
      <w:r>
        <w:rPr>
          <w:sz w:val="24"/>
        </w:rPr>
        <w:instrText xml:space="preserve"> PAGEREF _Toc206494911 \h </w:instrText>
      </w:r>
      <w:r>
        <w:rPr>
          <w:sz w:val="24"/>
        </w:rPr>
        <w:fldChar w:fldCharType="separate"/>
      </w:r>
      <w:r>
        <w:rPr>
          <w:sz w:val="24"/>
        </w:rPr>
        <w:t>11</w:t>
      </w:r>
      <w:r>
        <w:rPr>
          <w:sz w:val="24"/>
        </w:rPr>
        <w:fldChar w:fldCharType="end"/>
      </w:r>
      <w:r>
        <w:rPr>
          <w:sz w:val="24"/>
        </w:rPr>
        <w:fldChar w:fldCharType="end"/>
      </w:r>
    </w:p>
    <w:p w14:paraId="6A43C492">
      <w:pPr>
        <w:pStyle w:val="44"/>
        <w:tabs>
          <w:tab w:val="right" w:leader="dot" w:pos="8302"/>
        </w:tabs>
        <w:spacing w:line="276" w:lineRule="auto"/>
        <w:rPr>
          <w:rFonts w:eastAsiaTheme="minorEastAsia"/>
          <w:sz w:val="24"/>
        </w:rPr>
      </w:pPr>
      <w:r>
        <w:fldChar w:fldCharType="begin"/>
      </w:r>
      <w:r>
        <w:instrText xml:space="preserve"> HYPERLINK \l "_Toc206494912" </w:instrText>
      </w:r>
      <w:r>
        <w:fldChar w:fldCharType="separate"/>
      </w:r>
      <w:r>
        <w:rPr>
          <w:rStyle w:val="144"/>
          <w:bCs/>
          <w:sz w:val="24"/>
        </w:rPr>
        <w:t>1.6.2 环境质量标准</w:t>
      </w:r>
      <w:r>
        <w:rPr>
          <w:sz w:val="24"/>
        </w:rPr>
        <w:tab/>
      </w:r>
      <w:r>
        <w:rPr>
          <w:sz w:val="24"/>
        </w:rPr>
        <w:fldChar w:fldCharType="begin"/>
      </w:r>
      <w:r>
        <w:rPr>
          <w:sz w:val="24"/>
        </w:rPr>
        <w:instrText xml:space="preserve"> PAGEREF _Toc206494912 \h </w:instrText>
      </w:r>
      <w:r>
        <w:rPr>
          <w:sz w:val="24"/>
        </w:rPr>
        <w:fldChar w:fldCharType="separate"/>
      </w:r>
      <w:r>
        <w:rPr>
          <w:sz w:val="24"/>
        </w:rPr>
        <w:t>12</w:t>
      </w:r>
      <w:r>
        <w:rPr>
          <w:sz w:val="24"/>
        </w:rPr>
        <w:fldChar w:fldCharType="end"/>
      </w:r>
      <w:r>
        <w:rPr>
          <w:sz w:val="24"/>
        </w:rPr>
        <w:fldChar w:fldCharType="end"/>
      </w:r>
    </w:p>
    <w:p w14:paraId="4E78ACCC">
      <w:pPr>
        <w:pStyle w:val="44"/>
        <w:tabs>
          <w:tab w:val="right" w:leader="dot" w:pos="8302"/>
        </w:tabs>
        <w:spacing w:line="276" w:lineRule="auto"/>
        <w:rPr>
          <w:rFonts w:eastAsiaTheme="minorEastAsia"/>
          <w:sz w:val="24"/>
        </w:rPr>
      </w:pPr>
      <w:r>
        <w:fldChar w:fldCharType="begin"/>
      </w:r>
      <w:r>
        <w:instrText xml:space="preserve"> HYPERLINK \l "_Toc206494913" </w:instrText>
      </w:r>
      <w:r>
        <w:fldChar w:fldCharType="separate"/>
      </w:r>
      <w:r>
        <w:rPr>
          <w:rStyle w:val="144"/>
          <w:bCs/>
          <w:sz w:val="24"/>
        </w:rPr>
        <w:t>1.6.3 污染物排放标准</w:t>
      </w:r>
      <w:r>
        <w:rPr>
          <w:sz w:val="24"/>
        </w:rPr>
        <w:tab/>
      </w:r>
      <w:r>
        <w:rPr>
          <w:sz w:val="24"/>
        </w:rPr>
        <w:fldChar w:fldCharType="begin"/>
      </w:r>
      <w:r>
        <w:rPr>
          <w:sz w:val="24"/>
        </w:rPr>
        <w:instrText xml:space="preserve"> PAGEREF _Toc206494913 \h </w:instrText>
      </w:r>
      <w:r>
        <w:rPr>
          <w:sz w:val="24"/>
        </w:rPr>
        <w:fldChar w:fldCharType="separate"/>
      </w:r>
      <w:r>
        <w:rPr>
          <w:sz w:val="24"/>
        </w:rPr>
        <w:t>17</w:t>
      </w:r>
      <w:r>
        <w:rPr>
          <w:sz w:val="24"/>
        </w:rPr>
        <w:fldChar w:fldCharType="end"/>
      </w:r>
      <w:r>
        <w:rPr>
          <w:sz w:val="24"/>
        </w:rPr>
        <w:fldChar w:fldCharType="end"/>
      </w:r>
    </w:p>
    <w:p w14:paraId="2B7E4223">
      <w:pPr>
        <w:pStyle w:val="74"/>
        <w:tabs>
          <w:tab w:val="right" w:leader="dot" w:pos="8302"/>
        </w:tabs>
        <w:spacing w:line="276" w:lineRule="auto"/>
        <w:rPr>
          <w:rFonts w:eastAsiaTheme="minorEastAsia"/>
          <w:sz w:val="24"/>
        </w:rPr>
      </w:pPr>
      <w:r>
        <w:fldChar w:fldCharType="begin"/>
      </w:r>
      <w:r>
        <w:instrText xml:space="preserve"> HYPERLINK \l "_Toc206494914" </w:instrText>
      </w:r>
      <w:r>
        <w:fldChar w:fldCharType="separate"/>
      </w:r>
      <w:r>
        <w:rPr>
          <w:rStyle w:val="144"/>
          <w:bCs/>
          <w:sz w:val="24"/>
        </w:rPr>
        <w:t>1.7 评价技术路线</w:t>
      </w:r>
      <w:r>
        <w:rPr>
          <w:sz w:val="24"/>
        </w:rPr>
        <w:tab/>
      </w:r>
      <w:r>
        <w:rPr>
          <w:sz w:val="24"/>
        </w:rPr>
        <w:fldChar w:fldCharType="begin"/>
      </w:r>
      <w:r>
        <w:rPr>
          <w:sz w:val="24"/>
        </w:rPr>
        <w:instrText xml:space="preserve"> PAGEREF _Toc206494914 \h </w:instrText>
      </w:r>
      <w:r>
        <w:rPr>
          <w:sz w:val="24"/>
        </w:rPr>
        <w:fldChar w:fldCharType="separate"/>
      </w:r>
      <w:r>
        <w:rPr>
          <w:sz w:val="24"/>
        </w:rPr>
        <w:t>18</w:t>
      </w:r>
      <w:r>
        <w:rPr>
          <w:sz w:val="24"/>
        </w:rPr>
        <w:fldChar w:fldCharType="end"/>
      </w:r>
      <w:r>
        <w:rPr>
          <w:sz w:val="24"/>
        </w:rPr>
        <w:fldChar w:fldCharType="end"/>
      </w:r>
    </w:p>
    <w:p w14:paraId="3E9A7AC1">
      <w:pPr>
        <w:pStyle w:val="74"/>
        <w:tabs>
          <w:tab w:val="right" w:leader="dot" w:pos="8302"/>
        </w:tabs>
        <w:spacing w:line="276" w:lineRule="auto"/>
        <w:rPr>
          <w:rFonts w:eastAsiaTheme="minorEastAsia"/>
          <w:sz w:val="24"/>
        </w:rPr>
      </w:pPr>
      <w:r>
        <w:fldChar w:fldCharType="begin"/>
      </w:r>
      <w:r>
        <w:instrText xml:space="preserve"> HYPERLINK \l "_Toc206494915" </w:instrText>
      </w:r>
      <w:r>
        <w:fldChar w:fldCharType="separate"/>
      </w:r>
      <w:r>
        <w:rPr>
          <w:rStyle w:val="144"/>
          <w:bCs/>
          <w:sz w:val="24"/>
        </w:rPr>
        <w:t>1.8 主要环境保护目标</w:t>
      </w:r>
      <w:r>
        <w:rPr>
          <w:sz w:val="24"/>
        </w:rPr>
        <w:tab/>
      </w:r>
      <w:r>
        <w:rPr>
          <w:sz w:val="24"/>
        </w:rPr>
        <w:fldChar w:fldCharType="begin"/>
      </w:r>
      <w:r>
        <w:rPr>
          <w:sz w:val="24"/>
        </w:rPr>
        <w:instrText xml:space="preserve"> PAGEREF _Toc206494915 \h </w:instrText>
      </w:r>
      <w:r>
        <w:rPr>
          <w:sz w:val="24"/>
        </w:rPr>
        <w:fldChar w:fldCharType="separate"/>
      </w:r>
      <w:r>
        <w:rPr>
          <w:sz w:val="24"/>
        </w:rPr>
        <w:t>19</w:t>
      </w:r>
      <w:r>
        <w:rPr>
          <w:sz w:val="24"/>
        </w:rPr>
        <w:fldChar w:fldCharType="end"/>
      </w:r>
      <w:r>
        <w:rPr>
          <w:sz w:val="24"/>
        </w:rPr>
        <w:fldChar w:fldCharType="end"/>
      </w:r>
    </w:p>
    <w:p w14:paraId="3985DED7">
      <w:pPr>
        <w:pStyle w:val="59"/>
        <w:tabs>
          <w:tab w:val="left" w:pos="420"/>
          <w:tab w:val="right" w:leader="dot" w:pos="8302"/>
        </w:tabs>
        <w:spacing w:line="276" w:lineRule="auto"/>
        <w:rPr>
          <w:rFonts w:eastAsiaTheme="minorEastAsia"/>
          <w:sz w:val="24"/>
        </w:rPr>
      </w:pPr>
      <w:r>
        <w:fldChar w:fldCharType="begin"/>
      </w:r>
      <w:r>
        <w:instrText xml:space="preserve"> HYPERLINK \l "_Toc206494916" </w:instrText>
      </w:r>
      <w:r>
        <w:fldChar w:fldCharType="separate"/>
      </w:r>
      <w:r>
        <w:rPr>
          <w:rStyle w:val="144"/>
          <w:sz w:val="24"/>
        </w:rPr>
        <w:t>2</w:t>
      </w:r>
      <w:r>
        <w:rPr>
          <w:rFonts w:eastAsiaTheme="minorEastAsia"/>
          <w:sz w:val="24"/>
        </w:rPr>
        <w:tab/>
      </w:r>
      <w:r>
        <w:rPr>
          <w:rStyle w:val="144"/>
          <w:sz w:val="24"/>
        </w:rPr>
        <w:t>规划分析</w:t>
      </w:r>
      <w:r>
        <w:rPr>
          <w:sz w:val="24"/>
        </w:rPr>
        <w:tab/>
      </w:r>
      <w:r>
        <w:rPr>
          <w:sz w:val="24"/>
        </w:rPr>
        <w:fldChar w:fldCharType="begin"/>
      </w:r>
      <w:r>
        <w:rPr>
          <w:sz w:val="24"/>
        </w:rPr>
        <w:instrText xml:space="preserve"> PAGEREF _Toc206494916 \h </w:instrText>
      </w:r>
      <w:r>
        <w:rPr>
          <w:sz w:val="24"/>
        </w:rPr>
        <w:fldChar w:fldCharType="separate"/>
      </w:r>
      <w:r>
        <w:rPr>
          <w:sz w:val="24"/>
        </w:rPr>
        <w:t>24</w:t>
      </w:r>
      <w:r>
        <w:rPr>
          <w:sz w:val="24"/>
        </w:rPr>
        <w:fldChar w:fldCharType="end"/>
      </w:r>
      <w:r>
        <w:rPr>
          <w:sz w:val="24"/>
        </w:rPr>
        <w:fldChar w:fldCharType="end"/>
      </w:r>
    </w:p>
    <w:p w14:paraId="5A94CD9F">
      <w:pPr>
        <w:pStyle w:val="74"/>
        <w:tabs>
          <w:tab w:val="right" w:leader="dot" w:pos="8302"/>
        </w:tabs>
        <w:spacing w:line="276" w:lineRule="auto"/>
        <w:rPr>
          <w:rFonts w:eastAsiaTheme="minorEastAsia"/>
          <w:sz w:val="24"/>
        </w:rPr>
      </w:pPr>
      <w:r>
        <w:fldChar w:fldCharType="begin"/>
      </w:r>
      <w:r>
        <w:instrText xml:space="preserve"> HYPERLINK \l "_Toc206494917" </w:instrText>
      </w:r>
      <w:r>
        <w:fldChar w:fldCharType="separate"/>
      </w:r>
      <w:r>
        <w:rPr>
          <w:rStyle w:val="144"/>
          <w:bCs/>
          <w:sz w:val="24"/>
        </w:rPr>
        <w:t>2.1 规划概述</w:t>
      </w:r>
      <w:r>
        <w:rPr>
          <w:sz w:val="24"/>
        </w:rPr>
        <w:tab/>
      </w:r>
      <w:r>
        <w:rPr>
          <w:sz w:val="24"/>
        </w:rPr>
        <w:fldChar w:fldCharType="begin"/>
      </w:r>
      <w:r>
        <w:rPr>
          <w:sz w:val="24"/>
        </w:rPr>
        <w:instrText xml:space="preserve"> PAGEREF _Toc206494917 \h </w:instrText>
      </w:r>
      <w:r>
        <w:rPr>
          <w:sz w:val="24"/>
        </w:rPr>
        <w:fldChar w:fldCharType="separate"/>
      </w:r>
      <w:r>
        <w:rPr>
          <w:sz w:val="24"/>
        </w:rPr>
        <w:t>24</w:t>
      </w:r>
      <w:r>
        <w:rPr>
          <w:sz w:val="24"/>
        </w:rPr>
        <w:fldChar w:fldCharType="end"/>
      </w:r>
      <w:r>
        <w:rPr>
          <w:sz w:val="24"/>
        </w:rPr>
        <w:fldChar w:fldCharType="end"/>
      </w:r>
    </w:p>
    <w:p w14:paraId="5B3D5A31">
      <w:pPr>
        <w:pStyle w:val="44"/>
        <w:tabs>
          <w:tab w:val="right" w:leader="dot" w:pos="8302"/>
        </w:tabs>
        <w:spacing w:line="276" w:lineRule="auto"/>
        <w:rPr>
          <w:rFonts w:eastAsiaTheme="minorEastAsia"/>
          <w:sz w:val="24"/>
        </w:rPr>
      </w:pPr>
      <w:r>
        <w:fldChar w:fldCharType="begin"/>
      </w:r>
      <w:r>
        <w:instrText xml:space="preserve"> HYPERLINK \l "_Toc206494918" </w:instrText>
      </w:r>
      <w:r>
        <w:fldChar w:fldCharType="separate"/>
      </w:r>
      <w:r>
        <w:rPr>
          <w:rStyle w:val="144"/>
          <w:bCs/>
          <w:sz w:val="24"/>
        </w:rPr>
        <w:t>2.1.1 规划指导思想</w:t>
      </w:r>
      <w:r>
        <w:rPr>
          <w:sz w:val="24"/>
        </w:rPr>
        <w:tab/>
      </w:r>
      <w:r>
        <w:rPr>
          <w:sz w:val="24"/>
        </w:rPr>
        <w:fldChar w:fldCharType="begin"/>
      </w:r>
      <w:r>
        <w:rPr>
          <w:sz w:val="24"/>
        </w:rPr>
        <w:instrText xml:space="preserve"> PAGEREF _Toc206494918 \h </w:instrText>
      </w:r>
      <w:r>
        <w:rPr>
          <w:sz w:val="24"/>
        </w:rPr>
        <w:fldChar w:fldCharType="separate"/>
      </w:r>
      <w:r>
        <w:rPr>
          <w:sz w:val="24"/>
        </w:rPr>
        <w:t>24</w:t>
      </w:r>
      <w:r>
        <w:rPr>
          <w:sz w:val="24"/>
        </w:rPr>
        <w:fldChar w:fldCharType="end"/>
      </w:r>
      <w:r>
        <w:rPr>
          <w:sz w:val="24"/>
        </w:rPr>
        <w:fldChar w:fldCharType="end"/>
      </w:r>
    </w:p>
    <w:p w14:paraId="440F55D1">
      <w:pPr>
        <w:pStyle w:val="44"/>
        <w:tabs>
          <w:tab w:val="right" w:leader="dot" w:pos="8302"/>
        </w:tabs>
        <w:spacing w:line="276" w:lineRule="auto"/>
        <w:rPr>
          <w:rFonts w:eastAsiaTheme="minorEastAsia"/>
          <w:sz w:val="24"/>
        </w:rPr>
      </w:pPr>
      <w:r>
        <w:fldChar w:fldCharType="begin"/>
      </w:r>
      <w:r>
        <w:instrText xml:space="preserve"> HYPERLINK \l "_Toc206494919" </w:instrText>
      </w:r>
      <w:r>
        <w:fldChar w:fldCharType="separate"/>
      </w:r>
      <w:r>
        <w:rPr>
          <w:rStyle w:val="144"/>
          <w:bCs/>
          <w:sz w:val="24"/>
        </w:rPr>
        <w:t>2.1.2 规划发展原则</w:t>
      </w:r>
      <w:r>
        <w:rPr>
          <w:sz w:val="24"/>
        </w:rPr>
        <w:tab/>
      </w:r>
      <w:r>
        <w:rPr>
          <w:sz w:val="24"/>
        </w:rPr>
        <w:fldChar w:fldCharType="begin"/>
      </w:r>
      <w:r>
        <w:rPr>
          <w:sz w:val="24"/>
        </w:rPr>
        <w:instrText xml:space="preserve"> PAGEREF _Toc206494919 \h </w:instrText>
      </w:r>
      <w:r>
        <w:rPr>
          <w:sz w:val="24"/>
        </w:rPr>
        <w:fldChar w:fldCharType="separate"/>
      </w:r>
      <w:r>
        <w:rPr>
          <w:sz w:val="24"/>
        </w:rPr>
        <w:t>24</w:t>
      </w:r>
      <w:r>
        <w:rPr>
          <w:sz w:val="24"/>
        </w:rPr>
        <w:fldChar w:fldCharType="end"/>
      </w:r>
      <w:r>
        <w:rPr>
          <w:sz w:val="24"/>
        </w:rPr>
        <w:fldChar w:fldCharType="end"/>
      </w:r>
    </w:p>
    <w:p w14:paraId="73426568">
      <w:pPr>
        <w:pStyle w:val="44"/>
        <w:tabs>
          <w:tab w:val="right" w:leader="dot" w:pos="8302"/>
        </w:tabs>
        <w:spacing w:line="276" w:lineRule="auto"/>
        <w:rPr>
          <w:rFonts w:eastAsiaTheme="minorEastAsia"/>
          <w:sz w:val="24"/>
        </w:rPr>
      </w:pPr>
      <w:r>
        <w:fldChar w:fldCharType="begin"/>
      </w:r>
      <w:r>
        <w:instrText xml:space="preserve"> HYPERLINK \l "_Toc206494920" </w:instrText>
      </w:r>
      <w:r>
        <w:fldChar w:fldCharType="separate"/>
      </w:r>
      <w:r>
        <w:rPr>
          <w:rStyle w:val="144"/>
          <w:bCs/>
          <w:sz w:val="24"/>
        </w:rPr>
        <w:t>2.1.3 发展目标</w:t>
      </w:r>
      <w:r>
        <w:rPr>
          <w:sz w:val="24"/>
        </w:rPr>
        <w:tab/>
      </w:r>
      <w:r>
        <w:rPr>
          <w:sz w:val="24"/>
        </w:rPr>
        <w:fldChar w:fldCharType="begin"/>
      </w:r>
      <w:r>
        <w:rPr>
          <w:sz w:val="24"/>
        </w:rPr>
        <w:instrText xml:space="preserve"> PAGEREF _Toc206494920 \h </w:instrText>
      </w:r>
      <w:r>
        <w:rPr>
          <w:sz w:val="24"/>
        </w:rPr>
        <w:fldChar w:fldCharType="separate"/>
      </w:r>
      <w:r>
        <w:rPr>
          <w:sz w:val="24"/>
        </w:rPr>
        <w:t>25</w:t>
      </w:r>
      <w:r>
        <w:rPr>
          <w:sz w:val="24"/>
        </w:rPr>
        <w:fldChar w:fldCharType="end"/>
      </w:r>
      <w:r>
        <w:rPr>
          <w:sz w:val="24"/>
        </w:rPr>
        <w:fldChar w:fldCharType="end"/>
      </w:r>
    </w:p>
    <w:p w14:paraId="328208CF">
      <w:pPr>
        <w:pStyle w:val="44"/>
        <w:tabs>
          <w:tab w:val="right" w:leader="dot" w:pos="8302"/>
        </w:tabs>
        <w:spacing w:line="276" w:lineRule="auto"/>
        <w:rPr>
          <w:rFonts w:eastAsiaTheme="minorEastAsia"/>
          <w:sz w:val="24"/>
        </w:rPr>
      </w:pPr>
      <w:r>
        <w:fldChar w:fldCharType="begin"/>
      </w:r>
      <w:r>
        <w:instrText xml:space="preserve"> HYPERLINK \l "_Toc206494921" </w:instrText>
      </w:r>
      <w:r>
        <w:fldChar w:fldCharType="separate"/>
      </w:r>
      <w:r>
        <w:rPr>
          <w:rStyle w:val="144"/>
          <w:bCs/>
          <w:sz w:val="24"/>
        </w:rPr>
        <w:t>2.1.4 发展定位</w:t>
      </w:r>
      <w:r>
        <w:rPr>
          <w:sz w:val="24"/>
        </w:rPr>
        <w:tab/>
      </w:r>
      <w:r>
        <w:rPr>
          <w:sz w:val="24"/>
        </w:rPr>
        <w:fldChar w:fldCharType="begin"/>
      </w:r>
      <w:r>
        <w:rPr>
          <w:sz w:val="24"/>
        </w:rPr>
        <w:instrText xml:space="preserve"> PAGEREF _Toc206494921 \h </w:instrText>
      </w:r>
      <w:r>
        <w:rPr>
          <w:sz w:val="24"/>
        </w:rPr>
        <w:fldChar w:fldCharType="separate"/>
      </w:r>
      <w:r>
        <w:rPr>
          <w:sz w:val="24"/>
        </w:rPr>
        <w:t>27</w:t>
      </w:r>
      <w:r>
        <w:rPr>
          <w:sz w:val="24"/>
        </w:rPr>
        <w:fldChar w:fldCharType="end"/>
      </w:r>
      <w:r>
        <w:rPr>
          <w:sz w:val="24"/>
        </w:rPr>
        <w:fldChar w:fldCharType="end"/>
      </w:r>
    </w:p>
    <w:p w14:paraId="0C018635">
      <w:pPr>
        <w:pStyle w:val="44"/>
        <w:tabs>
          <w:tab w:val="right" w:leader="dot" w:pos="8302"/>
        </w:tabs>
        <w:spacing w:line="276" w:lineRule="auto"/>
        <w:rPr>
          <w:rFonts w:eastAsiaTheme="minorEastAsia"/>
          <w:sz w:val="24"/>
        </w:rPr>
      </w:pPr>
      <w:r>
        <w:fldChar w:fldCharType="begin"/>
      </w:r>
      <w:r>
        <w:instrText xml:space="preserve"> HYPERLINK \l "_Toc206494922" </w:instrText>
      </w:r>
      <w:r>
        <w:fldChar w:fldCharType="separate"/>
      </w:r>
      <w:r>
        <w:rPr>
          <w:rStyle w:val="144"/>
          <w:bCs/>
          <w:sz w:val="24"/>
        </w:rPr>
        <w:t>2.1.5 规划范围与时限</w:t>
      </w:r>
      <w:r>
        <w:rPr>
          <w:sz w:val="24"/>
        </w:rPr>
        <w:tab/>
      </w:r>
      <w:r>
        <w:rPr>
          <w:sz w:val="24"/>
        </w:rPr>
        <w:fldChar w:fldCharType="begin"/>
      </w:r>
      <w:r>
        <w:rPr>
          <w:sz w:val="24"/>
        </w:rPr>
        <w:instrText xml:space="preserve"> PAGEREF _Toc206494922 \h </w:instrText>
      </w:r>
      <w:r>
        <w:rPr>
          <w:sz w:val="24"/>
        </w:rPr>
        <w:fldChar w:fldCharType="separate"/>
      </w:r>
      <w:r>
        <w:rPr>
          <w:sz w:val="24"/>
        </w:rPr>
        <w:t>28</w:t>
      </w:r>
      <w:r>
        <w:rPr>
          <w:sz w:val="24"/>
        </w:rPr>
        <w:fldChar w:fldCharType="end"/>
      </w:r>
      <w:r>
        <w:rPr>
          <w:sz w:val="24"/>
        </w:rPr>
        <w:fldChar w:fldCharType="end"/>
      </w:r>
    </w:p>
    <w:p w14:paraId="3EB4E739">
      <w:pPr>
        <w:pStyle w:val="44"/>
        <w:tabs>
          <w:tab w:val="right" w:leader="dot" w:pos="8302"/>
        </w:tabs>
        <w:spacing w:line="276" w:lineRule="auto"/>
        <w:rPr>
          <w:rFonts w:eastAsiaTheme="minorEastAsia"/>
          <w:sz w:val="24"/>
        </w:rPr>
      </w:pPr>
      <w:r>
        <w:fldChar w:fldCharType="begin"/>
      </w:r>
      <w:r>
        <w:instrText xml:space="preserve"> HYPERLINK \l "_Toc206494923" </w:instrText>
      </w:r>
      <w:r>
        <w:fldChar w:fldCharType="separate"/>
      </w:r>
      <w:r>
        <w:rPr>
          <w:rStyle w:val="144"/>
          <w:bCs/>
          <w:sz w:val="24"/>
        </w:rPr>
        <w:t>2.1.6 规划产业设计</w:t>
      </w:r>
      <w:r>
        <w:rPr>
          <w:sz w:val="24"/>
        </w:rPr>
        <w:tab/>
      </w:r>
      <w:r>
        <w:rPr>
          <w:sz w:val="24"/>
        </w:rPr>
        <w:fldChar w:fldCharType="begin"/>
      </w:r>
      <w:r>
        <w:rPr>
          <w:sz w:val="24"/>
        </w:rPr>
        <w:instrText xml:space="preserve"> PAGEREF _Toc206494923 \h </w:instrText>
      </w:r>
      <w:r>
        <w:rPr>
          <w:sz w:val="24"/>
        </w:rPr>
        <w:fldChar w:fldCharType="separate"/>
      </w:r>
      <w:r>
        <w:rPr>
          <w:sz w:val="24"/>
        </w:rPr>
        <w:t>28</w:t>
      </w:r>
      <w:r>
        <w:rPr>
          <w:sz w:val="24"/>
        </w:rPr>
        <w:fldChar w:fldCharType="end"/>
      </w:r>
      <w:r>
        <w:rPr>
          <w:sz w:val="24"/>
        </w:rPr>
        <w:fldChar w:fldCharType="end"/>
      </w:r>
    </w:p>
    <w:p w14:paraId="5C110BEA">
      <w:pPr>
        <w:pStyle w:val="44"/>
        <w:tabs>
          <w:tab w:val="right" w:leader="dot" w:pos="8302"/>
        </w:tabs>
        <w:spacing w:line="276" w:lineRule="auto"/>
        <w:rPr>
          <w:rFonts w:eastAsiaTheme="minorEastAsia"/>
          <w:sz w:val="24"/>
        </w:rPr>
      </w:pPr>
      <w:r>
        <w:fldChar w:fldCharType="begin"/>
      </w:r>
      <w:r>
        <w:instrText xml:space="preserve"> HYPERLINK \l "_Toc206494924" </w:instrText>
      </w:r>
      <w:r>
        <w:fldChar w:fldCharType="separate"/>
      </w:r>
      <w:r>
        <w:rPr>
          <w:rStyle w:val="144"/>
          <w:bCs/>
          <w:sz w:val="24"/>
        </w:rPr>
        <w:t>2.1.7 规划产业布局</w:t>
      </w:r>
      <w:r>
        <w:rPr>
          <w:sz w:val="24"/>
        </w:rPr>
        <w:tab/>
      </w:r>
      <w:r>
        <w:rPr>
          <w:sz w:val="24"/>
        </w:rPr>
        <w:fldChar w:fldCharType="begin"/>
      </w:r>
      <w:r>
        <w:rPr>
          <w:sz w:val="24"/>
        </w:rPr>
        <w:instrText xml:space="preserve"> PAGEREF _Toc206494924 \h </w:instrText>
      </w:r>
      <w:r>
        <w:rPr>
          <w:sz w:val="24"/>
        </w:rPr>
        <w:fldChar w:fldCharType="separate"/>
      </w:r>
      <w:r>
        <w:rPr>
          <w:sz w:val="24"/>
        </w:rPr>
        <w:t>33</w:t>
      </w:r>
      <w:r>
        <w:rPr>
          <w:sz w:val="24"/>
        </w:rPr>
        <w:fldChar w:fldCharType="end"/>
      </w:r>
      <w:r>
        <w:rPr>
          <w:sz w:val="24"/>
        </w:rPr>
        <w:fldChar w:fldCharType="end"/>
      </w:r>
    </w:p>
    <w:p w14:paraId="252DBCE0">
      <w:pPr>
        <w:pStyle w:val="44"/>
        <w:tabs>
          <w:tab w:val="right" w:leader="dot" w:pos="8302"/>
        </w:tabs>
        <w:spacing w:line="276" w:lineRule="auto"/>
        <w:rPr>
          <w:rFonts w:eastAsiaTheme="minorEastAsia"/>
          <w:sz w:val="24"/>
        </w:rPr>
      </w:pPr>
      <w:r>
        <w:fldChar w:fldCharType="begin"/>
      </w:r>
      <w:r>
        <w:instrText xml:space="preserve"> HYPERLINK \l "_Toc206494925" </w:instrText>
      </w:r>
      <w:r>
        <w:fldChar w:fldCharType="separate"/>
      </w:r>
      <w:r>
        <w:rPr>
          <w:rStyle w:val="144"/>
          <w:bCs/>
          <w:sz w:val="24"/>
        </w:rPr>
        <w:t>2.1.8 规划主要任务</w:t>
      </w:r>
      <w:r>
        <w:rPr>
          <w:sz w:val="24"/>
        </w:rPr>
        <w:tab/>
      </w:r>
      <w:r>
        <w:rPr>
          <w:sz w:val="24"/>
        </w:rPr>
        <w:fldChar w:fldCharType="begin"/>
      </w:r>
      <w:r>
        <w:rPr>
          <w:sz w:val="24"/>
        </w:rPr>
        <w:instrText xml:space="preserve"> PAGEREF _Toc206494925 \h </w:instrText>
      </w:r>
      <w:r>
        <w:rPr>
          <w:sz w:val="24"/>
        </w:rPr>
        <w:fldChar w:fldCharType="separate"/>
      </w:r>
      <w:r>
        <w:rPr>
          <w:sz w:val="24"/>
        </w:rPr>
        <w:t>34</w:t>
      </w:r>
      <w:r>
        <w:rPr>
          <w:sz w:val="24"/>
        </w:rPr>
        <w:fldChar w:fldCharType="end"/>
      </w:r>
      <w:r>
        <w:rPr>
          <w:sz w:val="24"/>
        </w:rPr>
        <w:fldChar w:fldCharType="end"/>
      </w:r>
    </w:p>
    <w:p w14:paraId="5698EA85">
      <w:pPr>
        <w:pStyle w:val="44"/>
        <w:tabs>
          <w:tab w:val="right" w:leader="dot" w:pos="8302"/>
        </w:tabs>
        <w:spacing w:line="276" w:lineRule="auto"/>
        <w:rPr>
          <w:rFonts w:eastAsiaTheme="minorEastAsia"/>
          <w:sz w:val="24"/>
        </w:rPr>
      </w:pPr>
      <w:r>
        <w:fldChar w:fldCharType="begin"/>
      </w:r>
      <w:r>
        <w:instrText xml:space="preserve"> HYPERLINK \l "_Toc206494926" </w:instrText>
      </w:r>
      <w:r>
        <w:fldChar w:fldCharType="separate"/>
      </w:r>
      <w:r>
        <w:rPr>
          <w:rStyle w:val="144"/>
          <w:bCs/>
          <w:sz w:val="24"/>
        </w:rPr>
        <w:t>2.1.9 规划重点发展工程</w:t>
      </w:r>
      <w:r>
        <w:rPr>
          <w:sz w:val="24"/>
        </w:rPr>
        <w:tab/>
      </w:r>
      <w:r>
        <w:rPr>
          <w:sz w:val="24"/>
        </w:rPr>
        <w:fldChar w:fldCharType="begin"/>
      </w:r>
      <w:r>
        <w:rPr>
          <w:sz w:val="24"/>
        </w:rPr>
        <w:instrText xml:space="preserve"> PAGEREF _Toc206494926 \h </w:instrText>
      </w:r>
      <w:r>
        <w:rPr>
          <w:sz w:val="24"/>
        </w:rPr>
        <w:fldChar w:fldCharType="separate"/>
      </w:r>
      <w:r>
        <w:rPr>
          <w:sz w:val="24"/>
        </w:rPr>
        <w:t>39</w:t>
      </w:r>
      <w:r>
        <w:rPr>
          <w:sz w:val="24"/>
        </w:rPr>
        <w:fldChar w:fldCharType="end"/>
      </w:r>
      <w:r>
        <w:rPr>
          <w:sz w:val="24"/>
        </w:rPr>
        <w:fldChar w:fldCharType="end"/>
      </w:r>
    </w:p>
    <w:p w14:paraId="0139AA32">
      <w:pPr>
        <w:pStyle w:val="74"/>
        <w:tabs>
          <w:tab w:val="right" w:leader="dot" w:pos="8302"/>
        </w:tabs>
        <w:spacing w:line="276" w:lineRule="auto"/>
        <w:rPr>
          <w:rFonts w:eastAsiaTheme="minorEastAsia"/>
          <w:sz w:val="24"/>
        </w:rPr>
      </w:pPr>
      <w:r>
        <w:fldChar w:fldCharType="begin"/>
      </w:r>
      <w:r>
        <w:instrText xml:space="preserve"> HYPERLINK \l "_Toc206494927" </w:instrText>
      </w:r>
      <w:r>
        <w:fldChar w:fldCharType="separate"/>
      </w:r>
      <w:r>
        <w:rPr>
          <w:rStyle w:val="144"/>
          <w:bCs/>
          <w:sz w:val="24"/>
        </w:rPr>
        <w:t>2.2 规划协调性分析</w:t>
      </w:r>
      <w:r>
        <w:rPr>
          <w:sz w:val="24"/>
        </w:rPr>
        <w:tab/>
      </w:r>
      <w:r>
        <w:rPr>
          <w:sz w:val="24"/>
        </w:rPr>
        <w:fldChar w:fldCharType="begin"/>
      </w:r>
      <w:r>
        <w:rPr>
          <w:sz w:val="24"/>
        </w:rPr>
        <w:instrText xml:space="preserve"> PAGEREF _Toc206494927 \h </w:instrText>
      </w:r>
      <w:r>
        <w:rPr>
          <w:sz w:val="24"/>
        </w:rPr>
        <w:fldChar w:fldCharType="separate"/>
      </w:r>
      <w:r>
        <w:rPr>
          <w:sz w:val="24"/>
        </w:rPr>
        <w:t>49</w:t>
      </w:r>
      <w:r>
        <w:rPr>
          <w:sz w:val="24"/>
        </w:rPr>
        <w:fldChar w:fldCharType="end"/>
      </w:r>
      <w:r>
        <w:rPr>
          <w:sz w:val="24"/>
        </w:rPr>
        <w:fldChar w:fldCharType="end"/>
      </w:r>
    </w:p>
    <w:p w14:paraId="04FAA25C">
      <w:pPr>
        <w:pStyle w:val="44"/>
        <w:tabs>
          <w:tab w:val="right" w:leader="dot" w:pos="8302"/>
        </w:tabs>
        <w:spacing w:line="276" w:lineRule="auto"/>
        <w:rPr>
          <w:rFonts w:eastAsiaTheme="minorEastAsia"/>
          <w:sz w:val="24"/>
        </w:rPr>
      </w:pPr>
      <w:r>
        <w:fldChar w:fldCharType="begin"/>
      </w:r>
      <w:r>
        <w:instrText xml:space="preserve"> HYPERLINK \l "_Toc206494928" </w:instrText>
      </w:r>
      <w:r>
        <w:fldChar w:fldCharType="separate"/>
      </w:r>
      <w:r>
        <w:rPr>
          <w:rStyle w:val="144"/>
          <w:bCs/>
          <w:sz w:val="24"/>
        </w:rPr>
        <w:t>2.2.1 与上位规划的协调性</w:t>
      </w:r>
      <w:r>
        <w:rPr>
          <w:sz w:val="24"/>
        </w:rPr>
        <w:tab/>
      </w:r>
      <w:r>
        <w:rPr>
          <w:sz w:val="24"/>
        </w:rPr>
        <w:fldChar w:fldCharType="begin"/>
      </w:r>
      <w:r>
        <w:rPr>
          <w:sz w:val="24"/>
        </w:rPr>
        <w:instrText xml:space="preserve"> PAGEREF _Toc206494928 \h </w:instrText>
      </w:r>
      <w:r>
        <w:rPr>
          <w:sz w:val="24"/>
        </w:rPr>
        <w:fldChar w:fldCharType="separate"/>
      </w:r>
      <w:r>
        <w:rPr>
          <w:sz w:val="24"/>
        </w:rPr>
        <w:t>49</w:t>
      </w:r>
      <w:r>
        <w:rPr>
          <w:sz w:val="24"/>
        </w:rPr>
        <w:fldChar w:fldCharType="end"/>
      </w:r>
      <w:r>
        <w:rPr>
          <w:sz w:val="24"/>
        </w:rPr>
        <w:fldChar w:fldCharType="end"/>
      </w:r>
    </w:p>
    <w:p w14:paraId="3201E4AE">
      <w:pPr>
        <w:pStyle w:val="44"/>
        <w:tabs>
          <w:tab w:val="right" w:leader="dot" w:pos="8302"/>
        </w:tabs>
        <w:spacing w:line="276" w:lineRule="auto"/>
        <w:rPr>
          <w:rFonts w:eastAsiaTheme="minorEastAsia"/>
          <w:sz w:val="24"/>
        </w:rPr>
      </w:pPr>
      <w:r>
        <w:fldChar w:fldCharType="begin"/>
      </w:r>
      <w:r>
        <w:instrText xml:space="preserve"> HYPERLINK \l "_Toc206494929" </w:instrText>
      </w:r>
      <w:r>
        <w:fldChar w:fldCharType="separate"/>
      </w:r>
      <w:r>
        <w:rPr>
          <w:rStyle w:val="144"/>
          <w:bCs/>
          <w:sz w:val="24"/>
        </w:rPr>
        <w:t>2.2.2 与相关环境保护规划的符合性</w:t>
      </w:r>
      <w:r>
        <w:rPr>
          <w:sz w:val="24"/>
        </w:rPr>
        <w:tab/>
      </w:r>
      <w:r>
        <w:rPr>
          <w:sz w:val="24"/>
        </w:rPr>
        <w:fldChar w:fldCharType="begin"/>
      </w:r>
      <w:r>
        <w:rPr>
          <w:sz w:val="24"/>
        </w:rPr>
        <w:instrText xml:space="preserve"> PAGEREF _Toc206494929 \h </w:instrText>
      </w:r>
      <w:r>
        <w:rPr>
          <w:sz w:val="24"/>
        </w:rPr>
        <w:fldChar w:fldCharType="separate"/>
      </w:r>
      <w:r>
        <w:rPr>
          <w:sz w:val="24"/>
        </w:rPr>
        <w:t>56</w:t>
      </w:r>
      <w:r>
        <w:rPr>
          <w:sz w:val="24"/>
        </w:rPr>
        <w:fldChar w:fldCharType="end"/>
      </w:r>
      <w:r>
        <w:rPr>
          <w:sz w:val="24"/>
        </w:rPr>
        <w:fldChar w:fldCharType="end"/>
      </w:r>
    </w:p>
    <w:p w14:paraId="10A96DBD">
      <w:pPr>
        <w:pStyle w:val="44"/>
        <w:tabs>
          <w:tab w:val="right" w:leader="dot" w:pos="8302"/>
        </w:tabs>
        <w:spacing w:line="276" w:lineRule="auto"/>
        <w:rPr>
          <w:rFonts w:eastAsiaTheme="minorEastAsia"/>
          <w:sz w:val="24"/>
        </w:rPr>
      </w:pPr>
      <w:r>
        <w:fldChar w:fldCharType="begin"/>
      </w:r>
      <w:r>
        <w:instrText xml:space="preserve"> HYPERLINK \l "_Toc206494930" </w:instrText>
      </w:r>
      <w:r>
        <w:fldChar w:fldCharType="separate"/>
      </w:r>
      <w:r>
        <w:rPr>
          <w:rStyle w:val="144"/>
          <w:bCs/>
          <w:sz w:val="24"/>
        </w:rPr>
        <w:t>2.2.3 与“三线一单”符合性分析</w:t>
      </w:r>
      <w:r>
        <w:rPr>
          <w:sz w:val="24"/>
        </w:rPr>
        <w:tab/>
      </w:r>
      <w:r>
        <w:rPr>
          <w:sz w:val="24"/>
        </w:rPr>
        <w:fldChar w:fldCharType="begin"/>
      </w:r>
      <w:r>
        <w:rPr>
          <w:sz w:val="24"/>
        </w:rPr>
        <w:instrText xml:space="preserve"> PAGEREF _Toc206494930 \h </w:instrText>
      </w:r>
      <w:r>
        <w:rPr>
          <w:sz w:val="24"/>
        </w:rPr>
        <w:fldChar w:fldCharType="separate"/>
      </w:r>
      <w:r>
        <w:rPr>
          <w:sz w:val="24"/>
        </w:rPr>
        <w:t>61</w:t>
      </w:r>
      <w:r>
        <w:rPr>
          <w:sz w:val="24"/>
        </w:rPr>
        <w:fldChar w:fldCharType="end"/>
      </w:r>
      <w:r>
        <w:rPr>
          <w:sz w:val="24"/>
        </w:rPr>
        <w:fldChar w:fldCharType="end"/>
      </w:r>
    </w:p>
    <w:p w14:paraId="3CCE2B7E">
      <w:pPr>
        <w:pStyle w:val="74"/>
        <w:tabs>
          <w:tab w:val="right" w:leader="dot" w:pos="8302"/>
        </w:tabs>
        <w:spacing w:line="276" w:lineRule="auto"/>
        <w:rPr>
          <w:rFonts w:eastAsiaTheme="minorEastAsia"/>
          <w:sz w:val="24"/>
        </w:rPr>
      </w:pPr>
      <w:r>
        <w:fldChar w:fldCharType="begin"/>
      </w:r>
      <w:r>
        <w:instrText xml:space="preserve"> HYPERLINK \l "_Toc206494931" </w:instrText>
      </w:r>
      <w:r>
        <w:fldChar w:fldCharType="separate"/>
      </w:r>
      <w:r>
        <w:rPr>
          <w:rStyle w:val="144"/>
          <w:bCs/>
          <w:sz w:val="24"/>
        </w:rPr>
        <w:t>2.3 规划的不确定性分析</w:t>
      </w:r>
      <w:r>
        <w:rPr>
          <w:sz w:val="24"/>
        </w:rPr>
        <w:tab/>
      </w:r>
      <w:r>
        <w:rPr>
          <w:sz w:val="24"/>
        </w:rPr>
        <w:fldChar w:fldCharType="begin"/>
      </w:r>
      <w:r>
        <w:rPr>
          <w:sz w:val="24"/>
        </w:rPr>
        <w:instrText xml:space="preserve"> PAGEREF _Toc206494931 \h </w:instrText>
      </w:r>
      <w:r>
        <w:rPr>
          <w:sz w:val="24"/>
        </w:rPr>
        <w:fldChar w:fldCharType="separate"/>
      </w:r>
      <w:r>
        <w:rPr>
          <w:sz w:val="24"/>
        </w:rPr>
        <w:t>67</w:t>
      </w:r>
      <w:r>
        <w:rPr>
          <w:sz w:val="24"/>
        </w:rPr>
        <w:fldChar w:fldCharType="end"/>
      </w:r>
      <w:r>
        <w:rPr>
          <w:sz w:val="24"/>
        </w:rPr>
        <w:fldChar w:fldCharType="end"/>
      </w:r>
    </w:p>
    <w:p w14:paraId="2A74AE7D">
      <w:pPr>
        <w:pStyle w:val="59"/>
        <w:tabs>
          <w:tab w:val="left" w:pos="420"/>
          <w:tab w:val="right" w:leader="dot" w:pos="8302"/>
        </w:tabs>
        <w:spacing w:line="276" w:lineRule="auto"/>
        <w:rPr>
          <w:rFonts w:eastAsiaTheme="minorEastAsia"/>
          <w:sz w:val="24"/>
        </w:rPr>
      </w:pPr>
      <w:r>
        <w:fldChar w:fldCharType="begin"/>
      </w:r>
      <w:r>
        <w:instrText xml:space="preserve"> HYPERLINK \l "_Toc206494932" </w:instrText>
      </w:r>
      <w:r>
        <w:fldChar w:fldCharType="separate"/>
      </w:r>
      <w:r>
        <w:rPr>
          <w:rStyle w:val="144"/>
          <w:sz w:val="24"/>
        </w:rPr>
        <w:t>3</w:t>
      </w:r>
      <w:r>
        <w:rPr>
          <w:rFonts w:eastAsiaTheme="minorEastAsia"/>
          <w:sz w:val="24"/>
        </w:rPr>
        <w:tab/>
      </w:r>
      <w:r>
        <w:rPr>
          <w:rStyle w:val="144"/>
          <w:sz w:val="24"/>
        </w:rPr>
        <w:t>环境现状调查与评价</w:t>
      </w:r>
      <w:r>
        <w:rPr>
          <w:sz w:val="24"/>
        </w:rPr>
        <w:tab/>
      </w:r>
      <w:r>
        <w:rPr>
          <w:sz w:val="24"/>
        </w:rPr>
        <w:fldChar w:fldCharType="begin"/>
      </w:r>
      <w:r>
        <w:rPr>
          <w:sz w:val="24"/>
        </w:rPr>
        <w:instrText xml:space="preserve"> PAGEREF _Toc206494932 \h </w:instrText>
      </w:r>
      <w:r>
        <w:rPr>
          <w:sz w:val="24"/>
        </w:rPr>
        <w:fldChar w:fldCharType="separate"/>
      </w:r>
      <w:r>
        <w:rPr>
          <w:sz w:val="24"/>
        </w:rPr>
        <w:t>69</w:t>
      </w:r>
      <w:r>
        <w:rPr>
          <w:sz w:val="24"/>
        </w:rPr>
        <w:fldChar w:fldCharType="end"/>
      </w:r>
      <w:r>
        <w:rPr>
          <w:sz w:val="24"/>
        </w:rPr>
        <w:fldChar w:fldCharType="end"/>
      </w:r>
    </w:p>
    <w:p w14:paraId="71B2520A">
      <w:pPr>
        <w:pStyle w:val="74"/>
        <w:tabs>
          <w:tab w:val="right" w:leader="dot" w:pos="8302"/>
        </w:tabs>
        <w:spacing w:line="276" w:lineRule="auto"/>
        <w:rPr>
          <w:rFonts w:eastAsiaTheme="minorEastAsia"/>
          <w:sz w:val="24"/>
        </w:rPr>
      </w:pPr>
      <w:r>
        <w:fldChar w:fldCharType="begin"/>
      </w:r>
      <w:r>
        <w:instrText xml:space="preserve"> HYPERLINK \l "_Toc206494933" </w:instrText>
      </w:r>
      <w:r>
        <w:fldChar w:fldCharType="separate"/>
      </w:r>
      <w:r>
        <w:rPr>
          <w:rStyle w:val="144"/>
          <w:bCs/>
          <w:sz w:val="24"/>
        </w:rPr>
        <w:t>3.1 自然环境概况</w:t>
      </w:r>
      <w:r>
        <w:rPr>
          <w:sz w:val="24"/>
        </w:rPr>
        <w:tab/>
      </w:r>
      <w:r>
        <w:rPr>
          <w:sz w:val="24"/>
        </w:rPr>
        <w:fldChar w:fldCharType="begin"/>
      </w:r>
      <w:r>
        <w:rPr>
          <w:sz w:val="24"/>
        </w:rPr>
        <w:instrText xml:space="preserve"> PAGEREF _Toc206494933 \h </w:instrText>
      </w:r>
      <w:r>
        <w:rPr>
          <w:sz w:val="24"/>
        </w:rPr>
        <w:fldChar w:fldCharType="separate"/>
      </w:r>
      <w:r>
        <w:rPr>
          <w:sz w:val="24"/>
        </w:rPr>
        <w:t>69</w:t>
      </w:r>
      <w:r>
        <w:rPr>
          <w:sz w:val="24"/>
        </w:rPr>
        <w:fldChar w:fldCharType="end"/>
      </w:r>
      <w:r>
        <w:rPr>
          <w:sz w:val="24"/>
        </w:rPr>
        <w:fldChar w:fldCharType="end"/>
      </w:r>
    </w:p>
    <w:p w14:paraId="44278C3C">
      <w:pPr>
        <w:pStyle w:val="44"/>
        <w:tabs>
          <w:tab w:val="right" w:leader="dot" w:pos="8302"/>
        </w:tabs>
        <w:spacing w:line="276" w:lineRule="auto"/>
        <w:rPr>
          <w:rFonts w:eastAsiaTheme="minorEastAsia"/>
          <w:sz w:val="24"/>
        </w:rPr>
      </w:pPr>
      <w:r>
        <w:fldChar w:fldCharType="begin"/>
      </w:r>
      <w:r>
        <w:instrText xml:space="preserve"> HYPERLINK \l "_Toc206494934" </w:instrText>
      </w:r>
      <w:r>
        <w:fldChar w:fldCharType="separate"/>
      </w:r>
      <w:r>
        <w:rPr>
          <w:rStyle w:val="144"/>
          <w:bCs/>
          <w:sz w:val="24"/>
        </w:rPr>
        <w:t>3.1.1 区域自然地理概况</w:t>
      </w:r>
      <w:r>
        <w:rPr>
          <w:sz w:val="24"/>
        </w:rPr>
        <w:tab/>
      </w:r>
      <w:r>
        <w:rPr>
          <w:sz w:val="24"/>
        </w:rPr>
        <w:fldChar w:fldCharType="begin"/>
      </w:r>
      <w:r>
        <w:rPr>
          <w:sz w:val="24"/>
        </w:rPr>
        <w:instrText xml:space="preserve"> PAGEREF _Toc206494934 \h </w:instrText>
      </w:r>
      <w:r>
        <w:rPr>
          <w:sz w:val="24"/>
        </w:rPr>
        <w:fldChar w:fldCharType="separate"/>
      </w:r>
      <w:r>
        <w:rPr>
          <w:sz w:val="24"/>
        </w:rPr>
        <w:t>69</w:t>
      </w:r>
      <w:r>
        <w:rPr>
          <w:sz w:val="24"/>
        </w:rPr>
        <w:fldChar w:fldCharType="end"/>
      </w:r>
      <w:r>
        <w:rPr>
          <w:sz w:val="24"/>
        </w:rPr>
        <w:fldChar w:fldCharType="end"/>
      </w:r>
    </w:p>
    <w:p w14:paraId="2E9D7538">
      <w:pPr>
        <w:pStyle w:val="44"/>
        <w:tabs>
          <w:tab w:val="right" w:leader="dot" w:pos="8302"/>
        </w:tabs>
        <w:spacing w:line="276" w:lineRule="auto"/>
        <w:rPr>
          <w:rFonts w:eastAsiaTheme="minorEastAsia"/>
          <w:sz w:val="24"/>
        </w:rPr>
      </w:pPr>
      <w:r>
        <w:fldChar w:fldCharType="begin"/>
      </w:r>
      <w:r>
        <w:instrText xml:space="preserve"> HYPERLINK \l "_Toc206494935" </w:instrText>
      </w:r>
      <w:r>
        <w:fldChar w:fldCharType="separate"/>
      </w:r>
      <w:r>
        <w:rPr>
          <w:rStyle w:val="144"/>
          <w:bCs/>
          <w:sz w:val="24"/>
        </w:rPr>
        <w:t>3.1.2 地形地貌</w:t>
      </w:r>
      <w:r>
        <w:rPr>
          <w:sz w:val="24"/>
        </w:rPr>
        <w:tab/>
      </w:r>
      <w:r>
        <w:rPr>
          <w:sz w:val="24"/>
        </w:rPr>
        <w:fldChar w:fldCharType="begin"/>
      </w:r>
      <w:r>
        <w:rPr>
          <w:sz w:val="24"/>
        </w:rPr>
        <w:instrText xml:space="preserve"> PAGEREF _Toc206494935 \h </w:instrText>
      </w:r>
      <w:r>
        <w:rPr>
          <w:sz w:val="24"/>
        </w:rPr>
        <w:fldChar w:fldCharType="separate"/>
      </w:r>
      <w:r>
        <w:rPr>
          <w:sz w:val="24"/>
        </w:rPr>
        <w:t>70</w:t>
      </w:r>
      <w:r>
        <w:rPr>
          <w:sz w:val="24"/>
        </w:rPr>
        <w:fldChar w:fldCharType="end"/>
      </w:r>
      <w:r>
        <w:rPr>
          <w:sz w:val="24"/>
        </w:rPr>
        <w:fldChar w:fldCharType="end"/>
      </w:r>
    </w:p>
    <w:p w14:paraId="39B6CF34">
      <w:pPr>
        <w:pStyle w:val="44"/>
        <w:tabs>
          <w:tab w:val="right" w:leader="dot" w:pos="8302"/>
        </w:tabs>
        <w:spacing w:line="276" w:lineRule="auto"/>
        <w:rPr>
          <w:rFonts w:eastAsiaTheme="minorEastAsia"/>
          <w:sz w:val="24"/>
        </w:rPr>
      </w:pPr>
      <w:r>
        <w:fldChar w:fldCharType="begin"/>
      </w:r>
      <w:r>
        <w:instrText xml:space="preserve"> HYPERLINK \l "_Toc206494936" </w:instrText>
      </w:r>
      <w:r>
        <w:fldChar w:fldCharType="separate"/>
      </w:r>
      <w:r>
        <w:rPr>
          <w:rStyle w:val="144"/>
          <w:bCs/>
          <w:sz w:val="24"/>
        </w:rPr>
        <w:t>3.1.3 水系、水文</w:t>
      </w:r>
      <w:r>
        <w:rPr>
          <w:sz w:val="24"/>
        </w:rPr>
        <w:tab/>
      </w:r>
      <w:r>
        <w:rPr>
          <w:sz w:val="24"/>
        </w:rPr>
        <w:fldChar w:fldCharType="begin"/>
      </w:r>
      <w:r>
        <w:rPr>
          <w:sz w:val="24"/>
        </w:rPr>
        <w:instrText xml:space="preserve"> PAGEREF _Toc206494936 \h </w:instrText>
      </w:r>
      <w:r>
        <w:rPr>
          <w:sz w:val="24"/>
        </w:rPr>
        <w:fldChar w:fldCharType="separate"/>
      </w:r>
      <w:r>
        <w:rPr>
          <w:sz w:val="24"/>
        </w:rPr>
        <w:t>70</w:t>
      </w:r>
      <w:r>
        <w:rPr>
          <w:sz w:val="24"/>
        </w:rPr>
        <w:fldChar w:fldCharType="end"/>
      </w:r>
      <w:r>
        <w:rPr>
          <w:sz w:val="24"/>
        </w:rPr>
        <w:fldChar w:fldCharType="end"/>
      </w:r>
    </w:p>
    <w:p w14:paraId="0AB94891">
      <w:pPr>
        <w:pStyle w:val="44"/>
        <w:tabs>
          <w:tab w:val="right" w:leader="dot" w:pos="8302"/>
        </w:tabs>
        <w:spacing w:line="276" w:lineRule="auto"/>
        <w:rPr>
          <w:rFonts w:eastAsiaTheme="minorEastAsia"/>
          <w:sz w:val="24"/>
        </w:rPr>
      </w:pPr>
      <w:r>
        <w:fldChar w:fldCharType="begin"/>
      </w:r>
      <w:r>
        <w:instrText xml:space="preserve"> HYPERLINK \l "_Toc206494937" </w:instrText>
      </w:r>
      <w:r>
        <w:fldChar w:fldCharType="separate"/>
      </w:r>
      <w:r>
        <w:rPr>
          <w:rStyle w:val="144"/>
          <w:bCs/>
          <w:sz w:val="24"/>
        </w:rPr>
        <w:t>3.1.4 气象、气候</w:t>
      </w:r>
      <w:r>
        <w:rPr>
          <w:sz w:val="24"/>
        </w:rPr>
        <w:tab/>
      </w:r>
      <w:r>
        <w:rPr>
          <w:sz w:val="24"/>
        </w:rPr>
        <w:fldChar w:fldCharType="begin"/>
      </w:r>
      <w:r>
        <w:rPr>
          <w:sz w:val="24"/>
        </w:rPr>
        <w:instrText xml:space="preserve"> PAGEREF _Toc206494937 \h </w:instrText>
      </w:r>
      <w:r>
        <w:rPr>
          <w:sz w:val="24"/>
        </w:rPr>
        <w:fldChar w:fldCharType="separate"/>
      </w:r>
      <w:r>
        <w:rPr>
          <w:sz w:val="24"/>
        </w:rPr>
        <w:t>73</w:t>
      </w:r>
      <w:r>
        <w:rPr>
          <w:sz w:val="24"/>
        </w:rPr>
        <w:fldChar w:fldCharType="end"/>
      </w:r>
      <w:r>
        <w:rPr>
          <w:sz w:val="24"/>
        </w:rPr>
        <w:fldChar w:fldCharType="end"/>
      </w:r>
    </w:p>
    <w:p w14:paraId="17FDB817">
      <w:pPr>
        <w:pStyle w:val="44"/>
        <w:tabs>
          <w:tab w:val="right" w:leader="dot" w:pos="8302"/>
        </w:tabs>
        <w:spacing w:line="276" w:lineRule="auto"/>
        <w:rPr>
          <w:rFonts w:eastAsiaTheme="minorEastAsia"/>
          <w:sz w:val="24"/>
        </w:rPr>
      </w:pPr>
      <w:r>
        <w:fldChar w:fldCharType="begin"/>
      </w:r>
      <w:r>
        <w:instrText xml:space="preserve"> HYPERLINK \l "_Toc206494938" </w:instrText>
      </w:r>
      <w:r>
        <w:fldChar w:fldCharType="separate"/>
      </w:r>
      <w:r>
        <w:rPr>
          <w:rStyle w:val="144"/>
          <w:bCs/>
          <w:sz w:val="24"/>
        </w:rPr>
        <w:t>3.1.5 自然资源概况</w:t>
      </w:r>
      <w:r>
        <w:rPr>
          <w:sz w:val="24"/>
        </w:rPr>
        <w:tab/>
      </w:r>
      <w:r>
        <w:rPr>
          <w:sz w:val="24"/>
        </w:rPr>
        <w:fldChar w:fldCharType="begin"/>
      </w:r>
      <w:r>
        <w:rPr>
          <w:sz w:val="24"/>
        </w:rPr>
        <w:instrText xml:space="preserve"> PAGEREF _Toc206494938 \h </w:instrText>
      </w:r>
      <w:r>
        <w:rPr>
          <w:sz w:val="24"/>
        </w:rPr>
        <w:fldChar w:fldCharType="separate"/>
      </w:r>
      <w:r>
        <w:rPr>
          <w:sz w:val="24"/>
        </w:rPr>
        <w:t>74</w:t>
      </w:r>
      <w:r>
        <w:rPr>
          <w:sz w:val="24"/>
        </w:rPr>
        <w:fldChar w:fldCharType="end"/>
      </w:r>
      <w:r>
        <w:rPr>
          <w:sz w:val="24"/>
        </w:rPr>
        <w:fldChar w:fldCharType="end"/>
      </w:r>
    </w:p>
    <w:p w14:paraId="1C9FE0BC">
      <w:pPr>
        <w:pStyle w:val="44"/>
        <w:tabs>
          <w:tab w:val="right" w:leader="dot" w:pos="8302"/>
        </w:tabs>
        <w:spacing w:line="276" w:lineRule="auto"/>
        <w:rPr>
          <w:rFonts w:eastAsiaTheme="minorEastAsia"/>
          <w:sz w:val="24"/>
        </w:rPr>
      </w:pPr>
      <w:r>
        <w:fldChar w:fldCharType="begin"/>
      </w:r>
      <w:r>
        <w:instrText xml:space="preserve"> HYPERLINK \l "_Toc206494939" </w:instrText>
      </w:r>
      <w:r>
        <w:fldChar w:fldCharType="separate"/>
      </w:r>
      <w:r>
        <w:rPr>
          <w:rStyle w:val="144"/>
          <w:bCs/>
          <w:sz w:val="24"/>
        </w:rPr>
        <w:t>3.1.6 区域生态环境概况</w:t>
      </w:r>
      <w:r>
        <w:rPr>
          <w:sz w:val="24"/>
        </w:rPr>
        <w:tab/>
      </w:r>
      <w:r>
        <w:rPr>
          <w:sz w:val="24"/>
        </w:rPr>
        <w:fldChar w:fldCharType="begin"/>
      </w:r>
      <w:r>
        <w:rPr>
          <w:sz w:val="24"/>
        </w:rPr>
        <w:instrText xml:space="preserve"> PAGEREF _Toc206494939 \h </w:instrText>
      </w:r>
      <w:r>
        <w:rPr>
          <w:sz w:val="24"/>
        </w:rPr>
        <w:fldChar w:fldCharType="separate"/>
      </w:r>
      <w:r>
        <w:rPr>
          <w:sz w:val="24"/>
        </w:rPr>
        <w:t>76</w:t>
      </w:r>
      <w:r>
        <w:rPr>
          <w:sz w:val="24"/>
        </w:rPr>
        <w:fldChar w:fldCharType="end"/>
      </w:r>
      <w:r>
        <w:rPr>
          <w:sz w:val="24"/>
        </w:rPr>
        <w:fldChar w:fldCharType="end"/>
      </w:r>
    </w:p>
    <w:p w14:paraId="2DAC77A7">
      <w:pPr>
        <w:pStyle w:val="44"/>
        <w:tabs>
          <w:tab w:val="right" w:leader="dot" w:pos="8302"/>
        </w:tabs>
        <w:spacing w:line="276" w:lineRule="auto"/>
        <w:rPr>
          <w:rFonts w:eastAsiaTheme="minorEastAsia"/>
          <w:sz w:val="24"/>
        </w:rPr>
      </w:pPr>
      <w:r>
        <w:fldChar w:fldCharType="begin"/>
      </w:r>
      <w:r>
        <w:instrText xml:space="preserve"> HYPERLINK \l "_Toc206494940" </w:instrText>
      </w:r>
      <w:r>
        <w:fldChar w:fldCharType="separate"/>
      </w:r>
      <w:r>
        <w:rPr>
          <w:rStyle w:val="144"/>
          <w:bCs/>
          <w:sz w:val="24"/>
        </w:rPr>
        <w:t>3.1.7 主要生态敏感目标</w:t>
      </w:r>
      <w:r>
        <w:rPr>
          <w:sz w:val="24"/>
        </w:rPr>
        <w:tab/>
      </w:r>
      <w:r>
        <w:rPr>
          <w:sz w:val="24"/>
        </w:rPr>
        <w:fldChar w:fldCharType="begin"/>
      </w:r>
      <w:r>
        <w:rPr>
          <w:sz w:val="24"/>
        </w:rPr>
        <w:instrText xml:space="preserve"> PAGEREF _Toc206494940 \h </w:instrText>
      </w:r>
      <w:r>
        <w:rPr>
          <w:sz w:val="24"/>
        </w:rPr>
        <w:fldChar w:fldCharType="separate"/>
      </w:r>
      <w:r>
        <w:rPr>
          <w:sz w:val="24"/>
        </w:rPr>
        <w:t>76</w:t>
      </w:r>
      <w:r>
        <w:rPr>
          <w:sz w:val="24"/>
        </w:rPr>
        <w:fldChar w:fldCharType="end"/>
      </w:r>
      <w:r>
        <w:rPr>
          <w:sz w:val="24"/>
        </w:rPr>
        <w:fldChar w:fldCharType="end"/>
      </w:r>
    </w:p>
    <w:p w14:paraId="64C433DA">
      <w:pPr>
        <w:pStyle w:val="74"/>
        <w:tabs>
          <w:tab w:val="right" w:leader="dot" w:pos="8302"/>
        </w:tabs>
        <w:spacing w:line="276" w:lineRule="auto"/>
        <w:rPr>
          <w:rFonts w:eastAsiaTheme="minorEastAsia"/>
          <w:sz w:val="24"/>
        </w:rPr>
      </w:pPr>
      <w:r>
        <w:fldChar w:fldCharType="begin"/>
      </w:r>
      <w:r>
        <w:instrText xml:space="preserve"> HYPERLINK \l "_Toc206494941" </w:instrText>
      </w:r>
      <w:r>
        <w:fldChar w:fldCharType="separate"/>
      </w:r>
      <w:r>
        <w:rPr>
          <w:rStyle w:val="144"/>
          <w:bCs/>
          <w:sz w:val="24"/>
        </w:rPr>
        <w:t>3.2 社会经济概况</w:t>
      </w:r>
      <w:r>
        <w:rPr>
          <w:sz w:val="24"/>
        </w:rPr>
        <w:tab/>
      </w:r>
      <w:r>
        <w:rPr>
          <w:sz w:val="24"/>
        </w:rPr>
        <w:fldChar w:fldCharType="begin"/>
      </w:r>
      <w:r>
        <w:rPr>
          <w:sz w:val="24"/>
        </w:rPr>
        <w:instrText xml:space="preserve"> PAGEREF _Toc206494941 \h </w:instrText>
      </w:r>
      <w:r>
        <w:rPr>
          <w:sz w:val="24"/>
        </w:rPr>
        <w:fldChar w:fldCharType="separate"/>
      </w:r>
      <w:r>
        <w:rPr>
          <w:sz w:val="24"/>
        </w:rPr>
        <w:t>83</w:t>
      </w:r>
      <w:r>
        <w:rPr>
          <w:sz w:val="24"/>
        </w:rPr>
        <w:fldChar w:fldCharType="end"/>
      </w:r>
      <w:r>
        <w:rPr>
          <w:sz w:val="24"/>
        </w:rPr>
        <w:fldChar w:fldCharType="end"/>
      </w:r>
    </w:p>
    <w:p w14:paraId="5BF93249">
      <w:pPr>
        <w:pStyle w:val="44"/>
        <w:tabs>
          <w:tab w:val="right" w:leader="dot" w:pos="8302"/>
        </w:tabs>
        <w:spacing w:line="276" w:lineRule="auto"/>
        <w:rPr>
          <w:rFonts w:eastAsiaTheme="minorEastAsia"/>
          <w:sz w:val="24"/>
        </w:rPr>
      </w:pPr>
      <w:r>
        <w:fldChar w:fldCharType="begin"/>
      </w:r>
      <w:r>
        <w:instrText xml:space="preserve"> HYPERLINK \l "_Toc206494942" </w:instrText>
      </w:r>
      <w:r>
        <w:fldChar w:fldCharType="separate"/>
      </w:r>
      <w:r>
        <w:rPr>
          <w:rStyle w:val="144"/>
          <w:bCs/>
          <w:sz w:val="24"/>
        </w:rPr>
        <w:t>3.2.1 行政区划及人口</w:t>
      </w:r>
      <w:r>
        <w:rPr>
          <w:sz w:val="24"/>
        </w:rPr>
        <w:tab/>
      </w:r>
      <w:r>
        <w:rPr>
          <w:sz w:val="24"/>
        </w:rPr>
        <w:fldChar w:fldCharType="begin"/>
      </w:r>
      <w:r>
        <w:rPr>
          <w:sz w:val="24"/>
        </w:rPr>
        <w:instrText xml:space="preserve"> PAGEREF _Toc206494942 \h </w:instrText>
      </w:r>
      <w:r>
        <w:rPr>
          <w:sz w:val="24"/>
        </w:rPr>
        <w:fldChar w:fldCharType="separate"/>
      </w:r>
      <w:r>
        <w:rPr>
          <w:sz w:val="24"/>
        </w:rPr>
        <w:t>83</w:t>
      </w:r>
      <w:r>
        <w:rPr>
          <w:sz w:val="24"/>
        </w:rPr>
        <w:fldChar w:fldCharType="end"/>
      </w:r>
      <w:r>
        <w:rPr>
          <w:sz w:val="24"/>
        </w:rPr>
        <w:fldChar w:fldCharType="end"/>
      </w:r>
    </w:p>
    <w:p w14:paraId="74991099">
      <w:pPr>
        <w:pStyle w:val="44"/>
        <w:tabs>
          <w:tab w:val="right" w:leader="dot" w:pos="8302"/>
        </w:tabs>
        <w:spacing w:line="276" w:lineRule="auto"/>
        <w:rPr>
          <w:rFonts w:eastAsiaTheme="minorEastAsia"/>
          <w:sz w:val="24"/>
        </w:rPr>
      </w:pPr>
      <w:r>
        <w:fldChar w:fldCharType="begin"/>
      </w:r>
      <w:r>
        <w:instrText xml:space="preserve"> HYPERLINK \l "_Toc206494943" </w:instrText>
      </w:r>
      <w:r>
        <w:fldChar w:fldCharType="separate"/>
      </w:r>
      <w:r>
        <w:rPr>
          <w:rStyle w:val="144"/>
          <w:bCs/>
          <w:sz w:val="24"/>
        </w:rPr>
        <w:t>3.2.2 社会经济状况</w:t>
      </w:r>
      <w:r>
        <w:rPr>
          <w:sz w:val="24"/>
        </w:rPr>
        <w:tab/>
      </w:r>
      <w:r>
        <w:rPr>
          <w:sz w:val="24"/>
        </w:rPr>
        <w:fldChar w:fldCharType="begin"/>
      </w:r>
      <w:r>
        <w:rPr>
          <w:sz w:val="24"/>
        </w:rPr>
        <w:instrText xml:space="preserve"> PAGEREF _Toc206494943 \h </w:instrText>
      </w:r>
      <w:r>
        <w:rPr>
          <w:sz w:val="24"/>
        </w:rPr>
        <w:fldChar w:fldCharType="separate"/>
      </w:r>
      <w:r>
        <w:rPr>
          <w:sz w:val="24"/>
        </w:rPr>
        <w:t>84</w:t>
      </w:r>
      <w:r>
        <w:rPr>
          <w:sz w:val="24"/>
        </w:rPr>
        <w:fldChar w:fldCharType="end"/>
      </w:r>
      <w:r>
        <w:rPr>
          <w:sz w:val="24"/>
        </w:rPr>
        <w:fldChar w:fldCharType="end"/>
      </w:r>
    </w:p>
    <w:p w14:paraId="2CCC7A49">
      <w:pPr>
        <w:pStyle w:val="44"/>
        <w:tabs>
          <w:tab w:val="right" w:leader="dot" w:pos="8302"/>
        </w:tabs>
        <w:spacing w:line="276" w:lineRule="auto"/>
        <w:rPr>
          <w:rFonts w:eastAsiaTheme="minorEastAsia"/>
          <w:sz w:val="24"/>
        </w:rPr>
      </w:pPr>
      <w:r>
        <w:fldChar w:fldCharType="begin"/>
      </w:r>
      <w:r>
        <w:instrText xml:space="preserve"> HYPERLINK \l "_Toc206494944" </w:instrText>
      </w:r>
      <w:r>
        <w:fldChar w:fldCharType="separate"/>
      </w:r>
      <w:r>
        <w:rPr>
          <w:rStyle w:val="144"/>
          <w:bCs/>
          <w:sz w:val="24"/>
        </w:rPr>
        <w:t>3.2.3 交通运输</w:t>
      </w:r>
      <w:r>
        <w:rPr>
          <w:sz w:val="24"/>
        </w:rPr>
        <w:tab/>
      </w:r>
      <w:r>
        <w:rPr>
          <w:sz w:val="24"/>
        </w:rPr>
        <w:fldChar w:fldCharType="begin"/>
      </w:r>
      <w:r>
        <w:rPr>
          <w:sz w:val="24"/>
        </w:rPr>
        <w:instrText xml:space="preserve"> PAGEREF _Toc206494944 \h </w:instrText>
      </w:r>
      <w:r>
        <w:rPr>
          <w:sz w:val="24"/>
        </w:rPr>
        <w:fldChar w:fldCharType="separate"/>
      </w:r>
      <w:r>
        <w:rPr>
          <w:sz w:val="24"/>
        </w:rPr>
        <w:t>86</w:t>
      </w:r>
      <w:r>
        <w:rPr>
          <w:sz w:val="24"/>
        </w:rPr>
        <w:fldChar w:fldCharType="end"/>
      </w:r>
      <w:r>
        <w:rPr>
          <w:sz w:val="24"/>
        </w:rPr>
        <w:fldChar w:fldCharType="end"/>
      </w:r>
    </w:p>
    <w:p w14:paraId="0D098704">
      <w:pPr>
        <w:pStyle w:val="44"/>
        <w:tabs>
          <w:tab w:val="right" w:leader="dot" w:pos="8302"/>
        </w:tabs>
        <w:spacing w:line="276" w:lineRule="auto"/>
        <w:rPr>
          <w:rFonts w:eastAsiaTheme="minorEastAsia"/>
          <w:sz w:val="24"/>
        </w:rPr>
      </w:pPr>
      <w:r>
        <w:fldChar w:fldCharType="begin"/>
      </w:r>
      <w:r>
        <w:instrText xml:space="preserve"> HYPERLINK \l "_Toc206494945" </w:instrText>
      </w:r>
      <w:r>
        <w:fldChar w:fldCharType="separate"/>
      </w:r>
      <w:r>
        <w:rPr>
          <w:rStyle w:val="144"/>
          <w:bCs/>
          <w:sz w:val="24"/>
        </w:rPr>
        <w:t>3.2.4 文化教育卫生</w:t>
      </w:r>
      <w:r>
        <w:rPr>
          <w:sz w:val="24"/>
        </w:rPr>
        <w:tab/>
      </w:r>
      <w:r>
        <w:rPr>
          <w:sz w:val="24"/>
        </w:rPr>
        <w:fldChar w:fldCharType="begin"/>
      </w:r>
      <w:r>
        <w:rPr>
          <w:sz w:val="24"/>
        </w:rPr>
        <w:instrText xml:space="preserve"> PAGEREF _Toc206494945 \h </w:instrText>
      </w:r>
      <w:r>
        <w:rPr>
          <w:sz w:val="24"/>
        </w:rPr>
        <w:fldChar w:fldCharType="separate"/>
      </w:r>
      <w:r>
        <w:rPr>
          <w:sz w:val="24"/>
        </w:rPr>
        <w:t>86</w:t>
      </w:r>
      <w:r>
        <w:rPr>
          <w:sz w:val="24"/>
        </w:rPr>
        <w:fldChar w:fldCharType="end"/>
      </w:r>
      <w:r>
        <w:rPr>
          <w:sz w:val="24"/>
        </w:rPr>
        <w:fldChar w:fldCharType="end"/>
      </w:r>
    </w:p>
    <w:p w14:paraId="407B5F3A">
      <w:pPr>
        <w:pStyle w:val="74"/>
        <w:tabs>
          <w:tab w:val="right" w:leader="dot" w:pos="8302"/>
        </w:tabs>
        <w:spacing w:line="276" w:lineRule="auto"/>
        <w:rPr>
          <w:rFonts w:eastAsiaTheme="minorEastAsia"/>
          <w:sz w:val="24"/>
        </w:rPr>
      </w:pPr>
      <w:r>
        <w:fldChar w:fldCharType="begin"/>
      </w:r>
      <w:r>
        <w:instrText xml:space="preserve"> HYPERLINK \l "_Toc206494946" </w:instrText>
      </w:r>
      <w:r>
        <w:fldChar w:fldCharType="separate"/>
      </w:r>
      <w:r>
        <w:rPr>
          <w:rStyle w:val="144"/>
          <w:bCs/>
          <w:sz w:val="24"/>
        </w:rPr>
        <w:t>3.3 环境质量现状调查与评价</w:t>
      </w:r>
      <w:r>
        <w:rPr>
          <w:sz w:val="24"/>
        </w:rPr>
        <w:tab/>
      </w:r>
      <w:r>
        <w:rPr>
          <w:sz w:val="24"/>
        </w:rPr>
        <w:fldChar w:fldCharType="begin"/>
      </w:r>
      <w:r>
        <w:rPr>
          <w:sz w:val="24"/>
        </w:rPr>
        <w:instrText xml:space="preserve"> PAGEREF _Toc206494946 \h </w:instrText>
      </w:r>
      <w:r>
        <w:rPr>
          <w:sz w:val="24"/>
        </w:rPr>
        <w:fldChar w:fldCharType="separate"/>
      </w:r>
      <w:r>
        <w:rPr>
          <w:sz w:val="24"/>
        </w:rPr>
        <w:t>87</w:t>
      </w:r>
      <w:r>
        <w:rPr>
          <w:sz w:val="24"/>
        </w:rPr>
        <w:fldChar w:fldCharType="end"/>
      </w:r>
      <w:r>
        <w:rPr>
          <w:sz w:val="24"/>
        </w:rPr>
        <w:fldChar w:fldCharType="end"/>
      </w:r>
    </w:p>
    <w:p w14:paraId="49D847D2">
      <w:pPr>
        <w:pStyle w:val="44"/>
        <w:tabs>
          <w:tab w:val="right" w:leader="dot" w:pos="8302"/>
        </w:tabs>
        <w:spacing w:line="276" w:lineRule="auto"/>
        <w:rPr>
          <w:rFonts w:eastAsiaTheme="minorEastAsia"/>
          <w:sz w:val="24"/>
        </w:rPr>
      </w:pPr>
      <w:r>
        <w:fldChar w:fldCharType="begin"/>
      </w:r>
      <w:r>
        <w:instrText xml:space="preserve"> HYPERLINK \l "_Toc206494947" </w:instrText>
      </w:r>
      <w:r>
        <w:fldChar w:fldCharType="separate"/>
      </w:r>
      <w:r>
        <w:rPr>
          <w:rStyle w:val="144"/>
          <w:bCs/>
          <w:sz w:val="24"/>
        </w:rPr>
        <w:t>3.3.1 环境空气质量现状调查与评价</w:t>
      </w:r>
      <w:r>
        <w:rPr>
          <w:sz w:val="24"/>
        </w:rPr>
        <w:tab/>
      </w:r>
      <w:r>
        <w:rPr>
          <w:sz w:val="24"/>
        </w:rPr>
        <w:fldChar w:fldCharType="begin"/>
      </w:r>
      <w:r>
        <w:rPr>
          <w:sz w:val="24"/>
        </w:rPr>
        <w:instrText xml:space="preserve"> PAGEREF _Toc206494947 \h </w:instrText>
      </w:r>
      <w:r>
        <w:rPr>
          <w:sz w:val="24"/>
        </w:rPr>
        <w:fldChar w:fldCharType="separate"/>
      </w:r>
      <w:r>
        <w:rPr>
          <w:sz w:val="24"/>
        </w:rPr>
        <w:t>87</w:t>
      </w:r>
      <w:r>
        <w:rPr>
          <w:sz w:val="24"/>
        </w:rPr>
        <w:fldChar w:fldCharType="end"/>
      </w:r>
      <w:r>
        <w:rPr>
          <w:sz w:val="24"/>
        </w:rPr>
        <w:fldChar w:fldCharType="end"/>
      </w:r>
    </w:p>
    <w:p w14:paraId="67979DDE">
      <w:pPr>
        <w:pStyle w:val="44"/>
        <w:tabs>
          <w:tab w:val="right" w:leader="dot" w:pos="8302"/>
        </w:tabs>
        <w:spacing w:line="276" w:lineRule="auto"/>
        <w:rPr>
          <w:rFonts w:eastAsiaTheme="minorEastAsia"/>
          <w:sz w:val="24"/>
        </w:rPr>
      </w:pPr>
      <w:r>
        <w:fldChar w:fldCharType="begin"/>
      </w:r>
      <w:r>
        <w:instrText xml:space="preserve"> HYPERLINK \l "_Toc206494948" </w:instrText>
      </w:r>
      <w:r>
        <w:fldChar w:fldCharType="separate"/>
      </w:r>
      <w:r>
        <w:rPr>
          <w:rStyle w:val="144"/>
          <w:bCs/>
          <w:sz w:val="24"/>
        </w:rPr>
        <w:t>3.3.2 地表水环境质量现状调查与评价</w:t>
      </w:r>
      <w:r>
        <w:rPr>
          <w:sz w:val="24"/>
        </w:rPr>
        <w:tab/>
      </w:r>
      <w:r>
        <w:rPr>
          <w:sz w:val="24"/>
        </w:rPr>
        <w:fldChar w:fldCharType="begin"/>
      </w:r>
      <w:r>
        <w:rPr>
          <w:sz w:val="24"/>
        </w:rPr>
        <w:instrText xml:space="preserve"> PAGEREF _Toc206494948 \h </w:instrText>
      </w:r>
      <w:r>
        <w:rPr>
          <w:sz w:val="24"/>
        </w:rPr>
        <w:fldChar w:fldCharType="separate"/>
      </w:r>
      <w:r>
        <w:rPr>
          <w:sz w:val="24"/>
        </w:rPr>
        <w:t>91</w:t>
      </w:r>
      <w:r>
        <w:rPr>
          <w:sz w:val="24"/>
        </w:rPr>
        <w:fldChar w:fldCharType="end"/>
      </w:r>
      <w:r>
        <w:rPr>
          <w:sz w:val="24"/>
        </w:rPr>
        <w:fldChar w:fldCharType="end"/>
      </w:r>
    </w:p>
    <w:p w14:paraId="6E9381F3">
      <w:pPr>
        <w:pStyle w:val="44"/>
        <w:tabs>
          <w:tab w:val="right" w:leader="dot" w:pos="8302"/>
        </w:tabs>
        <w:spacing w:line="276" w:lineRule="auto"/>
        <w:rPr>
          <w:rFonts w:eastAsiaTheme="minorEastAsia"/>
          <w:sz w:val="24"/>
        </w:rPr>
      </w:pPr>
      <w:r>
        <w:fldChar w:fldCharType="begin"/>
      </w:r>
      <w:r>
        <w:instrText xml:space="preserve"> HYPERLINK \l "_Toc206494949" </w:instrText>
      </w:r>
      <w:r>
        <w:fldChar w:fldCharType="separate"/>
      </w:r>
      <w:r>
        <w:rPr>
          <w:rStyle w:val="144"/>
          <w:bCs/>
          <w:sz w:val="24"/>
        </w:rPr>
        <w:t>3.3.3 地下水环境质量现状调查与评价</w:t>
      </w:r>
      <w:r>
        <w:rPr>
          <w:sz w:val="24"/>
        </w:rPr>
        <w:tab/>
      </w:r>
      <w:r>
        <w:rPr>
          <w:sz w:val="24"/>
        </w:rPr>
        <w:fldChar w:fldCharType="begin"/>
      </w:r>
      <w:r>
        <w:rPr>
          <w:sz w:val="24"/>
        </w:rPr>
        <w:instrText xml:space="preserve"> PAGEREF _Toc206494949 \h </w:instrText>
      </w:r>
      <w:r>
        <w:rPr>
          <w:sz w:val="24"/>
        </w:rPr>
        <w:fldChar w:fldCharType="separate"/>
      </w:r>
      <w:r>
        <w:rPr>
          <w:sz w:val="24"/>
        </w:rPr>
        <w:t>92</w:t>
      </w:r>
      <w:r>
        <w:rPr>
          <w:sz w:val="24"/>
        </w:rPr>
        <w:fldChar w:fldCharType="end"/>
      </w:r>
      <w:r>
        <w:rPr>
          <w:sz w:val="24"/>
        </w:rPr>
        <w:fldChar w:fldCharType="end"/>
      </w:r>
    </w:p>
    <w:p w14:paraId="694A0ED6">
      <w:pPr>
        <w:pStyle w:val="44"/>
        <w:tabs>
          <w:tab w:val="right" w:leader="dot" w:pos="8302"/>
        </w:tabs>
        <w:spacing w:line="276" w:lineRule="auto"/>
        <w:rPr>
          <w:rFonts w:eastAsiaTheme="minorEastAsia"/>
          <w:sz w:val="24"/>
        </w:rPr>
      </w:pPr>
      <w:r>
        <w:fldChar w:fldCharType="begin"/>
      </w:r>
      <w:r>
        <w:instrText xml:space="preserve"> HYPERLINK \l "_Toc206494950" </w:instrText>
      </w:r>
      <w:r>
        <w:fldChar w:fldCharType="separate"/>
      </w:r>
      <w:r>
        <w:rPr>
          <w:rStyle w:val="144"/>
          <w:bCs/>
          <w:sz w:val="24"/>
        </w:rPr>
        <w:t>3.3.4 土壤环境质量现状调查与评价</w:t>
      </w:r>
      <w:r>
        <w:rPr>
          <w:sz w:val="24"/>
        </w:rPr>
        <w:tab/>
      </w:r>
      <w:r>
        <w:rPr>
          <w:sz w:val="24"/>
        </w:rPr>
        <w:fldChar w:fldCharType="begin"/>
      </w:r>
      <w:r>
        <w:rPr>
          <w:sz w:val="24"/>
        </w:rPr>
        <w:instrText xml:space="preserve"> PAGEREF _Toc206494950 \h </w:instrText>
      </w:r>
      <w:r>
        <w:rPr>
          <w:sz w:val="24"/>
        </w:rPr>
        <w:fldChar w:fldCharType="separate"/>
      </w:r>
      <w:r>
        <w:rPr>
          <w:sz w:val="24"/>
        </w:rPr>
        <w:t>98</w:t>
      </w:r>
      <w:r>
        <w:rPr>
          <w:sz w:val="24"/>
        </w:rPr>
        <w:fldChar w:fldCharType="end"/>
      </w:r>
      <w:r>
        <w:rPr>
          <w:sz w:val="24"/>
        </w:rPr>
        <w:fldChar w:fldCharType="end"/>
      </w:r>
    </w:p>
    <w:p w14:paraId="582AC66B">
      <w:pPr>
        <w:pStyle w:val="44"/>
        <w:tabs>
          <w:tab w:val="right" w:leader="dot" w:pos="8302"/>
        </w:tabs>
        <w:spacing w:line="276" w:lineRule="auto"/>
        <w:rPr>
          <w:rFonts w:eastAsiaTheme="minorEastAsia"/>
          <w:sz w:val="24"/>
        </w:rPr>
      </w:pPr>
      <w:r>
        <w:fldChar w:fldCharType="begin"/>
      </w:r>
      <w:r>
        <w:instrText xml:space="preserve"> HYPERLINK \l "_Toc206494951" </w:instrText>
      </w:r>
      <w:r>
        <w:fldChar w:fldCharType="separate"/>
      </w:r>
      <w:r>
        <w:rPr>
          <w:rStyle w:val="144"/>
          <w:bCs/>
          <w:sz w:val="24"/>
        </w:rPr>
        <w:t>3.3.5 噪声环境质量现状调查与评价</w:t>
      </w:r>
      <w:r>
        <w:rPr>
          <w:sz w:val="24"/>
        </w:rPr>
        <w:tab/>
      </w:r>
      <w:r>
        <w:rPr>
          <w:sz w:val="24"/>
        </w:rPr>
        <w:fldChar w:fldCharType="begin"/>
      </w:r>
      <w:r>
        <w:rPr>
          <w:sz w:val="24"/>
        </w:rPr>
        <w:instrText xml:space="preserve"> PAGEREF _Toc206494951 \h </w:instrText>
      </w:r>
      <w:r>
        <w:rPr>
          <w:sz w:val="24"/>
        </w:rPr>
        <w:fldChar w:fldCharType="separate"/>
      </w:r>
      <w:r>
        <w:rPr>
          <w:sz w:val="24"/>
        </w:rPr>
        <w:t>110</w:t>
      </w:r>
      <w:r>
        <w:rPr>
          <w:sz w:val="24"/>
        </w:rPr>
        <w:fldChar w:fldCharType="end"/>
      </w:r>
      <w:r>
        <w:rPr>
          <w:sz w:val="24"/>
        </w:rPr>
        <w:fldChar w:fldCharType="end"/>
      </w:r>
    </w:p>
    <w:p w14:paraId="0D07D5AD">
      <w:pPr>
        <w:pStyle w:val="44"/>
        <w:tabs>
          <w:tab w:val="right" w:leader="dot" w:pos="8302"/>
        </w:tabs>
        <w:spacing w:line="276" w:lineRule="auto"/>
        <w:rPr>
          <w:rFonts w:eastAsiaTheme="minorEastAsia"/>
          <w:sz w:val="24"/>
        </w:rPr>
      </w:pPr>
      <w:r>
        <w:fldChar w:fldCharType="begin"/>
      </w:r>
      <w:r>
        <w:instrText xml:space="preserve"> HYPERLINK \l "_Toc206494952" </w:instrText>
      </w:r>
      <w:r>
        <w:fldChar w:fldCharType="separate"/>
      </w:r>
      <w:r>
        <w:rPr>
          <w:rStyle w:val="144"/>
          <w:bCs/>
          <w:sz w:val="24"/>
        </w:rPr>
        <w:t>3.3.6 生态环境质量现状调查与评价</w:t>
      </w:r>
      <w:r>
        <w:rPr>
          <w:sz w:val="24"/>
        </w:rPr>
        <w:tab/>
      </w:r>
      <w:r>
        <w:rPr>
          <w:sz w:val="24"/>
        </w:rPr>
        <w:fldChar w:fldCharType="begin"/>
      </w:r>
      <w:r>
        <w:rPr>
          <w:sz w:val="24"/>
        </w:rPr>
        <w:instrText xml:space="preserve"> PAGEREF _Toc206494952 \h </w:instrText>
      </w:r>
      <w:r>
        <w:rPr>
          <w:sz w:val="24"/>
        </w:rPr>
        <w:fldChar w:fldCharType="separate"/>
      </w:r>
      <w:r>
        <w:rPr>
          <w:sz w:val="24"/>
        </w:rPr>
        <w:t>113</w:t>
      </w:r>
      <w:r>
        <w:rPr>
          <w:sz w:val="24"/>
        </w:rPr>
        <w:fldChar w:fldCharType="end"/>
      </w:r>
      <w:r>
        <w:rPr>
          <w:sz w:val="24"/>
        </w:rPr>
        <w:fldChar w:fldCharType="end"/>
      </w:r>
    </w:p>
    <w:p w14:paraId="6ED7B79B">
      <w:pPr>
        <w:pStyle w:val="74"/>
        <w:tabs>
          <w:tab w:val="right" w:leader="dot" w:pos="8302"/>
        </w:tabs>
        <w:spacing w:line="276" w:lineRule="auto"/>
        <w:rPr>
          <w:rFonts w:eastAsiaTheme="minorEastAsia"/>
          <w:sz w:val="24"/>
        </w:rPr>
      </w:pPr>
      <w:r>
        <w:fldChar w:fldCharType="begin"/>
      </w:r>
      <w:r>
        <w:instrText xml:space="preserve"> HYPERLINK \l "_Toc206494953" </w:instrText>
      </w:r>
      <w:r>
        <w:fldChar w:fldCharType="separate"/>
      </w:r>
      <w:r>
        <w:rPr>
          <w:rStyle w:val="144"/>
          <w:bCs/>
          <w:sz w:val="24"/>
        </w:rPr>
        <w:t>3.4 产业发展现状与回顾性分析</w:t>
      </w:r>
      <w:r>
        <w:rPr>
          <w:sz w:val="24"/>
        </w:rPr>
        <w:tab/>
      </w:r>
      <w:r>
        <w:rPr>
          <w:sz w:val="24"/>
        </w:rPr>
        <w:fldChar w:fldCharType="begin"/>
      </w:r>
      <w:r>
        <w:rPr>
          <w:sz w:val="24"/>
        </w:rPr>
        <w:instrText xml:space="preserve"> PAGEREF _Toc206494953 \h </w:instrText>
      </w:r>
      <w:r>
        <w:rPr>
          <w:sz w:val="24"/>
        </w:rPr>
        <w:fldChar w:fldCharType="separate"/>
      </w:r>
      <w:r>
        <w:rPr>
          <w:sz w:val="24"/>
        </w:rPr>
        <w:t>122</w:t>
      </w:r>
      <w:r>
        <w:rPr>
          <w:sz w:val="24"/>
        </w:rPr>
        <w:fldChar w:fldCharType="end"/>
      </w:r>
      <w:r>
        <w:rPr>
          <w:sz w:val="24"/>
        </w:rPr>
        <w:fldChar w:fldCharType="end"/>
      </w:r>
    </w:p>
    <w:p w14:paraId="76AFF2B9">
      <w:pPr>
        <w:pStyle w:val="44"/>
        <w:tabs>
          <w:tab w:val="right" w:leader="dot" w:pos="8302"/>
        </w:tabs>
        <w:spacing w:line="276" w:lineRule="auto"/>
        <w:rPr>
          <w:rFonts w:eastAsiaTheme="minorEastAsia"/>
          <w:sz w:val="24"/>
        </w:rPr>
      </w:pPr>
      <w:r>
        <w:fldChar w:fldCharType="begin"/>
      </w:r>
      <w:r>
        <w:instrText xml:space="preserve"> HYPERLINK \l "_Toc206494954" </w:instrText>
      </w:r>
      <w:r>
        <w:fldChar w:fldCharType="separate"/>
      </w:r>
      <w:r>
        <w:rPr>
          <w:rStyle w:val="144"/>
          <w:bCs/>
          <w:sz w:val="24"/>
        </w:rPr>
        <w:t>3.4.1 上一轮石材产业发展回顾性分析</w:t>
      </w:r>
      <w:r>
        <w:rPr>
          <w:sz w:val="24"/>
        </w:rPr>
        <w:tab/>
      </w:r>
      <w:r>
        <w:rPr>
          <w:sz w:val="24"/>
        </w:rPr>
        <w:fldChar w:fldCharType="begin"/>
      </w:r>
      <w:r>
        <w:rPr>
          <w:sz w:val="24"/>
        </w:rPr>
        <w:instrText xml:space="preserve"> PAGEREF _Toc206494954 \h </w:instrText>
      </w:r>
      <w:r>
        <w:rPr>
          <w:sz w:val="24"/>
        </w:rPr>
        <w:fldChar w:fldCharType="separate"/>
      </w:r>
      <w:r>
        <w:rPr>
          <w:sz w:val="24"/>
        </w:rPr>
        <w:t>122</w:t>
      </w:r>
      <w:r>
        <w:rPr>
          <w:sz w:val="24"/>
        </w:rPr>
        <w:fldChar w:fldCharType="end"/>
      </w:r>
      <w:r>
        <w:rPr>
          <w:sz w:val="24"/>
        </w:rPr>
        <w:fldChar w:fldCharType="end"/>
      </w:r>
    </w:p>
    <w:p w14:paraId="3B728CC7">
      <w:pPr>
        <w:pStyle w:val="44"/>
        <w:tabs>
          <w:tab w:val="right" w:leader="dot" w:pos="8302"/>
        </w:tabs>
        <w:spacing w:line="276" w:lineRule="auto"/>
        <w:rPr>
          <w:rFonts w:eastAsiaTheme="minorEastAsia"/>
          <w:sz w:val="24"/>
        </w:rPr>
      </w:pPr>
      <w:r>
        <w:fldChar w:fldCharType="begin"/>
      </w:r>
      <w:r>
        <w:instrText xml:space="preserve"> HYPERLINK \l "_Toc206494955" </w:instrText>
      </w:r>
      <w:r>
        <w:fldChar w:fldCharType="separate"/>
      </w:r>
      <w:r>
        <w:rPr>
          <w:rStyle w:val="144"/>
          <w:bCs/>
          <w:sz w:val="24"/>
        </w:rPr>
        <w:t>3.4.2 发展规划环评执行情况</w:t>
      </w:r>
      <w:r>
        <w:rPr>
          <w:sz w:val="24"/>
        </w:rPr>
        <w:tab/>
      </w:r>
      <w:r>
        <w:rPr>
          <w:sz w:val="24"/>
        </w:rPr>
        <w:fldChar w:fldCharType="begin"/>
      </w:r>
      <w:r>
        <w:rPr>
          <w:sz w:val="24"/>
        </w:rPr>
        <w:instrText xml:space="preserve"> PAGEREF _Toc206494955 \h </w:instrText>
      </w:r>
      <w:r>
        <w:rPr>
          <w:sz w:val="24"/>
        </w:rPr>
        <w:fldChar w:fldCharType="separate"/>
      </w:r>
      <w:r>
        <w:rPr>
          <w:sz w:val="24"/>
        </w:rPr>
        <w:t>123</w:t>
      </w:r>
      <w:r>
        <w:rPr>
          <w:sz w:val="24"/>
        </w:rPr>
        <w:fldChar w:fldCharType="end"/>
      </w:r>
      <w:r>
        <w:rPr>
          <w:sz w:val="24"/>
        </w:rPr>
        <w:fldChar w:fldCharType="end"/>
      </w:r>
    </w:p>
    <w:p w14:paraId="0BCD9D7B">
      <w:pPr>
        <w:pStyle w:val="44"/>
        <w:tabs>
          <w:tab w:val="right" w:leader="dot" w:pos="8302"/>
        </w:tabs>
        <w:spacing w:line="276" w:lineRule="auto"/>
        <w:rPr>
          <w:rFonts w:eastAsiaTheme="minorEastAsia"/>
          <w:sz w:val="24"/>
        </w:rPr>
      </w:pPr>
      <w:r>
        <w:fldChar w:fldCharType="begin"/>
      </w:r>
      <w:r>
        <w:instrText xml:space="preserve"> HYPERLINK \l "_Toc206494956" </w:instrText>
      </w:r>
      <w:r>
        <w:fldChar w:fldCharType="separate"/>
      </w:r>
      <w:r>
        <w:rPr>
          <w:rStyle w:val="144"/>
          <w:bCs/>
          <w:sz w:val="24"/>
        </w:rPr>
        <w:t>3.4.3 区域产业开发现状</w:t>
      </w:r>
      <w:r>
        <w:rPr>
          <w:sz w:val="24"/>
        </w:rPr>
        <w:tab/>
      </w:r>
      <w:r>
        <w:rPr>
          <w:sz w:val="24"/>
        </w:rPr>
        <w:fldChar w:fldCharType="begin"/>
      </w:r>
      <w:r>
        <w:rPr>
          <w:sz w:val="24"/>
        </w:rPr>
        <w:instrText xml:space="preserve"> PAGEREF _Toc206494956 \h </w:instrText>
      </w:r>
      <w:r>
        <w:rPr>
          <w:sz w:val="24"/>
        </w:rPr>
        <w:fldChar w:fldCharType="separate"/>
      </w:r>
      <w:r>
        <w:rPr>
          <w:sz w:val="24"/>
        </w:rPr>
        <w:t>127</w:t>
      </w:r>
      <w:r>
        <w:rPr>
          <w:sz w:val="24"/>
        </w:rPr>
        <w:fldChar w:fldCharType="end"/>
      </w:r>
      <w:r>
        <w:rPr>
          <w:sz w:val="24"/>
        </w:rPr>
        <w:fldChar w:fldCharType="end"/>
      </w:r>
    </w:p>
    <w:p w14:paraId="3FE8AD12">
      <w:pPr>
        <w:pStyle w:val="44"/>
        <w:tabs>
          <w:tab w:val="right" w:leader="dot" w:pos="8302"/>
        </w:tabs>
        <w:spacing w:line="276" w:lineRule="auto"/>
        <w:rPr>
          <w:rFonts w:eastAsiaTheme="minorEastAsia"/>
          <w:sz w:val="24"/>
        </w:rPr>
      </w:pPr>
      <w:r>
        <w:fldChar w:fldCharType="begin"/>
      </w:r>
      <w:r>
        <w:instrText xml:space="preserve"> HYPERLINK \l "_Toc206494957" </w:instrText>
      </w:r>
      <w:r>
        <w:fldChar w:fldCharType="separate"/>
      </w:r>
      <w:r>
        <w:rPr>
          <w:rStyle w:val="144"/>
          <w:bCs/>
          <w:sz w:val="24"/>
        </w:rPr>
        <w:t>3.4.4 现状园区存在的主要环境问题及整改情况</w:t>
      </w:r>
      <w:r>
        <w:rPr>
          <w:sz w:val="24"/>
        </w:rPr>
        <w:tab/>
      </w:r>
      <w:r>
        <w:rPr>
          <w:sz w:val="24"/>
        </w:rPr>
        <w:fldChar w:fldCharType="begin"/>
      </w:r>
      <w:r>
        <w:rPr>
          <w:sz w:val="24"/>
        </w:rPr>
        <w:instrText xml:space="preserve"> PAGEREF _Toc206494957 \h </w:instrText>
      </w:r>
      <w:r>
        <w:rPr>
          <w:sz w:val="24"/>
        </w:rPr>
        <w:fldChar w:fldCharType="separate"/>
      </w:r>
      <w:r>
        <w:rPr>
          <w:sz w:val="24"/>
        </w:rPr>
        <w:t>133</w:t>
      </w:r>
      <w:r>
        <w:rPr>
          <w:sz w:val="24"/>
        </w:rPr>
        <w:fldChar w:fldCharType="end"/>
      </w:r>
      <w:r>
        <w:rPr>
          <w:sz w:val="24"/>
        </w:rPr>
        <w:fldChar w:fldCharType="end"/>
      </w:r>
    </w:p>
    <w:p w14:paraId="45E68E89">
      <w:pPr>
        <w:pStyle w:val="44"/>
        <w:tabs>
          <w:tab w:val="right" w:leader="dot" w:pos="8302"/>
        </w:tabs>
        <w:spacing w:line="276" w:lineRule="auto"/>
        <w:rPr>
          <w:rFonts w:eastAsiaTheme="minorEastAsia"/>
          <w:sz w:val="24"/>
        </w:rPr>
      </w:pPr>
      <w:r>
        <w:fldChar w:fldCharType="begin"/>
      </w:r>
      <w:r>
        <w:instrText xml:space="preserve"> HYPERLINK \l "_Toc206494958" </w:instrText>
      </w:r>
      <w:r>
        <w:fldChar w:fldCharType="separate"/>
      </w:r>
      <w:r>
        <w:rPr>
          <w:rStyle w:val="144"/>
          <w:bCs/>
          <w:sz w:val="24"/>
        </w:rPr>
        <w:t>3.4.5 环保基础设施建设情况</w:t>
      </w:r>
      <w:r>
        <w:rPr>
          <w:sz w:val="24"/>
        </w:rPr>
        <w:tab/>
      </w:r>
      <w:r>
        <w:rPr>
          <w:sz w:val="24"/>
        </w:rPr>
        <w:fldChar w:fldCharType="begin"/>
      </w:r>
      <w:r>
        <w:rPr>
          <w:sz w:val="24"/>
        </w:rPr>
        <w:instrText xml:space="preserve"> PAGEREF _Toc206494958 \h </w:instrText>
      </w:r>
      <w:r>
        <w:rPr>
          <w:sz w:val="24"/>
        </w:rPr>
        <w:fldChar w:fldCharType="separate"/>
      </w:r>
      <w:r>
        <w:rPr>
          <w:sz w:val="24"/>
        </w:rPr>
        <w:t>139</w:t>
      </w:r>
      <w:r>
        <w:rPr>
          <w:sz w:val="24"/>
        </w:rPr>
        <w:fldChar w:fldCharType="end"/>
      </w:r>
      <w:r>
        <w:rPr>
          <w:sz w:val="24"/>
        </w:rPr>
        <w:fldChar w:fldCharType="end"/>
      </w:r>
    </w:p>
    <w:p w14:paraId="41184F40">
      <w:pPr>
        <w:pStyle w:val="44"/>
        <w:tabs>
          <w:tab w:val="right" w:leader="dot" w:pos="8302"/>
        </w:tabs>
        <w:spacing w:line="276" w:lineRule="auto"/>
        <w:rPr>
          <w:rFonts w:eastAsiaTheme="minorEastAsia"/>
          <w:sz w:val="24"/>
        </w:rPr>
      </w:pPr>
      <w:r>
        <w:fldChar w:fldCharType="begin"/>
      </w:r>
      <w:r>
        <w:instrText xml:space="preserve"> HYPERLINK \l "_Toc206494959" </w:instrText>
      </w:r>
      <w:r>
        <w:fldChar w:fldCharType="separate"/>
      </w:r>
      <w:r>
        <w:rPr>
          <w:rStyle w:val="144"/>
          <w:bCs/>
          <w:sz w:val="24"/>
        </w:rPr>
        <w:t>3.4.6 资源能源开发利用现状调查</w:t>
      </w:r>
      <w:r>
        <w:rPr>
          <w:sz w:val="24"/>
        </w:rPr>
        <w:tab/>
      </w:r>
      <w:r>
        <w:rPr>
          <w:sz w:val="24"/>
        </w:rPr>
        <w:fldChar w:fldCharType="begin"/>
      </w:r>
      <w:r>
        <w:rPr>
          <w:sz w:val="24"/>
        </w:rPr>
        <w:instrText xml:space="preserve"> PAGEREF _Toc206494959 \h </w:instrText>
      </w:r>
      <w:r>
        <w:rPr>
          <w:sz w:val="24"/>
        </w:rPr>
        <w:fldChar w:fldCharType="separate"/>
      </w:r>
      <w:r>
        <w:rPr>
          <w:sz w:val="24"/>
        </w:rPr>
        <w:t>144</w:t>
      </w:r>
      <w:r>
        <w:rPr>
          <w:sz w:val="24"/>
        </w:rPr>
        <w:fldChar w:fldCharType="end"/>
      </w:r>
      <w:r>
        <w:rPr>
          <w:sz w:val="24"/>
        </w:rPr>
        <w:fldChar w:fldCharType="end"/>
      </w:r>
    </w:p>
    <w:p w14:paraId="3E11F614">
      <w:pPr>
        <w:pStyle w:val="74"/>
        <w:tabs>
          <w:tab w:val="right" w:leader="dot" w:pos="8302"/>
        </w:tabs>
        <w:spacing w:line="276" w:lineRule="auto"/>
        <w:rPr>
          <w:rFonts w:eastAsiaTheme="minorEastAsia"/>
          <w:sz w:val="24"/>
        </w:rPr>
      </w:pPr>
      <w:r>
        <w:fldChar w:fldCharType="begin"/>
      </w:r>
      <w:r>
        <w:instrText xml:space="preserve"> HYPERLINK \l "_Toc206494960" </w:instrText>
      </w:r>
      <w:r>
        <w:fldChar w:fldCharType="separate"/>
      </w:r>
      <w:r>
        <w:rPr>
          <w:rStyle w:val="144"/>
          <w:bCs/>
          <w:sz w:val="24"/>
        </w:rPr>
        <w:t>3.5 产业发展制约因素分析</w:t>
      </w:r>
      <w:r>
        <w:rPr>
          <w:sz w:val="24"/>
        </w:rPr>
        <w:tab/>
      </w:r>
      <w:r>
        <w:rPr>
          <w:sz w:val="24"/>
        </w:rPr>
        <w:fldChar w:fldCharType="begin"/>
      </w:r>
      <w:r>
        <w:rPr>
          <w:sz w:val="24"/>
        </w:rPr>
        <w:instrText xml:space="preserve"> PAGEREF _Toc206494960 \h </w:instrText>
      </w:r>
      <w:r>
        <w:rPr>
          <w:sz w:val="24"/>
        </w:rPr>
        <w:fldChar w:fldCharType="separate"/>
      </w:r>
      <w:r>
        <w:rPr>
          <w:sz w:val="24"/>
        </w:rPr>
        <w:t>147</w:t>
      </w:r>
      <w:r>
        <w:rPr>
          <w:sz w:val="24"/>
        </w:rPr>
        <w:fldChar w:fldCharType="end"/>
      </w:r>
      <w:r>
        <w:rPr>
          <w:sz w:val="24"/>
        </w:rPr>
        <w:fldChar w:fldCharType="end"/>
      </w:r>
    </w:p>
    <w:p w14:paraId="6A4FBE3C">
      <w:pPr>
        <w:pStyle w:val="44"/>
        <w:tabs>
          <w:tab w:val="right" w:leader="dot" w:pos="8302"/>
        </w:tabs>
        <w:spacing w:line="276" w:lineRule="auto"/>
        <w:rPr>
          <w:rFonts w:eastAsiaTheme="minorEastAsia"/>
          <w:sz w:val="24"/>
        </w:rPr>
      </w:pPr>
      <w:r>
        <w:fldChar w:fldCharType="begin"/>
      </w:r>
      <w:r>
        <w:instrText xml:space="preserve"> HYPERLINK \l "_Toc206494961" </w:instrText>
      </w:r>
      <w:r>
        <w:fldChar w:fldCharType="separate"/>
      </w:r>
      <w:r>
        <w:rPr>
          <w:rStyle w:val="144"/>
          <w:bCs/>
          <w:sz w:val="24"/>
        </w:rPr>
        <w:t>3.5.1 环境质量现状问题</w:t>
      </w:r>
      <w:r>
        <w:rPr>
          <w:sz w:val="24"/>
        </w:rPr>
        <w:tab/>
      </w:r>
      <w:r>
        <w:rPr>
          <w:sz w:val="24"/>
        </w:rPr>
        <w:fldChar w:fldCharType="begin"/>
      </w:r>
      <w:r>
        <w:rPr>
          <w:sz w:val="24"/>
        </w:rPr>
        <w:instrText xml:space="preserve"> PAGEREF _Toc206494961 \h </w:instrText>
      </w:r>
      <w:r>
        <w:rPr>
          <w:sz w:val="24"/>
        </w:rPr>
        <w:fldChar w:fldCharType="separate"/>
      </w:r>
      <w:r>
        <w:rPr>
          <w:sz w:val="24"/>
        </w:rPr>
        <w:t>147</w:t>
      </w:r>
      <w:r>
        <w:rPr>
          <w:sz w:val="24"/>
        </w:rPr>
        <w:fldChar w:fldCharType="end"/>
      </w:r>
      <w:r>
        <w:rPr>
          <w:sz w:val="24"/>
        </w:rPr>
        <w:fldChar w:fldCharType="end"/>
      </w:r>
    </w:p>
    <w:p w14:paraId="3DFCDC3E">
      <w:pPr>
        <w:pStyle w:val="44"/>
        <w:tabs>
          <w:tab w:val="right" w:leader="dot" w:pos="8302"/>
        </w:tabs>
        <w:spacing w:line="276" w:lineRule="auto"/>
        <w:rPr>
          <w:rFonts w:eastAsiaTheme="minorEastAsia"/>
          <w:sz w:val="24"/>
        </w:rPr>
      </w:pPr>
      <w:r>
        <w:fldChar w:fldCharType="begin"/>
      </w:r>
      <w:r>
        <w:instrText xml:space="preserve"> HYPERLINK \l "_Toc206494962" </w:instrText>
      </w:r>
      <w:r>
        <w:fldChar w:fldCharType="separate"/>
      </w:r>
      <w:r>
        <w:rPr>
          <w:rStyle w:val="144"/>
          <w:bCs/>
          <w:sz w:val="24"/>
        </w:rPr>
        <w:t>3.5.2 资源利用现状问题</w:t>
      </w:r>
      <w:r>
        <w:rPr>
          <w:sz w:val="24"/>
        </w:rPr>
        <w:tab/>
      </w:r>
      <w:r>
        <w:rPr>
          <w:sz w:val="24"/>
        </w:rPr>
        <w:fldChar w:fldCharType="begin"/>
      </w:r>
      <w:r>
        <w:rPr>
          <w:sz w:val="24"/>
        </w:rPr>
        <w:instrText xml:space="preserve"> PAGEREF _Toc206494962 \h </w:instrText>
      </w:r>
      <w:r>
        <w:rPr>
          <w:sz w:val="24"/>
        </w:rPr>
        <w:fldChar w:fldCharType="separate"/>
      </w:r>
      <w:r>
        <w:rPr>
          <w:sz w:val="24"/>
        </w:rPr>
        <w:t>148</w:t>
      </w:r>
      <w:r>
        <w:rPr>
          <w:sz w:val="24"/>
        </w:rPr>
        <w:fldChar w:fldCharType="end"/>
      </w:r>
      <w:r>
        <w:rPr>
          <w:sz w:val="24"/>
        </w:rPr>
        <w:fldChar w:fldCharType="end"/>
      </w:r>
    </w:p>
    <w:p w14:paraId="439ECFF4">
      <w:pPr>
        <w:pStyle w:val="44"/>
        <w:tabs>
          <w:tab w:val="right" w:leader="dot" w:pos="8302"/>
        </w:tabs>
        <w:spacing w:line="276" w:lineRule="auto"/>
        <w:rPr>
          <w:rFonts w:eastAsiaTheme="minorEastAsia"/>
          <w:sz w:val="24"/>
        </w:rPr>
      </w:pPr>
      <w:r>
        <w:fldChar w:fldCharType="begin"/>
      </w:r>
      <w:r>
        <w:instrText xml:space="preserve"> HYPERLINK \l "_Toc206494963" </w:instrText>
      </w:r>
      <w:r>
        <w:fldChar w:fldCharType="separate"/>
      </w:r>
      <w:r>
        <w:rPr>
          <w:rStyle w:val="144"/>
          <w:bCs/>
          <w:sz w:val="24"/>
        </w:rPr>
        <w:t>3.5.3 基础设施现状问题</w:t>
      </w:r>
      <w:r>
        <w:rPr>
          <w:sz w:val="24"/>
        </w:rPr>
        <w:tab/>
      </w:r>
      <w:r>
        <w:rPr>
          <w:sz w:val="24"/>
        </w:rPr>
        <w:fldChar w:fldCharType="begin"/>
      </w:r>
      <w:r>
        <w:rPr>
          <w:sz w:val="24"/>
        </w:rPr>
        <w:instrText xml:space="preserve"> PAGEREF _Toc206494963 \h </w:instrText>
      </w:r>
      <w:r>
        <w:rPr>
          <w:sz w:val="24"/>
        </w:rPr>
        <w:fldChar w:fldCharType="separate"/>
      </w:r>
      <w:r>
        <w:rPr>
          <w:sz w:val="24"/>
        </w:rPr>
        <w:t>148</w:t>
      </w:r>
      <w:r>
        <w:rPr>
          <w:sz w:val="24"/>
        </w:rPr>
        <w:fldChar w:fldCharType="end"/>
      </w:r>
      <w:r>
        <w:rPr>
          <w:sz w:val="24"/>
        </w:rPr>
        <w:fldChar w:fldCharType="end"/>
      </w:r>
    </w:p>
    <w:p w14:paraId="3BF1C7DD">
      <w:pPr>
        <w:pStyle w:val="44"/>
        <w:tabs>
          <w:tab w:val="right" w:leader="dot" w:pos="8302"/>
        </w:tabs>
        <w:spacing w:line="276" w:lineRule="auto"/>
        <w:rPr>
          <w:rFonts w:eastAsiaTheme="minorEastAsia"/>
          <w:sz w:val="24"/>
        </w:rPr>
      </w:pPr>
      <w:r>
        <w:fldChar w:fldCharType="begin"/>
      </w:r>
      <w:r>
        <w:instrText xml:space="preserve"> HYPERLINK \l "_Toc206494964" </w:instrText>
      </w:r>
      <w:r>
        <w:fldChar w:fldCharType="separate"/>
      </w:r>
      <w:r>
        <w:rPr>
          <w:rStyle w:val="144"/>
          <w:bCs/>
          <w:sz w:val="24"/>
        </w:rPr>
        <w:t>3.5.4 环境管理现状问题</w:t>
      </w:r>
      <w:r>
        <w:rPr>
          <w:sz w:val="24"/>
        </w:rPr>
        <w:tab/>
      </w:r>
      <w:r>
        <w:rPr>
          <w:sz w:val="24"/>
        </w:rPr>
        <w:fldChar w:fldCharType="begin"/>
      </w:r>
      <w:r>
        <w:rPr>
          <w:sz w:val="24"/>
        </w:rPr>
        <w:instrText xml:space="preserve"> PAGEREF _Toc206494964 \h </w:instrText>
      </w:r>
      <w:r>
        <w:rPr>
          <w:sz w:val="24"/>
        </w:rPr>
        <w:fldChar w:fldCharType="separate"/>
      </w:r>
      <w:r>
        <w:rPr>
          <w:sz w:val="24"/>
        </w:rPr>
        <w:t>149</w:t>
      </w:r>
      <w:r>
        <w:rPr>
          <w:sz w:val="24"/>
        </w:rPr>
        <w:fldChar w:fldCharType="end"/>
      </w:r>
      <w:r>
        <w:rPr>
          <w:sz w:val="24"/>
        </w:rPr>
        <w:fldChar w:fldCharType="end"/>
      </w:r>
    </w:p>
    <w:p w14:paraId="4E9783AF">
      <w:pPr>
        <w:pStyle w:val="59"/>
        <w:tabs>
          <w:tab w:val="left" w:pos="420"/>
          <w:tab w:val="right" w:leader="dot" w:pos="8302"/>
        </w:tabs>
        <w:spacing w:line="276" w:lineRule="auto"/>
        <w:rPr>
          <w:rFonts w:eastAsiaTheme="minorEastAsia"/>
          <w:sz w:val="24"/>
        </w:rPr>
      </w:pPr>
      <w:r>
        <w:fldChar w:fldCharType="begin"/>
      </w:r>
      <w:r>
        <w:instrText xml:space="preserve"> HYPERLINK \l "_Toc206494965" </w:instrText>
      </w:r>
      <w:r>
        <w:fldChar w:fldCharType="separate"/>
      </w:r>
      <w:r>
        <w:rPr>
          <w:rStyle w:val="144"/>
          <w:sz w:val="24"/>
        </w:rPr>
        <w:t>4</w:t>
      </w:r>
      <w:r>
        <w:rPr>
          <w:rFonts w:eastAsiaTheme="minorEastAsia"/>
          <w:sz w:val="24"/>
        </w:rPr>
        <w:tab/>
      </w:r>
      <w:r>
        <w:rPr>
          <w:rStyle w:val="144"/>
          <w:sz w:val="24"/>
        </w:rPr>
        <w:t>环境影响识别与评价指标体系构建</w:t>
      </w:r>
      <w:r>
        <w:rPr>
          <w:sz w:val="24"/>
        </w:rPr>
        <w:tab/>
      </w:r>
      <w:r>
        <w:rPr>
          <w:sz w:val="24"/>
        </w:rPr>
        <w:fldChar w:fldCharType="begin"/>
      </w:r>
      <w:r>
        <w:rPr>
          <w:sz w:val="24"/>
        </w:rPr>
        <w:instrText xml:space="preserve"> PAGEREF _Toc206494965 \h </w:instrText>
      </w:r>
      <w:r>
        <w:rPr>
          <w:sz w:val="24"/>
        </w:rPr>
        <w:fldChar w:fldCharType="separate"/>
      </w:r>
      <w:r>
        <w:rPr>
          <w:sz w:val="24"/>
        </w:rPr>
        <w:t>151</w:t>
      </w:r>
      <w:r>
        <w:rPr>
          <w:sz w:val="24"/>
        </w:rPr>
        <w:fldChar w:fldCharType="end"/>
      </w:r>
      <w:r>
        <w:rPr>
          <w:sz w:val="24"/>
        </w:rPr>
        <w:fldChar w:fldCharType="end"/>
      </w:r>
    </w:p>
    <w:p w14:paraId="56BCAB9A">
      <w:pPr>
        <w:pStyle w:val="74"/>
        <w:tabs>
          <w:tab w:val="right" w:leader="dot" w:pos="8302"/>
        </w:tabs>
        <w:spacing w:line="276" w:lineRule="auto"/>
        <w:rPr>
          <w:rFonts w:eastAsiaTheme="minorEastAsia"/>
          <w:sz w:val="24"/>
        </w:rPr>
      </w:pPr>
      <w:r>
        <w:fldChar w:fldCharType="begin"/>
      </w:r>
      <w:r>
        <w:instrText xml:space="preserve"> HYPERLINK \l "_Toc206494966" </w:instrText>
      </w:r>
      <w:r>
        <w:fldChar w:fldCharType="separate"/>
      </w:r>
      <w:r>
        <w:rPr>
          <w:rStyle w:val="144"/>
          <w:bCs/>
          <w:sz w:val="24"/>
        </w:rPr>
        <w:t>4.1 环境影响识别</w:t>
      </w:r>
      <w:r>
        <w:rPr>
          <w:sz w:val="24"/>
        </w:rPr>
        <w:tab/>
      </w:r>
      <w:r>
        <w:rPr>
          <w:sz w:val="24"/>
        </w:rPr>
        <w:fldChar w:fldCharType="begin"/>
      </w:r>
      <w:r>
        <w:rPr>
          <w:sz w:val="24"/>
        </w:rPr>
        <w:instrText xml:space="preserve"> PAGEREF _Toc206494966 \h </w:instrText>
      </w:r>
      <w:r>
        <w:rPr>
          <w:sz w:val="24"/>
        </w:rPr>
        <w:fldChar w:fldCharType="separate"/>
      </w:r>
      <w:r>
        <w:rPr>
          <w:sz w:val="24"/>
        </w:rPr>
        <w:t>151</w:t>
      </w:r>
      <w:r>
        <w:rPr>
          <w:sz w:val="24"/>
        </w:rPr>
        <w:fldChar w:fldCharType="end"/>
      </w:r>
      <w:r>
        <w:rPr>
          <w:sz w:val="24"/>
        </w:rPr>
        <w:fldChar w:fldCharType="end"/>
      </w:r>
    </w:p>
    <w:p w14:paraId="333CFE1A">
      <w:pPr>
        <w:pStyle w:val="74"/>
        <w:tabs>
          <w:tab w:val="right" w:leader="dot" w:pos="8302"/>
        </w:tabs>
        <w:spacing w:line="276" w:lineRule="auto"/>
        <w:rPr>
          <w:rFonts w:eastAsiaTheme="minorEastAsia"/>
          <w:sz w:val="24"/>
        </w:rPr>
      </w:pPr>
      <w:r>
        <w:fldChar w:fldCharType="begin"/>
      </w:r>
      <w:r>
        <w:instrText xml:space="preserve"> HYPERLINK \l "_Toc206494967" </w:instrText>
      </w:r>
      <w:r>
        <w:fldChar w:fldCharType="separate"/>
      </w:r>
      <w:r>
        <w:rPr>
          <w:rStyle w:val="144"/>
          <w:bCs/>
          <w:sz w:val="24"/>
        </w:rPr>
        <w:t>4.2 评价因子筛选</w:t>
      </w:r>
      <w:r>
        <w:rPr>
          <w:sz w:val="24"/>
        </w:rPr>
        <w:tab/>
      </w:r>
      <w:r>
        <w:rPr>
          <w:sz w:val="24"/>
        </w:rPr>
        <w:fldChar w:fldCharType="begin"/>
      </w:r>
      <w:r>
        <w:rPr>
          <w:sz w:val="24"/>
        </w:rPr>
        <w:instrText xml:space="preserve"> PAGEREF _Toc206494967 \h </w:instrText>
      </w:r>
      <w:r>
        <w:rPr>
          <w:sz w:val="24"/>
        </w:rPr>
        <w:fldChar w:fldCharType="separate"/>
      </w:r>
      <w:r>
        <w:rPr>
          <w:sz w:val="24"/>
        </w:rPr>
        <w:t>153</w:t>
      </w:r>
      <w:r>
        <w:rPr>
          <w:sz w:val="24"/>
        </w:rPr>
        <w:fldChar w:fldCharType="end"/>
      </w:r>
      <w:r>
        <w:rPr>
          <w:sz w:val="24"/>
        </w:rPr>
        <w:fldChar w:fldCharType="end"/>
      </w:r>
    </w:p>
    <w:p w14:paraId="10E0DB5D">
      <w:pPr>
        <w:pStyle w:val="74"/>
        <w:tabs>
          <w:tab w:val="right" w:leader="dot" w:pos="8302"/>
        </w:tabs>
        <w:spacing w:line="276" w:lineRule="auto"/>
        <w:rPr>
          <w:rFonts w:eastAsiaTheme="minorEastAsia"/>
          <w:sz w:val="24"/>
        </w:rPr>
      </w:pPr>
      <w:r>
        <w:fldChar w:fldCharType="begin"/>
      </w:r>
      <w:r>
        <w:instrText xml:space="preserve"> HYPERLINK \l "_Toc206494968" </w:instrText>
      </w:r>
      <w:r>
        <w:fldChar w:fldCharType="separate"/>
      </w:r>
      <w:r>
        <w:rPr>
          <w:rStyle w:val="144"/>
          <w:bCs/>
          <w:sz w:val="24"/>
        </w:rPr>
        <w:t>4.3 评价指标体系</w:t>
      </w:r>
      <w:r>
        <w:rPr>
          <w:sz w:val="24"/>
        </w:rPr>
        <w:tab/>
      </w:r>
      <w:r>
        <w:rPr>
          <w:sz w:val="24"/>
        </w:rPr>
        <w:fldChar w:fldCharType="begin"/>
      </w:r>
      <w:r>
        <w:rPr>
          <w:sz w:val="24"/>
        </w:rPr>
        <w:instrText xml:space="preserve"> PAGEREF _Toc206494968 \h </w:instrText>
      </w:r>
      <w:r>
        <w:rPr>
          <w:sz w:val="24"/>
        </w:rPr>
        <w:fldChar w:fldCharType="separate"/>
      </w:r>
      <w:r>
        <w:rPr>
          <w:sz w:val="24"/>
        </w:rPr>
        <w:t>154</w:t>
      </w:r>
      <w:r>
        <w:rPr>
          <w:sz w:val="24"/>
        </w:rPr>
        <w:fldChar w:fldCharType="end"/>
      </w:r>
      <w:r>
        <w:rPr>
          <w:sz w:val="24"/>
        </w:rPr>
        <w:fldChar w:fldCharType="end"/>
      </w:r>
    </w:p>
    <w:p w14:paraId="35D20782">
      <w:pPr>
        <w:pStyle w:val="59"/>
        <w:tabs>
          <w:tab w:val="left" w:pos="420"/>
          <w:tab w:val="right" w:leader="dot" w:pos="8302"/>
        </w:tabs>
        <w:spacing w:line="276" w:lineRule="auto"/>
        <w:rPr>
          <w:rFonts w:eastAsiaTheme="minorEastAsia"/>
          <w:sz w:val="24"/>
        </w:rPr>
      </w:pPr>
      <w:r>
        <w:fldChar w:fldCharType="begin"/>
      </w:r>
      <w:r>
        <w:instrText xml:space="preserve"> HYPERLINK \l "_Toc206494969" </w:instrText>
      </w:r>
      <w:r>
        <w:fldChar w:fldCharType="separate"/>
      </w:r>
      <w:r>
        <w:rPr>
          <w:rStyle w:val="144"/>
          <w:sz w:val="24"/>
        </w:rPr>
        <w:t>5</w:t>
      </w:r>
      <w:r>
        <w:rPr>
          <w:rFonts w:eastAsiaTheme="minorEastAsia"/>
          <w:sz w:val="24"/>
        </w:rPr>
        <w:tab/>
      </w:r>
      <w:r>
        <w:rPr>
          <w:rStyle w:val="144"/>
          <w:sz w:val="24"/>
        </w:rPr>
        <w:t>环境影响预测与评价</w:t>
      </w:r>
      <w:r>
        <w:rPr>
          <w:sz w:val="24"/>
        </w:rPr>
        <w:tab/>
      </w:r>
      <w:r>
        <w:rPr>
          <w:sz w:val="24"/>
        </w:rPr>
        <w:fldChar w:fldCharType="begin"/>
      </w:r>
      <w:r>
        <w:rPr>
          <w:sz w:val="24"/>
        </w:rPr>
        <w:instrText xml:space="preserve"> PAGEREF _Toc206494969 \h </w:instrText>
      </w:r>
      <w:r>
        <w:rPr>
          <w:sz w:val="24"/>
        </w:rPr>
        <w:fldChar w:fldCharType="separate"/>
      </w:r>
      <w:r>
        <w:rPr>
          <w:sz w:val="24"/>
        </w:rPr>
        <w:t>157</w:t>
      </w:r>
      <w:r>
        <w:rPr>
          <w:sz w:val="24"/>
        </w:rPr>
        <w:fldChar w:fldCharType="end"/>
      </w:r>
      <w:r>
        <w:rPr>
          <w:sz w:val="24"/>
        </w:rPr>
        <w:fldChar w:fldCharType="end"/>
      </w:r>
    </w:p>
    <w:p w14:paraId="02A395E5">
      <w:pPr>
        <w:pStyle w:val="74"/>
        <w:tabs>
          <w:tab w:val="right" w:leader="dot" w:pos="8302"/>
        </w:tabs>
        <w:spacing w:line="276" w:lineRule="auto"/>
        <w:rPr>
          <w:rFonts w:eastAsiaTheme="minorEastAsia"/>
          <w:sz w:val="24"/>
        </w:rPr>
      </w:pPr>
      <w:r>
        <w:fldChar w:fldCharType="begin"/>
      </w:r>
      <w:r>
        <w:instrText xml:space="preserve"> HYPERLINK \l "_Toc206494970" </w:instrText>
      </w:r>
      <w:r>
        <w:fldChar w:fldCharType="separate"/>
      </w:r>
      <w:r>
        <w:rPr>
          <w:rStyle w:val="144"/>
          <w:bCs/>
          <w:sz w:val="24"/>
        </w:rPr>
        <w:t>5.1 规划实施生态环境压力分析</w:t>
      </w:r>
      <w:r>
        <w:rPr>
          <w:sz w:val="24"/>
        </w:rPr>
        <w:tab/>
      </w:r>
      <w:r>
        <w:rPr>
          <w:sz w:val="24"/>
        </w:rPr>
        <w:fldChar w:fldCharType="begin"/>
      </w:r>
      <w:r>
        <w:rPr>
          <w:sz w:val="24"/>
        </w:rPr>
        <w:instrText xml:space="preserve"> PAGEREF _Toc206494970 \h </w:instrText>
      </w:r>
      <w:r>
        <w:rPr>
          <w:sz w:val="24"/>
        </w:rPr>
        <w:fldChar w:fldCharType="separate"/>
      </w:r>
      <w:r>
        <w:rPr>
          <w:sz w:val="24"/>
        </w:rPr>
        <w:t>157</w:t>
      </w:r>
      <w:r>
        <w:rPr>
          <w:sz w:val="24"/>
        </w:rPr>
        <w:fldChar w:fldCharType="end"/>
      </w:r>
      <w:r>
        <w:rPr>
          <w:sz w:val="24"/>
        </w:rPr>
        <w:fldChar w:fldCharType="end"/>
      </w:r>
    </w:p>
    <w:p w14:paraId="58B6EB79">
      <w:pPr>
        <w:pStyle w:val="44"/>
        <w:tabs>
          <w:tab w:val="right" w:leader="dot" w:pos="8302"/>
        </w:tabs>
        <w:spacing w:line="276" w:lineRule="auto"/>
        <w:rPr>
          <w:rFonts w:eastAsiaTheme="minorEastAsia"/>
          <w:sz w:val="24"/>
        </w:rPr>
      </w:pPr>
      <w:r>
        <w:fldChar w:fldCharType="begin"/>
      </w:r>
      <w:r>
        <w:instrText xml:space="preserve"> HYPERLINK \l "_Toc206494971" </w:instrText>
      </w:r>
      <w:r>
        <w:fldChar w:fldCharType="separate"/>
      </w:r>
      <w:r>
        <w:rPr>
          <w:rStyle w:val="144"/>
          <w:bCs/>
          <w:sz w:val="24"/>
        </w:rPr>
        <w:t>5.1.1 废气污染源强</w:t>
      </w:r>
      <w:r>
        <w:rPr>
          <w:sz w:val="24"/>
        </w:rPr>
        <w:tab/>
      </w:r>
      <w:r>
        <w:rPr>
          <w:sz w:val="24"/>
        </w:rPr>
        <w:fldChar w:fldCharType="begin"/>
      </w:r>
      <w:r>
        <w:rPr>
          <w:sz w:val="24"/>
        </w:rPr>
        <w:instrText xml:space="preserve"> PAGEREF _Toc206494971 \h </w:instrText>
      </w:r>
      <w:r>
        <w:rPr>
          <w:sz w:val="24"/>
        </w:rPr>
        <w:fldChar w:fldCharType="separate"/>
      </w:r>
      <w:r>
        <w:rPr>
          <w:sz w:val="24"/>
        </w:rPr>
        <w:t>157</w:t>
      </w:r>
      <w:r>
        <w:rPr>
          <w:sz w:val="24"/>
        </w:rPr>
        <w:fldChar w:fldCharType="end"/>
      </w:r>
      <w:r>
        <w:rPr>
          <w:sz w:val="24"/>
        </w:rPr>
        <w:fldChar w:fldCharType="end"/>
      </w:r>
    </w:p>
    <w:p w14:paraId="46F20FCF">
      <w:pPr>
        <w:pStyle w:val="44"/>
        <w:tabs>
          <w:tab w:val="right" w:leader="dot" w:pos="8302"/>
        </w:tabs>
        <w:spacing w:line="276" w:lineRule="auto"/>
        <w:rPr>
          <w:rFonts w:eastAsiaTheme="minorEastAsia"/>
          <w:sz w:val="24"/>
        </w:rPr>
      </w:pPr>
      <w:r>
        <w:fldChar w:fldCharType="begin"/>
      </w:r>
      <w:r>
        <w:instrText xml:space="preserve"> HYPERLINK \l "_Toc206494972" </w:instrText>
      </w:r>
      <w:r>
        <w:fldChar w:fldCharType="separate"/>
      </w:r>
      <w:r>
        <w:rPr>
          <w:rStyle w:val="144"/>
          <w:bCs/>
          <w:sz w:val="24"/>
        </w:rPr>
        <w:t>5.1.2 废水污染源强</w:t>
      </w:r>
      <w:r>
        <w:rPr>
          <w:sz w:val="24"/>
        </w:rPr>
        <w:tab/>
      </w:r>
      <w:r>
        <w:rPr>
          <w:sz w:val="24"/>
        </w:rPr>
        <w:fldChar w:fldCharType="begin"/>
      </w:r>
      <w:r>
        <w:rPr>
          <w:sz w:val="24"/>
        </w:rPr>
        <w:instrText xml:space="preserve"> PAGEREF _Toc206494972 \h </w:instrText>
      </w:r>
      <w:r>
        <w:rPr>
          <w:sz w:val="24"/>
        </w:rPr>
        <w:fldChar w:fldCharType="separate"/>
      </w:r>
      <w:r>
        <w:rPr>
          <w:sz w:val="24"/>
        </w:rPr>
        <w:t>159</w:t>
      </w:r>
      <w:r>
        <w:rPr>
          <w:sz w:val="24"/>
        </w:rPr>
        <w:fldChar w:fldCharType="end"/>
      </w:r>
      <w:r>
        <w:rPr>
          <w:sz w:val="24"/>
        </w:rPr>
        <w:fldChar w:fldCharType="end"/>
      </w:r>
    </w:p>
    <w:p w14:paraId="6475BEE1">
      <w:pPr>
        <w:pStyle w:val="44"/>
        <w:tabs>
          <w:tab w:val="right" w:leader="dot" w:pos="8302"/>
        </w:tabs>
        <w:spacing w:line="276" w:lineRule="auto"/>
        <w:rPr>
          <w:rFonts w:eastAsiaTheme="minorEastAsia"/>
          <w:sz w:val="24"/>
        </w:rPr>
      </w:pPr>
      <w:r>
        <w:fldChar w:fldCharType="begin"/>
      </w:r>
      <w:r>
        <w:instrText xml:space="preserve"> HYPERLINK \l "_Toc206494973" </w:instrText>
      </w:r>
      <w:r>
        <w:fldChar w:fldCharType="separate"/>
      </w:r>
      <w:r>
        <w:rPr>
          <w:rStyle w:val="144"/>
          <w:bCs/>
          <w:sz w:val="24"/>
        </w:rPr>
        <w:t>5.1.3 噪声污染源强</w:t>
      </w:r>
      <w:r>
        <w:rPr>
          <w:sz w:val="24"/>
        </w:rPr>
        <w:tab/>
      </w:r>
      <w:r>
        <w:rPr>
          <w:sz w:val="24"/>
        </w:rPr>
        <w:fldChar w:fldCharType="begin"/>
      </w:r>
      <w:r>
        <w:rPr>
          <w:sz w:val="24"/>
        </w:rPr>
        <w:instrText xml:space="preserve"> PAGEREF _Toc206494973 \h </w:instrText>
      </w:r>
      <w:r>
        <w:rPr>
          <w:sz w:val="24"/>
        </w:rPr>
        <w:fldChar w:fldCharType="separate"/>
      </w:r>
      <w:r>
        <w:rPr>
          <w:sz w:val="24"/>
        </w:rPr>
        <w:t>160</w:t>
      </w:r>
      <w:r>
        <w:rPr>
          <w:sz w:val="24"/>
        </w:rPr>
        <w:fldChar w:fldCharType="end"/>
      </w:r>
      <w:r>
        <w:rPr>
          <w:sz w:val="24"/>
        </w:rPr>
        <w:fldChar w:fldCharType="end"/>
      </w:r>
    </w:p>
    <w:p w14:paraId="29814AD7">
      <w:pPr>
        <w:pStyle w:val="44"/>
        <w:tabs>
          <w:tab w:val="right" w:leader="dot" w:pos="8302"/>
        </w:tabs>
        <w:spacing w:line="276" w:lineRule="auto"/>
        <w:rPr>
          <w:rFonts w:eastAsiaTheme="minorEastAsia"/>
          <w:sz w:val="24"/>
        </w:rPr>
      </w:pPr>
      <w:r>
        <w:fldChar w:fldCharType="begin"/>
      </w:r>
      <w:r>
        <w:instrText xml:space="preserve"> HYPERLINK \l "_Toc206494974" </w:instrText>
      </w:r>
      <w:r>
        <w:fldChar w:fldCharType="separate"/>
      </w:r>
      <w:r>
        <w:rPr>
          <w:rStyle w:val="144"/>
          <w:bCs/>
          <w:sz w:val="24"/>
        </w:rPr>
        <w:t>5.1.4 固体废物污染源强</w:t>
      </w:r>
      <w:r>
        <w:rPr>
          <w:sz w:val="24"/>
        </w:rPr>
        <w:tab/>
      </w:r>
      <w:r>
        <w:rPr>
          <w:sz w:val="24"/>
        </w:rPr>
        <w:fldChar w:fldCharType="begin"/>
      </w:r>
      <w:r>
        <w:rPr>
          <w:sz w:val="24"/>
        </w:rPr>
        <w:instrText xml:space="preserve"> PAGEREF _Toc206494974 \h </w:instrText>
      </w:r>
      <w:r>
        <w:rPr>
          <w:sz w:val="24"/>
        </w:rPr>
        <w:fldChar w:fldCharType="separate"/>
      </w:r>
      <w:r>
        <w:rPr>
          <w:sz w:val="24"/>
        </w:rPr>
        <w:t>161</w:t>
      </w:r>
      <w:r>
        <w:rPr>
          <w:sz w:val="24"/>
        </w:rPr>
        <w:fldChar w:fldCharType="end"/>
      </w:r>
      <w:r>
        <w:rPr>
          <w:sz w:val="24"/>
        </w:rPr>
        <w:fldChar w:fldCharType="end"/>
      </w:r>
    </w:p>
    <w:p w14:paraId="7AEEC5AD">
      <w:pPr>
        <w:pStyle w:val="44"/>
        <w:tabs>
          <w:tab w:val="right" w:leader="dot" w:pos="8302"/>
        </w:tabs>
        <w:spacing w:line="276" w:lineRule="auto"/>
        <w:rPr>
          <w:rFonts w:eastAsiaTheme="minorEastAsia"/>
          <w:sz w:val="24"/>
        </w:rPr>
      </w:pPr>
      <w:r>
        <w:fldChar w:fldCharType="begin"/>
      </w:r>
      <w:r>
        <w:instrText xml:space="preserve"> HYPERLINK \l "_Toc206494975" </w:instrText>
      </w:r>
      <w:r>
        <w:fldChar w:fldCharType="separate"/>
      </w:r>
      <w:r>
        <w:rPr>
          <w:rStyle w:val="144"/>
          <w:bCs/>
          <w:sz w:val="24"/>
        </w:rPr>
        <w:t>5.1.5 污染源预测汇总</w:t>
      </w:r>
      <w:r>
        <w:rPr>
          <w:sz w:val="24"/>
        </w:rPr>
        <w:tab/>
      </w:r>
      <w:r>
        <w:rPr>
          <w:sz w:val="24"/>
        </w:rPr>
        <w:fldChar w:fldCharType="begin"/>
      </w:r>
      <w:r>
        <w:rPr>
          <w:sz w:val="24"/>
        </w:rPr>
        <w:instrText xml:space="preserve"> PAGEREF _Toc206494975 \h </w:instrText>
      </w:r>
      <w:r>
        <w:rPr>
          <w:sz w:val="24"/>
        </w:rPr>
        <w:fldChar w:fldCharType="separate"/>
      </w:r>
      <w:r>
        <w:rPr>
          <w:sz w:val="24"/>
        </w:rPr>
        <w:t>162</w:t>
      </w:r>
      <w:r>
        <w:rPr>
          <w:sz w:val="24"/>
        </w:rPr>
        <w:fldChar w:fldCharType="end"/>
      </w:r>
      <w:r>
        <w:rPr>
          <w:sz w:val="24"/>
        </w:rPr>
        <w:fldChar w:fldCharType="end"/>
      </w:r>
    </w:p>
    <w:p w14:paraId="700AD9CE">
      <w:pPr>
        <w:pStyle w:val="74"/>
        <w:tabs>
          <w:tab w:val="right" w:leader="dot" w:pos="8302"/>
        </w:tabs>
        <w:spacing w:line="276" w:lineRule="auto"/>
        <w:rPr>
          <w:rFonts w:eastAsiaTheme="minorEastAsia"/>
          <w:sz w:val="24"/>
        </w:rPr>
      </w:pPr>
      <w:r>
        <w:fldChar w:fldCharType="begin"/>
      </w:r>
      <w:r>
        <w:instrText xml:space="preserve"> HYPERLINK \l "_Toc206494976" </w:instrText>
      </w:r>
      <w:r>
        <w:fldChar w:fldCharType="separate"/>
      </w:r>
      <w:r>
        <w:rPr>
          <w:rStyle w:val="144"/>
          <w:bCs/>
          <w:sz w:val="24"/>
        </w:rPr>
        <w:t>5.2 环境影响预测与评价</w:t>
      </w:r>
      <w:r>
        <w:rPr>
          <w:sz w:val="24"/>
        </w:rPr>
        <w:tab/>
      </w:r>
      <w:r>
        <w:rPr>
          <w:sz w:val="24"/>
        </w:rPr>
        <w:fldChar w:fldCharType="begin"/>
      </w:r>
      <w:r>
        <w:rPr>
          <w:sz w:val="24"/>
        </w:rPr>
        <w:instrText xml:space="preserve"> PAGEREF _Toc206494976 \h </w:instrText>
      </w:r>
      <w:r>
        <w:rPr>
          <w:sz w:val="24"/>
        </w:rPr>
        <w:fldChar w:fldCharType="separate"/>
      </w:r>
      <w:r>
        <w:rPr>
          <w:sz w:val="24"/>
        </w:rPr>
        <w:t>162</w:t>
      </w:r>
      <w:r>
        <w:rPr>
          <w:sz w:val="24"/>
        </w:rPr>
        <w:fldChar w:fldCharType="end"/>
      </w:r>
      <w:r>
        <w:rPr>
          <w:sz w:val="24"/>
        </w:rPr>
        <w:fldChar w:fldCharType="end"/>
      </w:r>
    </w:p>
    <w:p w14:paraId="223520BD">
      <w:pPr>
        <w:pStyle w:val="44"/>
        <w:tabs>
          <w:tab w:val="right" w:leader="dot" w:pos="8302"/>
        </w:tabs>
        <w:spacing w:line="276" w:lineRule="auto"/>
        <w:rPr>
          <w:rFonts w:eastAsiaTheme="minorEastAsia"/>
          <w:sz w:val="24"/>
        </w:rPr>
      </w:pPr>
      <w:r>
        <w:fldChar w:fldCharType="begin"/>
      </w:r>
      <w:r>
        <w:instrText xml:space="preserve"> HYPERLINK \l "_Toc206494977" </w:instrText>
      </w:r>
      <w:r>
        <w:fldChar w:fldCharType="separate"/>
      </w:r>
      <w:r>
        <w:rPr>
          <w:rStyle w:val="144"/>
          <w:bCs/>
          <w:sz w:val="24"/>
        </w:rPr>
        <w:t>5.2.1 环境空气预测与评价</w:t>
      </w:r>
      <w:r>
        <w:rPr>
          <w:sz w:val="24"/>
        </w:rPr>
        <w:tab/>
      </w:r>
      <w:r>
        <w:rPr>
          <w:sz w:val="24"/>
        </w:rPr>
        <w:fldChar w:fldCharType="begin"/>
      </w:r>
      <w:r>
        <w:rPr>
          <w:sz w:val="24"/>
        </w:rPr>
        <w:instrText xml:space="preserve"> PAGEREF _Toc206494977 \h </w:instrText>
      </w:r>
      <w:r>
        <w:rPr>
          <w:sz w:val="24"/>
        </w:rPr>
        <w:fldChar w:fldCharType="separate"/>
      </w:r>
      <w:r>
        <w:rPr>
          <w:sz w:val="24"/>
        </w:rPr>
        <w:t>162</w:t>
      </w:r>
      <w:r>
        <w:rPr>
          <w:sz w:val="24"/>
        </w:rPr>
        <w:fldChar w:fldCharType="end"/>
      </w:r>
      <w:r>
        <w:rPr>
          <w:sz w:val="24"/>
        </w:rPr>
        <w:fldChar w:fldCharType="end"/>
      </w:r>
    </w:p>
    <w:p w14:paraId="7417885F">
      <w:pPr>
        <w:pStyle w:val="44"/>
        <w:tabs>
          <w:tab w:val="right" w:leader="dot" w:pos="8302"/>
        </w:tabs>
        <w:spacing w:line="276" w:lineRule="auto"/>
        <w:rPr>
          <w:rFonts w:eastAsiaTheme="minorEastAsia"/>
          <w:sz w:val="24"/>
        </w:rPr>
      </w:pPr>
      <w:r>
        <w:fldChar w:fldCharType="begin"/>
      </w:r>
      <w:r>
        <w:instrText xml:space="preserve"> HYPERLINK \l "_Toc206494978" </w:instrText>
      </w:r>
      <w:r>
        <w:fldChar w:fldCharType="separate"/>
      </w:r>
      <w:r>
        <w:rPr>
          <w:rStyle w:val="144"/>
          <w:bCs/>
          <w:sz w:val="24"/>
        </w:rPr>
        <w:t>5.2.2 地表水环境影响分析</w:t>
      </w:r>
      <w:r>
        <w:rPr>
          <w:sz w:val="24"/>
        </w:rPr>
        <w:tab/>
      </w:r>
      <w:r>
        <w:rPr>
          <w:sz w:val="24"/>
        </w:rPr>
        <w:fldChar w:fldCharType="begin"/>
      </w:r>
      <w:r>
        <w:rPr>
          <w:sz w:val="24"/>
        </w:rPr>
        <w:instrText xml:space="preserve"> PAGEREF _Toc206494978 \h </w:instrText>
      </w:r>
      <w:r>
        <w:rPr>
          <w:sz w:val="24"/>
        </w:rPr>
        <w:fldChar w:fldCharType="separate"/>
      </w:r>
      <w:r>
        <w:rPr>
          <w:sz w:val="24"/>
        </w:rPr>
        <w:t>164</w:t>
      </w:r>
      <w:r>
        <w:rPr>
          <w:sz w:val="24"/>
        </w:rPr>
        <w:fldChar w:fldCharType="end"/>
      </w:r>
      <w:r>
        <w:rPr>
          <w:sz w:val="24"/>
        </w:rPr>
        <w:fldChar w:fldCharType="end"/>
      </w:r>
    </w:p>
    <w:p w14:paraId="3345EBD7">
      <w:pPr>
        <w:pStyle w:val="44"/>
        <w:tabs>
          <w:tab w:val="right" w:leader="dot" w:pos="8302"/>
        </w:tabs>
        <w:spacing w:line="276" w:lineRule="auto"/>
        <w:rPr>
          <w:rFonts w:eastAsiaTheme="minorEastAsia"/>
          <w:sz w:val="24"/>
        </w:rPr>
      </w:pPr>
      <w:r>
        <w:fldChar w:fldCharType="begin"/>
      </w:r>
      <w:r>
        <w:instrText xml:space="preserve"> HYPERLINK \l "_Toc206494979" </w:instrText>
      </w:r>
      <w:r>
        <w:fldChar w:fldCharType="separate"/>
      </w:r>
      <w:r>
        <w:rPr>
          <w:rStyle w:val="144"/>
          <w:bCs/>
          <w:sz w:val="24"/>
        </w:rPr>
        <w:t>5.2.3 声环境影响分析</w:t>
      </w:r>
      <w:r>
        <w:rPr>
          <w:sz w:val="24"/>
        </w:rPr>
        <w:tab/>
      </w:r>
      <w:r>
        <w:rPr>
          <w:sz w:val="24"/>
        </w:rPr>
        <w:fldChar w:fldCharType="begin"/>
      </w:r>
      <w:r>
        <w:rPr>
          <w:sz w:val="24"/>
        </w:rPr>
        <w:instrText xml:space="preserve"> PAGEREF _Toc206494979 \h </w:instrText>
      </w:r>
      <w:r>
        <w:rPr>
          <w:sz w:val="24"/>
        </w:rPr>
        <w:fldChar w:fldCharType="separate"/>
      </w:r>
      <w:r>
        <w:rPr>
          <w:sz w:val="24"/>
        </w:rPr>
        <w:t>168</w:t>
      </w:r>
      <w:r>
        <w:rPr>
          <w:sz w:val="24"/>
        </w:rPr>
        <w:fldChar w:fldCharType="end"/>
      </w:r>
      <w:r>
        <w:rPr>
          <w:sz w:val="24"/>
        </w:rPr>
        <w:fldChar w:fldCharType="end"/>
      </w:r>
    </w:p>
    <w:p w14:paraId="7B6F6EA1">
      <w:pPr>
        <w:pStyle w:val="44"/>
        <w:tabs>
          <w:tab w:val="right" w:leader="dot" w:pos="8302"/>
        </w:tabs>
        <w:spacing w:line="276" w:lineRule="auto"/>
        <w:rPr>
          <w:rFonts w:eastAsiaTheme="minorEastAsia"/>
          <w:sz w:val="24"/>
        </w:rPr>
      </w:pPr>
      <w:r>
        <w:fldChar w:fldCharType="begin"/>
      </w:r>
      <w:r>
        <w:instrText xml:space="preserve"> HYPERLINK \l "_Toc206494980" </w:instrText>
      </w:r>
      <w:r>
        <w:fldChar w:fldCharType="separate"/>
      </w:r>
      <w:r>
        <w:rPr>
          <w:rStyle w:val="144"/>
          <w:bCs/>
          <w:sz w:val="24"/>
        </w:rPr>
        <w:t>5.2.4 固体废物环境影响分析</w:t>
      </w:r>
      <w:r>
        <w:rPr>
          <w:sz w:val="24"/>
        </w:rPr>
        <w:tab/>
      </w:r>
      <w:r>
        <w:rPr>
          <w:sz w:val="24"/>
        </w:rPr>
        <w:fldChar w:fldCharType="begin"/>
      </w:r>
      <w:r>
        <w:rPr>
          <w:sz w:val="24"/>
        </w:rPr>
        <w:instrText xml:space="preserve"> PAGEREF _Toc206494980 \h </w:instrText>
      </w:r>
      <w:r>
        <w:rPr>
          <w:sz w:val="24"/>
        </w:rPr>
        <w:fldChar w:fldCharType="separate"/>
      </w:r>
      <w:r>
        <w:rPr>
          <w:sz w:val="24"/>
        </w:rPr>
        <w:t>170</w:t>
      </w:r>
      <w:r>
        <w:rPr>
          <w:sz w:val="24"/>
        </w:rPr>
        <w:fldChar w:fldCharType="end"/>
      </w:r>
      <w:r>
        <w:rPr>
          <w:sz w:val="24"/>
        </w:rPr>
        <w:fldChar w:fldCharType="end"/>
      </w:r>
    </w:p>
    <w:p w14:paraId="1DBB5440">
      <w:pPr>
        <w:pStyle w:val="44"/>
        <w:tabs>
          <w:tab w:val="right" w:leader="dot" w:pos="8302"/>
        </w:tabs>
        <w:spacing w:line="276" w:lineRule="auto"/>
        <w:rPr>
          <w:rFonts w:eastAsiaTheme="minorEastAsia"/>
          <w:sz w:val="24"/>
        </w:rPr>
      </w:pPr>
      <w:r>
        <w:fldChar w:fldCharType="begin"/>
      </w:r>
      <w:r>
        <w:instrText xml:space="preserve"> HYPERLINK \l "_Toc206494981" </w:instrText>
      </w:r>
      <w:r>
        <w:fldChar w:fldCharType="separate"/>
      </w:r>
      <w:r>
        <w:rPr>
          <w:rStyle w:val="144"/>
          <w:bCs/>
          <w:sz w:val="24"/>
        </w:rPr>
        <w:t>5.2.5 地下水环境影响分析</w:t>
      </w:r>
      <w:r>
        <w:rPr>
          <w:sz w:val="24"/>
        </w:rPr>
        <w:tab/>
      </w:r>
      <w:r>
        <w:rPr>
          <w:sz w:val="24"/>
        </w:rPr>
        <w:fldChar w:fldCharType="begin"/>
      </w:r>
      <w:r>
        <w:rPr>
          <w:sz w:val="24"/>
        </w:rPr>
        <w:instrText xml:space="preserve"> PAGEREF _Toc206494981 \h </w:instrText>
      </w:r>
      <w:r>
        <w:rPr>
          <w:sz w:val="24"/>
        </w:rPr>
        <w:fldChar w:fldCharType="separate"/>
      </w:r>
      <w:r>
        <w:rPr>
          <w:sz w:val="24"/>
        </w:rPr>
        <w:t>171</w:t>
      </w:r>
      <w:r>
        <w:rPr>
          <w:sz w:val="24"/>
        </w:rPr>
        <w:fldChar w:fldCharType="end"/>
      </w:r>
      <w:r>
        <w:rPr>
          <w:sz w:val="24"/>
        </w:rPr>
        <w:fldChar w:fldCharType="end"/>
      </w:r>
    </w:p>
    <w:p w14:paraId="163CCE2F">
      <w:pPr>
        <w:pStyle w:val="44"/>
        <w:tabs>
          <w:tab w:val="right" w:leader="dot" w:pos="8302"/>
        </w:tabs>
        <w:spacing w:line="276" w:lineRule="auto"/>
        <w:rPr>
          <w:rFonts w:eastAsiaTheme="minorEastAsia"/>
          <w:sz w:val="24"/>
        </w:rPr>
      </w:pPr>
      <w:r>
        <w:fldChar w:fldCharType="begin"/>
      </w:r>
      <w:r>
        <w:instrText xml:space="preserve"> HYPERLINK \l "_Toc206494982" </w:instrText>
      </w:r>
      <w:r>
        <w:fldChar w:fldCharType="separate"/>
      </w:r>
      <w:r>
        <w:rPr>
          <w:rStyle w:val="144"/>
          <w:bCs/>
          <w:sz w:val="24"/>
        </w:rPr>
        <w:t>5.2.6 土壤环境影响分析</w:t>
      </w:r>
      <w:r>
        <w:rPr>
          <w:sz w:val="24"/>
        </w:rPr>
        <w:tab/>
      </w:r>
      <w:r>
        <w:rPr>
          <w:sz w:val="24"/>
        </w:rPr>
        <w:fldChar w:fldCharType="begin"/>
      </w:r>
      <w:r>
        <w:rPr>
          <w:sz w:val="24"/>
        </w:rPr>
        <w:instrText xml:space="preserve"> PAGEREF _Toc206494982 \h </w:instrText>
      </w:r>
      <w:r>
        <w:rPr>
          <w:sz w:val="24"/>
        </w:rPr>
        <w:fldChar w:fldCharType="separate"/>
      </w:r>
      <w:r>
        <w:rPr>
          <w:sz w:val="24"/>
        </w:rPr>
        <w:t>174</w:t>
      </w:r>
      <w:r>
        <w:rPr>
          <w:sz w:val="24"/>
        </w:rPr>
        <w:fldChar w:fldCharType="end"/>
      </w:r>
      <w:r>
        <w:rPr>
          <w:sz w:val="24"/>
        </w:rPr>
        <w:fldChar w:fldCharType="end"/>
      </w:r>
    </w:p>
    <w:p w14:paraId="30D7697E">
      <w:pPr>
        <w:pStyle w:val="44"/>
        <w:tabs>
          <w:tab w:val="right" w:leader="dot" w:pos="8302"/>
        </w:tabs>
        <w:spacing w:line="276" w:lineRule="auto"/>
        <w:rPr>
          <w:rFonts w:eastAsiaTheme="minorEastAsia"/>
          <w:sz w:val="24"/>
        </w:rPr>
      </w:pPr>
      <w:r>
        <w:fldChar w:fldCharType="begin"/>
      </w:r>
      <w:r>
        <w:instrText xml:space="preserve"> HYPERLINK \l "_Toc206494983" </w:instrText>
      </w:r>
      <w:r>
        <w:fldChar w:fldCharType="separate"/>
      </w:r>
      <w:r>
        <w:rPr>
          <w:rStyle w:val="144"/>
          <w:bCs/>
          <w:sz w:val="24"/>
        </w:rPr>
        <w:t>5.2.7 生态环境影响分析</w:t>
      </w:r>
      <w:r>
        <w:rPr>
          <w:sz w:val="24"/>
        </w:rPr>
        <w:tab/>
      </w:r>
      <w:r>
        <w:rPr>
          <w:sz w:val="24"/>
        </w:rPr>
        <w:fldChar w:fldCharType="begin"/>
      </w:r>
      <w:r>
        <w:rPr>
          <w:sz w:val="24"/>
        </w:rPr>
        <w:instrText xml:space="preserve"> PAGEREF _Toc206494983 \h </w:instrText>
      </w:r>
      <w:r>
        <w:rPr>
          <w:sz w:val="24"/>
        </w:rPr>
        <w:fldChar w:fldCharType="separate"/>
      </w:r>
      <w:r>
        <w:rPr>
          <w:sz w:val="24"/>
        </w:rPr>
        <w:t>176</w:t>
      </w:r>
      <w:r>
        <w:rPr>
          <w:sz w:val="24"/>
        </w:rPr>
        <w:fldChar w:fldCharType="end"/>
      </w:r>
      <w:r>
        <w:rPr>
          <w:sz w:val="24"/>
        </w:rPr>
        <w:fldChar w:fldCharType="end"/>
      </w:r>
    </w:p>
    <w:p w14:paraId="39E652F5">
      <w:pPr>
        <w:pStyle w:val="74"/>
        <w:tabs>
          <w:tab w:val="right" w:leader="dot" w:pos="8302"/>
        </w:tabs>
        <w:spacing w:line="276" w:lineRule="auto"/>
        <w:rPr>
          <w:rFonts w:eastAsiaTheme="minorEastAsia"/>
          <w:sz w:val="24"/>
        </w:rPr>
      </w:pPr>
      <w:r>
        <w:fldChar w:fldCharType="begin"/>
      </w:r>
      <w:r>
        <w:instrText xml:space="preserve"> HYPERLINK \l "_Toc206494984" </w:instrText>
      </w:r>
      <w:r>
        <w:fldChar w:fldCharType="separate"/>
      </w:r>
      <w:r>
        <w:rPr>
          <w:rStyle w:val="144"/>
          <w:bCs/>
          <w:sz w:val="24"/>
        </w:rPr>
        <w:t>5.3 环境风险分析</w:t>
      </w:r>
      <w:r>
        <w:rPr>
          <w:sz w:val="24"/>
        </w:rPr>
        <w:tab/>
      </w:r>
      <w:r>
        <w:rPr>
          <w:sz w:val="24"/>
        </w:rPr>
        <w:fldChar w:fldCharType="begin"/>
      </w:r>
      <w:r>
        <w:rPr>
          <w:sz w:val="24"/>
        </w:rPr>
        <w:instrText xml:space="preserve"> PAGEREF _Toc206494984 \h </w:instrText>
      </w:r>
      <w:r>
        <w:rPr>
          <w:sz w:val="24"/>
        </w:rPr>
        <w:fldChar w:fldCharType="separate"/>
      </w:r>
      <w:r>
        <w:rPr>
          <w:sz w:val="24"/>
        </w:rPr>
        <w:t>179</w:t>
      </w:r>
      <w:r>
        <w:rPr>
          <w:sz w:val="24"/>
        </w:rPr>
        <w:fldChar w:fldCharType="end"/>
      </w:r>
      <w:r>
        <w:rPr>
          <w:sz w:val="24"/>
        </w:rPr>
        <w:fldChar w:fldCharType="end"/>
      </w:r>
    </w:p>
    <w:p w14:paraId="7DA4C42A">
      <w:pPr>
        <w:pStyle w:val="44"/>
        <w:tabs>
          <w:tab w:val="right" w:leader="dot" w:pos="8302"/>
        </w:tabs>
        <w:spacing w:line="276" w:lineRule="auto"/>
        <w:rPr>
          <w:rFonts w:eastAsiaTheme="minorEastAsia"/>
          <w:sz w:val="24"/>
        </w:rPr>
      </w:pPr>
      <w:r>
        <w:fldChar w:fldCharType="begin"/>
      </w:r>
      <w:r>
        <w:instrText xml:space="preserve"> HYPERLINK \l "_Toc206494985" </w:instrText>
      </w:r>
      <w:r>
        <w:fldChar w:fldCharType="separate"/>
      </w:r>
      <w:r>
        <w:rPr>
          <w:rStyle w:val="144"/>
          <w:bCs/>
          <w:sz w:val="24"/>
        </w:rPr>
        <w:t>5.3.1 风险类别分析</w:t>
      </w:r>
      <w:r>
        <w:rPr>
          <w:sz w:val="24"/>
        </w:rPr>
        <w:tab/>
      </w:r>
      <w:r>
        <w:rPr>
          <w:sz w:val="24"/>
        </w:rPr>
        <w:fldChar w:fldCharType="begin"/>
      </w:r>
      <w:r>
        <w:rPr>
          <w:sz w:val="24"/>
        </w:rPr>
        <w:instrText xml:space="preserve"> PAGEREF _Toc206494985 \h </w:instrText>
      </w:r>
      <w:r>
        <w:rPr>
          <w:sz w:val="24"/>
        </w:rPr>
        <w:fldChar w:fldCharType="separate"/>
      </w:r>
      <w:r>
        <w:rPr>
          <w:sz w:val="24"/>
        </w:rPr>
        <w:t>179</w:t>
      </w:r>
      <w:r>
        <w:rPr>
          <w:sz w:val="24"/>
        </w:rPr>
        <w:fldChar w:fldCharType="end"/>
      </w:r>
      <w:r>
        <w:rPr>
          <w:sz w:val="24"/>
        </w:rPr>
        <w:fldChar w:fldCharType="end"/>
      </w:r>
    </w:p>
    <w:p w14:paraId="0DE09188">
      <w:pPr>
        <w:pStyle w:val="44"/>
        <w:tabs>
          <w:tab w:val="right" w:leader="dot" w:pos="8302"/>
        </w:tabs>
        <w:spacing w:line="276" w:lineRule="auto"/>
        <w:rPr>
          <w:rFonts w:eastAsiaTheme="minorEastAsia"/>
          <w:sz w:val="24"/>
        </w:rPr>
      </w:pPr>
      <w:r>
        <w:fldChar w:fldCharType="begin"/>
      </w:r>
      <w:r>
        <w:instrText xml:space="preserve"> HYPERLINK \l "_Toc206494986" </w:instrText>
      </w:r>
      <w:r>
        <w:fldChar w:fldCharType="separate"/>
      </w:r>
      <w:r>
        <w:rPr>
          <w:rStyle w:val="144"/>
          <w:bCs/>
          <w:sz w:val="24"/>
        </w:rPr>
        <w:t>5.3.2 风险评价等级与评价范围确定</w:t>
      </w:r>
      <w:r>
        <w:rPr>
          <w:sz w:val="24"/>
        </w:rPr>
        <w:tab/>
      </w:r>
      <w:r>
        <w:rPr>
          <w:sz w:val="24"/>
        </w:rPr>
        <w:fldChar w:fldCharType="begin"/>
      </w:r>
      <w:r>
        <w:rPr>
          <w:sz w:val="24"/>
        </w:rPr>
        <w:instrText xml:space="preserve"> PAGEREF _Toc206494986 \h </w:instrText>
      </w:r>
      <w:r>
        <w:rPr>
          <w:sz w:val="24"/>
        </w:rPr>
        <w:fldChar w:fldCharType="separate"/>
      </w:r>
      <w:r>
        <w:rPr>
          <w:sz w:val="24"/>
        </w:rPr>
        <w:t>182</w:t>
      </w:r>
      <w:r>
        <w:rPr>
          <w:sz w:val="24"/>
        </w:rPr>
        <w:fldChar w:fldCharType="end"/>
      </w:r>
      <w:r>
        <w:rPr>
          <w:sz w:val="24"/>
        </w:rPr>
        <w:fldChar w:fldCharType="end"/>
      </w:r>
    </w:p>
    <w:p w14:paraId="359582B0">
      <w:pPr>
        <w:pStyle w:val="44"/>
        <w:tabs>
          <w:tab w:val="right" w:leader="dot" w:pos="8302"/>
        </w:tabs>
        <w:spacing w:line="276" w:lineRule="auto"/>
        <w:rPr>
          <w:rFonts w:eastAsiaTheme="minorEastAsia"/>
          <w:sz w:val="24"/>
        </w:rPr>
      </w:pPr>
      <w:r>
        <w:fldChar w:fldCharType="begin"/>
      </w:r>
      <w:r>
        <w:instrText xml:space="preserve"> HYPERLINK \l "_Toc206494987" </w:instrText>
      </w:r>
      <w:r>
        <w:fldChar w:fldCharType="separate"/>
      </w:r>
      <w:r>
        <w:rPr>
          <w:rStyle w:val="144"/>
          <w:bCs/>
          <w:sz w:val="24"/>
        </w:rPr>
        <w:t>5.3.3 典型环境风险影响分析</w:t>
      </w:r>
      <w:r>
        <w:rPr>
          <w:sz w:val="24"/>
        </w:rPr>
        <w:tab/>
      </w:r>
      <w:r>
        <w:rPr>
          <w:sz w:val="24"/>
        </w:rPr>
        <w:fldChar w:fldCharType="begin"/>
      </w:r>
      <w:r>
        <w:rPr>
          <w:sz w:val="24"/>
        </w:rPr>
        <w:instrText xml:space="preserve"> PAGEREF _Toc206494987 \h </w:instrText>
      </w:r>
      <w:r>
        <w:rPr>
          <w:sz w:val="24"/>
        </w:rPr>
        <w:fldChar w:fldCharType="separate"/>
      </w:r>
      <w:r>
        <w:rPr>
          <w:sz w:val="24"/>
        </w:rPr>
        <w:t>182</w:t>
      </w:r>
      <w:r>
        <w:rPr>
          <w:sz w:val="24"/>
        </w:rPr>
        <w:fldChar w:fldCharType="end"/>
      </w:r>
      <w:r>
        <w:rPr>
          <w:sz w:val="24"/>
        </w:rPr>
        <w:fldChar w:fldCharType="end"/>
      </w:r>
    </w:p>
    <w:p w14:paraId="448761EC">
      <w:pPr>
        <w:pStyle w:val="44"/>
        <w:tabs>
          <w:tab w:val="right" w:leader="dot" w:pos="8302"/>
        </w:tabs>
        <w:spacing w:line="276" w:lineRule="auto"/>
        <w:rPr>
          <w:rFonts w:eastAsiaTheme="minorEastAsia"/>
          <w:sz w:val="24"/>
        </w:rPr>
      </w:pPr>
      <w:r>
        <w:fldChar w:fldCharType="begin"/>
      </w:r>
      <w:r>
        <w:instrText xml:space="preserve"> HYPERLINK \l "_Toc206494988" </w:instrText>
      </w:r>
      <w:r>
        <w:fldChar w:fldCharType="separate"/>
      </w:r>
      <w:r>
        <w:rPr>
          <w:rStyle w:val="144"/>
          <w:bCs/>
          <w:sz w:val="24"/>
        </w:rPr>
        <w:t>5.3.4 环境风险管理措施</w:t>
      </w:r>
      <w:r>
        <w:rPr>
          <w:sz w:val="24"/>
        </w:rPr>
        <w:tab/>
      </w:r>
      <w:r>
        <w:rPr>
          <w:sz w:val="24"/>
        </w:rPr>
        <w:fldChar w:fldCharType="begin"/>
      </w:r>
      <w:r>
        <w:rPr>
          <w:sz w:val="24"/>
        </w:rPr>
        <w:instrText xml:space="preserve"> PAGEREF _Toc206494988 \h </w:instrText>
      </w:r>
      <w:r>
        <w:rPr>
          <w:sz w:val="24"/>
        </w:rPr>
        <w:fldChar w:fldCharType="separate"/>
      </w:r>
      <w:r>
        <w:rPr>
          <w:sz w:val="24"/>
        </w:rPr>
        <w:t>184</w:t>
      </w:r>
      <w:r>
        <w:rPr>
          <w:sz w:val="24"/>
        </w:rPr>
        <w:fldChar w:fldCharType="end"/>
      </w:r>
      <w:r>
        <w:rPr>
          <w:sz w:val="24"/>
        </w:rPr>
        <w:fldChar w:fldCharType="end"/>
      </w:r>
    </w:p>
    <w:p w14:paraId="5E263137">
      <w:pPr>
        <w:pStyle w:val="44"/>
        <w:tabs>
          <w:tab w:val="right" w:leader="dot" w:pos="8302"/>
        </w:tabs>
        <w:spacing w:line="276" w:lineRule="auto"/>
        <w:rPr>
          <w:rFonts w:eastAsiaTheme="minorEastAsia"/>
          <w:sz w:val="24"/>
        </w:rPr>
      </w:pPr>
      <w:r>
        <w:fldChar w:fldCharType="begin"/>
      </w:r>
      <w:r>
        <w:instrText xml:space="preserve"> HYPERLINK \l "_Toc206494989" </w:instrText>
      </w:r>
      <w:r>
        <w:fldChar w:fldCharType="separate"/>
      </w:r>
      <w:r>
        <w:rPr>
          <w:rStyle w:val="144"/>
          <w:bCs/>
          <w:sz w:val="24"/>
        </w:rPr>
        <w:t>5.3.5 环境风险防范措施</w:t>
      </w:r>
      <w:r>
        <w:rPr>
          <w:sz w:val="24"/>
        </w:rPr>
        <w:tab/>
      </w:r>
      <w:r>
        <w:rPr>
          <w:sz w:val="24"/>
        </w:rPr>
        <w:fldChar w:fldCharType="begin"/>
      </w:r>
      <w:r>
        <w:rPr>
          <w:sz w:val="24"/>
        </w:rPr>
        <w:instrText xml:space="preserve"> PAGEREF _Toc206494989 \h </w:instrText>
      </w:r>
      <w:r>
        <w:rPr>
          <w:sz w:val="24"/>
        </w:rPr>
        <w:fldChar w:fldCharType="separate"/>
      </w:r>
      <w:r>
        <w:rPr>
          <w:sz w:val="24"/>
        </w:rPr>
        <w:t>185</w:t>
      </w:r>
      <w:r>
        <w:rPr>
          <w:sz w:val="24"/>
        </w:rPr>
        <w:fldChar w:fldCharType="end"/>
      </w:r>
      <w:r>
        <w:rPr>
          <w:sz w:val="24"/>
        </w:rPr>
        <w:fldChar w:fldCharType="end"/>
      </w:r>
    </w:p>
    <w:p w14:paraId="7E4C416C">
      <w:pPr>
        <w:pStyle w:val="44"/>
        <w:tabs>
          <w:tab w:val="right" w:leader="dot" w:pos="8302"/>
        </w:tabs>
        <w:spacing w:line="276" w:lineRule="auto"/>
        <w:rPr>
          <w:rFonts w:eastAsiaTheme="minorEastAsia"/>
          <w:sz w:val="24"/>
        </w:rPr>
      </w:pPr>
      <w:r>
        <w:fldChar w:fldCharType="begin"/>
      </w:r>
      <w:r>
        <w:instrText xml:space="preserve"> HYPERLINK \l "_Toc206494990" </w:instrText>
      </w:r>
      <w:r>
        <w:fldChar w:fldCharType="separate"/>
      </w:r>
      <w:r>
        <w:rPr>
          <w:rStyle w:val="144"/>
          <w:bCs/>
          <w:sz w:val="24"/>
        </w:rPr>
        <w:t>5.3.6 风险防范应急预案</w:t>
      </w:r>
      <w:r>
        <w:rPr>
          <w:sz w:val="24"/>
        </w:rPr>
        <w:tab/>
      </w:r>
      <w:r>
        <w:rPr>
          <w:sz w:val="24"/>
        </w:rPr>
        <w:fldChar w:fldCharType="begin"/>
      </w:r>
      <w:r>
        <w:rPr>
          <w:sz w:val="24"/>
        </w:rPr>
        <w:instrText xml:space="preserve"> PAGEREF _Toc206494990 \h </w:instrText>
      </w:r>
      <w:r>
        <w:rPr>
          <w:sz w:val="24"/>
        </w:rPr>
        <w:fldChar w:fldCharType="separate"/>
      </w:r>
      <w:r>
        <w:rPr>
          <w:sz w:val="24"/>
        </w:rPr>
        <w:t>188</w:t>
      </w:r>
      <w:r>
        <w:rPr>
          <w:sz w:val="24"/>
        </w:rPr>
        <w:fldChar w:fldCharType="end"/>
      </w:r>
      <w:r>
        <w:rPr>
          <w:sz w:val="24"/>
        </w:rPr>
        <w:fldChar w:fldCharType="end"/>
      </w:r>
    </w:p>
    <w:p w14:paraId="7A60E696">
      <w:pPr>
        <w:pStyle w:val="44"/>
        <w:tabs>
          <w:tab w:val="right" w:leader="dot" w:pos="8302"/>
        </w:tabs>
        <w:spacing w:line="276" w:lineRule="auto"/>
        <w:rPr>
          <w:rFonts w:eastAsiaTheme="minorEastAsia"/>
          <w:sz w:val="24"/>
        </w:rPr>
      </w:pPr>
      <w:r>
        <w:fldChar w:fldCharType="begin"/>
      </w:r>
      <w:r>
        <w:instrText xml:space="preserve"> HYPERLINK \l "_Toc206494991" </w:instrText>
      </w:r>
      <w:r>
        <w:fldChar w:fldCharType="separate"/>
      </w:r>
      <w:r>
        <w:rPr>
          <w:rStyle w:val="144"/>
          <w:bCs/>
          <w:sz w:val="24"/>
        </w:rPr>
        <w:t>5.3.7 区域连带风险应急措施</w:t>
      </w:r>
      <w:r>
        <w:rPr>
          <w:sz w:val="24"/>
        </w:rPr>
        <w:tab/>
      </w:r>
      <w:r>
        <w:rPr>
          <w:sz w:val="24"/>
        </w:rPr>
        <w:fldChar w:fldCharType="begin"/>
      </w:r>
      <w:r>
        <w:rPr>
          <w:sz w:val="24"/>
        </w:rPr>
        <w:instrText xml:space="preserve"> PAGEREF _Toc206494991 \h </w:instrText>
      </w:r>
      <w:r>
        <w:rPr>
          <w:sz w:val="24"/>
        </w:rPr>
        <w:fldChar w:fldCharType="separate"/>
      </w:r>
      <w:r>
        <w:rPr>
          <w:sz w:val="24"/>
        </w:rPr>
        <w:t>190</w:t>
      </w:r>
      <w:r>
        <w:rPr>
          <w:sz w:val="24"/>
        </w:rPr>
        <w:fldChar w:fldCharType="end"/>
      </w:r>
      <w:r>
        <w:rPr>
          <w:sz w:val="24"/>
        </w:rPr>
        <w:fldChar w:fldCharType="end"/>
      </w:r>
    </w:p>
    <w:p w14:paraId="313E6A65">
      <w:pPr>
        <w:pStyle w:val="74"/>
        <w:tabs>
          <w:tab w:val="right" w:leader="dot" w:pos="8302"/>
        </w:tabs>
        <w:spacing w:line="276" w:lineRule="auto"/>
        <w:rPr>
          <w:rFonts w:eastAsiaTheme="minorEastAsia"/>
          <w:sz w:val="24"/>
        </w:rPr>
      </w:pPr>
      <w:r>
        <w:fldChar w:fldCharType="begin"/>
      </w:r>
      <w:r>
        <w:instrText xml:space="preserve"> HYPERLINK \l "_Toc206494992" </w:instrText>
      </w:r>
      <w:r>
        <w:fldChar w:fldCharType="separate"/>
      </w:r>
      <w:r>
        <w:rPr>
          <w:rStyle w:val="144"/>
          <w:bCs/>
          <w:sz w:val="24"/>
        </w:rPr>
        <w:t>5.4 累积环境影响分析</w:t>
      </w:r>
      <w:r>
        <w:rPr>
          <w:sz w:val="24"/>
        </w:rPr>
        <w:tab/>
      </w:r>
      <w:r>
        <w:rPr>
          <w:sz w:val="24"/>
        </w:rPr>
        <w:fldChar w:fldCharType="begin"/>
      </w:r>
      <w:r>
        <w:rPr>
          <w:sz w:val="24"/>
        </w:rPr>
        <w:instrText xml:space="preserve"> PAGEREF _Toc206494992 \h </w:instrText>
      </w:r>
      <w:r>
        <w:rPr>
          <w:sz w:val="24"/>
        </w:rPr>
        <w:fldChar w:fldCharType="separate"/>
      </w:r>
      <w:r>
        <w:rPr>
          <w:sz w:val="24"/>
        </w:rPr>
        <w:t>190</w:t>
      </w:r>
      <w:r>
        <w:rPr>
          <w:sz w:val="24"/>
        </w:rPr>
        <w:fldChar w:fldCharType="end"/>
      </w:r>
      <w:r>
        <w:rPr>
          <w:sz w:val="24"/>
        </w:rPr>
        <w:fldChar w:fldCharType="end"/>
      </w:r>
    </w:p>
    <w:p w14:paraId="35D774C3">
      <w:pPr>
        <w:pStyle w:val="74"/>
        <w:tabs>
          <w:tab w:val="right" w:leader="dot" w:pos="8302"/>
        </w:tabs>
        <w:spacing w:line="276" w:lineRule="auto"/>
        <w:rPr>
          <w:rFonts w:eastAsiaTheme="minorEastAsia"/>
          <w:sz w:val="24"/>
        </w:rPr>
      </w:pPr>
      <w:r>
        <w:fldChar w:fldCharType="begin"/>
      </w:r>
      <w:r>
        <w:instrText xml:space="preserve"> HYPERLINK \l "_Toc206494993" </w:instrText>
      </w:r>
      <w:r>
        <w:fldChar w:fldCharType="separate"/>
      </w:r>
      <w:r>
        <w:rPr>
          <w:rStyle w:val="144"/>
          <w:bCs/>
          <w:sz w:val="24"/>
        </w:rPr>
        <w:t>5.5 社会经济影响分析</w:t>
      </w:r>
      <w:r>
        <w:rPr>
          <w:sz w:val="24"/>
        </w:rPr>
        <w:tab/>
      </w:r>
      <w:r>
        <w:rPr>
          <w:sz w:val="24"/>
        </w:rPr>
        <w:fldChar w:fldCharType="begin"/>
      </w:r>
      <w:r>
        <w:rPr>
          <w:sz w:val="24"/>
        </w:rPr>
        <w:instrText xml:space="preserve"> PAGEREF _Toc206494993 \h </w:instrText>
      </w:r>
      <w:r>
        <w:rPr>
          <w:sz w:val="24"/>
        </w:rPr>
        <w:fldChar w:fldCharType="separate"/>
      </w:r>
      <w:r>
        <w:rPr>
          <w:sz w:val="24"/>
        </w:rPr>
        <w:t>191</w:t>
      </w:r>
      <w:r>
        <w:rPr>
          <w:sz w:val="24"/>
        </w:rPr>
        <w:fldChar w:fldCharType="end"/>
      </w:r>
      <w:r>
        <w:rPr>
          <w:sz w:val="24"/>
        </w:rPr>
        <w:fldChar w:fldCharType="end"/>
      </w:r>
    </w:p>
    <w:p w14:paraId="196D65D1">
      <w:pPr>
        <w:pStyle w:val="74"/>
        <w:tabs>
          <w:tab w:val="right" w:leader="dot" w:pos="8302"/>
        </w:tabs>
        <w:spacing w:line="276" w:lineRule="auto"/>
        <w:rPr>
          <w:rFonts w:eastAsiaTheme="minorEastAsia"/>
          <w:sz w:val="24"/>
        </w:rPr>
      </w:pPr>
      <w:r>
        <w:fldChar w:fldCharType="begin"/>
      </w:r>
      <w:r>
        <w:instrText xml:space="preserve"> HYPERLINK \l "_Toc206494994" </w:instrText>
      </w:r>
      <w:r>
        <w:fldChar w:fldCharType="separate"/>
      </w:r>
      <w:r>
        <w:rPr>
          <w:rStyle w:val="144"/>
          <w:bCs/>
          <w:sz w:val="24"/>
        </w:rPr>
        <w:t>5.6 碳排放评价</w:t>
      </w:r>
      <w:r>
        <w:rPr>
          <w:sz w:val="24"/>
        </w:rPr>
        <w:tab/>
      </w:r>
      <w:r>
        <w:rPr>
          <w:sz w:val="24"/>
        </w:rPr>
        <w:fldChar w:fldCharType="begin"/>
      </w:r>
      <w:r>
        <w:rPr>
          <w:sz w:val="24"/>
        </w:rPr>
        <w:instrText xml:space="preserve"> PAGEREF _Toc206494994 \h </w:instrText>
      </w:r>
      <w:r>
        <w:rPr>
          <w:sz w:val="24"/>
        </w:rPr>
        <w:fldChar w:fldCharType="separate"/>
      </w:r>
      <w:r>
        <w:rPr>
          <w:sz w:val="24"/>
        </w:rPr>
        <w:t>192</w:t>
      </w:r>
      <w:r>
        <w:rPr>
          <w:sz w:val="24"/>
        </w:rPr>
        <w:fldChar w:fldCharType="end"/>
      </w:r>
      <w:r>
        <w:rPr>
          <w:sz w:val="24"/>
        </w:rPr>
        <w:fldChar w:fldCharType="end"/>
      </w:r>
    </w:p>
    <w:p w14:paraId="76B93FD7">
      <w:pPr>
        <w:pStyle w:val="44"/>
        <w:tabs>
          <w:tab w:val="right" w:leader="dot" w:pos="8302"/>
        </w:tabs>
        <w:spacing w:line="276" w:lineRule="auto"/>
        <w:rPr>
          <w:rFonts w:eastAsiaTheme="minorEastAsia"/>
          <w:sz w:val="24"/>
        </w:rPr>
      </w:pPr>
      <w:r>
        <w:fldChar w:fldCharType="begin"/>
      </w:r>
      <w:r>
        <w:instrText xml:space="preserve"> HYPERLINK \l "_Toc206494995" </w:instrText>
      </w:r>
      <w:r>
        <w:fldChar w:fldCharType="separate"/>
      </w:r>
      <w:r>
        <w:rPr>
          <w:rStyle w:val="144"/>
          <w:bCs/>
          <w:sz w:val="24"/>
        </w:rPr>
        <w:t>5.6.1 碳排放背景</w:t>
      </w:r>
      <w:r>
        <w:rPr>
          <w:sz w:val="24"/>
        </w:rPr>
        <w:tab/>
      </w:r>
      <w:r>
        <w:rPr>
          <w:sz w:val="24"/>
        </w:rPr>
        <w:fldChar w:fldCharType="begin"/>
      </w:r>
      <w:r>
        <w:rPr>
          <w:sz w:val="24"/>
        </w:rPr>
        <w:instrText xml:space="preserve"> PAGEREF _Toc206494995 \h </w:instrText>
      </w:r>
      <w:r>
        <w:rPr>
          <w:sz w:val="24"/>
        </w:rPr>
        <w:fldChar w:fldCharType="separate"/>
      </w:r>
      <w:r>
        <w:rPr>
          <w:sz w:val="24"/>
        </w:rPr>
        <w:t>192</w:t>
      </w:r>
      <w:r>
        <w:rPr>
          <w:sz w:val="24"/>
        </w:rPr>
        <w:fldChar w:fldCharType="end"/>
      </w:r>
      <w:r>
        <w:rPr>
          <w:sz w:val="24"/>
        </w:rPr>
        <w:fldChar w:fldCharType="end"/>
      </w:r>
    </w:p>
    <w:p w14:paraId="74C91B72">
      <w:pPr>
        <w:pStyle w:val="44"/>
        <w:tabs>
          <w:tab w:val="right" w:leader="dot" w:pos="8302"/>
        </w:tabs>
        <w:spacing w:line="276" w:lineRule="auto"/>
        <w:rPr>
          <w:rFonts w:eastAsiaTheme="minorEastAsia"/>
          <w:sz w:val="24"/>
        </w:rPr>
      </w:pPr>
      <w:r>
        <w:fldChar w:fldCharType="begin"/>
      </w:r>
      <w:r>
        <w:instrText xml:space="preserve"> HYPERLINK \l "_Toc206494996" </w:instrText>
      </w:r>
      <w:r>
        <w:fldChar w:fldCharType="separate"/>
      </w:r>
      <w:r>
        <w:rPr>
          <w:rStyle w:val="144"/>
          <w:bCs/>
          <w:sz w:val="24"/>
        </w:rPr>
        <w:t>5.6.2 碳排放分析</w:t>
      </w:r>
      <w:r>
        <w:rPr>
          <w:sz w:val="24"/>
        </w:rPr>
        <w:tab/>
      </w:r>
      <w:r>
        <w:rPr>
          <w:sz w:val="24"/>
        </w:rPr>
        <w:fldChar w:fldCharType="begin"/>
      </w:r>
      <w:r>
        <w:rPr>
          <w:sz w:val="24"/>
        </w:rPr>
        <w:instrText xml:space="preserve"> PAGEREF _Toc206494996 \h </w:instrText>
      </w:r>
      <w:r>
        <w:rPr>
          <w:sz w:val="24"/>
        </w:rPr>
        <w:fldChar w:fldCharType="separate"/>
      </w:r>
      <w:r>
        <w:rPr>
          <w:sz w:val="24"/>
        </w:rPr>
        <w:t>193</w:t>
      </w:r>
      <w:r>
        <w:rPr>
          <w:sz w:val="24"/>
        </w:rPr>
        <w:fldChar w:fldCharType="end"/>
      </w:r>
      <w:r>
        <w:rPr>
          <w:sz w:val="24"/>
        </w:rPr>
        <w:fldChar w:fldCharType="end"/>
      </w:r>
    </w:p>
    <w:p w14:paraId="4E156434">
      <w:pPr>
        <w:pStyle w:val="44"/>
        <w:tabs>
          <w:tab w:val="right" w:leader="dot" w:pos="8302"/>
        </w:tabs>
        <w:spacing w:line="276" w:lineRule="auto"/>
        <w:rPr>
          <w:rFonts w:eastAsiaTheme="minorEastAsia"/>
          <w:sz w:val="24"/>
        </w:rPr>
      </w:pPr>
      <w:r>
        <w:fldChar w:fldCharType="begin"/>
      </w:r>
      <w:r>
        <w:instrText xml:space="preserve"> HYPERLINK \l "_Toc206494997" </w:instrText>
      </w:r>
      <w:r>
        <w:fldChar w:fldCharType="separate"/>
      </w:r>
      <w:r>
        <w:rPr>
          <w:rStyle w:val="144"/>
          <w:bCs/>
          <w:sz w:val="24"/>
        </w:rPr>
        <w:t>5.6.3 碳减排潜力分析及建议</w:t>
      </w:r>
      <w:r>
        <w:rPr>
          <w:sz w:val="24"/>
        </w:rPr>
        <w:tab/>
      </w:r>
      <w:r>
        <w:rPr>
          <w:sz w:val="24"/>
        </w:rPr>
        <w:fldChar w:fldCharType="begin"/>
      </w:r>
      <w:r>
        <w:rPr>
          <w:sz w:val="24"/>
        </w:rPr>
        <w:instrText xml:space="preserve"> PAGEREF _Toc206494997 \h </w:instrText>
      </w:r>
      <w:r>
        <w:rPr>
          <w:sz w:val="24"/>
        </w:rPr>
        <w:fldChar w:fldCharType="separate"/>
      </w:r>
      <w:r>
        <w:rPr>
          <w:sz w:val="24"/>
        </w:rPr>
        <w:t>194</w:t>
      </w:r>
      <w:r>
        <w:rPr>
          <w:sz w:val="24"/>
        </w:rPr>
        <w:fldChar w:fldCharType="end"/>
      </w:r>
      <w:r>
        <w:rPr>
          <w:sz w:val="24"/>
        </w:rPr>
        <w:fldChar w:fldCharType="end"/>
      </w:r>
    </w:p>
    <w:p w14:paraId="3A8FCF04">
      <w:pPr>
        <w:pStyle w:val="44"/>
        <w:tabs>
          <w:tab w:val="right" w:leader="dot" w:pos="8302"/>
        </w:tabs>
        <w:spacing w:line="276" w:lineRule="auto"/>
        <w:rPr>
          <w:rFonts w:eastAsiaTheme="minorEastAsia"/>
          <w:sz w:val="24"/>
        </w:rPr>
      </w:pPr>
      <w:r>
        <w:fldChar w:fldCharType="begin"/>
      </w:r>
      <w:r>
        <w:instrText xml:space="preserve"> HYPERLINK \l "_Toc206494998" </w:instrText>
      </w:r>
      <w:r>
        <w:fldChar w:fldCharType="separate"/>
      </w:r>
      <w:r>
        <w:rPr>
          <w:rStyle w:val="144"/>
          <w:bCs/>
          <w:sz w:val="24"/>
        </w:rPr>
        <w:t>5.6.4 碳排放管控对策和措施</w:t>
      </w:r>
      <w:r>
        <w:rPr>
          <w:sz w:val="24"/>
        </w:rPr>
        <w:tab/>
      </w:r>
      <w:r>
        <w:rPr>
          <w:sz w:val="24"/>
        </w:rPr>
        <w:fldChar w:fldCharType="begin"/>
      </w:r>
      <w:r>
        <w:rPr>
          <w:sz w:val="24"/>
        </w:rPr>
        <w:instrText xml:space="preserve"> PAGEREF _Toc206494998 \h </w:instrText>
      </w:r>
      <w:r>
        <w:rPr>
          <w:sz w:val="24"/>
        </w:rPr>
        <w:fldChar w:fldCharType="separate"/>
      </w:r>
      <w:r>
        <w:rPr>
          <w:sz w:val="24"/>
        </w:rPr>
        <w:t>194</w:t>
      </w:r>
      <w:r>
        <w:rPr>
          <w:sz w:val="24"/>
        </w:rPr>
        <w:fldChar w:fldCharType="end"/>
      </w:r>
      <w:r>
        <w:rPr>
          <w:sz w:val="24"/>
        </w:rPr>
        <w:fldChar w:fldCharType="end"/>
      </w:r>
    </w:p>
    <w:p w14:paraId="3D33A5A3">
      <w:pPr>
        <w:pStyle w:val="74"/>
        <w:tabs>
          <w:tab w:val="right" w:leader="dot" w:pos="8302"/>
        </w:tabs>
        <w:spacing w:line="276" w:lineRule="auto"/>
        <w:rPr>
          <w:rFonts w:eastAsiaTheme="minorEastAsia"/>
          <w:sz w:val="24"/>
        </w:rPr>
      </w:pPr>
      <w:r>
        <w:fldChar w:fldCharType="begin"/>
      </w:r>
      <w:r>
        <w:instrText xml:space="preserve"> HYPERLINK \l "_Toc206494999" </w:instrText>
      </w:r>
      <w:r>
        <w:fldChar w:fldCharType="separate"/>
      </w:r>
      <w:r>
        <w:rPr>
          <w:rStyle w:val="144"/>
          <w:bCs/>
          <w:sz w:val="24"/>
        </w:rPr>
        <w:t>5.7 资源与环境承载力分析与评价</w:t>
      </w:r>
      <w:r>
        <w:rPr>
          <w:sz w:val="24"/>
        </w:rPr>
        <w:tab/>
      </w:r>
      <w:r>
        <w:rPr>
          <w:sz w:val="24"/>
        </w:rPr>
        <w:fldChar w:fldCharType="begin"/>
      </w:r>
      <w:r>
        <w:rPr>
          <w:sz w:val="24"/>
        </w:rPr>
        <w:instrText xml:space="preserve"> PAGEREF _Toc206494999 \h </w:instrText>
      </w:r>
      <w:r>
        <w:rPr>
          <w:sz w:val="24"/>
        </w:rPr>
        <w:fldChar w:fldCharType="separate"/>
      </w:r>
      <w:r>
        <w:rPr>
          <w:sz w:val="24"/>
        </w:rPr>
        <w:t>196</w:t>
      </w:r>
      <w:r>
        <w:rPr>
          <w:sz w:val="24"/>
        </w:rPr>
        <w:fldChar w:fldCharType="end"/>
      </w:r>
      <w:r>
        <w:rPr>
          <w:sz w:val="24"/>
        </w:rPr>
        <w:fldChar w:fldCharType="end"/>
      </w:r>
    </w:p>
    <w:p w14:paraId="3B085FE1">
      <w:pPr>
        <w:pStyle w:val="44"/>
        <w:tabs>
          <w:tab w:val="right" w:leader="dot" w:pos="8302"/>
        </w:tabs>
        <w:spacing w:line="276" w:lineRule="auto"/>
        <w:rPr>
          <w:rFonts w:eastAsiaTheme="minorEastAsia"/>
          <w:sz w:val="24"/>
        </w:rPr>
      </w:pPr>
      <w:r>
        <w:fldChar w:fldCharType="begin"/>
      </w:r>
      <w:r>
        <w:instrText xml:space="preserve"> HYPERLINK \l "_Toc206495000" </w:instrText>
      </w:r>
      <w:r>
        <w:fldChar w:fldCharType="separate"/>
      </w:r>
      <w:r>
        <w:rPr>
          <w:rStyle w:val="144"/>
          <w:bCs/>
          <w:sz w:val="24"/>
        </w:rPr>
        <w:t>5.7.1 环境空气承载能力分析与评价</w:t>
      </w:r>
      <w:r>
        <w:rPr>
          <w:sz w:val="24"/>
        </w:rPr>
        <w:tab/>
      </w:r>
      <w:r>
        <w:rPr>
          <w:sz w:val="24"/>
        </w:rPr>
        <w:fldChar w:fldCharType="begin"/>
      </w:r>
      <w:r>
        <w:rPr>
          <w:sz w:val="24"/>
        </w:rPr>
        <w:instrText xml:space="preserve"> PAGEREF _Toc206495000 \h </w:instrText>
      </w:r>
      <w:r>
        <w:rPr>
          <w:sz w:val="24"/>
        </w:rPr>
        <w:fldChar w:fldCharType="separate"/>
      </w:r>
      <w:r>
        <w:rPr>
          <w:sz w:val="24"/>
        </w:rPr>
        <w:t>196</w:t>
      </w:r>
      <w:r>
        <w:rPr>
          <w:sz w:val="24"/>
        </w:rPr>
        <w:fldChar w:fldCharType="end"/>
      </w:r>
      <w:r>
        <w:rPr>
          <w:sz w:val="24"/>
        </w:rPr>
        <w:fldChar w:fldCharType="end"/>
      </w:r>
    </w:p>
    <w:p w14:paraId="69092A8D">
      <w:pPr>
        <w:pStyle w:val="44"/>
        <w:tabs>
          <w:tab w:val="right" w:leader="dot" w:pos="8302"/>
        </w:tabs>
        <w:spacing w:line="276" w:lineRule="auto"/>
        <w:rPr>
          <w:rFonts w:eastAsiaTheme="minorEastAsia"/>
          <w:sz w:val="24"/>
        </w:rPr>
      </w:pPr>
      <w:r>
        <w:fldChar w:fldCharType="begin"/>
      </w:r>
      <w:r>
        <w:instrText xml:space="preserve"> HYPERLINK \l "_Toc206495001" </w:instrText>
      </w:r>
      <w:r>
        <w:fldChar w:fldCharType="separate"/>
      </w:r>
      <w:r>
        <w:rPr>
          <w:rStyle w:val="144"/>
          <w:bCs/>
          <w:sz w:val="24"/>
        </w:rPr>
        <w:t>5.7.2 地表水环境承载能力分析与评价</w:t>
      </w:r>
      <w:r>
        <w:rPr>
          <w:sz w:val="24"/>
        </w:rPr>
        <w:tab/>
      </w:r>
      <w:r>
        <w:rPr>
          <w:sz w:val="24"/>
        </w:rPr>
        <w:fldChar w:fldCharType="begin"/>
      </w:r>
      <w:r>
        <w:rPr>
          <w:sz w:val="24"/>
        </w:rPr>
        <w:instrText xml:space="preserve"> PAGEREF _Toc206495001 \h </w:instrText>
      </w:r>
      <w:r>
        <w:rPr>
          <w:sz w:val="24"/>
        </w:rPr>
        <w:fldChar w:fldCharType="separate"/>
      </w:r>
      <w:r>
        <w:rPr>
          <w:sz w:val="24"/>
        </w:rPr>
        <w:t>197</w:t>
      </w:r>
      <w:r>
        <w:rPr>
          <w:sz w:val="24"/>
        </w:rPr>
        <w:fldChar w:fldCharType="end"/>
      </w:r>
      <w:r>
        <w:rPr>
          <w:sz w:val="24"/>
        </w:rPr>
        <w:fldChar w:fldCharType="end"/>
      </w:r>
    </w:p>
    <w:p w14:paraId="1238D742">
      <w:pPr>
        <w:pStyle w:val="44"/>
        <w:tabs>
          <w:tab w:val="right" w:leader="dot" w:pos="8302"/>
        </w:tabs>
        <w:spacing w:line="276" w:lineRule="auto"/>
        <w:rPr>
          <w:rFonts w:eastAsiaTheme="minorEastAsia"/>
          <w:sz w:val="24"/>
        </w:rPr>
      </w:pPr>
      <w:r>
        <w:fldChar w:fldCharType="begin"/>
      </w:r>
      <w:r>
        <w:instrText xml:space="preserve"> HYPERLINK \l "_Toc206495002" </w:instrText>
      </w:r>
      <w:r>
        <w:fldChar w:fldCharType="separate"/>
      </w:r>
      <w:r>
        <w:rPr>
          <w:rStyle w:val="144"/>
          <w:bCs/>
          <w:sz w:val="24"/>
        </w:rPr>
        <w:t>5.7.3 固体废物承载能力分析</w:t>
      </w:r>
      <w:r>
        <w:rPr>
          <w:sz w:val="24"/>
        </w:rPr>
        <w:tab/>
      </w:r>
      <w:r>
        <w:rPr>
          <w:sz w:val="24"/>
        </w:rPr>
        <w:fldChar w:fldCharType="begin"/>
      </w:r>
      <w:r>
        <w:rPr>
          <w:sz w:val="24"/>
        </w:rPr>
        <w:instrText xml:space="preserve"> PAGEREF _Toc206495002 \h </w:instrText>
      </w:r>
      <w:r>
        <w:rPr>
          <w:sz w:val="24"/>
        </w:rPr>
        <w:fldChar w:fldCharType="separate"/>
      </w:r>
      <w:r>
        <w:rPr>
          <w:sz w:val="24"/>
        </w:rPr>
        <w:t>199</w:t>
      </w:r>
      <w:r>
        <w:rPr>
          <w:sz w:val="24"/>
        </w:rPr>
        <w:fldChar w:fldCharType="end"/>
      </w:r>
      <w:r>
        <w:rPr>
          <w:sz w:val="24"/>
        </w:rPr>
        <w:fldChar w:fldCharType="end"/>
      </w:r>
    </w:p>
    <w:p w14:paraId="3ED10F68">
      <w:pPr>
        <w:pStyle w:val="44"/>
        <w:tabs>
          <w:tab w:val="right" w:leader="dot" w:pos="8302"/>
        </w:tabs>
        <w:spacing w:line="276" w:lineRule="auto"/>
        <w:rPr>
          <w:rFonts w:eastAsiaTheme="minorEastAsia"/>
          <w:sz w:val="24"/>
        </w:rPr>
      </w:pPr>
      <w:r>
        <w:fldChar w:fldCharType="begin"/>
      </w:r>
      <w:r>
        <w:instrText xml:space="preserve"> HYPERLINK \l "_Toc206495003" </w:instrText>
      </w:r>
      <w:r>
        <w:fldChar w:fldCharType="separate"/>
      </w:r>
      <w:r>
        <w:rPr>
          <w:rStyle w:val="144"/>
          <w:bCs/>
          <w:sz w:val="24"/>
        </w:rPr>
        <w:t>5.7.4 土地承载力分析</w:t>
      </w:r>
      <w:r>
        <w:rPr>
          <w:sz w:val="24"/>
        </w:rPr>
        <w:tab/>
      </w:r>
      <w:r>
        <w:rPr>
          <w:sz w:val="24"/>
        </w:rPr>
        <w:fldChar w:fldCharType="begin"/>
      </w:r>
      <w:r>
        <w:rPr>
          <w:sz w:val="24"/>
        </w:rPr>
        <w:instrText xml:space="preserve"> PAGEREF _Toc206495003 \h </w:instrText>
      </w:r>
      <w:r>
        <w:rPr>
          <w:sz w:val="24"/>
        </w:rPr>
        <w:fldChar w:fldCharType="separate"/>
      </w:r>
      <w:r>
        <w:rPr>
          <w:sz w:val="24"/>
        </w:rPr>
        <w:t>203</w:t>
      </w:r>
      <w:r>
        <w:rPr>
          <w:sz w:val="24"/>
        </w:rPr>
        <w:fldChar w:fldCharType="end"/>
      </w:r>
      <w:r>
        <w:rPr>
          <w:sz w:val="24"/>
        </w:rPr>
        <w:fldChar w:fldCharType="end"/>
      </w:r>
    </w:p>
    <w:p w14:paraId="3F0840C0">
      <w:pPr>
        <w:pStyle w:val="44"/>
        <w:tabs>
          <w:tab w:val="right" w:leader="dot" w:pos="8302"/>
        </w:tabs>
        <w:spacing w:line="276" w:lineRule="auto"/>
        <w:rPr>
          <w:rFonts w:eastAsiaTheme="minorEastAsia"/>
          <w:sz w:val="24"/>
        </w:rPr>
      </w:pPr>
      <w:r>
        <w:fldChar w:fldCharType="begin"/>
      </w:r>
      <w:r>
        <w:instrText xml:space="preserve"> HYPERLINK \l "_Toc206495004" </w:instrText>
      </w:r>
      <w:r>
        <w:fldChar w:fldCharType="separate"/>
      </w:r>
      <w:r>
        <w:rPr>
          <w:rStyle w:val="144"/>
          <w:bCs/>
          <w:sz w:val="24"/>
        </w:rPr>
        <w:t>5.7.5 污染物总量控制建议</w:t>
      </w:r>
      <w:r>
        <w:rPr>
          <w:sz w:val="24"/>
        </w:rPr>
        <w:tab/>
      </w:r>
      <w:r>
        <w:rPr>
          <w:sz w:val="24"/>
        </w:rPr>
        <w:fldChar w:fldCharType="begin"/>
      </w:r>
      <w:r>
        <w:rPr>
          <w:sz w:val="24"/>
        </w:rPr>
        <w:instrText xml:space="preserve"> PAGEREF _Toc206495004 \h </w:instrText>
      </w:r>
      <w:r>
        <w:rPr>
          <w:sz w:val="24"/>
        </w:rPr>
        <w:fldChar w:fldCharType="separate"/>
      </w:r>
      <w:r>
        <w:rPr>
          <w:sz w:val="24"/>
        </w:rPr>
        <w:t>203</w:t>
      </w:r>
      <w:r>
        <w:rPr>
          <w:sz w:val="24"/>
        </w:rPr>
        <w:fldChar w:fldCharType="end"/>
      </w:r>
      <w:r>
        <w:rPr>
          <w:sz w:val="24"/>
        </w:rPr>
        <w:fldChar w:fldCharType="end"/>
      </w:r>
    </w:p>
    <w:p w14:paraId="7EB30A27">
      <w:pPr>
        <w:pStyle w:val="59"/>
        <w:tabs>
          <w:tab w:val="left" w:pos="420"/>
          <w:tab w:val="right" w:leader="dot" w:pos="8302"/>
        </w:tabs>
        <w:spacing w:line="276" w:lineRule="auto"/>
        <w:rPr>
          <w:rFonts w:eastAsiaTheme="minorEastAsia"/>
          <w:sz w:val="24"/>
        </w:rPr>
      </w:pPr>
      <w:r>
        <w:fldChar w:fldCharType="begin"/>
      </w:r>
      <w:r>
        <w:instrText xml:space="preserve"> HYPERLINK \l "_Toc206495005" </w:instrText>
      </w:r>
      <w:r>
        <w:fldChar w:fldCharType="separate"/>
      </w:r>
      <w:r>
        <w:rPr>
          <w:rStyle w:val="144"/>
          <w:sz w:val="24"/>
        </w:rPr>
        <w:t>6</w:t>
      </w:r>
      <w:r>
        <w:rPr>
          <w:rFonts w:eastAsiaTheme="minorEastAsia"/>
          <w:sz w:val="24"/>
        </w:rPr>
        <w:tab/>
      </w:r>
      <w:r>
        <w:rPr>
          <w:rStyle w:val="144"/>
          <w:sz w:val="24"/>
        </w:rPr>
        <w:t>规划方案综合论证及优化调整建议</w:t>
      </w:r>
      <w:r>
        <w:rPr>
          <w:sz w:val="24"/>
        </w:rPr>
        <w:tab/>
      </w:r>
      <w:r>
        <w:rPr>
          <w:sz w:val="24"/>
        </w:rPr>
        <w:fldChar w:fldCharType="begin"/>
      </w:r>
      <w:r>
        <w:rPr>
          <w:sz w:val="24"/>
        </w:rPr>
        <w:instrText xml:space="preserve"> PAGEREF _Toc206495005 \h </w:instrText>
      </w:r>
      <w:r>
        <w:rPr>
          <w:sz w:val="24"/>
        </w:rPr>
        <w:fldChar w:fldCharType="separate"/>
      </w:r>
      <w:r>
        <w:rPr>
          <w:sz w:val="24"/>
        </w:rPr>
        <w:t>205</w:t>
      </w:r>
      <w:r>
        <w:rPr>
          <w:sz w:val="24"/>
        </w:rPr>
        <w:fldChar w:fldCharType="end"/>
      </w:r>
      <w:r>
        <w:rPr>
          <w:sz w:val="24"/>
        </w:rPr>
        <w:fldChar w:fldCharType="end"/>
      </w:r>
    </w:p>
    <w:p w14:paraId="6C494445">
      <w:pPr>
        <w:pStyle w:val="74"/>
        <w:tabs>
          <w:tab w:val="right" w:leader="dot" w:pos="8302"/>
        </w:tabs>
        <w:spacing w:line="276" w:lineRule="auto"/>
        <w:rPr>
          <w:rFonts w:eastAsiaTheme="minorEastAsia"/>
          <w:sz w:val="24"/>
        </w:rPr>
      </w:pPr>
      <w:r>
        <w:fldChar w:fldCharType="begin"/>
      </w:r>
      <w:r>
        <w:instrText xml:space="preserve"> HYPERLINK \l "_Toc206495006" </w:instrText>
      </w:r>
      <w:r>
        <w:fldChar w:fldCharType="separate"/>
      </w:r>
      <w:r>
        <w:rPr>
          <w:rStyle w:val="144"/>
          <w:bCs/>
          <w:sz w:val="24"/>
        </w:rPr>
        <w:t>6.1 规划方案综合论证</w:t>
      </w:r>
      <w:r>
        <w:rPr>
          <w:sz w:val="24"/>
        </w:rPr>
        <w:tab/>
      </w:r>
      <w:r>
        <w:rPr>
          <w:sz w:val="24"/>
        </w:rPr>
        <w:fldChar w:fldCharType="begin"/>
      </w:r>
      <w:r>
        <w:rPr>
          <w:sz w:val="24"/>
        </w:rPr>
        <w:instrText xml:space="preserve"> PAGEREF _Toc206495006 \h </w:instrText>
      </w:r>
      <w:r>
        <w:rPr>
          <w:sz w:val="24"/>
        </w:rPr>
        <w:fldChar w:fldCharType="separate"/>
      </w:r>
      <w:r>
        <w:rPr>
          <w:sz w:val="24"/>
        </w:rPr>
        <w:t>205</w:t>
      </w:r>
      <w:r>
        <w:rPr>
          <w:sz w:val="24"/>
        </w:rPr>
        <w:fldChar w:fldCharType="end"/>
      </w:r>
      <w:r>
        <w:rPr>
          <w:sz w:val="24"/>
        </w:rPr>
        <w:fldChar w:fldCharType="end"/>
      </w:r>
    </w:p>
    <w:p w14:paraId="3A05EAB2">
      <w:pPr>
        <w:pStyle w:val="44"/>
        <w:tabs>
          <w:tab w:val="right" w:leader="dot" w:pos="8302"/>
        </w:tabs>
        <w:spacing w:line="276" w:lineRule="auto"/>
        <w:rPr>
          <w:rFonts w:eastAsiaTheme="minorEastAsia"/>
          <w:sz w:val="24"/>
        </w:rPr>
      </w:pPr>
      <w:r>
        <w:fldChar w:fldCharType="begin"/>
      </w:r>
      <w:r>
        <w:instrText xml:space="preserve"> HYPERLINK \l "_Toc206495007" </w:instrText>
      </w:r>
      <w:r>
        <w:fldChar w:fldCharType="separate"/>
      </w:r>
      <w:r>
        <w:rPr>
          <w:rStyle w:val="144"/>
          <w:bCs/>
          <w:sz w:val="24"/>
        </w:rPr>
        <w:t>6.1.1 规划目标与发展定位的合理性</w:t>
      </w:r>
      <w:r>
        <w:rPr>
          <w:sz w:val="24"/>
        </w:rPr>
        <w:tab/>
      </w:r>
      <w:r>
        <w:rPr>
          <w:sz w:val="24"/>
        </w:rPr>
        <w:fldChar w:fldCharType="begin"/>
      </w:r>
      <w:r>
        <w:rPr>
          <w:sz w:val="24"/>
        </w:rPr>
        <w:instrText xml:space="preserve"> PAGEREF _Toc206495007 \h </w:instrText>
      </w:r>
      <w:r>
        <w:rPr>
          <w:sz w:val="24"/>
        </w:rPr>
        <w:fldChar w:fldCharType="separate"/>
      </w:r>
      <w:r>
        <w:rPr>
          <w:sz w:val="24"/>
        </w:rPr>
        <w:t>205</w:t>
      </w:r>
      <w:r>
        <w:rPr>
          <w:sz w:val="24"/>
        </w:rPr>
        <w:fldChar w:fldCharType="end"/>
      </w:r>
      <w:r>
        <w:rPr>
          <w:sz w:val="24"/>
        </w:rPr>
        <w:fldChar w:fldCharType="end"/>
      </w:r>
    </w:p>
    <w:p w14:paraId="44BF73A8">
      <w:pPr>
        <w:pStyle w:val="44"/>
        <w:tabs>
          <w:tab w:val="right" w:leader="dot" w:pos="8302"/>
        </w:tabs>
        <w:spacing w:line="276" w:lineRule="auto"/>
        <w:rPr>
          <w:rFonts w:eastAsiaTheme="minorEastAsia"/>
          <w:sz w:val="24"/>
        </w:rPr>
      </w:pPr>
      <w:r>
        <w:fldChar w:fldCharType="begin"/>
      </w:r>
      <w:r>
        <w:instrText xml:space="preserve"> HYPERLINK \l "_Toc206495008" </w:instrText>
      </w:r>
      <w:r>
        <w:fldChar w:fldCharType="separate"/>
      </w:r>
      <w:r>
        <w:rPr>
          <w:rStyle w:val="144"/>
          <w:bCs/>
          <w:sz w:val="24"/>
        </w:rPr>
        <w:t>6.1.2 规划发展规模的资源环境合理性</w:t>
      </w:r>
      <w:r>
        <w:rPr>
          <w:sz w:val="24"/>
        </w:rPr>
        <w:tab/>
      </w:r>
      <w:r>
        <w:rPr>
          <w:sz w:val="24"/>
        </w:rPr>
        <w:fldChar w:fldCharType="begin"/>
      </w:r>
      <w:r>
        <w:rPr>
          <w:sz w:val="24"/>
        </w:rPr>
        <w:instrText xml:space="preserve"> PAGEREF _Toc206495008 \h </w:instrText>
      </w:r>
      <w:r>
        <w:rPr>
          <w:sz w:val="24"/>
        </w:rPr>
        <w:fldChar w:fldCharType="separate"/>
      </w:r>
      <w:r>
        <w:rPr>
          <w:sz w:val="24"/>
        </w:rPr>
        <w:t>206</w:t>
      </w:r>
      <w:r>
        <w:rPr>
          <w:sz w:val="24"/>
        </w:rPr>
        <w:fldChar w:fldCharType="end"/>
      </w:r>
      <w:r>
        <w:rPr>
          <w:sz w:val="24"/>
        </w:rPr>
        <w:fldChar w:fldCharType="end"/>
      </w:r>
    </w:p>
    <w:p w14:paraId="6641291A">
      <w:pPr>
        <w:pStyle w:val="44"/>
        <w:tabs>
          <w:tab w:val="right" w:leader="dot" w:pos="8302"/>
        </w:tabs>
        <w:spacing w:line="276" w:lineRule="auto"/>
        <w:rPr>
          <w:rFonts w:eastAsiaTheme="minorEastAsia"/>
          <w:sz w:val="24"/>
        </w:rPr>
      </w:pPr>
      <w:r>
        <w:fldChar w:fldCharType="begin"/>
      </w:r>
      <w:r>
        <w:instrText xml:space="preserve"> HYPERLINK \l "_Toc206495009" </w:instrText>
      </w:r>
      <w:r>
        <w:fldChar w:fldCharType="separate"/>
      </w:r>
      <w:r>
        <w:rPr>
          <w:rStyle w:val="144"/>
          <w:bCs/>
          <w:sz w:val="24"/>
        </w:rPr>
        <w:t>6.1.3 规划发展布局的环境合理性</w:t>
      </w:r>
      <w:r>
        <w:rPr>
          <w:sz w:val="24"/>
        </w:rPr>
        <w:tab/>
      </w:r>
      <w:r>
        <w:rPr>
          <w:sz w:val="24"/>
        </w:rPr>
        <w:fldChar w:fldCharType="begin"/>
      </w:r>
      <w:r>
        <w:rPr>
          <w:sz w:val="24"/>
        </w:rPr>
        <w:instrText xml:space="preserve"> PAGEREF _Toc206495009 \h </w:instrText>
      </w:r>
      <w:r>
        <w:rPr>
          <w:sz w:val="24"/>
        </w:rPr>
        <w:fldChar w:fldCharType="separate"/>
      </w:r>
      <w:r>
        <w:rPr>
          <w:sz w:val="24"/>
        </w:rPr>
        <w:t>208</w:t>
      </w:r>
      <w:r>
        <w:rPr>
          <w:sz w:val="24"/>
        </w:rPr>
        <w:fldChar w:fldCharType="end"/>
      </w:r>
      <w:r>
        <w:rPr>
          <w:sz w:val="24"/>
        </w:rPr>
        <w:fldChar w:fldCharType="end"/>
      </w:r>
    </w:p>
    <w:p w14:paraId="652DFCF2">
      <w:pPr>
        <w:pStyle w:val="44"/>
        <w:tabs>
          <w:tab w:val="right" w:leader="dot" w:pos="8302"/>
        </w:tabs>
        <w:spacing w:line="276" w:lineRule="auto"/>
        <w:rPr>
          <w:rFonts w:eastAsiaTheme="minorEastAsia"/>
          <w:sz w:val="24"/>
        </w:rPr>
      </w:pPr>
      <w:r>
        <w:fldChar w:fldCharType="begin"/>
      </w:r>
      <w:r>
        <w:instrText xml:space="preserve"> HYPERLINK \l "_Toc206495010" </w:instrText>
      </w:r>
      <w:r>
        <w:fldChar w:fldCharType="separate"/>
      </w:r>
      <w:r>
        <w:rPr>
          <w:rStyle w:val="144"/>
          <w:bCs/>
          <w:sz w:val="24"/>
        </w:rPr>
        <w:t>6.1.4 规划产业结构的环境合性</w:t>
      </w:r>
      <w:r>
        <w:rPr>
          <w:sz w:val="24"/>
        </w:rPr>
        <w:tab/>
      </w:r>
      <w:r>
        <w:rPr>
          <w:sz w:val="24"/>
        </w:rPr>
        <w:fldChar w:fldCharType="begin"/>
      </w:r>
      <w:r>
        <w:rPr>
          <w:sz w:val="24"/>
        </w:rPr>
        <w:instrText xml:space="preserve"> PAGEREF _Toc206495010 \h </w:instrText>
      </w:r>
      <w:r>
        <w:rPr>
          <w:sz w:val="24"/>
        </w:rPr>
        <w:fldChar w:fldCharType="separate"/>
      </w:r>
      <w:r>
        <w:rPr>
          <w:sz w:val="24"/>
        </w:rPr>
        <w:t>210</w:t>
      </w:r>
      <w:r>
        <w:rPr>
          <w:sz w:val="24"/>
        </w:rPr>
        <w:fldChar w:fldCharType="end"/>
      </w:r>
      <w:r>
        <w:rPr>
          <w:sz w:val="24"/>
        </w:rPr>
        <w:fldChar w:fldCharType="end"/>
      </w:r>
    </w:p>
    <w:p w14:paraId="37E36C9D">
      <w:pPr>
        <w:pStyle w:val="44"/>
        <w:tabs>
          <w:tab w:val="right" w:leader="dot" w:pos="8302"/>
        </w:tabs>
        <w:spacing w:line="276" w:lineRule="auto"/>
        <w:rPr>
          <w:rFonts w:eastAsiaTheme="minorEastAsia"/>
          <w:sz w:val="24"/>
        </w:rPr>
      </w:pPr>
      <w:r>
        <w:fldChar w:fldCharType="begin"/>
      </w:r>
      <w:r>
        <w:instrText xml:space="preserve"> HYPERLINK \l "_Toc206495011" </w:instrText>
      </w:r>
      <w:r>
        <w:fldChar w:fldCharType="separate"/>
      </w:r>
      <w:r>
        <w:rPr>
          <w:rStyle w:val="144"/>
          <w:bCs/>
          <w:sz w:val="24"/>
        </w:rPr>
        <w:t>6.1.5 环保基础设施合理性分析</w:t>
      </w:r>
      <w:r>
        <w:rPr>
          <w:sz w:val="24"/>
        </w:rPr>
        <w:tab/>
      </w:r>
      <w:r>
        <w:rPr>
          <w:sz w:val="24"/>
        </w:rPr>
        <w:fldChar w:fldCharType="begin"/>
      </w:r>
      <w:r>
        <w:rPr>
          <w:sz w:val="24"/>
        </w:rPr>
        <w:instrText xml:space="preserve"> PAGEREF _Toc206495011 \h </w:instrText>
      </w:r>
      <w:r>
        <w:rPr>
          <w:sz w:val="24"/>
        </w:rPr>
        <w:fldChar w:fldCharType="separate"/>
      </w:r>
      <w:r>
        <w:rPr>
          <w:sz w:val="24"/>
        </w:rPr>
        <w:t>211</w:t>
      </w:r>
      <w:r>
        <w:rPr>
          <w:sz w:val="24"/>
        </w:rPr>
        <w:fldChar w:fldCharType="end"/>
      </w:r>
      <w:r>
        <w:rPr>
          <w:sz w:val="24"/>
        </w:rPr>
        <w:fldChar w:fldCharType="end"/>
      </w:r>
    </w:p>
    <w:p w14:paraId="708D38E7">
      <w:pPr>
        <w:pStyle w:val="74"/>
        <w:tabs>
          <w:tab w:val="right" w:leader="dot" w:pos="8302"/>
        </w:tabs>
        <w:spacing w:line="276" w:lineRule="auto"/>
        <w:rPr>
          <w:rFonts w:eastAsiaTheme="minorEastAsia"/>
          <w:sz w:val="24"/>
        </w:rPr>
      </w:pPr>
      <w:r>
        <w:fldChar w:fldCharType="begin"/>
      </w:r>
      <w:r>
        <w:instrText xml:space="preserve"> HYPERLINK \l "_Toc206495012" </w:instrText>
      </w:r>
      <w:r>
        <w:fldChar w:fldCharType="separate"/>
      </w:r>
      <w:r>
        <w:rPr>
          <w:rStyle w:val="144"/>
          <w:bCs/>
          <w:sz w:val="24"/>
        </w:rPr>
        <w:t>6.2 环境保护目标的可达性</w:t>
      </w:r>
      <w:r>
        <w:rPr>
          <w:sz w:val="24"/>
        </w:rPr>
        <w:tab/>
      </w:r>
      <w:r>
        <w:rPr>
          <w:sz w:val="24"/>
        </w:rPr>
        <w:fldChar w:fldCharType="begin"/>
      </w:r>
      <w:r>
        <w:rPr>
          <w:sz w:val="24"/>
        </w:rPr>
        <w:instrText xml:space="preserve"> PAGEREF _Toc206495012 \h </w:instrText>
      </w:r>
      <w:r>
        <w:rPr>
          <w:sz w:val="24"/>
        </w:rPr>
        <w:fldChar w:fldCharType="separate"/>
      </w:r>
      <w:r>
        <w:rPr>
          <w:sz w:val="24"/>
        </w:rPr>
        <w:t>212</w:t>
      </w:r>
      <w:r>
        <w:rPr>
          <w:sz w:val="24"/>
        </w:rPr>
        <w:fldChar w:fldCharType="end"/>
      </w:r>
      <w:r>
        <w:rPr>
          <w:sz w:val="24"/>
        </w:rPr>
        <w:fldChar w:fldCharType="end"/>
      </w:r>
    </w:p>
    <w:p w14:paraId="5ACE5048">
      <w:pPr>
        <w:pStyle w:val="44"/>
        <w:tabs>
          <w:tab w:val="right" w:leader="dot" w:pos="8302"/>
        </w:tabs>
        <w:spacing w:line="276" w:lineRule="auto"/>
        <w:rPr>
          <w:rFonts w:eastAsiaTheme="minorEastAsia"/>
          <w:sz w:val="24"/>
        </w:rPr>
      </w:pPr>
      <w:r>
        <w:fldChar w:fldCharType="begin"/>
      </w:r>
      <w:r>
        <w:instrText xml:space="preserve"> HYPERLINK \l "_Toc206495013" </w:instrText>
      </w:r>
      <w:r>
        <w:fldChar w:fldCharType="separate"/>
      </w:r>
      <w:r>
        <w:rPr>
          <w:rStyle w:val="144"/>
          <w:bCs/>
          <w:sz w:val="24"/>
        </w:rPr>
        <w:t>6.2.1 环境功能区划的可达性分析</w:t>
      </w:r>
      <w:r>
        <w:rPr>
          <w:sz w:val="24"/>
        </w:rPr>
        <w:tab/>
      </w:r>
      <w:r>
        <w:rPr>
          <w:sz w:val="24"/>
        </w:rPr>
        <w:fldChar w:fldCharType="begin"/>
      </w:r>
      <w:r>
        <w:rPr>
          <w:sz w:val="24"/>
        </w:rPr>
        <w:instrText xml:space="preserve"> PAGEREF _Toc206495013 \h </w:instrText>
      </w:r>
      <w:r>
        <w:rPr>
          <w:sz w:val="24"/>
        </w:rPr>
        <w:fldChar w:fldCharType="separate"/>
      </w:r>
      <w:r>
        <w:rPr>
          <w:sz w:val="24"/>
        </w:rPr>
        <w:t>212</w:t>
      </w:r>
      <w:r>
        <w:rPr>
          <w:sz w:val="24"/>
        </w:rPr>
        <w:fldChar w:fldCharType="end"/>
      </w:r>
      <w:r>
        <w:rPr>
          <w:sz w:val="24"/>
        </w:rPr>
        <w:fldChar w:fldCharType="end"/>
      </w:r>
    </w:p>
    <w:p w14:paraId="5939A3BD">
      <w:pPr>
        <w:pStyle w:val="44"/>
        <w:tabs>
          <w:tab w:val="right" w:leader="dot" w:pos="8302"/>
        </w:tabs>
        <w:spacing w:line="276" w:lineRule="auto"/>
        <w:rPr>
          <w:rFonts w:eastAsiaTheme="minorEastAsia"/>
          <w:sz w:val="24"/>
        </w:rPr>
      </w:pPr>
      <w:r>
        <w:fldChar w:fldCharType="begin"/>
      </w:r>
      <w:r>
        <w:instrText xml:space="preserve"> HYPERLINK \l "_Toc206495014" </w:instrText>
      </w:r>
      <w:r>
        <w:fldChar w:fldCharType="separate"/>
      </w:r>
      <w:r>
        <w:rPr>
          <w:rStyle w:val="144"/>
          <w:bCs/>
          <w:sz w:val="24"/>
        </w:rPr>
        <w:t>6.2.2 区域环境质量目标可达性分析</w:t>
      </w:r>
      <w:r>
        <w:rPr>
          <w:sz w:val="24"/>
        </w:rPr>
        <w:tab/>
      </w:r>
      <w:r>
        <w:rPr>
          <w:sz w:val="24"/>
        </w:rPr>
        <w:fldChar w:fldCharType="begin"/>
      </w:r>
      <w:r>
        <w:rPr>
          <w:sz w:val="24"/>
        </w:rPr>
        <w:instrText xml:space="preserve"> PAGEREF _Toc206495014 \h </w:instrText>
      </w:r>
      <w:r>
        <w:rPr>
          <w:sz w:val="24"/>
        </w:rPr>
        <w:fldChar w:fldCharType="separate"/>
      </w:r>
      <w:r>
        <w:rPr>
          <w:sz w:val="24"/>
        </w:rPr>
        <w:t>213</w:t>
      </w:r>
      <w:r>
        <w:rPr>
          <w:sz w:val="24"/>
        </w:rPr>
        <w:fldChar w:fldCharType="end"/>
      </w:r>
      <w:r>
        <w:rPr>
          <w:sz w:val="24"/>
        </w:rPr>
        <w:fldChar w:fldCharType="end"/>
      </w:r>
    </w:p>
    <w:p w14:paraId="296E5F4E">
      <w:pPr>
        <w:pStyle w:val="44"/>
        <w:tabs>
          <w:tab w:val="right" w:leader="dot" w:pos="8302"/>
        </w:tabs>
        <w:spacing w:line="276" w:lineRule="auto"/>
        <w:rPr>
          <w:rFonts w:eastAsiaTheme="minorEastAsia"/>
          <w:sz w:val="24"/>
        </w:rPr>
      </w:pPr>
      <w:r>
        <w:fldChar w:fldCharType="begin"/>
      </w:r>
      <w:r>
        <w:instrText xml:space="preserve"> HYPERLINK \l "_Toc206495015" </w:instrText>
      </w:r>
      <w:r>
        <w:fldChar w:fldCharType="separate"/>
      </w:r>
      <w:r>
        <w:rPr>
          <w:rStyle w:val="144"/>
          <w:bCs/>
          <w:sz w:val="24"/>
        </w:rPr>
        <w:t>6.2.3 污染控制目标的可达性分析</w:t>
      </w:r>
      <w:r>
        <w:rPr>
          <w:sz w:val="24"/>
        </w:rPr>
        <w:tab/>
      </w:r>
      <w:r>
        <w:rPr>
          <w:sz w:val="24"/>
        </w:rPr>
        <w:fldChar w:fldCharType="begin"/>
      </w:r>
      <w:r>
        <w:rPr>
          <w:sz w:val="24"/>
        </w:rPr>
        <w:instrText xml:space="preserve"> PAGEREF _Toc206495015 \h </w:instrText>
      </w:r>
      <w:r>
        <w:rPr>
          <w:sz w:val="24"/>
        </w:rPr>
        <w:fldChar w:fldCharType="separate"/>
      </w:r>
      <w:r>
        <w:rPr>
          <w:sz w:val="24"/>
        </w:rPr>
        <w:t>214</w:t>
      </w:r>
      <w:r>
        <w:rPr>
          <w:sz w:val="24"/>
        </w:rPr>
        <w:fldChar w:fldCharType="end"/>
      </w:r>
      <w:r>
        <w:rPr>
          <w:sz w:val="24"/>
        </w:rPr>
        <w:fldChar w:fldCharType="end"/>
      </w:r>
    </w:p>
    <w:p w14:paraId="4BE21FD7">
      <w:pPr>
        <w:pStyle w:val="44"/>
        <w:tabs>
          <w:tab w:val="right" w:leader="dot" w:pos="8302"/>
        </w:tabs>
        <w:spacing w:line="276" w:lineRule="auto"/>
        <w:rPr>
          <w:rFonts w:eastAsiaTheme="minorEastAsia"/>
          <w:sz w:val="24"/>
        </w:rPr>
      </w:pPr>
      <w:r>
        <w:fldChar w:fldCharType="begin"/>
      </w:r>
      <w:r>
        <w:instrText xml:space="preserve"> HYPERLINK \l "_Toc206495016" </w:instrText>
      </w:r>
      <w:r>
        <w:fldChar w:fldCharType="separate"/>
      </w:r>
      <w:r>
        <w:rPr>
          <w:rStyle w:val="144"/>
          <w:bCs/>
          <w:sz w:val="24"/>
        </w:rPr>
        <w:t>6.2.4 环境管理指标可达性分析</w:t>
      </w:r>
      <w:r>
        <w:rPr>
          <w:sz w:val="24"/>
        </w:rPr>
        <w:tab/>
      </w:r>
      <w:r>
        <w:rPr>
          <w:sz w:val="24"/>
        </w:rPr>
        <w:fldChar w:fldCharType="begin"/>
      </w:r>
      <w:r>
        <w:rPr>
          <w:sz w:val="24"/>
        </w:rPr>
        <w:instrText xml:space="preserve"> PAGEREF _Toc206495016 \h </w:instrText>
      </w:r>
      <w:r>
        <w:rPr>
          <w:sz w:val="24"/>
        </w:rPr>
        <w:fldChar w:fldCharType="separate"/>
      </w:r>
      <w:r>
        <w:rPr>
          <w:sz w:val="24"/>
        </w:rPr>
        <w:t>215</w:t>
      </w:r>
      <w:r>
        <w:rPr>
          <w:sz w:val="24"/>
        </w:rPr>
        <w:fldChar w:fldCharType="end"/>
      </w:r>
      <w:r>
        <w:rPr>
          <w:sz w:val="24"/>
        </w:rPr>
        <w:fldChar w:fldCharType="end"/>
      </w:r>
    </w:p>
    <w:p w14:paraId="18CD80B9">
      <w:pPr>
        <w:pStyle w:val="44"/>
        <w:tabs>
          <w:tab w:val="right" w:leader="dot" w:pos="8302"/>
        </w:tabs>
        <w:spacing w:line="276" w:lineRule="auto"/>
        <w:rPr>
          <w:rFonts w:eastAsiaTheme="minorEastAsia"/>
          <w:sz w:val="24"/>
        </w:rPr>
      </w:pPr>
      <w:r>
        <w:fldChar w:fldCharType="begin"/>
      </w:r>
      <w:r>
        <w:instrText xml:space="preserve"> HYPERLINK \l "_Toc206495017" </w:instrText>
      </w:r>
      <w:r>
        <w:fldChar w:fldCharType="separate"/>
      </w:r>
      <w:r>
        <w:rPr>
          <w:rStyle w:val="144"/>
          <w:bCs/>
          <w:sz w:val="24"/>
        </w:rPr>
        <w:t>6.2.5 其他指标可达性分析</w:t>
      </w:r>
      <w:r>
        <w:rPr>
          <w:sz w:val="24"/>
        </w:rPr>
        <w:tab/>
      </w:r>
      <w:r>
        <w:rPr>
          <w:sz w:val="24"/>
        </w:rPr>
        <w:fldChar w:fldCharType="begin"/>
      </w:r>
      <w:r>
        <w:rPr>
          <w:sz w:val="24"/>
        </w:rPr>
        <w:instrText xml:space="preserve"> PAGEREF _Toc206495017 \h </w:instrText>
      </w:r>
      <w:r>
        <w:rPr>
          <w:sz w:val="24"/>
        </w:rPr>
        <w:fldChar w:fldCharType="separate"/>
      </w:r>
      <w:r>
        <w:rPr>
          <w:sz w:val="24"/>
        </w:rPr>
        <w:t>215</w:t>
      </w:r>
      <w:r>
        <w:rPr>
          <w:sz w:val="24"/>
        </w:rPr>
        <w:fldChar w:fldCharType="end"/>
      </w:r>
      <w:r>
        <w:rPr>
          <w:sz w:val="24"/>
        </w:rPr>
        <w:fldChar w:fldCharType="end"/>
      </w:r>
    </w:p>
    <w:p w14:paraId="62275819">
      <w:pPr>
        <w:pStyle w:val="74"/>
        <w:tabs>
          <w:tab w:val="right" w:leader="dot" w:pos="8302"/>
        </w:tabs>
        <w:spacing w:line="276" w:lineRule="auto"/>
        <w:rPr>
          <w:rFonts w:eastAsiaTheme="minorEastAsia"/>
          <w:sz w:val="24"/>
        </w:rPr>
      </w:pPr>
      <w:r>
        <w:fldChar w:fldCharType="begin"/>
      </w:r>
      <w:r>
        <w:instrText xml:space="preserve"> HYPERLINK \l "_Toc206495018" </w:instrText>
      </w:r>
      <w:r>
        <w:fldChar w:fldCharType="separate"/>
      </w:r>
      <w:r>
        <w:rPr>
          <w:rStyle w:val="144"/>
          <w:bCs/>
          <w:sz w:val="24"/>
        </w:rPr>
        <w:t>6.3 规划方案的优化调整建议</w:t>
      </w:r>
      <w:r>
        <w:rPr>
          <w:sz w:val="24"/>
        </w:rPr>
        <w:tab/>
      </w:r>
      <w:r>
        <w:rPr>
          <w:sz w:val="24"/>
        </w:rPr>
        <w:fldChar w:fldCharType="begin"/>
      </w:r>
      <w:r>
        <w:rPr>
          <w:sz w:val="24"/>
        </w:rPr>
        <w:instrText xml:space="preserve"> PAGEREF _Toc206495018 \h </w:instrText>
      </w:r>
      <w:r>
        <w:rPr>
          <w:sz w:val="24"/>
        </w:rPr>
        <w:fldChar w:fldCharType="separate"/>
      </w:r>
      <w:r>
        <w:rPr>
          <w:sz w:val="24"/>
        </w:rPr>
        <w:t>216</w:t>
      </w:r>
      <w:r>
        <w:rPr>
          <w:sz w:val="24"/>
        </w:rPr>
        <w:fldChar w:fldCharType="end"/>
      </w:r>
      <w:r>
        <w:rPr>
          <w:sz w:val="24"/>
        </w:rPr>
        <w:fldChar w:fldCharType="end"/>
      </w:r>
    </w:p>
    <w:p w14:paraId="53FAEBF9">
      <w:pPr>
        <w:pStyle w:val="44"/>
        <w:tabs>
          <w:tab w:val="right" w:leader="dot" w:pos="8302"/>
        </w:tabs>
        <w:spacing w:line="276" w:lineRule="auto"/>
        <w:rPr>
          <w:rFonts w:eastAsiaTheme="minorEastAsia"/>
          <w:sz w:val="24"/>
        </w:rPr>
      </w:pPr>
      <w:r>
        <w:fldChar w:fldCharType="begin"/>
      </w:r>
      <w:r>
        <w:instrText xml:space="preserve"> HYPERLINK \l "_Toc206495019" </w:instrText>
      </w:r>
      <w:r>
        <w:fldChar w:fldCharType="separate"/>
      </w:r>
      <w:r>
        <w:rPr>
          <w:rStyle w:val="144"/>
          <w:bCs/>
          <w:sz w:val="24"/>
        </w:rPr>
        <w:t>6.3.1 产业定位及布局的优化调整建议</w:t>
      </w:r>
      <w:r>
        <w:rPr>
          <w:sz w:val="24"/>
        </w:rPr>
        <w:tab/>
      </w:r>
      <w:r>
        <w:rPr>
          <w:sz w:val="24"/>
        </w:rPr>
        <w:fldChar w:fldCharType="begin"/>
      </w:r>
      <w:r>
        <w:rPr>
          <w:sz w:val="24"/>
        </w:rPr>
        <w:instrText xml:space="preserve"> PAGEREF _Toc206495019 \h </w:instrText>
      </w:r>
      <w:r>
        <w:rPr>
          <w:sz w:val="24"/>
        </w:rPr>
        <w:fldChar w:fldCharType="separate"/>
      </w:r>
      <w:r>
        <w:rPr>
          <w:sz w:val="24"/>
        </w:rPr>
        <w:t>216</w:t>
      </w:r>
      <w:r>
        <w:rPr>
          <w:sz w:val="24"/>
        </w:rPr>
        <w:fldChar w:fldCharType="end"/>
      </w:r>
      <w:r>
        <w:rPr>
          <w:sz w:val="24"/>
        </w:rPr>
        <w:fldChar w:fldCharType="end"/>
      </w:r>
    </w:p>
    <w:p w14:paraId="5CC67A7B">
      <w:pPr>
        <w:pStyle w:val="44"/>
        <w:tabs>
          <w:tab w:val="right" w:leader="dot" w:pos="8302"/>
        </w:tabs>
        <w:spacing w:line="276" w:lineRule="auto"/>
        <w:rPr>
          <w:rFonts w:eastAsiaTheme="minorEastAsia"/>
          <w:sz w:val="24"/>
        </w:rPr>
      </w:pPr>
      <w:r>
        <w:fldChar w:fldCharType="begin"/>
      </w:r>
      <w:r>
        <w:instrText xml:space="preserve"> HYPERLINK \l "_Toc206495020" </w:instrText>
      </w:r>
      <w:r>
        <w:fldChar w:fldCharType="separate"/>
      </w:r>
      <w:r>
        <w:rPr>
          <w:rStyle w:val="144"/>
          <w:bCs/>
          <w:sz w:val="24"/>
        </w:rPr>
        <w:t>6.3.2 环保基础设施调整建议</w:t>
      </w:r>
      <w:r>
        <w:rPr>
          <w:sz w:val="24"/>
        </w:rPr>
        <w:tab/>
      </w:r>
      <w:r>
        <w:rPr>
          <w:sz w:val="24"/>
        </w:rPr>
        <w:fldChar w:fldCharType="begin"/>
      </w:r>
      <w:r>
        <w:rPr>
          <w:sz w:val="24"/>
        </w:rPr>
        <w:instrText xml:space="preserve"> PAGEREF _Toc206495020 \h </w:instrText>
      </w:r>
      <w:r>
        <w:rPr>
          <w:sz w:val="24"/>
        </w:rPr>
        <w:fldChar w:fldCharType="separate"/>
      </w:r>
      <w:r>
        <w:rPr>
          <w:sz w:val="24"/>
        </w:rPr>
        <w:t>216</w:t>
      </w:r>
      <w:r>
        <w:rPr>
          <w:sz w:val="24"/>
        </w:rPr>
        <w:fldChar w:fldCharType="end"/>
      </w:r>
      <w:r>
        <w:rPr>
          <w:sz w:val="24"/>
        </w:rPr>
        <w:fldChar w:fldCharType="end"/>
      </w:r>
    </w:p>
    <w:p w14:paraId="170BD24C">
      <w:pPr>
        <w:pStyle w:val="44"/>
        <w:tabs>
          <w:tab w:val="right" w:leader="dot" w:pos="8302"/>
        </w:tabs>
        <w:spacing w:line="276" w:lineRule="auto"/>
        <w:rPr>
          <w:rFonts w:eastAsiaTheme="minorEastAsia"/>
          <w:sz w:val="24"/>
        </w:rPr>
      </w:pPr>
      <w:r>
        <w:fldChar w:fldCharType="begin"/>
      </w:r>
      <w:r>
        <w:instrText xml:space="preserve"> HYPERLINK \l "_Toc206495021" </w:instrText>
      </w:r>
      <w:r>
        <w:fldChar w:fldCharType="separate"/>
      </w:r>
      <w:r>
        <w:rPr>
          <w:rStyle w:val="144"/>
          <w:bCs/>
          <w:sz w:val="24"/>
        </w:rPr>
        <w:t>6.3.3 建设时序调整建议</w:t>
      </w:r>
      <w:r>
        <w:rPr>
          <w:sz w:val="24"/>
        </w:rPr>
        <w:tab/>
      </w:r>
      <w:r>
        <w:rPr>
          <w:sz w:val="24"/>
        </w:rPr>
        <w:fldChar w:fldCharType="begin"/>
      </w:r>
      <w:r>
        <w:rPr>
          <w:sz w:val="24"/>
        </w:rPr>
        <w:instrText xml:space="preserve"> PAGEREF _Toc206495021 \h </w:instrText>
      </w:r>
      <w:r>
        <w:rPr>
          <w:sz w:val="24"/>
        </w:rPr>
        <w:fldChar w:fldCharType="separate"/>
      </w:r>
      <w:r>
        <w:rPr>
          <w:sz w:val="24"/>
        </w:rPr>
        <w:t>216</w:t>
      </w:r>
      <w:r>
        <w:rPr>
          <w:sz w:val="24"/>
        </w:rPr>
        <w:fldChar w:fldCharType="end"/>
      </w:r>
      <w:r>
        <w:rPr>
          <w:sz w:val="24"/>
        </w:rPr>
        <w:fldChar w:fldCharType="end"/>
      </w:r>
    </w:p>
    <w:p w14:paraId="0CABF86E">
      <w:pPr>
        <w:pStyle w:val="44"/>
        <w:tabs>
          <w:tab w:val="right" w:leader="dot" w:pos="8302"/>
        </w:tabs>
        <w:spacing w:line="276" w:lineRule="auto"/>
        <w:rPr>
          <w:rFonts w:eastAsiaTheme="minorEastAsia"/>
          <w:sz w:val="24"/>
        </w:rPr>
      </w:pPr>
      <w:r>
        <w:fldChar w:fldCharType="begin"/>
      </w:r>
      <w:r>
        <w:instrText xml:space="preserve"> HYPERLINK \l "_Toc206495022" </w:instrText>
      </w:r>
      <w:r>
        <w:fldChar w:fldCharType="separate"/>
      </w:r>
      <w:r>
        <w:rPr>
          <w:rStyle w:val="144"/>
          <w:bCs/>
          <w:sz w:val="24"/>
        </w:rPr>
        <w:t>6.3.4 环境管理优化建议</w:t>
      </w:r>
      <w:r>
        <w:rPr>
          <w:sz w:val="24"/>
        </w:rPr>
        <w:tab/>
      </w:r>
      <w:r>
        <w:rPr>
          <w:sz w:val="24"/>
        </w:rPr>
        <w:fldChar w:fldCharType="begin"/>
      </w:r>
      <w:r>
        <w:rPr>
          <w:sz w:val="24"/>
        </w:rPr>
        <w:instrText xml:space="preserve"> PAGEREF _Toc206495022 \h </w:instrText>
      </w:r>
      <w:r>
        <w:rPr>
          <w:sz w:val="24"/>
        </w:rPr>
        <w:fldChar w:fldCharType="separate"/>
      </w:r>
      <w:r>
        <w:rPr>
          <w:sz w:val="24"/>
        </w:rPr>
        <w:t>217</w:t>
      </w:r>
      <w:r>
        <w:rPr>
          <w:sz w:val="24"/>
        </w:rPr>
        <w:fldChar w:fldCharType="end"/>
      </w:r>
      <w:r>
        <w:rPr>
          <w:sz w:val="24"/>
        </w:rPr>
        <w:fldChar w:fldCharType="end"/>
      </w:r>
    </w:p>
    <w:p w14:paraId="27397498">
      <w:pPr>
        <w:pStyle w:val="44"/>
        <w:tabs>
          <w:tab w:val="right" w:leader="dot" w:pos="8302"/>
        </w:tabs>
        <w:spacing w:line="276" w:lineRule="auto"/>
        <w:rPr>
          <w:rFonts w:eastAsiaTheme="minorEastAsia"/>
          <w:sz w:val="24"/>
        </w:rPr>
      </w:pPr>
      <w:r>
        <w:fldChar w:fldCharType="begin"/>
      </w:r>
      <w:r>
        <w:instrText xml:space="preserve"> HYPERLINK \l "_Toc206495023" </w:instrText>
      </w:r>
      <w:r>
        <w:fldChar w:fldCharType="separate"/>
      </w:r>
      <w:r>
        <w:rPr>
          <w:rStyle w:val="144"/>
          <w:bCs/>
          <w:sz w:val="24"/>
        </w:rPr>
        <w:t>6.3.5 规划优化调整建议清单</w:t>
      </w:r>
      <w:r>
        <w:rPr>
          <w:sz w:val="24"/>
        </w:rPr>
        <w:tab/>
      </w:r>
      <w:r>
        <w:rPr>
          <w:sz w:val="24"/>
        </w:rPr>
        <w:fldChar w:fldCharType="begin"/>
      </w:r>
      <w:r>
        <w:rPr>
          <w:sz w:val="24"/>
        </w:rPr>
        <w:instrText xml:space="preserve"> PAGEREF _Toc206495023 \h </w:instrText>
      </w:r>
      <w:r>
        <w:rPr>
          <w:sz w:val="24"/>
        </w:rPr>
        <w:fldChar w:fldCharType="separate"/>
      </w:r>
      <w:r>
        <w:rPr>
          <w:sz w:val="24"/>
        </w:rPr>
        <w:t>217</w:t>
      </w:r>
      <w:r>
        <w:rPr>
          <w:sz w:val="24"/>
        </w:rPr>
        <w:fldChar w:fldCharType="end"/>
      </w:r>
      <w:r>
        <w:rPr>
          <w:sz w:val="24"/>
        </w:rPr>
        <w:fldChar w:fldCharType="end"/>
      </w:r>
    </w:p>
    <w:p w14:paraId="73128A90">
      <w:pPr>
        <w:pStyle w:val="59"/>
        <w:tabs>
          <w:tab w:val="left" w:pos="420"/>
          <w:tab w:val="right" w:leader="dot" w:pos="8302"/>
        </w:tabs>
        <w:spacing w:line="276" w:lineRule="auto"/>
        <w:rPr>
          <w:rFonts w:eastAsiaTheme="minorEastAsia"/>
          <w:sz w:val="24"/>
        </w:rPr>
      </w:pPr>
      <w:r>
        <w:fldChar w:fldCharType="begin"/>
      </w:r>
      <w:r>
        <w:instrText xml:space="preserve"> HYPERLINK \l "_Toc206495024" </w:instrText>
      </w:r>
      <w:r>
        <w:fldChar w:fldCharType="separate"/>
      </w:r>
      <w:r>
        <w:rPr>
          <w:rStyle w:val="144"/>
          <w:sz w:val="24"/>
        </w:rPr>
        <w:t>7</w:t>
      </w:r>
      <w:r>
        <w:rPr>
          <w:rFonts w:eastAsiaTheme="minorEastAsia"/>
          <w:sz w:val="24"/>
        </w:rPr>
        <w:tab/>
      </w:r>
      <w:r>
        <w:rPr>
          <w:rStyle w:val="144"/>
          <w:sz w:val="24"/>
        </w:rPr>
        <w:t>环境影响减缓对策和措施</w:t>
      </w:r>
      <w:r>
        <w:rPr>
          <w:sz w:val="24"/>
        </w:rPr>
        <w:tab/>
      </w:r>
      <w:r>
        <w:rPr>
          <w:sz w:val="24"/>
        </w:rPr>
        <w:fldChar w:fldCharType="begin"/>
      </w:r>
      <w:r>
        <w:rPr>
          <w:sz w:val="24"/>
        </w:rPr>
        <w:instrText xml:space="preserve"> PAGEREF _Toc206495024 \h </w:instrText>
      </w:r>
      <w:r>
        <w:rPr>
          <w:sz w:val="24"/>
        </w:rPr>
        <w:fldChar w:fldCharType="separate"/>
      </w:r>
      <w:r>
        <w:rPr>
          <w:sz w:val="24"/>
        </w:rPr>
        <w:t>219</w:t>
      </w:r>
      <w:r>
        <w:rPr>
          <w:sz w:val="24"/>
        </w:rPr>
        <w:fldChar w:fldCharType="end"/>
      </w:r>
      <w:r>
        <w:rPr>
          <w:sz w:val="24"/>
        </w:rPr>
        <w:fldChar w:fldCharType="end"/>
      </w:r>
    </w:p>
    <w:p w14:paraId="564B02A7">
      <w:pPr>
        <w:pStyle w:val="74"/>
        <w:tabs>
          <w:tab w:val="right" w:leader="dot" w:pos="8302"/>
        </w:tabs>
        <w:spacing w:line="276" w:lineRule="auto"/>
        <w:rPr>
          <w:rFonts w:eastAsiaTheme="minorEastAsia"/>
          <w:sz w:val="24"/>
        </w:rPr>
      </w:pPr>
      <w:r>
        <w:fldChar w:fldCharType="begin"/>
      </w:r>
      <w:r>
        <w:instrText xml:space="preserve"> HYPERLINK \l "_Toc206495025" </w:instrText>
      </w:r>
      <w:r>
        <w:fldChar w:fldCharType="separate"/>
      </w:r>
      <w:r>
        <w:rPr>
          <w:rStyle w:val="144"/>
          <w:bCs/>
          <w:sz w:val="24"/>
        </w:rPr>
        <w:t>7.1 生态环境保护对策和措施</w:t>
      </w:r>
      <w:r>
        <w:rPr>
          <w:sz w:val="24"/>
        </w:rPr>
        <w:tab/>
      </w:r>
      <w:r>
        <w:rPr>
          <w:sz w:val="24"/>
        </w:rPr>
        <w:fldChar w:fldCharType="begin"/>
      </w:r>
      <w:r>
        <w:rPr>
          <w:sz w:val="24"/>
        </w:rPr>
        <w:instrText xml:space="preserve"> PAGEREF _Toc206495025 \h </w:instrText>
      </w:r>
      <w:r>
        <w:rPr>
          <w:sz w:val="24"/>
        </w:rPr>
        <w:fldChar w:fldCharType="separate"/>
      </w:r>
      <w:r>
        <w:rPr>
          <w:sz w:val="24"/>
        </w:rPr>
        <w:t>219</w:t>
      </w:r>
      <w:r>
        <w:rPr>
          <w:sz w:val="24"/>
        </w:rPr>
        <w:fldChar w:fldCharType="end"/>
      </w:r>
      <w:r>
        <w:rPr>
          <w:sz w:val="24"/>
        </w:rPr>
        <w:fldChar w:fldCharType="end"/>
      </w:r>
    </w:p>
    <w:p w14:paraId="6ADF6B73">
      <w:pPr>
        <w:pStyle w:val="44"/>
        <w:tabs>
          <w:tab w:val="right" w:leader="dot" w:pos="8302"/>
        </w:tabs>
        <w:spacing w:line="276" w:lineRule="auto"/>
        <w:rPr>
          <w:rFonts w:eastAsiaTheme="minorEastAsia"/>
          <w:sz w:val="24"/>
        </w:rPr>
      </w:pPr>
      <w:r>
        <w:fldChar w:fldCharType="begin"/>
      </w:r>
      <w:r>
        <w:instrText xml:space="preserve"> HYPERLINK \l "_Toc206495026" </w:instrText>
      </w:r>
      <w:r>
        <w:fldChar w:fldCharType="separate"/>
      </w:r>
      <w:r>
        <w:rPr>
          <w:rStyle w:val="144"/>
          <w:bCs/>
          <w:sz w:val="24"/>
        </w:rPr>
        <w:t>7.1.1 大气环境影响减缓措施</w:t>
      </w:r>
      <w:r>
        <w:rPr>
          <w:sz w:val="24"/>
        </w:rPr>
        <w:tab/>
      </w:r>
      <w:r>
        <w:rPr>
          <w:sz w:val="24"/>
        </w:rPr>
        <w:fldChar w:fldCharType="begin"/>
      </w:r>
      <w:r>
        <w:rPr>
          <w:sz w:val="24"/>
        </w:rPr>
        <w:instrText xml:space="preserve"> PAGEREF _Toc206495026 \h </w:instrText>
      </w:r>
      <w:r>
        <w:rPr>
          <w:sz w:val="24"/>
        </w:rPr>
        <w:fldChar w:fldCharType="separate"/>
      </w:r>
      <w:r>
        <w:rPr>
          <w:sz w:val="24"/>
        </w:rPr>
        <w:t>219</w:t>
      </w:r>
      <w:r>
        <w:rPr>
          <w:sz w:val="24"/>
        </w:rPr>
        <w:fldChar w:fldCharType="end"/>
      </w:r>
      <w:r>
        <w:rPr>
          <w:sz w:val="24"/>
        </w:rPr>
        <w:fldChar w:fldCharType="end"/>
      </w:r>
    </w:p>
    <w:p w14:paraId="6309E67B">
      <w:pPr>
        <w:pStyle w:val="44"/>
        <w:tabs>
          <w:tab w:val="right" w:leader="dot" w:pos="8302"/>
        </w:tabs>
        <w:spacing w:line="276" w:lineRule="auto"/>
        <w:rPr>
          <w:rFonts w:eastAsiaTheme="minorEastAsia"/>
          <w:sz w:val="24"/>
        </w:rPr>
      </w:pPr>
      <w:r>
        <w:fldChar w:fldCharType="begin"/>
      </w:r>
      <w:r>
        <w:instrText xml:space="preserve"> HYPERLINK \l "_Toc206495027" </w:instrText>
      </w:r>
      <w:r>
        <w:fldChar w:fldCharType="separate"/>
      </w:r>
      <w:r>
        <w:rPr>
          <w:rStyle w:val="144"/>
          <w:bCs/>
          <w:sz w:val="24"/>
        </w:rPr>
        <w:t>7.1.2 地表水环境影响减缓措施</w:t>
      </w:r>
      <w:r>
        <w:rPr>
          <w:sz w:val="24"/>
        </w:rPr>
        <w:tab/>
      </w:r>
      <w:r>
        <w:rPr>
          <w:sz w:val="24"/>
        </w:rPr>
        <w:fldChar w:fldCharType="begin"/>
      </w:r>
      <w:r>
        <w:rPr>
          <w:sz w:val="24"/>
        </w:rPr>
        <w:instrText xml:space="preserve"> PAGEREF _Toc206495027 \h </w:instrText>
      </w:r>
      <w:r>
        <w:rPr>
          <w:sz w:val="24"/>
        </w:rPr>
        <w:fldChar w:fldCharType="separate"/>
      </w:r>
      <w:r>
        <w:rPr>
          <w:sz w:val="24"/>
        </w:rPr>
        <w:t>222</w:t>
      </w:r>
      <w:r>
        <w:rPr>
          <w:sz w:val="24"/>
        </w:rPr>
        <w:fldChar w:fldCharType="end"/>
      </w:r>
      <w:r>
        <w:rPr>
          <w:sz w:val="24"/>
        </w:rPr>
        <w:fldChar w:fldCharType="end"/>
      </w:r>
    </w:p>
    <w:p w14:paraId="11E3160F">
      <w:pPr>
        <w:pStyle w:val="44"/>
        <w:tabs>
          <w:tab w:val="right" w:leader="dot" w:pos="8302"/>
        </w:tabs>
        <w:spacing w:line="276" w:lineRule="auto"/>
        <w:rPr>
          <w:rFonts w:eastAsiaTheme="minorEastAsia"/>
          <w:sz w:val="24"/>
        </w:rPr>
      </w:pPr>
      <w:r>
        <w:fldChar w:fldCharType="begin"/>
      </w:r>
      <w:r>
        <w:instrText xml:space="preserve"> HYPERLINK \l "_Toc206495028" </w:instrText>
      </w:r>
      <w:r>
        <w:fldChar w:fldCharType="separate"/>
      </w:r>
      <w:r>
        <w:rPr>
          <w:rStyle w:val="144"/>
          <w:bCs/>
          <w:sz w:val="24"/>
        </w:rPr>
        <w:t>7.1.3 固体废物环境影响减缓措施</w:t>
      </w:r>
      <w:r>
        <w:rPr>
          <w:sz w:val="24"/>
        </w:rPr>
        <w:tab/>
      </w:r>
      <w:r>
        <w:rPr>
          <w:sz w:val="24"/>
        </w:rPr>
        <w:fldChar w:fldCharType="begin"/>
      </w:r>
      <w:r>
        <w:rPr>
          <w:sz w:val="24"/>
        </w:rPr>
        <w:instrText xml:space="preserve"> PAGEREF _Toc206495028 \h </w:instrText>
      </w:r>
      <w:r>
        <w:rPr>
          <w:sz w:val="24"/>
        </w:rPr>
        <w:fldChar w:fldCharType="separate"/>
      </w:r>
      <w:r>
        <w:rPr>
          <w:sz w:val="24"/>
        </w:rPr>
        <w:t>225</w:t>
      </w:r>
      <w:r>
        <w:rPr>
          <w:sz w:val="24"/>
        </w:rPr>
        <w:fldChar w:fldCharType="end"/>
      </w:r>
      <w:r>
        <w:rPr>
          <w:sz w:val="24"/>
        </w:rPr>
        <w:fldChar w:fldCharType="end"/>
      </w:r>
    </w:p>
    <w:p w14:paraId="28CCFF21">
      <w:pPr>
        <w:pStyle w:val="44"/>
        <w:tabs>
          <w:tab w:val="right" w:leader="dot" w:pos="8302"/>
        </w:tabs>
        <w:spacing w:line="276" w:lineRule="auto"/>
        <w:rPr>
          <w:rFonts w:eastAsiaTheme="minorEastAsia"/>
          <w:sz w:val="24"/>
        </w:rPr>
      </w:pPr>
      <w:r>
        <w:fldChar w:fldCharType="begin"/>
      </w:r>
      <w:r>
        <w:instrText xml:space="preserve"> HYPERLINK \l "_Toc206495029" </w:instrText>
      </w:r>
      <w:r>
        <w:fldChar w:fldCharType="separate"/>
      </w:r>
      <w:r>
        <w:rPr>
          <w:rStyle w:val="144"/>
          <w:bCs/>
          <w:sz w:val="24"/>
        </w:rPr>
        <w:t>7.1.4 噪声环境影响减缓措施</w:t>
      </w:r>
      <w:r>
        <w:rPr>
          <w:sz w:val="24"/>
        </w:rPr>
        <w:tab/>
      </w:r>
      <w:r>
        <w:rPr>
          <w:sz w:val="24"/>
        </w:rPr>
        <w:fldChar w:fldCharType="begin"/>
      </w:r>
      <w:r>
        <w:rPr>
          <w:sz w:val="24"/>
        </w:rPr>
        <w:instrText xml:space="preserve"> PAGEREF _Toc206495029 \h </w:instrText>
      </w:r>
      <w:r>
        <w:rPr>
          <w:sz w:val="24"/>
        </w:rPr>
        <w:fldChar w:fldCharType="separate"/>
      </w:r>
      <w:r>
        <w:rPr>
          <w:sz w:val="24"/>
        </w:rPr>
        <w:t>226</w:t>
      </w:r>
      <w:r>
        <w:rPr>
          <w:sz w:val="24"/>
        </w:rPr>
        <w:fldChar w:fldCharType="end"/>
      </w:r>
      <w:r>
        <w:rPr>
          <w:sz w:val="24"/>
        </w:rPr>
        <w:fldChar w:fldCharType="end"/>
      </w:r>
    </w:p>
    <w:p w14:paraId="7F417863">
      <w:pPr>
        <w:pStyle w:val="44"/>
        <w:tabs>
          <w:tab w:val="right" w:leader="dot" w:pos="8302"/>
        </w:tabs>
        <w:spacing w:line="276" w:lineRule="auto"/>
        <w:rPr>
          <w:rFonts w:eastAsiaTheme="minorEastAsia"/>
          <w:sz w:val="24"/>
        </w:rPr>
      </w:pPr>
      <w:r>
        <w:fldChar w:fldCharType="begin"/>
      </w:r>
      <w:r>
        <w:instrText xml:space="preserve"> HYPERLINK \l "_Toc206495030" </w:instrText>
      </w:r>
      <w:r>
        <w:fldChar w:fldCharType="separate"/>
      </w:r>
      <w:r>
        <w:rPr>
          <w:rStyle w:val="144"/>
          <w:bCs/>
          <w:sz w:val="24"/>
        </w:rPr>
        <w:t>7.1.5 生态保护对策与措施</w:t>
      </w:r>
      <w:r>
        <w:rPr>
          <w:sz w:val="24"/>
        </w:rPr>
        <w:tab/>
      </w:r>
      <w:r>
        <w:rPr>
          <w:sz w:val="24"/>
        </w:rPr>
        <w:fldChar w:fldCharType="begin"/>
      </w:r>
      <w:r>
        <w:rPr>
          <w:sz w:val="24"/>
        </w:rPr>
        <w:instrText xml:space="preserve"> PAGEREF _Toc206495030 \h </w:instrText>
      </w:r>
      <w:r>
        <w:rPr>
          <w:sz w:val="24"/>
        </w:rPr>
        <w:fldChar w:fldCharType="separate"/>
      </w:r>
      <w:r>
        <w:rPr>
          <w:sz w:val="24"/>
        </w:rPr>
        <w:t>229</w:t>
      </w:r>
      <w:r>
        <w:rPr>
          <w:sz w:val="24"/>
        </w:rPr>
        <w:fldChar w:fldCharType="end"/>
      </w:r>
      <w:r>
        <w:rPr>
          <w:sz w:val="24"/>
        </w:rPr>
        <w:fldChar w:fldCharType="end"/>
      </w:r>
    </w:p>
    <w:p w14:paraId="5B75535B">
      <w:pPr>
        <w:pStyle w:val="44"/>
        <w:tabs>
          <w:tab w:val="right" w:leader="dot" w:pos="8302"/>
        </w:tabs>
        <w:spacing w:line="276" w:lineRule="auto"/>
        <w:rPr>
          <w:rFonts w:eastAsiaTheme="minorEastAsia"/>
          <w:sz w:val="24"/>
        </w:rPr>
      </w:pPr>
      <w:r>
        <w:fldChar w:fldCharType="begin"/>
      </w:r>
      <w:r>
        <w:instrText xml:space="preserve"> HYPERLINK \l "_Toc206495031" </w:instrText>
      </w:r>
      <w:r>
        <w:fldChar w:fldCharType="separate"/>
      </w:r>
      <w:r>
        <w:rPr>
          <w:rStyle w:val="144"/>
          <w:bCs/>
          <w:sz w:val="24"/>
        </w:rPr>
        <w:t>7.1.6 土壤环境影响减缓措施</w:t>
      </w:r>
      <w:r>
        <w:rPr>
          <w:sz w:val="24"/>
        </w:rPr>
        <w:tab/>
      </w:r>
      <w:r>
        <w:rPr>
          <w:sz w:val="24"/>
        </w:rPr>
        <w:fldChar w:fldCharType="begin"/>
      </w:r>
      <w:r>
        <w:rPr>
          <w:sz w:val="24"/>
        </w:rPr>
        <w:instrText xml:space="preserve"> PAGEREF _Toc206495031 \h </w:instrText>
      </w:r>
      <w:r>
        <w:rPr>
          <w:sz w:val="24"/>
        </w:rPr>
        <w:fldChar w:fldCharType="separate"/>
      </w:r>
      <w:r>
        <w:rPr>
          <w:sz w:val="24"/>
        </w:rPr>
        <w:t>230</w:t>
      </w:r>
      <w:r>
        <w:rPr>
          <w:sz w:val="24"/>
        </w:rPr>
        <w:fldChar w:fldCharType="end"/>
      </w:r>
      <w:r>
        <w:rPr>
          <w:sz w:val="24"/>
        </w:rPr>
        <w:fldChar w:fldCharType="end"/>
      </w:r>
    </w:p>
    <w:p w14:paraId="22AF2741">
      <w:pPr>
        <w:pStyle w:val="74"/>
        <w:tabs>
          <w:tab w:val="right" w:leader="dot" w:pos="8302"/>
        </w:tabs>
        <w:spacing w:line="276" w:lineRule="auto"/>
        <w:rPr>
          <w:rFonts w:eastAsiaTheme="minorEastAsia"/>
          <w:sz w:val="24"/>
        </w:rPr>
      </w:pPr>
      <w:r>
        <w:fldChar w:fldCharType="begin"/>
      </w:r>
      <w:r>
        <w:instrText xml:space="preserve"> HYPERLINK \l "_Toc206495032" </w:instrText>
      </w:r>
      <w:r>
        <w:fldChar w:fldCharType="separate"/>
      </w:r>
      <w:r>
        <w:rPr>
          <w:rStyle w:val="144"/>
          <w:bCs/>
          <w:sz w:val="24"/>
        </w:rPr>
        <w:t>7.2 环境管理措施</w:t>
      </w:r>
      <w:r>
        <w:rPr>
          <w:sz w:val="24"/>
        </w:rPr>
        <w:tab/>
      </w:r>
      <w:r>
        <w:rPr>
          <w:sz w:val="24"/>
        </w:rPr>
        <w:fldChar w:fldCharType="begin"/>
      </w:r>
      <w:r>
        <w:rPr>
          <w:sz w:val="24"/>
        </w:rPr>
        <w:instrText xml:space="preserve"> PAGEREF _Toc206495032 \h </w:instrText>
      </w:r>
      <w:r>
        <w:rPr>
          <w:sz w:val="24"/>
        </w:rPr>
        <w:fldChar w:fldCharType="separate"/>
      </w:r>
      <w:r>
        <w:rPr>
          <w:sz w:val="24"/>
        </w:rPr>
        <w:t>231</w:t>
      </w:r>
      <w:r>
        <w:rPr>
          <w:sz w:val="24"/>
        </w:rPr>
        <w:fldChar w:fldCharType="end"/>
      </w:r>
      <w:r>
        <w:rPr>
          <w:sz w:val="24"/>
        </w:rPr>
        <w:fldChar w:fldCharType="end"/>
      </w:r>
    </w:p>
    <w:p w14:paraId="0BDA2615">
      <w:pPr>
        <w:pStyle w:val="44"/>
        <w:tabs>
          <w:tab w:val="right" w:leader="dot" w:pos="8302"/>
        </w:tabs>
        <w:spacing w:line="276" w:lineRule="auto"/>
        <w:rPr>
          <w:rFonts w:eastAsiaTheme="minorEastAsia"/>
          <w:sz w:val="24"/>
        </w:rPr>
      </w:pPr>
      <w:r>
        <w:fldChar w:fldCharType="begin"/>
      </w:r>
      <w:r>
        <w:instrText xml:space="preserve"> HYPERLINK \l "_Toc206495033" </w:instrText>
      </w:r>
      <w:r>
        <w:fldChar w:fldCharType="separate"/>
      </w:r>
      <w:r>
        <w:rPr>
          <w:rStyle w:val="144"/>
          <w:bCs/>
          <w:sz w:val="24"/>
        </w:rPr>
        <w:t>7.2.1 建立健全园区环境管理体系</w:t>
      </w:r>
      <w:r>
        <w:rPr>
          <w:sz w:val="24"/>
        </w:rPr>
        <w:tab/>
      </w:r>
      <w:r>
        <w:rPr>
          <w:sz w:val="24"/>
        </w:rPr>
        <w:fldChar w:fldCharType="begin"/>
      </w:r>
      <w:r>
        <w:rPr>
          <w:sz w:val="24"/>
        </w:rPr>
        <w:instrText xml:space="preserve"> PAGEREF _Toc206495033 \h </w:instrText>
      </w:r>
      <w:r>
        <w:rPr>
          <w:sz w:val="24"/>
        </w:rPr>
        <w:fldChar w:fldCharType="separate"/>
      </w:r>
      <w:r>
        <w:rPr>
          <w:sz w:val="24"/>
        </w:rPr>
        <w:t>231</w:t>
      </w:r>
      <w:r>
        <w:rPr>
          <w:sz w:val="24"/>
        </w:rPr>
        <w:fldChar w:fldCharType="end"/>
      </w:r>
      <w:r>
        <w:rPr>
          <w:sz w:val="24"/>
        </w:rPr>
        <w:fldChar w:fldCharType="end"/>
      </w:r>
    </w:p>
    <w:p w14:paraId="349E24C1">
      <w:pPr>
        <w:pStyle w:val="44"/>
        <w:tabs>
          <w:tab w:val="right" w:leader="dot" w:pos="8302"/>
        </w:tabs>
        <w:spacing w:line="276" w:lineRule="auto"/>
        <w:rPr>
          <w:rFonts w:eastAsiaTheme="minorEastAsia"/>
          <w:sz w:val="24"/>
        </w:rPr>
      </w:pPr>
      <w:r>
        <w:fldChar w:fldCharType="begin"/>
      </w:r>
      <w:r>
        <w:instrText xml:space="preserve"> HYPERLINK \l "_Toc206495034" </w:instrText>
      </w:r>
      <w:r>
        <w:fldChar w:fldCharType="separate"/>
      </w:r>
      <w:r>
        <w:rPr>
          <w:rStyle w:val="144"/>
          <w:bCs/>
          <w:sz w:val="24"/>
        </w:rPr>
        <w:t>7.2.2 环境信息公开</w:t>
      </w:r>
      <w:r>
        <w:rPr>
          <w:sz w:val="24"/>
        </w:rPr>
        <w:tab/>
      </w:r>
      <w:r>
        <w:rPr>
          <w:sz w:val="24"/>
        </w:rPr>
        <w:fldChar w:fldCharType="begin"/>
      </w:r>
      <w:r>
        <w:rPr>
          <w:sz w:val="24"/>
        </w:rPr>
        <w:instrText xml:space="preserve"> PAGEREF _Toc206495034 \h </w:instrText>
      </w:r>
      <w:r>
        <w:rPr>
          <w:sz w:val="24"/>
        </w:rPr>
        <w:fldChar w:fldCharType="separate"/>
      </w:r>
      <w:r>
        <w:rPr>
          <w:sz w:val="24"/>
        </w:rPr>
        <w:t>233</w:t>
      </w:r>
      <w:r>
        <w:rPr>
          <w:sz w:val="24"/>
        </w:rPr>
        <w:fldChar w:fldCharType="end"/>
      </w:r>
      <w:r>
        <w:rPr>
          <w:sz w:val="24"/>
        </w:rPr>
        <w:fldChar w:fldCharType="end"/>
      </w:r>
    </w:p>
    <w:p w14:paraId="4F291955">
      <w:pPr>
        <w:pStyle w:val="44"/>
        <w:tabs>
          <w:tab w:val="right" w:leader="dot" w:pos="8302"/>
        </w:tabs>
        <w:spacing w:line="276" w:lineRule="auto"/>
        <w:rPr>
          <w:rFonts w:eastAsiaTheme="minorEastAsia"/>
          <w:sz w:val="24"/>
        </w:rPr>
      </w:pPr>
      <w:r>
        <w:fldChar w:fldCharType="begin"/>
      </w:r>
      <w:r>
        <w:instrText xml:space="preserve"> HYPERLINK \l "_Toc206495035" </w:instrText>
      </w:r>
      <w:r>
        <w:fldChar w:fldCharType="separate"/>
      </w:r>
      <w:r>
        <w:rPr>
          <w:rStyle w:val="144"/>
          <w:bCs/>
          <w:sz w:val="24"/>
        </w:rPr>
        <w:t>7.2.3 区域环境管理职责建议</w:t>
      </w:r>
      <w:r>
        <w:rPr>
          <w:sz w:val="24"/>
        </w:rPr>
        <w:tab/>
      </w:r>
      <w:r>
        <w:rPr>
          <w:sz w:val="24"/>
        </w:rPr>
        <w:fldChar w:fldCharType="begin"/>
      </w:r>
      <w:r>
        <w:rPr>
          <w:sz w:val="24"/>
        </w:rPr>
        <w:instrText xml:space="preserve"> PAGEREF _Toc206495035 \h </w:instrText>
      </w:r>
      <w:r>
        <w:rPr>
          <w:sz w:val="24"/>
        </w:rPr>
        <w:fldChar w:fldCharType="separate"/>
      </w:r>
      <w:r>
        <w:rPr>
          <w:sz w:val="24"/>
        </w:rPr>
        <w:t>234</w:t>
      </w:r>
      <w:r>
        <w:rPr>
          <w:sz w:val="24"/>
        </w:rPr>
        <w:fldChar w:fldCharType="end"/>
      </w:r>
      <w:r>
        <w:rPr>
          <w:sz w:val="24"/>
        </w:rPr>
        <w:fldChar w:fldCharType="end"/>
      </w:r>
    </w:p>
    <w:p w14:paraId="690AF36F">
      <w:pPr>
        <w:pStyle w:val="74"/>
        <w:tabs>
          <w:tab w:val="right" w:leader="dot" w:pos="8302"/>
        </w:tabs>
        <w:spacing w:line="276" w:lineRule="auto"/>
        <w:rPr>
          <w:rFonts w:eastAsiaTheme="minorEastAsia"/>
          <w:sz w:val="24"/>
        </w:rPr>
      </w:pPr>
      <w:r>
        <w:fldChar w:fldCharType="begin"/>
      </w:r>
      <w:r>
        <w:instrText xml:space="preserve"> HYPERLINK \l "_Toc206495036" </w:instrText>
      </w:r>
      <w:r>
        <w:fldChar w:fldCharType="separate"/>
      </w:r>
      <w:r>
        <w:rPr>
          <w:rStyle w:val="144"/>
          <w:bCs/>
          <w:sz w:val="24"/>
        </w:rPr>
        <w:t>7.3 清洁生产与循环经济要求</w:t>
      </w:r>
      <w:r>
        <w:rPr>
          <w:sz w:val="24"/>
        </w:rPr>
        <w:tab/>
      </w:r>
      <w:r>
        <w:rPr>
          <w:sz w:val="24"/>
        </w:rPr>
        <w:fldChar w:fldCharType="begin"/>
      </w:r>
      <w:r>
        <w:rPr>
          <w:sz w:val="24"/>
        </w:rPr>
        <w:instrText xml:space="preserve"> PAGEREF _Toc206495036 \h </w:instrText>
      </w:r>
      <w:r>
        <w:rPr>
          <w:sz w:val="24"/>
        </w:rPr>
        <w:fldChar w:fldCharType="separate"/>
      </w:r>
      <w:r>
        <w:rPr>
          <w:sz w:val="24"/>
        </w:rPr>
        <w:t>234</w:t>
      </w:r>
      <w:r>
        <w:rPr>
          <w:sz w:val="24"/>
        </w:rPr>
        <w:fldChar w:fldCharType="end"/>
      </w:r>
      <w:r>
        <w:rPr>
          <w:sz w:val="24"/>
        </w:rPr>
        <w:fldChar w:fldCharType="end"/>
      </w:r>
    </w:p>
    <w:p w14:paraId="4241FDE4">
      <w:pPr>
        <w:pStyle w:val="44"/>
        <w:tabs>
          <w:tab w:val="right" w:leader="dot" w:pos="8302"/>
        </w:tabs>
        <w:spacing w:line="276" w:lineRule="auto"/>
        <w:rPr>
          <w:rFonts w:eastAsiaTheme="minorEastAsia"/>
          <w:sz w:val="24"/>
        </w:rPr>
      </w:pPr>
      <w:r>
        <w:fldChar w:fldCharType="begin"/>
      </w:r>
      <w:r>
        <w:instrText xml:space="preserve"> HYPERLINK \l "_Toc206495037" </w:instrText>
      </w:r>
      <w:r>
        <w:fldChar w:fldCharType="separate"/>
      </w:r>
      <w:r>
        <w:rPr>
          <w:rStyle w:val="144"/>
          <w:bCs/>
          <w:sz w:val="24"/>
        </w:rPr>
        <w:t>7.3.1 循环经济</w:t>
      </w:r>
      <w:r>
        <w:rPr>
          <w:sz w:val="24"/>
        </w:rPr>
        <w:tab/>
      </w:r>
      <w:r>
        <w:rPr>
          <w:sz w:val="24"/>
        </w:rPr>
        <w:fldChar w:fldCharType="begin"/>
      </w:r>
      <w:r>
        <w:rPr>
          <w:sz w:val="24"/>
        </w:rPr>
        <w:instrText xml:space="preserve"> PAGEREF _Toc206495037 \h </w:instrText>
      </w:r>
      <w:r>
        <w:rPr>
          <w:sz w:val="24"/>
        </w:rPr>
        <w:fldChar w:fldCharType="separate"/>
      </w:r>
      <w:r>
        <w:rPr>
          <w:sz w:val="24"/>
        </w:rPr>
        <w:t>234</w:t>
      </w:r>
      <w:r>
        <w:rPr>
          <w:sz w:val="24"/>
        </w:rPr>
        <w:fldChar w:fldCharType="end"/>
      </w:r>
      <w:r>
        <w:rPr>
          <w:sz w:val="24"/>
        </w:rPr>
        <w:fldChar w:fldCharType="end"/>
      </w:r>
    </w:p>
    <w:p w14:paraId="20EAA3FF">
      <w:pPr>
        <w:pStyle w:val="44"/>
        <w:tabs>
          <w:tab w:val="right" w:leader="dot" w:pos="8302"/>
        </w:tabs>
        <w:spacing w:line="276" w:lineRule="auto"/>
        <w:rPr>
          <w:rFonts w:eastAsiaTheme="minorEastAsia"/>
          <w:sz w:val="24"/>
        </w:rPr>
      </w:pPr>
      <w:r>
        <w:fldChar w:fldCharType="begin"/>
      </w:r>
      <w:r>
        <w:instrText xml:space="preserve"> HYPERLINK \l "_Toc206495038" </w:instrText>
      </w:r>
      <w:r>
        <w:fldChar w:fldCharType="separate"/>
      </w:r>
      <w:r>
        <w:rPr>
          <w:rStyle w:val="144"/>
          <w:bCs/>
          <w:sz w:val="24"/>
        </w:rPr>
        <w:t>7.3.2 入驻企业清洁生产要求</w:t>
      </w:r>
      <w:r>
        <w:rPr>
          <w:sz w:val="24"/>
        </w:rPr>
        <w:tab/>
      </w:r>
      <w:r>
        <w:rPr>
          <w:sz w:val="24"/>
        </w:rPr>
        <w:fldChar w:fldCharType="begin"/>
      </w:r>
      <w:r>
        <w:rPr>
          <w:sz w:val="24"/>
        </w:rPr>
        <w:instrText xml:space="preserve"> PAGEREF _Toc206495038 \h </w:instrText>
      </w:r>
      <w:r>
        <w:rPr>
          <w:sz w:val="24"/>
        </w:rPr>
        <w:fldChar w:fldCharType="separate"/>
      </w:r>
      <w:r>
        <w:rPr>
          <w:sz w:val="24"/>
        </w:rPr>
        <w:t>235</w:t>
      </w:r>
      <w:r>
        <w:rPr>
          <w:sz w:val="24"/>
        </w:rPr>
        <w:fldChar w:fldCharType="end"/>
      </w:r>
      <w:r>
        <w:rPr>
          <w:sz w:val="24"/>
        </w:rPr>
        <w:fldChar w:fldCharType="end"/>
      </w:r>
    </w:p>
    <w:p w14:paraId="23BB0875">
      <w:pPr>
        <w:pStyle w:val="74"/>
        <w:tabs>
          <w:tab w:val="right" w:leader="dot" w:pos="8302"/>
        </w:tabs>
        <w:spacing w:line="276" w:lineRule="auto"/>
        <w:rPr>
          <w:rFonts w:eastAsiaTheme="minorEastAsia"/>
          <w:sz w:val="24"/>
        </w:rPr>
      </w:pPr>
      <w:r>
        <w:fldChar w:fldCharType="begin"/>
      </w:r>
      <w:r>
        <w:instrText xml:space="preserve"> HYPERLINK \l "_Toc206495039" </w:instrText>
      </w:r>
      <w:r>
        <w:fldChar w:fldCharType="separate"/>
      </w:r>
      <w:r>
        <w:rPr>
          <w:rStyle w:val="144"/>
          <w:bCs/>
          <w:sz w:val="24"/>
        </w:rPr>
        <w:t>7.4 生态环境准入</w:t>
      </w:r>
      <w:r>
        <w:rPr>
          <w:sz w:val="24"/>
        </w:rPr>
        <w:tab/>
      </w:r>
      <w:r>
        <w:rPr>
          <w:sz w:val="24"/>
        </w:rPr>
        <w:fldChar w:fldCharType="begin"/>
      </w:r>
      <w:r>
        <w:rPr>
          <w:sz w:val="24"/>
        </w:rPr>
        <w:instrText xml:space="preserve"> PAGEREF _Toc206495039 \h </w:instrText>
      </w:r>
      <w:r>
        <w:rPr>
          <w:sz w:val="24"/>
        </w:rPr>
        <w:fldChar w:fldCharType="separate"/>
      </w:r>
      <w:r>
        <w:rPr>
          <w:sz w:val="24"/>
        </w:rPr>
        <w:t>236</w:t>
      </w:r>
      <w:r>
        <w:rPr>
          <w:sz w:val="24"/>
        </w:rPr>
        <w:fldChar w:fldCharType="end"/>
      </w:r>
      <w:r>
        <w:rPr>
          <w:sz w:val="24"/>
        </w:rPr>
        <w:fldChar w:fldCharType="end"/>
      </w:r>
    </w:p>
    <w:p w14:paraId="6FBD6012">
      <w:pPr>
        <w:pStyle w:val="44"/>
        <w:tabs>
          <w:tab w:val="right" w:leader="dot" w:pos="8302"/>
        </w:tabs>
        <w:spacing w:line="276" w:lineRule="auto"/>
        <w:rPr>
          <w:rFonts w:eastAsiaTheme="minorEastAsia"/>
          <w:sz w:val="24"/>
        </w:rPr>
      </w:pPr>
      <w:r>
        <w:fldChar w:fldCharType="begin"/>
      </w:r>
      <w:r>
        <w:instrText xml:space="preserve"> HYPERLINK \l "_Toc206495040" </w:instrText>
      </w:r>
      <w:r>
        <w:fldChar w:fldCharType="separate"/>
      </w:r>
      <w:r>
        <w:rPr>
          <w:rStyle w:val="144"/>
          <w:bCs/>
          <w:sz w:val="24"/>
        </w:rPr>
        <w:t>7.4.1 生态保护红线</w:t>
      </w:r>
      <w:r>
        <w:rPr>
          <w:sz w:val="24"/>
        </w:rPr>
        <w:tab/>
      </w:r>
      <w:r>
        <w:rPr>
          <w:sz w:val="24"/>
        </w:rPr>
        <w:fldChar w:fldCharType="begin"/>
      </w:r>
      <w:r>
        <w:rPr>
          <w:sz w:val="24"/>
        </w:rPr>
        <w:instrText xml:space="preserve"> PAGEREF _Toc206495040 \h </w:instrText>
      </w:r>
      <w:r>
        <w:rPr>
          <w:sz w:val="24"/>
        </w:rPr>
        <w:fldChar w:fldCharType="separate"/>
      </w:r>
      <w:r>
        <w:rPr>
          <w:sz w:val="24"/>
        </w:rPr>
        <w:t>236</w:t>
      </w:r>
      <w:r>
        <w:rPr>
          <w:sz w:val="24"/>
        </w:rPr>
        <w:fldChar w:fldCharType="end"/>
      </w:r>
      <w:r>
        <w:rPr>
          <w:sz w:val="24"/>
        </w:rPr>
        <w:fldChar w:fldCharType="end"/>
      </w:r>
    </w:p>
    <w:p w14:paraId="6A5DF98D">
      <w:pPr>
        <w:pStyle w:val="44"/>
        <w:tabs>
          <w:tab w:val="right" w:leader="dot" w:pos="8302"/>
        </w:tabs>
        <w:spacing w:line="276" w:lineRule="auto"/>
        <w:rPr>
          <w:rFonts w:eastAsiaTheme="minorEastAsia"/>
          <w:sz w:val="24"/>
        </w:rPr>
      </w:pPr>
      <w:r>
        <w:fldChar w:fldCharType="begin"/>
      </w:r>
      <w:r>
        <w:instrText xml:space="preserve"> HYPERLINK \l "_Toc206495041" </w:instrText>
      </w:r>
      <w:r>
        <w:fldChar w:fldCharType="separate"/>
      </w:r>
      <w:r>
        <w:rPr>
          <w:rStyle w:val="144"/>
          <w:bCs/>
          <w:sz w:val="24"/>
        </w:rPr>
        <w:t>7.4.2 环境质量底线</w:t>
      </w:r>
      <w:r>
        <w:rPr>
          <w:sz w:val="24"/>
        </w:rPr>
        <w:tab/>
      </w:r>
      <w:r>
        <w:rPr>
          <w:sz w:val="24"/>
        </w:rPr>
        <w:fldChar w:fldCharType="begin"/>
      </w:r>
      <w:r>
        <w:rPr>
          <w:sz w:val="24"/>
        </w:rPr>
        <w:instrText xml:space="preserve"> PAGEREF _Toc206495041 \h </w:instrText>
      </w:r>
      <w:r>
        <w:rPr>
          <w:sz w:val="24"/>
        </w:rPr>
        <w:fldChar w:fldCharType="separate"/>
      </w:r>
      <w:r>
        <w:rPr>
          <w:sz w:val="24"/>
        </w:rPr>
        <w:t>237</w:t>
      </w:r>
      <w:r>
        <w:rPr>
          <w:sz w:val="24"/>
        </w:rPr>
        <w:fldChar w:fldCharType="end"/>
      </w:r>
      <w:r>
        <w:rPr>
          <w:sz w:val="24"/>
        </w:rPr>
        <w:fldChar w:fldCharType="end"/>
      </w:r>
    </w:p>
    <w:p w14:paraId="0D3EDB93">
      <w:pPr>
        <w:pStyle w:val="44"/>
        <w:tabs>
          <w:tab w:val="right" w:leader="dot" w:pos="8302"/>
        </w:tabs>
        <w:spacing w:line="276" w:lineRule="auto"/>
        <w:rPr>
          <w:rFonts w:eastAsiaTheme="minorEastAsia"/>
          <w:sz w:val="24"/>
        </w:rPr>
      </w:pPr>
      <w:r>
        <w:fldChar w:fldCharType="begin"/>
      </w:r>
      <w:r>
        <w:instrText xml:space="preserve"> HYPERLINK \l "_Toc206495042" </w:instrText>
      </w:r>
      <w:r>
        <w:fldChar w:fldCharType="separate"/>
      </w:r>
      <w:r>
        <w:rPr>
          <w:rStyle w:val="144"/>
          <w:bCs/>
          <w:sz w:val="24"/>
        </w:rPr>
        <w:t>7.4.3 资源利用上线</w:t>
      </w:r>
      <w:r>
        <w:rPr>
          <w:sz w:val="24"/>
        </w:rPr>
        <w:tab/>
      </w:r>
      <w:r>
        <w:rPr>
          <w:sz w:val="24"/>
        </w:rPr>
        <w:fldChar w:fldCharType="begin"/>
      </w:r>
      <w:r>
        <w:rPr>
          <w:sz w:val="24"/>
        </w:rPr>
        <w:instrText xml:space="preserve"> PAGEREF _Toc206495042 \h </w:instrText>
      </w:r>
      <w:r>
        <w:rPr>
          <w:sz w:val="24"/>
        </w:rPr>
        <w:fldChar w:fldCharType="separate"/>
      </w:r>
      <w:r>
        <w:rPr>
          <w:sz w:val="24"/>
        </w:rPr>
        <w:t>239</w:t>
      </w:r>
      <w:r>
        <w:rPr>
          <w:sz w:val="24"/>
        </w:rPr>
        <w:fldChar w:fldCharType="end"/>
      </w:r>
      <w:r>
        <w:rPr>
          <w:sz w:val="24"/>
        </w:rPr>
        <w:fldChar w:fldCharType="end"/>
      </w:r>
    </w:p>
    <w:p w14:paraId="68B1C2E3">
      <w:pPr>
        <w:pStyle w:val="44"/>
        <w:tabs>
          <w:tab w:val="right" w:leader="dot" w:pos="8302"/>
        </w:tabs>
        <w:spacing w:line="276" w:lineRule="auto"/>
        <w:rPr>
          <w:rFonts w:eastAsiaTheme="minorEastAsia"/>
          <w:sz w:val="24"/>
        </w:rPr>
      </w:pPr>
      <w:r>
        <w:fldChar w:fldCharType="begin"/>
      </w:r>
      <w:r>
        <w:instrText xml:space="preserve"> HYPERLINK \l "_Toc206495043" </w:instrText>
      </w:r>
      <w:r>
        <w:fldChar w:fldCharType="separate"/>
      </w:r>
      <w:r>
        <w:rPr>
          <w:rStyle w:val="144"/>
          <w:bCs/>
          <w:sz w:val="24"/>
        </w:rPr>
        <w:t>7.4.4 环境准入条件及负面清单</w:t>
      </w:r>
      <w:r>
        <w:rPr>
          <w:sz w:val="24"/>
        </w:rPr>
        <w:tab/>
      </w:r>
      <w:r>
        <w:rPr>
          <w:sz w:val="24"/>
        </w:rPr>
        <w:fldChar w:fldCharType="begin"/>
      </w:r>
      <w:r>
        <w:rPr>
          <w:sz w:val="24"/>
        </w:rPr>
        <w:instrText xml:space="preserve"> PAGEREF _Toc206495043 \h </w:instrText>
      </w:r>
      <w:r>
        <w:rPr>
          <w:sz w:val="24"/>
        </w:rPr>
        <w:fldChar w:fldCharType="separate"/>
      </w:r>
      <w:r>
        <w:rPr>
          <w:sz w:val="24"/>
        </w:rPr>
        <w:t>239</w:t>
      </w:r>
      <w:r>
        <w:rPr>
          <w:sz w:val="24"/>
        </w:rPr>
        <w:fldChar w:fldCharType="end"/>
      </w:r>
      <w:r>
        <w:rPr>
          <w:sz w:val="24"/>
        </w:rPr>
        <w:fldChar w:fldCharType="end"/>
      </w:r>
    </w:p>
    <w:p w14:paraId="2A66EC26">
      <w:pPr>
        <w:pStyle w:val="59"/>
        <w:tabs>
          <w:tab w:val="left" w:pos="420"/>
          <w:tab w:val="right" w:leader="dot" w:pos="8302"/>
        </w:tabs>
        <w:spacing w:line="276" w:lineRule="auto"/>
        <w:rPr>
          <w:rFonts w:eastAsiaTheme="minorEastAsia"/>
          <w:sz w:val="24"/>
        </w:rPr>
      </w:pPr>
      <w:r>
        <w:fldChar w:fldCharType="begin"/>
      </w:r>
      <w:r>
        <w:instrText xml:space="preserve"> HYPERLINK \l "_Toc206495044" </w:instrText>
      </w:r>
      <w:r>
        <w:fldChar w:fldCharType="separate"/>
      </w:r>
      <w:r>
        <w:rPr>
          <w:rStyle w:val="144"/>
          <w:sz w:val="24"/>
        </w:rPr>
        <w:t>8</w:t>
      </w:r>
      <w:r>
        <w:rPr>
          <w:rFonts w:eastAsiaTheme="minorEastAsia"/>
          <w:sz w:val="24"/>
        </w:rPr>
        <w:tab/>
      </w:r>
      <w:r>
        <w:rPr>
          <w:rStyle w:val="144"/>
          <w:sz w:val="24"/>
        </w:rPr>
        <w:t>项目环评要求与环境影响跟踪评价</w:t>
      </w:r>
      <w:r>
        <w:rPr>
          <w:sz w:val="24"/>
        </w:rPr>
        <w:tab/>
      </w:r>
      <w:r>
        <w:rPr>
          <w:sz w:val="24"/>
        </w:rPr>
        <w:fldChar w:fldCharType="begin"/>
      </w:r>
      <w:r>
        <w:rPr>
          <w:sz w:val="24"/>
        </w:rPr>
        <w:instrText xml:space="preserve"> PAGEREF _Toc206495044 \h </w:instrText>
      </w:r>
      <w:r>
        <w:rPr>
          <w:sz w:val="24"/>
        </w:rPr>
        <w:fldChar w:fldCharType="separate"/>
      </w:r>
      <w:r>
        <w:rPr>
          <w:sz w:val="24"/>
        </w:rPr>
        <w:t>242</w:t>
      </w:r>
      <w:r>
        <w:rPr>
          <w:sz w:val="24"/>
        </w:rPr>
        <w:fldChar w:fldCharType="end"/>
      </w:r>
      <w:r>
        <w:rPr>
          <w:sz w:val="24"/>
        </w:rPr>
        <w:fldChar w:fldCharType="end"/>
      </w:r>
    </w:p>
    <w:p w14:paraId="0ABFA7F9">
      <w:pPr>
        <w:pStyle w:val="74"/>
        <w:tabs>
          <w:tab w:val="right" w:leader="dot" w:pos="8302"/>
        </w:tabs>
        <w:spacing w:line="276" w:lineRule="auto"/>
        <w:rPr>
          <w:rFonts w:eastAsiaTheme="minorEastAsia"/>
          <w:sz w:val="24"/>
        </w:rPr>
      </w:pPr>
      <w:r>
        <w:fldChar w:fldCharType="begin"/>
      </w:r>
      <w:r>
        <w:instrText xml:space="preserve"> HYPERLINK \l "_Toc206495045" </w:instrText>
      </w:r>
      <w:r>
        <w:fldChar w:fldCharType="separate"/>
      </w:r>
      <w:r>
        <w:rPr>
          <w:rStyle w:val="144"/>
          <w:bCs/>
          <w:sz w:val="24"/>
        </w:rPr>
        <w:t>8.1 项目环评要求</w:t>
      </w:r>
      <w:r>
        <w:rPr>
          <w:sz w:val="24"/>
        </w:rPr>
        <w:tab/>
      </w:r>
      <w:r>
        <w:rPr>
          <w:sz w:val="24"/>
        </w:rPr>
        <w:fldChar w:fldCharType="begin"/>
      </w:r>
      <w:r>
        <w:rPr>
          <w:sz w:val="24"/>
        </w:rPr>
        <w:instrText xml:space="preserve"> PAGEREF _Toc206495045 \h </w:instrText>
      </w:r>
      <w:r>
        <w:rPr>
          <w:sz w:val="24"/>
        </w:rPr>
        <w:fldChar w:fldCharType="separate"/>
      </w:r>
      <w:r>
        <w:rPr>
          <w:sz w:val="24"/>
        </w:rPr>
        <w:t>242</w:t>
      </w:r>
      <w:r>
        <w:rPr>
          <w:sz w:val="24"/>
        </w:rPr>
        <w:fldChar w:fldCharType="end"/>
      </w:r>
      <w:r>
        <w:rPr>
          <w:sz w:val="24"/>
        </w:rPr>
        <w:fldChar w:fldCharType="end"/>
      </w:r>
    </w:p>
    <w:p w14:paraId="3E7643A4">
      <w:pPr>
        <w:pStyle w:val="74"/>
        <w:tabs>
          <w:tab w:val="right" w:leader="dot" w:pos="8302"/>
        </w:tabs>
        <w:spacing w:line="276" w:lineRule="auto"/>
        <w:rPr>
          <w:rFonts w:eastAsiaTheme="minorEastAsia"/>
          <w:sz w:val="24"/>
        </w:rPr>
      </w:pPr>
      <w:r>
        <w:fldChar w:fldCharType="begin"/>
      </w:r>
      <w:r>
        <w:instrText xml:space="preserve"> HYPERLINK \l "_Toc206495046" </w:instrText>
      </w:r>
      <w:r>
        <w:fldChar w:fldCharType="separate"/>
      </w:r>
      <w:r>
        <w:rPr>
          <w:rStyle w:val="144"/>
          <w:bCs/>
          <w:sz w:val="24"/>
        </w:rPr>
        <w:t>8.2 园区环境管理</w:t>
      </w:r>
      <w:r>
        <w:rPr>
          <w:sz w:val="24"/>
        </w:rPr>
        <w:tab/>
      </w:r>
      <w:r>
        <w:rPr>
          <w:sz w:val="24"/>
        </w:rPr>
        <w:fldChar w:fldCharType="begin"/>
      </w:r>
      <w:r>
        <w:rPr>
          <w:sz w:val="24"/>
        </w:rPr>
        <w:instrText xml:space="preserve"> PAGEREF _Toc206495046 \h </w:instrText>
      </w:r>
      <w:r>
        <w:rPr>
          <w:sz w:val="24"/>
        </w:rPr>
        <w:fldChar w:fldCharType="separate"/>
      </w:r>
      <w:r>
        <w:rPr>
          <w:sz w:val="24"/>
        </w:rPr>
        <w:t>243</w:t>
      </w:r>
      <w:r>
        <w:rPr>
          <w:sz w:val="24"/>
        </w:rPr>
        <w:fldChar w:fldCharType="end"/>
      </w:r>
      <w:r>
        <w:rPr>
          <w:sz w:val="24"/>
        </w:rPr>
        <w:fldChar w:fldCharType="end"/>
      </w:r>
    </w:p>
    <w:p w14:paraId="06B86E0B">
      <w:pPr>
        <w:pStyle w:val="44"/>
        <w:tabs>
          <w:tab w:val="right" w:leader="dot" w:pos="8302"/>
        </w:tabs>
        <w:spacing w:line="276" w:lineRule="auto"/>
        <w:rPr>
          <w:rFonts w:eastAsiaTheme="minorEastAsia"/>
          <w:sz w:val="24"/>
        </w:rPr>
      </w:pPr>
      <w:r>
        <w:fldChar w:fldCharType="begin"/>
      </w:r>
      <w:r>
        <w:instrText xml:space="preserve"> HYPERLINK \l "_Toc206495047" </w:instrText>
      </w:r>
      <w:r>
        <w:fldChar w:fldCharType="separate"/>
      </w:r>
      <w:r>
        <w:rPr>
          <w:rStyle w:val="144"/>
          <w:bCs/>
          <w:sz w:val="24"/>
        </w:rPr>
        <w:t>8.2.1 环境管理目标</w:t>
      </w:r>
      <w:r>
        <w:rPr>
          <w:sz w:val="24"/>
        </w:rPr>
        <w:tab/>
      </w:r>
      <w:r>
        <w:rPr>
          <w:sz w:val="24"/>
        </w:rPr>
        <w:fldChar w:fldCharType="begin"/>
      </w:r>
      <w:r>
        <w:rPr>
          <w:sz w:val="24"/>
        </w:rPr>
        <w:instrText xml:space="preserve"> PAGEREF _Toc206495047 \h </w:instrText>
      </w:r>
      <w:r>
        <w:rPr>
          <w:sz w:val="24"/>
        </w:rPr>
        <w:fldChar w:fldCharType="separate"/>
      </w:r>
      <w:r>
        <w:rPr>
          <w:sz w:val="24"/>
        </w:rPr>
        <w:t>243</w:t>
      </w:r>
      <w:r>
        <w:rPr>
          <w:sz w:val="24"/>
        </w:rPr>
        <w:fldChar w:fldCharType="end"/>
      </w:r>
      <w:r>
        <w:rPr>
          <w:sz w:val="24"/>
        </w:rPr>
        <w:fldChar w:fldCharType="end"/>
      </w:r>
    </w:p>
    <w:p w14:paraId="4480AF95">
      <w:pPr>
        <w:pStyle w:val="44"/>
        <w:tabs>
          <w:tab w:val="right" w:leader="dot" w:pos="8302"/>
        </w:tabs>
        <w:spacing w:line="276" w:lineRule="auto"/>
        <w:rPr>
          <w:rFonts w:eastAsiaTheme="minorEastAsia"/>
          <w:sz w:val="24"/>
        </w:rPr>
      </w:pPr>
      <w:r>
        <w:fldChar w:fldCharType="begin"/>
      </w:r>
      <w:r>
        <w:instrText xml:space="preserve"> HYPERLINK \l "_Toc206495048" </w:instrText>
      </w:r>
      <w:r>
        <w:fldChar w:fldCharType="separate"/>
      </w:r>
      <w:r>
        <w:rPr>
          <w:rStyle w:val="144"/>
          <w:bCs/>
          <w:sz w:val="24"/>
        </w:rPr>
        <w:t>8.2.2 环境管理机构与职责</w:t>
      </w:r>
      <w:r>
        <w:rPr>
          <w:sz w:val="24"/>
        </w:rPr>
        <w:tab/>
      </w:r>
      <w:r>
        <w:rPr>
          <w:sz w:val="24"/>
        </w:rPr>
        <w:fldChar w:fldCharType="begin"/>
      </w:r>
      <w:r>
        <w:rPr>
          <w:sz w:val="24"/>
        </w:rPr>
        <w:instrText xml:space="preserve"> PAGEREF _Toc206495048 \h </w:instrText>
      </w:r>
      <w:r>
        <w:rPr>
          <w:sz w:val="24"/>
        </w:rPr>
        <w:fldChar w:fldCharType="separate"/>
      </w:r>
      <w:r>
        <w:rPr>
          <w:sz w:val="24"/>
        </w:rPr>
        <w:t>243</w:t>
      </w:r>
      <w:r>
        <w:rPr>
          <w:sz w:val="24"/>
        </w:rPr>
        <w:fldChar w:fldCharType="end"/>
      </w:r>
      <w:r>
        <w:rPr>
          <w:sz w:val="24"/>
        </w:rPr>
        <w:fldChar w:fldCharType="end"/>
      </w:r>
    </w:p>
    <w:p w14:paraId="74DD3C55">
      <w:pPr>
        <w:pStyle w:val="44"/>
        <w:tabs>
          <w:tab w:val="right" w:leader="dot" w:pos="8302"/>
        </w:tabs>
        <w:spacing w:line="276" w:lineRule="auto"/>
        <w:rPr>
          <w:rFonts w:eastAsiaTheme="minorEastAsia"/>
          <w:sz w:val="24"/>
        </w:rPr>
      </w:pPr>
      <w:r>
        <w:fldChar w:fldCharType="begin"/>
      </w:r>
      <w:r>
        <w:instrText xml:space="preserve"> HYPERLINK \l "_Toc206495049" </w:instrText>
      </w:r>
      <w:r>
        <w:fldChar w:fldCharType="separate"/>
      </w:r>
      <w:r>
        <w:rPr>
          <w:rStyle w:val="144"/>
          <w:bCs/>
          <w:sz w:val="24"/>
        </w:rPr>
        <w:t>8.2.3 环境管理制度</w:t>
      </w:r>
      <w:r>
        <w:rPr>
          <w:sz w:val="24"/>
        </w:rPr>
        <w:tab/>
      </w:r>
      <w:r>
        <w:rPr>
          <w:sz w:val="24"/>
        </w:rPr>
        <w:fldChar w:fldCharType="begin"/>
      </w:r>
      <w:r>
        <w:rPr>
          <w:sz w:val="24"/>
        </w:rPr>
        <w:instrText xml:space="preserve"> PAGEREF _Toc206495049 \h </w:instrText>
      </w:r>
      <w:r>
        <w:rPr>
          <w:sz w:val="24"/>
        </w:rPr>
        <w:fldChar w:fldCharType="separate"/>
      </w:r>
      <w:r>
        <w:rPr>
          <w:sz w:val="24"/>
        </w:rPr>
        <w:t>245</w:t>
      </w:r>
      <w:r>
        <w:rPr>
          <w:sz w:val="24"/>
        </w:rPr>
        <w:fldChar w:fldCharType="end"/>
      </w:r>
      <w:r>
        <w:rPr>
          <w:sz w:val="24"/>
        </w:rPr>
        <w:fldChar w:fldCharType="end"/>
      </w:r>
    </w:p>
    <w:p w14:paraId="51971095">
      <w:pPr>
        <w:pStyle w:val="74"/>
        <w:tabs>
          <w:tab w:val="right" w:leader="dot" w:pos="8302"/>
        </w:tabs>
        <w:spacing w:line="276" w:lineRule="auto"/>
        <w:rPr>
          <w:rFonts w:eastAsiaTheme="minorEastAsia"/>
          <w:sz w:val="24"/>
        </w:rPr>
      </w:pPr>
      <w:r>
        <w:fldChar w:fldCharType="begin"/>
      </w:r>
      <w:r>
        <w:instrText xml:space="preserve"> HYPERLINK \l "_Toc206495050" </w:instrText>
      </w:r>
      <w:r>
        <w:fldChar w:fldCharType="separate"/>
      </w:r>
      <w:r>
        <w:rPr>
          <w:rStyle w:val="144"/>
          <w:bCs/>
          <w:sz w:val="24"/>
        </w:rPr>
        <w:t>8.3 环境影响跟踪评价</w:t>
      </w:r>
      <w:r>
        <w:rPr>
          <w:sz w:val="24"/>
        </w:rPr>
        <w:tab/>
      </w:r>
      <w:r>
        <w:rPr>
          <w:sz w:val="24"/>
        </w:rPr>
        <w:fldChar w:fldCharType="begin"/>
      </w:r>
      <w:r>
        <w:rPr>
          <w:sz w:val="24"/>
        </w:rPr>
        <w:instrText xml:space="preserve"> PAGEREF _Toc206495050 \h </w:instrText>
      </w:r>
      <w:r>
        <w:rPr>
          <w:sz w:val="24"/>
        </w:rPr>
        <w:fldChar w:fldCharType="separate"/>
      </w:r>
      <w:r>
        <w:rPr>
          <w:sz w:val="24"/>
        </w:rPr>
        <w:t>246</w:t>
      </w:r>
      <w:r>
        <w:rPr>
          <w:sz w:val="24"/>
        </w:rPr>
        <w:fldChar w:fldCharType="end"/>
      </w:r>
      <w:r>
        <w:rPr>
          <w:sz w:val="24"/>
        </w:rPr>
        <w:fldChar w:fldCharType="end"/>
      </w:r>
    </w:p>
    <w:p w14:paraId="48BE971D">
      <w:pPr>
        <w:pStyle w:val="44"/>
        <w:tabs>
          <w:tab w:val="right" w:leader="dot" w:pos="8302"/>
        </w:tabs>
        <w:spacing w:line="276" w:lineRule="auto"/>
        <w:rPr>
          <w:rFonts w:eastAsiaTheme="minorEastAsia"/>
          <w:sz w:val="24"/>
        </w:rPr>
      </w:pPr>
      <w:r>
        <w:fldChar w:fldCharType="begin"/>
      </w:r>
      <w:r>
        <w:instrText xml:space="preserve"> HYPERLINK \l "_Toc206495051" </w:instrText>
      </w:r>
      <w:r>
        <w:fldChar w:fldCharType="separate"/>
      </w:r>
      <w:r>
        <w:rPr>
          <w:rStyle w:val="144"/>
          <w:bCs/>
          <w:sz w:val="24"/>
        </w:rPr>
        <w:t>8.3.1 跟踪评价方案</w:t>
      </w:r>
      <w:r>
        <w:rPr>
          <w:sz w:val="24"/>
        </w:rPr>
        <w:tab/>
      </w:r>
      <w:r>
        <w:rPr>
          <w:sz w:val="24"/>
        </w:rPr>
        <w:fldChar w:fldCharType="begin"/>
      </w:r>
      <w:r>
        <w:rPr>
          <w:sz w:val="24"/>
        </w:rPr>
        <w:instrText xml:space="preserve"> PAGEREF _Toc206495051 \h </w:instrText>
      </w:r>
      <w:r>
        <w:rPr>
          <w:sz w:val="24"/>
        </w:rPr>
        <w:fldChar w:fldCharType="separate"/>
      </w:r>
      <w:r>
        <w:rPr>
          <w:sz w:val="24"/>
        </w:rPr>
        <w:t>246</w:t>
      </w:r>
      <w:r>
        <w:rPr>
          <w:sz w:val="24"/>
        </w:rPr>
        <w:fldChar w:fldCharType="end"/>
      </w:r>
      <w:r>
        <w:rPr>
          <w:sz w:val="24"/>
        </w:rPr>
        <w:fldChar w:fldCharType="end"/>
      </w:r>
    </w:p>
    <w:p w14:paraId="5203991A">
      <w:pPr>
        <w:pStyle w:val="44"/>
        <w:tabs>
          <w:tab w:val="right" w:leader="dot" w:pos="8302"/>
        </w:tabs>
        <w:spacing w:line="276" w:lineRule="auto"/>
        <w:rPr>
          <w:rFonts w:eastAsiaTheme="minorEastAsia"/>
          <w:sz w:val="24"/>
        </w:rPr>
      </w:pPr>
      <w:r>
        <w:fldChar w:fldCharType="begin"/>
      </w:r>
      <w:r>
        <w:instrText xml:space="preserve"> HYPERLINK \l "_Toc206495052" </w:instrText>
      </w:r>
      <w:r>
        <w:fldChar w:fldCharType="separate"/>
      </w:r>
      <w:r>
        <w:rPr>
          <w:rStyle w:val="144"/>
          <w:bCs/>
          <w:sz w:val="24"/>
        </w:rPr>
        <w:t>8.3.2 园区跟踪评价计划</w:t>
      </w:r>
      <w:r>
        <w:rPr>
          <w:sz w:val="24"/>
        </w:rPr>
        <w:tab/>
      </w:r>
      <w:r>
        <w:rPr>
          <w:sz w:val="24"/>
        </w:rPr>
        <w:fldChar w:fldCharType="begin"/>
      </w:r>
      <w:r>
        <w:rPr>
          <w:sz w:val="24"/>
        </w:rPr>
        <w:instrText xml:space="preserve"> PAGEREF _Toc206495052 \h </w:instrText>
      </w:r>
      <w:r>
        <w:rPr>
          <w:sz w:val="24"/>
        </w:rPr>
        <w:fldChar w:fldCharType="separate"/>
      </w:r>
      <w:r>
        <w:rPr>
          <w:sz w:val="24"/>
        </w:rPr>
        <w:t>247</w:t>
      </w:r>
      <w:r>
        <w:rPr>
          <w:sz w:val="24"/>
        </w:rPr>
        <w:fldChar w:fldCharType="end"/>
      </w:r>
      <w:r>
        <w:rPr>
          <w:sz w:val="24"/>
        </w:rPr>
        <w:fldChar w:fldCharType="end"/>
      </w:r>
    </w:p>
    <w:p w14:paraId="168B4E71">
      <w:pPr>
        <w:pStyle w:val="44"/>
        <w:tabs>
          <w:tab w:val="right" w:leader="dot" w:pos="8302"/>
        </w:tabs>
        <w:spacing w:line="276" w:lineRule="auto"/>
        <w:rPr>
          <w:rFonts w:eastAsiaTheme="minorEastAsia"/>
          <w:sz w:val="24"/>
        </w:rPr>
      </w:pPr>
      <w:r>
        <w:fldChar w:fldCharType="begin"/>
      </w:r>
      <w:r>
        <w:instrText xml:space="preserve"> HYPERLINK \l "_Toc206495053" </w:instrText>
      </w:r>
      <w:r>
        <w:fldChar w:fldCharType="separate"/>
      </w:r>
      <w:r>
        <w:rPr>
          <w:rStyle w:val="144"/>
          <w:bCs/>
          <w:sz w:val="24"/>
        </w:rPr>
        <w:t>8.3.3 环境监测计划</w:t>
      </w:r>
      <w:r>
        <w:rPr>
          <w:sz w:val="24"/>
        </w:rPr>
        <w:tab/>
      </w:r>
      <w:r>
        <w:rPr>
          <w:sz w:val="24"/>
        </w:rPr>
        <w:fldChar w:fldCharType="begin"/>
      </w:r>
      <w:r>
        <w:rPr>
          <w:sz w:val="24"/>
        </w:rPr>
        <w:instrText xml:space="preserve"> PAGEREF _Toc206495053 \h </w:instrText>
      </w:r>
      <w:r>
        <w:rPr>
          <w:sz w:val="24"/>
        </w:rPr>
        <w:fldChar w:fldCharType="separate"/>
      </w:r>
      <w:r>
        <w:rPr>
          <w:sz w:val="24"/>
        </w:rPr>
        <w:t>248</w:t>
      </w:r>
      <w:r>
        <w:rPr>
          <w:sz w:val="24"/>
        </w:rPr>
        <w:fldChar w:fldCharType="end"/>
      </w:r>
      <w:r>
        <w:rPr>
          <w:sz w:val="24"/>
        </w:rPr>
        <w:fldChar w:fldCharType="end"/>
      </w:r>
    </w:p>
    <w:p w14:paraId="30604C32">
      <w:pPr>
        <w:pStyle w:val="59"/>
        <w:tabs>
          <w:tab w:val="left" w:pos="420"/>
          <w:tab w:val="right" w:leader="dot" w:pos="8302"/>
        </w:tabs>
        <w:spacing w:line="276" w:lineRule="auto"/>
        <w:rPr>
          <w:rFonts w:eastAsiaTheme="minorEastAsia"/>
          <w:sz w:val="24"/>
        </w:rPr>
      </w:pPr>
      <w:r>
        <w:fldChar w:fldCharType="begin"/>
      </w:r>
      <w:r>
        <w:instrText xml:space="preserve"> HYPERLINK \l "_Toc206495054" </w:instrText>
      </w:r>
      <w:r>
        <w:fldChar w:fldCharType="separate"/>
      </w:r>
      <w:r>
        <w:rPr>
          <w:rStyle w:val="144"/>
          <w:sz w:val="24"/>
        </w:rPr>
        <w:t>9</w:t>
      </w:r>
      <w:r>
        <w:rPr>
          <w:rFonts w:eastAsiaTheme="minorEastAsia"/>
          <w:sz w:val="24"/>
        </w:rPr>
        <w:tab/>
      </w:r>
      <w:r>
        <w:rPr>
          <w:rStyle w:val="144"/>
          <w:sz w:val="24"/>
        </w:rPr>
        <w:t>公众参与</w:t>
      </w:r>
      <w:r>
        <w:rPr>
          <w:sz w:val="24"/>
        </w:rPr>
        <w:tab/>
      </w:r>
      <w:r>
        <w:rPr>
          <w:sz w:val="24"/>
        </w:rPr>
        <w:fldChar w:fldCharType="begin"/>
      </w:r>
      <w:r>
        <w:rPr>
          <w:sz w:val="24"/>
        </w:rPr>
        <w:instrText xml:space="preserve"> PAGEREF _Toc206495054 \h </w:instrText>
      </w:r>
      <w:r>
        <w:rPr>
          <w:sz w:val="24"/>
        </w:rPr>
        <w:fldChar w:fldCharType="separate"/>
      </w:r>
      <w:r>
        <w:rPr>
          <w:sz w:val="24"/>
        </w:rPr>
        <w:t>251</w:t>
      </w:r>
      <w:r>
        <w:rPr>
          <w:sz w:val="24"/>
        </w:rPr>
        <w:fldChar w:fldCharType="end"/>
      </w:r>
      <w:r>
        <w:rPr>
          <w:sz w:val="24"/>
        </w:rPr>
        <w:fldChar w:fldCharType="end"/>
      </w:r>
    </w:p>
    <w:p w14:paraId="72059EA8">
      <w:pPr>
        <w:pStyle w:val="74"/>
        <w:tabs>
          <w:tab w:val="right" w:leader="dot" w:pos="8302"/>
        </w:tabs>
        <w:spacing w:line="276" w:lineRule="auto"/>
        <w:rPr>
          <w:rFonts w:eastAsiaTheme="minorEastAsia"/>
          <w:sz w:val="24"/>
        </w:rPr>
      </w:pPr>
      <w:r>
        <w:fldChar w:fldCharType="begin"/>
      </w:r>
      <w:r>
        <w:instrText xml:space="preserve"> HYPERLINK \l "_Toc206495055" </w:instrText>
      </w:r>
      <w:r>
        <w:fldChar w:fldCharType="separate"/>
      </w:r>
      <w:r>
        <w:rPr>
          <w:rStyle w:val="144"/>
          <w:bCs/>
          <w:sz w:val="24"/>
        </w:rPr>
        <w:t>9.1 公众参与的意义</w:t>
      </w:r>
      <w:r>
        <w:rPr>
          <w:sz w:val="24"/>
        </w:rPr>
        <w:tab/>
      </w:r>
      <w:r>
        <w:rPr>
          <w:sz w:val="24"/>
        </w:rPr>
        <w:fldChar w:fldCharType="begin"/>
      </w:r>
      <w:r>
        <w:rPr>
          <w:sz w:val="24"/>
        </w:rPr>
        <w:instrText xml:space="preserve"> PAGEREF _Toc206495055 \h </w:instrText>
      </w:r>
      <w:r>
        <w:rPr>
          <w:sz w:val="24"/>
        </w:rPr>
        <w:fldChar w:fldCharType="separate"/>
      </w:r>
      <w:r>
        <w:rPr>
          <w:sz w:val="24"/>
        </w:rPr>
        <w:t>251</w:t>
      </w:r>
      <w:r>
        <w:rPr>
          <w:sz w:val="24"/>
        </w:rPr>
        <w:fldChar w:fldCharType="end"/>
      </w:r>
      <w:r>
        <w:rPr>
          <w:sz w:val="24"/>
        </w:rPr>
        <w:fldChar w:fldCharType="end"/>
      </w:r>
    </w:p>
    <w:p w14:paraId="058B4297">
      <w:pPr>
        <w:pStyle w:val="74"/>
        <w:tabs>
          <w:tab w:val="right" w:leader="dot" w:pos="8302"/>
        </w:tabs>
        <w:spacing w:line="276" w:lineRule="auto"/>
        <w:rPr>
          <w:rFonts w:eastAsiaTheme="minorEastAsia"/>
          <w:sz w:val="24"/>
        </w:rPr>
      </w:pPr>
      <w:r>
        <w:fldChar w:fldCharType="begin"/>
      </w:r>
      <w:r>
        <w:instrText xml:space="preserve"> HYPERLINK \l "_Toc206495056" </w:instrText>
      </w:r>
      <w:r>
        <w:fldChar w:fldCharType="separate"/>
      </w:r>
      <w:r>
        <w:rPr>
          <w:rStyle w:val="144"/>
          <w:bCs/>
          <w:sz w:val="24"/>
        </w:rPr>
        <w:t>9.2 首次环境影响评价信息公开情况</w:t>
      </w:r>
      <w:r>
        <w:rPr>
          <w:sz w:val="24"/>
        </w:rPr>
        <w:tab/>
      </w:r>
      <w:r>
        <w:rPr>
          <w:sz w:val="24"/>
        </w:rPr>
        <w:fldChar w:fldCharType="begin"/>
      </w:r>
      <w:r>
        <w:rPr>
          <w:sz w:val="24"/>
        </w:rPr>
        <w:instrText xml:space="preserve"> PAGEREF _Toc206495056 \h </w:instrText>
      </w:r>
      <w:r>
        <w:rPr>
          <w:sz w:val="24"/>
        </w:rPr>
        <w:fldChar w:fldCharType="separate"/>
      </w:r>
      <w:r>
        <w:rPr>
          <w:sz w:val="24"/>
        </w:rPr>
        <w:t>251</w:t>
      </w:r>
      <w:r>
        <w:rPr>
          <w:sz w:val="24"/>
        </w:rPr>
        <w:fldChar w:fldCharType="end"/>
      </w:r>
      <w:r>
        <w:rPr>
          <w:sz w:val="24"/>
        </w:rPr>
        <w:fldChar w:fldCharType="end"/>
      </w:r>
    </w:p>
    <w:p w14:paraId="0289DF39">
      <w:pPr>
        <w:pStyle w:val="44"/>
        <w:tabs>
          <w:tab w:val="right" w:leader="dot" w:pos="8302"/>
        </w:tabs>
        <w:spacing w:line="276" w:lineRule="auto"/>
        <w:rPr>
          <w:rFonts w:eastAsiaTheme="minorEastAsia"/>
          <w:sz w:val="24"/>
        </w:rPr>
      </w:pPr>
      <w:r>
        <w:fldChar w:fldCharType="begin"/>
      </w:r>
      <w:r>
        <w:instrText xml:space="preserve"> HYPERLINK \l "_Toc206495057" </w:instrText>
      </w:r>
      <w:r>
        <w:fldChar w:fldCharType="separate"/>
      </w:r>
      <w:r>
        <w:rPr>
          <w:rStyle w:val="144"/>
          <w:bCs/>
          <w:sz w:val="24"/>
        </w:rPr>
        <w:t>9.2.1 公开内容及日期</w:t>
      </w:r>
      <w:r>
        <w:rPr>
          <w:sz w:val="24"/>
        </w:rPr>
        <w:tab/>
      </w:r>
      <w:r>
        <w:rPr>
          <w:sz w:val="24"/>
        </w:rPr>
        <w:fldChar w:fldCharType="begin"/>
      </w:r>
      <w:r>
        <w:rPr>
          <w:sz w:val="24"/>
        </w:rPr>
        <w:instrText xml:space="preserve"> PAGEREF _Toc206495057 \h </w:instrText>
      </w:r>
      <w:r>
        <w:rPr>
          <w:sz w:val="24"/>
        </w:rPr>
        <w:fldChar w:fldCharType="separate"/>
      </w:r>
      <w:r>
        <w:rPr>
          <w:sz w:val="24"/>
        </w:rPr>
        <w:t>251</w:t>
      </w:r>
      <w:r>
        <w:rPr>
          <w:sz w:val="24"/>
        </w:rPr>
        <w:fldChar w:fldCharType="end"/>
      </w:r>
      <w:r>
        <w:rPr>
          <w:sz w:val="24"/>
        </w:rPr>
        <w:fldChar w:fldCharType="end"/>
      </w:r>
    </w:p>
    <w:p w14:paraId="0B6DC3F5">
      <w:pPr>
        <w:pStyle w:val="44"/>
        <w:tabs>
          <w:tab w:val="right" w:leader="dot" w:pos="8302"/>
        </w:tabs>
        <w:spacing w:line="276" w:lineRule="auto"/>
        <w:rPr>
          <w:rFonts w:eastAsiaTheme="minorEastAsia"/>
          <w:sz w:val="24"/>
        </w:rPr>
      </w:pPr>
      <w:r>
        <w:fldChar w:fldCharType="begin"/>
      </w:r>
      <w:r>
        <w:instrText xml:space="preserve"> HYPERLINK \l "_Toc206495058" </w:instrText>
      </w:r>
      <w:r>
        <w:fldChar w:fldCharType="separate"/>
      </w:r>
      <w:r>
        <w:rPr>
          <w:rStyle w:val="144"/>
          <w:bCs/>
          <w:sz w:val="24"/>
        </w:rPr>
        <w:t>9.2.2 公开方式</w:t>
      </w:r>
      <w:r>
        <w:rPr>
          <w:sz w:val="24"/>
        </w:rPr>
        <w:tab/>
      </w:r>
      <w:r>
        <w:rPr>
          <w:sz w:val="24"/>
        </w:rPr>
        <w:fldChar w:fldCharType="begin"/>
      </w:r>
      <w:r>
        <w:rPr>
          <w:sz w:val="24"/>
        </w:rPr>
        <w:instrText xml:space="preserve"> PAGEREF _Toc206495058 \h </w:instrText>
      </w:r>
      <w:r>
        <w:rPr>
          <w:sz w:val="24"/>
        </w:rPr>
        <w:fldChar w:fldCharType="separate"/>
      </w:r>
      <w:r>
        <w:rPr>
          <w:sz w:val="24"/>
        </w:rPr>
        <w:t>252</w:t>
      </w:r>
      <w:r>
        <w:rPr>
          <w:sz w:val="24"/>
        </w:rPr>
        <w:fldChar w:fldCharType="end"/>
      </w:r>
      <w:r>
        <w:rPr>
          <w:sz w:val="24"/>
        </w:rPr>
        <w:fldChar w:fldCharType="end"/>
      </w:r>
    </w:p>
    <w:p w14:paraId="061E5A81">
      <w:pPr>
        <w:pStyle w:val="44"/>
        <w:tabs>
          <w:tab w:val="right" w:leader="dot" w:pos="8302"/>
        </w:tabs>
        <w:spacing w:line="276" w:lineRule="auto"/>
        <w:rPr>
          <w:rFonts w:eastAsiaTheme="minorEastAsia"/>
          <w:sz w:val="24"/>
        </w:rPr>
      </w:pPr>
      <w:r>
        <w:fldChar w:fldCharType="begin"/>
      </w:r>
      <w:r>
        <w:instrText xml:space="preserve"> HYPERLINK \l "_Toc206495059" </w:instrText>
      </w:r>
      <w:r>
        <w:fldChar w:fldCharType="separate"/>
      </w:r>
      <w:r>
        <w:rPr>
          <w:rStyle w:val="144"/>
          <w:bCs/>
          <w:sz w:val="24"/>
        </w:rPr>
        <w:t>9.2.3 公众意见情况</w:t>
      </w:r>
      <w:r>
        <w:rPr>
          <w:sz w:val="24"/>
        </w:rPr>
        <w:tab/>
      </w:r>
      <w:r>
        <w:rPr>
          <w:sz w:val="24"/>
        </w:rPr>
        <w:fldChar w:fldCharType="begin"/>
      </w:r>
      <w:r>
        <w:rPr>
          <w:sz w:val="24"/>
        </w:rPr>
        <w:instrText xml:space="preserve"> PAGEREF _Toc206495059 \h </w:instrText>
      </w:r>
      <w:r>
        <w:rPr>
          <w:sz w:val="24"/>
        </w:rPr>
        <w:fldChar w:fldCharType="separate"/>
      </w:r>
      <w:r>
        <w:rPr>
          <w:sz w:val="24"/>
        </w:rPr>
        <w:t>253</w:t>
      </w:r>
      <w:r>
        <w:rPr>
          <w:sz w:val="24"/>
        </w:rPr>
        <w:fldChar w:fldCharType="end"/>
      </w:r>
      <w:r>
        <w:rPr>
          <w:sz w:val="24"/>
        </w:rPr>
        <w:fldChar w:fldCharType="end"/>
      </w:r>
    </w:p>
    <w:p w14:paraId="398244DB">
      <w:pPr>
        <w:pStyle w:val="74"/>
        <w:tabs>
          <w:tab w:val="right" w:leader="dot" w:pos="8302"/>
        </w:tabs>
        <w:spacing w:line="276" w:lineRule="auto"/>
        <w:rPr>
          <w:rFonts w:eastAsiaTheme="minorEastAsia"/>
          <w:sz w:val="24"/>
        </w:rPr>
      </w:pPr>
      <w:r>
        <w:fldChar w:fldCharType="begin"/>
      </w:r>
      <w:r>
        <w:instrText xml:space="preserve"> HYPERLINK \l "_Toc206495060" </w:instrText>
      </w:r>
      <w:r>
        <w:fldChar w:fldCharType="separate"/>
      </w:r>
      <w:r>
        <w:rPr>
          <w:rStyle w:val="144"/>
          <w:bCs/>
          <w:sz w:val="24"/>
        </w:rPr>
        <w:t>9.3 征求意见稿公示情况</w:t>
      </w:r>
      <w:r>
        <w:rPr>
          <w:sz w:val="24"/>
        </w:rPr>
        <w:tab/>
      </w:r>
      <w:r>
        <w:rPr>
          <w:sz w:val="24"/>
        </w:rPr>
        <w:fldChar w:fldCharType="begin"/>
      </w:r>
      <w:r>
        <w:rPr>
          <w:sz w:val="24"/>
        </w:rPr>
        <w:instrText xml:space="preserve"> PAGEREF _Toc206495060 \h </w:instrText>
      </w:r>
      <w:r>
        <w:rPr>
          <w:sz w:val="24"/>
        </w:rPr>
        <w:fldChar w:fldCharType="separate"/>
      </w:r>
      <w:r>
        <w:rPr>
          <w:sz w:val="24"/>
        </w:rPr>
        <w:t>253</w:t>
      </w:r>
      <w:r>
        <w:rPr>
          <w:sz w:val="24"/>
        </w:rPr>
        <w:fldChar w:fldCharType="end"/>
      </w:r>
      <w:r>
        <w:rPr>
          <w:sz w:val="24"/>
        </w:rPr>
        <w:fldChar w:fldCharType="end"/>
      </w:r>
    </w:p>
    <w:p w14:paraId="5AF3E5F2">
      <w:pPr>
        <w:pStyle w:val="44"/>
        <w:tabs>
          <w:tab w:val="right" w:leader="dot" w:pos="8302"/>
        </w:tabs>
        <w:spacing w:line="276" w:lineRule="auto"/>
        <w:rPr>
          <w:rFonts w:eastAsiaTheme="minorEastAsia"/>
          <w:sz w:val="24"/>
        </w:rPr>
      </w:pPr>
      <w:r>
        <w:fldChar w:fldCharType="begin"/>
      </w:r>
      <w:r>
        <w:instrText xml:space="preserve"> HYPERLINK \l "_Toc206495061" </w:instrText>
      </w:r>
      <w:r>
        <w:fldChar w:fldCharType="separate"/>
      </w:r>
      <w:r>
        <w:rPr>
          <w:rStyle w:val="144"/>
          <w:bCs/>
          <w:sz w:val="24"/>
        </w:rPr>
        <w:t>9.3.1 公开内容及日期</w:t>
      </w:r>
      <w:r>
        <w:rPr>
          <w:sz w:val="24"/>
        </w:rPr>
        <w:tab/>
      </w:r>
      <w:r>
        <w:rPr>
          <w:sz w:val="24"/>
        </w:rPr>
        <w:fldChar w:fldCharType="begin"/>
      </w:r>
      <w:r>
        <w:rPr>
          <w:sz w:val="24"/>
        </w:rPr>
        <w:instrText xml:space="preserve"> PAGEREF _Toc206495061 \h </w:instrText>
      </w:r>
      <w:r>
        <w:rPr>
          <w:sz w:val="24"/>
        </w:rPr>
        <w:fldChar w:fldCharType="separate"/>
      </w:r>
      <w:r>
        <w:rPr>
          <w:sz w:val="24"/>
        </w:rPr>
        <w:t>253</w:t>
      </w:r>
      <w:r>
        <w:rPr>
          <w:sz w:val="24"/>
        </w:rPr>
        <w:fldChar w:fldCharType="end"/>
      </w:r>
      <w:r>
        <w:rPr>
          <w:sz w:val="24"/>
        </w:rPr>
        <w:fldChar w:fldCharType="end"/>
      </w:r>
    </w:p>
    <w:p w14:paraId="7C08BB9C">
      <w:pPr>
        <w:pStyle w:val="44"/>
        <w:tabs>
          <w:tab w:val="right" w:leader="dot" w:pos="8302"/>
        </w:tabs>
        <w:spacing w:line="276" w:lineRule="auto"/>
        <w:rPr>
          <w:rFonts w:eastAsiaTheme="minorEastAsia"/>
          <w:sz w:val="24"/>
        </w:rPr>
      </w:pPr>
      <w:r>
        <w:fldChar w:fldCharType="begin"/>
      </w:r>
      <w:r>
        <w:instrText xml:space="preserve"> HYPERLINK \l "_Toc206495062" </w:instrText>
      </w:r>
      <w:r>
        <w:fldChar w:fldCharType="separate"/>
      </w:r>
      <w:r>
        <w:rPr>
          <w:rStyle w:val="144"/>
          <w:bCs/>
          <w:sz w:val="24"/>
        </w:rPr>
        <w:t>9.3.2 网络公开</w:t>
      </w:r>
      <w:r>
        <w:rPr>
          <w:sz w:val="24"/>
        </w:rPr>
        <w:tab/>
      </w:r>
      <w:r>
        <w:rPr>
          <w:sz w:val="24"/>
        </w:rPr>
        <w:fldChar w:fldCharType="begin"/>
      </w:r>
      <w:r>
        <w:rPr>
          <w:sz w:val="24"/>
        </w:rPr>
        <w:instrText xml:space="preserve"> PAGEREF _Toc206495062 \h </w:instrText>
      </w:r>
      <w:r>
        <w:rPr>
          <w:sz w:val="24"/>
        </w:rPr>
        <w:fldChar w:fldCharType="separate"/>
      </w:r>
      <w:r>
        <w:rPr>
          <w:sz w:val="24"/>
        </w:rPr>
        <w:t>253</w:t>
      </w:r>
      <w:r>
        <w:rPr>
          <w:sz w:val="24"/>
        </w:rPr>
        <w:fldChar w:fldCharType="end"/>
      </w:r>
      <w:r>
        <w:rPr>
          <w:sz w:val="24"/>
        </w:rPr>
        <w:fldChar w:fldCharType="end"/>
      </w:r>
    </w:p>
    <w:p w14:paraId="1AAF1805">
      <w:pPr>
        <w:pStyle w:val="44"/>
        <w:tabs>
          <w:tab w:val="right" w:leader="dot" w:pos="8302"/>
        </w:tabs>
        <w:spacing w:line="276" w:lineRule="auto"/>
        <w:rPr>
          <w:rFonts w:eastAsiaTheme="minorEastAsia"/>
          <w:sz w:val="24"/>
        </w:rPr>
      </w:pPr>
      <w:r>
        <w:fldChar w:fldCharType="begin"/>
      </w:r>
      <w:r>
        <w:instrText xml:space="preserve"> HYPERLINK \l "_Toc206495063" </w:instrText>
      </w:r>
      <w:r>
        <w:fldChar w:fldCharType="separate"/>
      </w:r>
      <w:r>
        <w:rPr>
          <w:rStyle w:val="144"/>
          <w:bCs/>
          <w:sz w:val="24"/>
        </w:rPr>
        <w:t>9.3.3 报纸公示</w:t>
      </w:r>
      <w:r>
        <w:rPr>
          <w:sz w:val="24"/>
        </w:rPr>
        <w:tab/>
      </w:r>
      <w:r>
        <w:rPr>
          <w:sz w:val="24"/>
        </w:rPr>
        <w:fldChar w:fldCharType="begin"/>
      </w:r>
      <w:r>
        <w:rPr>
          <w:sz w:val="24"/>
        </w:rPr>
        <w:instrText xml:space="preserve"> PAGEREF _Toc206495063 \h </w:instrText>
      </w:r>
      <w:r>
        <w:rPr>
          <w:sz w:val="24"/>
        </w:rPr>
        <w:fldChar w:fldCharType="separate"/>
      </w:r>
      <w:r>
        <w:rPr>
          <w:sz w:val="24"/>
        </w:rPr>
        <w:t>254</w:t>
      </w:r>
      <w:r>
        <w:rPr>
          <w:sz w:val="24"/>
        </w:rPr>
        <w:fldChar w:fldCharType="end"/>
      </w:r>
      <w:r>
        <w:rPr>
          <w:sz w:val="24"/>
        </w:rPr>
        <w:fldChar w:fldCharType="end"/>
      </w:r>
    </w:p>
    <w:p w14:paraId="2E3F5A66">
      <w:pPr>
        <w:pStyle w:val="44"/>
        <w:tabs>
          <w:tab w:val="right" w:leader="dot" w:pos="8302"/>
        </w:tabs>
        <w:spacing w:line="276" w:lineRule="auto"/>
        <w:rPr>
          <w:rFonts w:eastAsiaTheme="minorEastAsia"/>
          <w:sz w:val="24"/>
        </w:rPr>
      </w:pPr>
      <w:r>
        <w:fldChar w:fldCharType="begin"/>
      </w:r>
      <w:r>
        <w:instrText xml:space="preserve"> HYPERLINK \l "_Toc206495064" </w:instrText>
      </w:r>
      <w:r>
        <w:fldChar w:fldCharType="separate"/>
      </w:r>
      <w:r>
        <w:rPr>
          <w:rStyle w:val="144"/>
          <w:bCs/>
          <w:sz w:val="24"/>
        </w:rPr>
        <w:t>9.3.4 张贴公告</w:t>
      </w:r>
      <w:r>
        <w:rPr>
          <w:sz w:val="24"/>
        </w:rPr>
        <w:tab/>
      </w:r>
      <w:r>
        <w:rPr>
          <w:sz w:val="24"/>
        </w:rPr>
        <w:fldChar w:fldCharType="begin"/>
      </w:r>
      <w:r>
        <w:rPr>
          <w:sz w:val="24"/>
        </w:rPr>
        <w:instrText xml:space="preserve"> PAGEREF _Toc206495064 \h </w:instrText>
      </w:r>
      <w:r>
        <w:rPr>
          <w:sz w:val="24"/>
        </w:rPr>
        <w:fldChar w:fldCharType="separate"/>
      </w:r>
      <w:r>
        <w:rPr>
          <w:sz w:val="24"/>
        </w:rPr>
        <w:t>254</w:t>
      </w:r>
      <w:r>
        <w:rPr>
          <w:sz w:val="24"/>
        </w:rPr>
        <w:fldChar w:fldCharType="end"/>
      </w:r>
      <w:r>
        <w:rPr>
          <w:sz w:val="24"/>
        </w:rPr>
        <w:fldChar w:fldCharType="end"/>
      </w:r>
    </w:p>
    <w:p w14:paraId="46DBF6FF">
      <w:pPr>
        <w:pStyle w:val="44"/>
        <w:tabs>
          <w:tab w:val="right" w:leader="dot" w:pos="8302"/>
        </w:tabs>
        <w:spacing w:line="276" w:lineRule="auto"/>
        <w:rPr>
          <w:rFonts w:eastAsiaTheme="minorEastAsia"/>
          <w:sz w:val="24"/>
        </w:rPr>
      </w:pPr>
      <w:r>
        <w:fldChar w:fldCharType="begin"/>
      </w:r>
      <w:r>
        <w:instrText xml:space="preserve"> HYPERLINK \l "_Toc206495065" </w:instrText>
      </w:r>
      <w:r>
        <w:fldChar w:fldCharType="separate"/>
      </w:r>
      <w:r>
        <w:rPr>
          <w:rStyle w:val="144"/>
          <w:bCs/>
          <w:sz w:val="24"/>
        </w:rPr>
        <w:t>9.3.5 公众提出意见情况</w:t>
      </w:r>
      <w:r>
        <w:rPr>
          <w:sz w:val="24"/>
        </w:rPr>
        <w:tab/>
      </w:r>
      <w:r>
        <w:rPr>
          <w:sz w:val="24"/>
        </w:rPr>
        <w:fldChar w:fldCharType="begin"/>
      </w:r>
      <w:r>
        <w:rPr>
          <w:sz w:val="24"/>
        </w:rPr>
        <w:instrText xml:space="preserve"> PAGEREF _Toc206495065 \h </w:instrText>
      </w:r>
      <w:r>
        <w:rPr>
          <w:sz w:val="24"/>
        </w:rPr>
        <w:fldChar w:fldCharType="separate"/>
      </w:r>
      <w:r>
        <w:rPr>
          <w:sz w:val="24"/>
        </w:rPr>
        <w:t>255</w:t>
      </w:r>
      <w:r>
        <w:rPr>
          <w:sz w:val="24"/>
        </w:rPr>
        <w:fldChar w:fldCharType="end"/>
      </w:r>
      <w:r>
        <w:rPr>
          <w:sz w:val="24"/>
        </w:rPr>
        <w:fldChar w:fldCharType="end"/>
      </w:r>
    </w:p>
    <w:p w14:paraId="5B8BE3A9">
      <w:pPr>
        <w:pStyle w:val="74"/>
        <w:tabs>
          <w:tab w:val="right" w:leader="dot" w:pos="8302"/>
        </w:tabs>
        <w:spacing w:line="276" w:lineRule="auto"/>
        <w:rPr>
          <w:rFonts w:eastAsiaTheme="minorEastAsia"/>
          <w:sz w:val="24"/>
        </w:rPr>
      </w:pPr>
      <w:r>
        <w:fldChar w:fldCharType="begin"/>
      </w:r>
      <w:r>
        <w:instrText xml:space="preserve"> HYPERLINK \l "_Toc206495066" </w:instrText>
      </w:r>
      <w:r>
        <w:fldChar w:fldCharType="separate"/>
      </w:r>
      <w:r>
        <w:rPr>
          <w:rStyle w:val="144"/>
          <w:bCs/>
          <w:sz w:val="24"/>
        </w:rPr>
        <w:t>9.4 公众参与结论</w:t>
      </w:r>
      <w:r>
        <w:rPr>
          <w:sz w:val="24"/>
        </w:rPr>
        <w:tab/>
      </w:r>
      <w:r>
        <w:rPr>
          <w:sz w:val="24"/>
        </w:rPr>
        <w:fldChar w:fldCharType="begin"/>
      </w:r>
      <w:r>
        <w:rPr>
          <w:sz w:val="24"/>
        </w:rPr>
        <w:instrText xml:space="preserve"> PAGEREF _Toc206495066 \h </w:instrText>
      </w:r>
      <w:r>
        <w:rPr>
          <w:sz w:val="24"/>
        </w:rPr>
        <w:fldChar w:fldCharType="separate"/>
      </w:r>
      <w:r>
        <w:rPr>
          <w:sz w:val="24"/>
        </w:rPr>
        <w:t>255</w:t>
      </w:r>
      <w:r>
        <w:rPr>
          <w:sz w:val="24"/>
        </w:rPr>
        <w:fldChar w:fldCharType="end"/>
      </w:r>
      <w:r>
        <w:rPr>
          <w:sz w:val="24"/>
        </w:rPr>
        <w:fldChar w:fldCharType="end"/>
      </w:r>
    </w:p>
    <w:p w14:paraId="686AA599">
      <w:pPr>
        <w:pStyle w:val="59"/>
        <w:tabs>
          <w:tab w:val="left" w:pos="840"/>
          <w:tab w:val="right" w:leader="dot" w:pos="8302"/>
        </w:tabs>
        <w:spacing w:line="276" w:lineRule="auto"/>
        <w:rPr>
          <w:rFonts w:eastAsiaTheme="minorEastAsia"/>
          <w:sz w:val="24"/>
        </w:rPr>
      </w:pPr>
      <w:r>
        <w:fldChar w:fldCharType="begin"/>
      </w:r>
      <w:r>
        <w:instrText xml:space="preserve"> HYPERLINK \l "_Toc206495067" </w:instrText>
      </w:r>
      <w:r>
        <w:fldChar w:fldCharType="separate"/>
      </w:r>
      <w:r>
        <w:rPr>
          <w:rStyle w:val="144"/>
          <w:sz w:val="24"/>
        </w:rPr>
        <w:t>10</w:t>
      </w:r>
      <w:r>
        <w:rPr>
          <w:rFonts w:eastAsiaTheme="minorEastAsia"/>
          <w:sz w:val="24"/>
        </w:rPr>
        <w:tab/>
      </w:r>
      <w:r>
        <w:rPr>
          <w:rStyle w:val="144"/>
          <w:sz w:val="24"/>
        </w:rPr>
        <w:t>评价结论</w:t>
      </w:r>
      <w:r>
        <w:rPr>
          <w:sz w:val="24"/>
        </w:rPr>
        <w:tab/>
      </w:r>
      <w:r>
        <w:rPr>
          <w:sz w:val="24"/>
        </w:rPr>
        <w:fldChar w:fldCharType="begin"/>
      </w:r>
      <w:r>
        <w:rPr>
          <w:sz w:val="24"/>
        </w:rPr>
        <w:instrText xml:space="preserve"> PAGEREF _Toc206495067 \h </w:instrText>
      </w:r>
      <w:r>
        <w:rPr>
          <w:sz w:val="24"/>
        </w:rPr>
        <w:fldChar w:fldCharType="separate"/>
      </w:r>
      <w:r>
        <w:rPr>
          <w:sz w:val="24"/>
        </w:rPr>
        <w:t>256</w:t>
      </w:r>
      <w:r>
        <w:rPr>
          <w:sz w:val="24"/>
        </w:rPr>
        <w:fldChar w:fldCharType="end"/>
      </w:r>
      <w:r>
        <w:rPr>
          <w:sz w:val="24"/>
        </w:rPr>
        <w:fldChar w:fldCharType="end"/>
      </w:r>
    </w:p>
    <w:p w14:paraId="223EE2F9">
      <w:pPr>
        <w:pStyle w:val="74"/>
        <w:tabs>
          <w:tab w:val="right" w:leader="dot" w:pos="8302"/>
        </w:tabs>
        <w:spacing w:line="276" w:lineRule="auto"/>
        <w:rPr>
          <w:rFonts w:eastAsiaTheme="minorEastAsia"/>
          <w:sz w:val="24"/>
        </w:rPr>
      </w:pPr>
      <w:r>
        <w:fldChar w:fldCharType="begin"/>
      </w:r>
      <w:r>
        <w:instrText xml:space="preserve"> HYPERLINK \l "_Toc206495068" </w:instrText>
      </w:r>
      <w:r>
        <w:fldChar w:fldCharType="separate"/>
      </w:r>
      <w:r>
        <w:rPr>
          <w:rStyle w:val="144"/>
          <w:bCs/>
          <w:sz w:val="24"/>
        </w:rPr>
        <w:t>10.1 规划概况</w:t>
      </w:r>
      <w:r>
        <w:rPr>
          <w:sz w:val="24"/>
        </w:rPr>
        <w:tab/>
      </w:r>
      <w:r>
        <w:rPr>
          <w:sz w:val="24"/>
        </w:rPr>
        <w:fldChar w:fldCharType="begin"/>
      </w:r>
      <w:r>
        <w:rPr>
          <w:sz w:val="24"/>
        </w:rPr>
        <w:instrText xml:space="preserve"> PAGEREF _Toc206495068 \h </w:instrText>
      </w:r>
      <w:r>
        <w:rPr>
          <w:sz w:val="24"/>
        </w:rPr>
        <w:fldChar w:fldCharType="separate"/>
      </w:r>
      <w:r>
        <w:rPr>
          <w:sz w:val="24"/>
        </w:rPr>
        <w:t>256</w:t>
      </w:r>
      <w:r>
        <w:rPr>
          <w:sz w:val="24"/>
        </w:rPr>
        <w:fldChar w:fldCharType="end"/>
      </w:r>
      <w:r>
        <w:rPr>
          <w:sz w:val="24"/>
        </w:rPr>
        <w:fldChar w:fldCharType="end"/>
      </w:r>
    </w:p>
    <w:p w14:paraId="45BEB396">
      <w:pPr>
        <w:pStyle w:val="44"/>
        <w:tabs>
          <w:tab w:val="right" w:leader="dot" w:pos="8302"/>
        </w:tabs>
        <w:spacing w:line="276" w:lineRule="auto"/>
        <w:rPr>
          <w:rFonts w:eastAsiaTheme="minorEastAsia"/>
          <w:sz w:val="24"/>
        </w:rPr>
      </w:pPr>
      <w:r>
        <w:fldChar w:fldCharType="begin"/>
      </w:r>
      <w:r>
        <w:instrText xml:space="preserve"> HYPERLINK \l "_Toc206495069" </w:instrText>
      </w:r>
      <w:r>
        <w:fldChar w:fldCharType="separate"/>
      </w:r>
      <w:r>
        <w:rPr>
          <w:rStyle w:val="144"/>
          <w:bCs/>
          <w:sz w:val="24"/>
        </w:rPr>
        <w:t>10.1.1 发展目标</w:t>
      </w:r>
      <w:r>
        <w:rPr>
          <w:sz w:val="24"/>
        </w:rPr>
        <w:tab/>
      </w:r>
      <w:r>
        <w:rPr>
          <w:sz w:val="24"/>
        </w:rPr>
        <w:fldChar w:fldCharType="begin"/>
      </w:r>
      <w:r>
        <w:rPr>
          <w:sz w:val="24"/>
        </w:rPr>
        <w:instrText xml:space="preserve"> PAGEREF _Toc206495069 \h </w:instrText>
      </w:r>
      <w:r>
        <w:rPr>
          <w:sz w:val="24"/>
        </w:rPr>
        <w:fldChar w:fldCharType="separate"/>
      </w:r>
      <w:r>
        <w:rPr>
          <w:sz w:val="24"/>
        </w:rPr>
        <w:t>256</w:t>
      </w:r>
      <w:r>
        <w:rPr>
          <w:sz w:val="24"/>
        </w:rPr>
        <w:fldChar w:fldCharType="end"/>
      </w:r>
      <w:r>
        <w:rPr>
          <w:sz w:val="24"/>
        </w:rPr>
        <w:fldChar w:fldCharType="end"/>
      </w:r>
    </w:p>
    <w:p w14:paraId="39855A9E">
      <w:pPr>
        <w:pStyle w:val="44"/>
        <w:tabs>
          <w:tab w:val="right" w:leader="dot" w:pos="8302"/>
        </w:tabs>
        <w:spacing w:line="276" w:lineRule="auto"/>
        <w:rPr>
          <w:rFonts w:eastAsiaTheme="minorEastAsia"/>
          <w:sz w:val="24"/>
        </w:rPr>
      </w:pPr>
      <w:r>
        <w:fldChar w:fldCharType="begin"/>
      </w:r>
      <w:r>
        <w:instrText xml:space="preserve"> HYPERLINK \l "_Toc206495070" </w:instrText>
      </w:r>
      <w:r>
        <w:fldChar w:fldCharType="separate"/>
      </w:r>
      <w:r>
        <w:rPr>
          <w:rStyle w:val="144"/>
          <w:bCs/>
          <w:sz w:val="24"/>
        </w:rPr>
        <w:t>10.1.2 产业发展定位</w:t>
      </w:r>
      <w:r>
        <w:rPr>
          <w:sz w:val="24"/>
        </w:rPr>
        <w:tab/>
      </w:r>
      <w:r>
        <w:rPr>
          <w:sz w:val="24"/>
        </w:rPr>
        <w:fldChar w:fldCharType="begin"/>
      </w:r>
      <w:r>
        <w:rPr>
          <w:sz w:val="24"/>
        </w:rPr>
        <w:instrText xml:space="preserve"> PAGEREF _Toc206495070 \h </w:instrText>
      </w:r>
      <w:r>
        <w:rPr>
          <w:sz w:val="24"/>
        </w:rPr>
        <w:fldChar w:fldCharType="separate"/>
      </w:r>
      <w:r>
        <w:rPr>
          <w:sz w:val="24"/>
        </w:rPr>
        <w:t>256</w:t>
      </w:r>
      <w:r>
        <w:rPr>
          <w:sz w:val="24"/>
        </w:rPr>
        <w:fldChar w:fldCharType="end"/>
      </w:r>
      <w:r>
        <w:rPr>
          <w:sz w:val="24"/>
        </w:rPr>
        <w:fldChar w:fldCharType="end"/>
      </w:r>
    </w:p>
    <w:p w14:paraId="4B70E353">
      <w:pPr>
        <w:pStyle w:val="44"/>
        <w:tabs>
          <w:tab w:val="right" w:leader="dot" w:pos="8302"/>
        </w:tabs>
        <w:spacing w:line="276" w:lineRule="auto"/>
        <w:rPr>
          <w:rFonts w:eastAsiaTheme="minorEastAsia"/>
          <w:sz w:val="24"/>
        </w:rPr>
      </w:pPr>
      <w:r>
        <w:fldChar w:fldCharType="begin"/>
      </w:r>
      <w:r>
        <w:instrText xml:space="preserve"> HYPERLINK \l "_Toc206495071" </w:instrText>
      </w:r>
      <w:r>
        <w:fldChar w:fldCharType="separate"/>
      </w:r>
      <w:r>
        <w:rPr>
          <w:rStyle w:val="144"/>
          <w:bCs/>
          <w:sz w:val="24"/>
        </w:rPr>
        <w:t>10.1.3 规划范围与时限</w:t>
      </w:r>
      <w:r>
        <w:rPr>
          <w:sz w:val="24"/>
        </w:rPr>
        <w:tab/>
      </w:r>
      <w:r>
        <w:rPr>
          <w:sz w:val="24"/>
        </w:rPr>
        <w:fldChar w:fldCharType="begin"/>
      </w:r>
      <w:r>
        <w:rPr>
          <w:sz w:val="24"/>
        </w:rPr>
        <w:instrText xml:space="preserve"> PAGEREF _Toc206495071 \h </w:instrText>
      </w:r>
      <w:r>
        <w:rPr>
          <w:sz w:val="24"/>
        </w:rPr>
        <w:fldChar w:fldCharType="separate"/>
      </w:r>
      <w:r>
        <w:rPr>
          <w:sz w:val="24"/>
        </w:rPr>
        <w:t>257</w:t>
      </w:r>
      <w:r>
        <w:rPr>
          <w:sz w:val="24"/>
        </w:rPr>
        <w:fldChar w:fldCharType="end"/>
      </w:r>
      <w:r>
        <w:rPr>
          <w:sz w:val="24"/>
        </w:rPr>
        <w:fldChar w:fldCharType="end"/>
      </w:r>
    </w:p>
    <w:p w14:paraId="46A489BA">
      <w:pPr>
        <w:pStyle w:val="44"/>
        <w:tabs>
          <w:tab w:val="right" w:leader="dot" w:pos="8302"/>
        </w:tabs>
        <w:spacing w:line="276" w:lineRule="auto"/>
        <w:rPr>
          <w:rFonts w:eastAsiaTheme="minorEastAsia"/>
          <w:sz w:val="24"/>
        </w:rPr>
      </w:pPr>
      <w:r>
        <w:fldChar w:fldCharType="begin"/>
      </w:r>
      <w:r>
        <w:instrText xml:space="preserve"> HYPERLINK \l "_Toc206495072" </w:instrText>
      </w:r>
      <w:r>
        <w:fldChar w:fldCharType="separate"/>
      </w:r>
      <w:r>
        <w:rPr>
          <w:rStyle w:val="144"/>
          <w:bCs/>
          <w:sz w:val="24"/>
        </w:rPr>
        <w:t>10.1.4 规划产业设计</w:t>
      </w:r>
      <w:r>
        <w:rPr>
          <w:sz w:val="24"/>
        </w:rPr>
        <w:tab/>
      </w:r>
      <w:r>
        <w:rPr>
          <w:sz w:val="24"/>
        </w:rPr>
        <w:fldChar w:fldCharType="begin"/>
      </w:r>
      <w:r>
        <w:rPr>
          <w:sz w:val="24"/>
        </w:rPr>
        <w:instrText xml:space="preserve"> PAGEREF _Toc206495072 \h </w:instrText>
      </w:r>
      <w:r>
        <w:rPr>
          <w:sz w:val="24"/>
        </w:rPr>
        <w:fldChar w:fldCharType="separate"/>
      </w:r>
      <w:r>
        <w:rPr>
          <w:sz w:val="24"/>
        </w:rPr>
        <w:t>257</w:t>
      </w:r>
      <w:r>
        <w:rPr>
          <w:sz w:val="24"/>
        </w:rPr>
        <w:fldChar w:fldCharType="end"/>
      </w:r>
      <w:r>
        <w:rPr>
          <w:sz w:val="24"/>
        </w:rPr>
        <w:fldChar w:fldCharType="end"/>
      </w:r>
    </w:p>
    <w:p w14:paraId="582CA18C">
      <w:pPr>
        <w:pStyle w:val="44"/>
        <w:tabs>
          <w:tab w:val="right" w:leader="dot" w:pos="8302"/>
        </w:tabs>
        <w:spacing w:line="276" w:lineRule="auto"/>
        <w:rPr>
          <w:rFonts w:eastAsiaTheme="minorEastAsia"/>
          <w:sz w:val="24"/>
        </w:rPr>
      </w:pPr>
      <w:r>
        <w:fldChar w:fldCharType="begin"/>
      </w:r>
      <w:r>
        <w:instrText xml:space="preserve"> HYPERLINK \l "_Toc206495073" </w:instrText>
      </w:r>
      <w:r>
        <w:fldChar w:fldCharType="separate"/>
      </w:r>
      <w:r>
        <w:rPr>
          <w:rStyle w:val="144"/>
          <w:bCs/>
          <w:sz w:val="24"/>
        </w:rPr>
        <w:t>10.1.5 规划产业布局</w:t>
      </w:r>
      <w:r>
        <w:rPr>
          <w:sz w:val="24"/>
        </w:rPr>
        <w:tab/>
      </w:r>
      <w:r>
        <w:rPr>
          <w:sz w:val="24"/>
        </w:rPr>
        <w:fldChar w:fldCharType="begin"/>
      </w:r>
      <w:r>
        <w:rPr>
          <w:sz w:val="24"/>
        </w:rPr>
        <w:instrText xml:space="preserve"> PAGEREF _Toc206495073 \h </w:instrText>
      </w:r>
      <w:r>
        <w:rPr>
          <w:sz w:val="24"/>
        </w:rPr>
        <w:fldChar w:fldCharType="separate"/>
      </w:r>
      <w:r>
        <w:rPr>
          <w:sz w:val="24"/>
        </w:rPr>
        <w:t>257</w:t>
      </w:r>
      <w:r>
        <w:rPr>
          <w:sz w:val="24"/>
        </w:rPr>
        <w:fldChar w:fldCharType="end"/>
      </w:r>
      <w:r>
        <w:rPr>
          <w:sz w:val="24"/>
        </w:rPr>
        <w:fldChar w:fldCharType="end"/>
      </w:r>
    </w:p>
    <w:p w14:paraId="027099DB">
      <w:pPr>
        <w:pStyle w:val="44"/>
        <w:tabs>
          <w:tab w:val="right" w:leader="dot" w:pos="8302"/>
        </w:tabs>
        <w:spacing w:line="276" w:lineRule="auto"/>
        <w:rPr>
          <w:rFonts w:eastAsiaTheme="minorEastAsia"/>
          <w:sz w:val="24"/>
        </w:rPr>
      </w:pPr>
      <w:r>
        <w:fldChar w:fldCharType="begin"/>
      </w:r>
      <w:r>
        <w:instrText xml:space="preserve"> HYPERLINK \l "_Toc206495074" </w:instrText>
      </w:r>
      <w:r>
        <w:fldChar w:fldCharType="separate"/>
      </w:r>
      <w:r>
        <w:rPr>
          <w:rStyle w:val="144"/>
          <w:bCs/>
          <w:sz w:val="24"/>
        </w:rPr>
        <w:t>10.1.6 规划主要任务</w:t>
      </w:r>
      <w:r>
        <w:rPr>
          <w:sz w:val="24"/>
        </w:rPr>
        <w:tab/>
      </w:r>
      <w:r>
        <w:rPr>
          <w:sz w:val="24"/>
        </w:rPr>
        <w:fldChar w:fldCharType="begin"/>
      </w:r>
      <w:r>
        <w:rPr>
          <w:sz w:val="24"/>
        </w:rPr>
        <w:instrText xml:space="preserve"> PAGEREF _Toc206495074 \h </w:instrText>
      </w:r>
      <w:r>
        <w:rPr>
          <w:sz w:val="24"/>
        </w:rPr>
        <w:fldChar w:fldCharType="separate"/>
      </w:r>
      <w:r>
        <w:rPr>
          <w:sz w:val="24"/>
        </w:rPr>
        <w:t>258</w:t>
      </w:r>
      <w:r>
        <w:rPr>
          <w:sz w:val="24"/>
        </w:rPr>
        <w:fldChar w:fldCharType="end"/>
      </w:r>
      <w:r>
        <w:rPr>
          <w:sz w:val="24"/>
        </w:rPr>
        <w:fldChar w:fldCharType="end"/>
      </w:r>
    </w:p>
    <w:p w14:paraId="51EEB982">
      <w:pPr>
        <w:pStyle w:val="44"/>
        <w:tabs>
          <w:tab w:val="right" w:leader="dot" w:pos="8302"/>
        </w:tabs>
        <w:spacing w:line="276" w:lineRule="auto"/>
        <w:rPr>
          <w:rFonts w:eastAsiaTheme="minorEastAsia"/>
          <w:sz w:val="24"/>
        </w:rPr>
      </w:pPr>
      <w:r>
        <w:fldChar w:fldCharType="begin"/>
      </w:r>
      <w:r>
        <w:instrText xml:space="preserve"> HYPERLINK \l "_Toc206495075" </w:instrText>
      </w:r>
      <w:r>
        <w:fldChar w:fldCharType="separate"/>
      </w:r>
      <w:r>
        <w:rPr>
          <w:rStyle w:val="144"/>
          <w:bCs/>
          <w:sz w:val="24"/>
        </w:rPr>
        <w:t>10.1.7 规划重点发展工程</w:t>
      </w:r>
      <w:r>
        <w:rPr>
          <w:sz w:val="24"/>
        </w:rPr>
        <w:tab/>
      </w:r>
      <w:r>
        <w:rPr>
          <w:sz w:val="24"/>
        </w:rPr>
        <w:fldChar w:fldCharType="begin"/>
      </w:r>
      <w:r>
        <w:rPr>
          <w:sz w:val="24"/>
        </w:rPr>
        <w:instrText xml:space="preserve"> PAGEREF _Toc206495075 \h </w:instrText>
      </w:r>
      <w:r>
        <w:rPr>
          <w:sz w:val="24"/>
        </w:rPr>
        <w:fldChar w:fldCharType="separate"/>
      </w:r>
      <w:r>
        <w:rPr>
          <w:sz w:val="24"/>
        </w:rPr>
        <w:t>259</w:t>
      </w:r>
      <w:r>
        <w:rPr>
          <w:sz w:val="24"/>
        </w:rPr>
        <w:fldChar w:fldCharType="end"/>
      </w:r>
      <w:r>
        <w:rPr>
          <w:sz w:val="24"/>
        </w:rPr>
        <w:fldChar w:fldCharType="end"/>
      </w:r>
    </w:p>
    <w:p w14:paraId="5F4C51F0">
      <w:pPr>
        <w:pStyle w:val="44"/>
        <w:tabs>
          <w:tab w:val="right" w:leader="dot" w:pos="8302"/>
        </w:tabs>
        <w:spacing w:line="276" w:lineRule="auto"/>
        <w:rPr>
          <w:rFonts w:eastAsiaTheme="minorEastAsia"/>
          <w:sz w:val="24"/>
        </w:rPr>
      </w:pPr>
      <w:r>
        <w:fldChar w:fldCharType="begin"/>
      </w:r>
      <w:r>
        <w:instrText xml:space="preserve"> HYPERLINK \l "_Toc206495076" </w:instrText>
      </w:r>
      <w:r>
        <w:fldChar w:fldCharType="separate"/>
      </w:r>
      <w:r>
        <w:rPr>
          <w:rStyle w:val="144"/>
          <w:bCs/>
          <w:sz w:val="24"/>
        </w:rPr>
        <w:t>10.1.8 规划协调性分析</w:t>
      </w:r>
      <w:r>
        <w:rPr>
          <w:sz w:val="24"/>
        </w:rPr>
        <w:tab/>
      </w:r>
      <w:r>
        <w:rPr>
          <w:sz w:val="24"/>
        </w:rPr>
        <w:fldChar w:fldCharType="begin"/>
      </w:r>
      <w:r>
        <w:rPr>
          <w:sz w:val="24"/>
        </w:rPr>
        <w:instrText xml:space="preserve"> PAGEREF _Toc206495076 \h </w:instrText>
      </w:r>
      <w:r>
        <w:rPr>
          <w:sz w:val="24"/>
        </w:rPr>
        <w:fldChar w:fldCharType="separate"/>
      </w:r>
      <w:r>
        <w:rPr>
          <w:sz w:val="24"/>
        </w:rPr>
        <w:t>260</w:t>
      </w:r>
      <w:r>
        <w:rPr>
          <w:sz w:val="24"/>
        </w:rPr>
        <w:fldChar w:fldCharType="end"/>
      </w:r>
      <w:r>
        <w:rPr>
          <w:sz w:val="24"/>
        </w:rPr>
        <w:fldChar w:fldCharType="end"/>
      </w:r>
    </w:p>
    <w:p w14:paraId="35F880AD">
      <w:pPr>
        <w:pStyle w:val="74"/>
        <w:tabs>
          <w:tab w:val="right" w:leader="dot" w:pos="8302"/>
        </w:tabs>
        <w:spacing w:line="276" w:lineRule="auto"/>
        <w:rPr>
          <w:rFonts w:eastAsiaTheme="minorEastAsia"/>
          <w:sz w:val="24"/>
        </w:rPr>
      </w:pPr>
      <w:r>
        <w:fldChar w:fldCharType="begin"/>
      </w:r>
      <w:r>
        <w:instrText xml:space="preserve"> HYPERLINK \l "_Toc206495077" </w:instrText>
      </w:r>
      <w:r>
        <w:fldChar w:fldCharType="separate"/>
      </w:r>
      <w:r>
        <w:rPr>
          <w:rStyle w:val="144"/>
          <w:bCs/>
          <w:sz w:val="24"/>
        </w:rPr>
        <w:t>10.2 规划发展制约性因素</w:t>
      </w:r>
      <w:r>
        <w:rPr>
          <w:sz w:val="24"/>
        </w:rPr>
        <w:tab/>
      </w:r>
      <w:r>
        <w:rPr>
          <w:sz w:val="24"/>
        </w:rPr>
        <w:fldChar w:fldCharType="begin"/>
      </w:r>
      <w:r>
        <w:rPr>
          <w:sz w:val="24"/>
        </w:rPr>
        <w:instrText xml:space="preserve"> PAGEREF _Toc206495077 \h </w:instrText>
      </w:r>
      <w:r>
        <w:rPr>
          <w:sz w:val="24"/>
        </w:rPr>
        <w:fldChar w:fldCharType="separate"/>
      </w:r>
      <w:r>
        <w:rPr>
          <w:sz w:val="24"/>
        </w:rPr>
        <w:t>260</w:t>
      </w:r>
      <w:r>
        <w:rPr>
          <w:sz w:val="24"/>
        </w:rPr>
        <w:fldChar w:fldCharType="end"/>
      </w:r>
      <w:r>
        <w:rPr>
          <w:sz w:val="24"/>
        </w:rPr>
        <w:fldChar w:fldCharType="end"/>
      </w:r>
    </w:p>
    <w:p w14:paraId="5C453D5F">
      <w:pPr>
        <w:pStyle w:val="44"/>
        <w:tabs>
          <w:tab w:val="right" w:leader="dot" w:pos="8302"/>
        </w:tabs>
        <w:spacing w:line="276" w:lineRule="auto"/>
        <w:rPr>
          <w:rFonts w:eastAsiaTheme="minorEastAsia"/>
          <w:sz w:val="24"/>
        </w:rPr>
      </w:pPr>
      <w:r>
        <w:fldChar w:fldCharType="begin"/>
      </w:r>
      <w:r>
        <w:instrText xml:space="preserve"> HYPERLINK \l "_Toc206495078" </w:instrText>
      </w:r>
      <w:r>
        <w:fldChar w:fldCharType="separate"/>
      </w:r>
      <w:r>
        <w:rPr>
          <w:rStyle w:val="144"/>
          <w:bCs/>
          <w:sz w:val="24"/>
        </w:rPr>
        <w:t>10.2.1 环境质量现状问题</w:t>
      </w:r>
      <w:r>
        <w:rPr>
          <w:sz w:val="24"/>
        </w:rPr>
        <w:tab/>
      </w:r>
      <w:r>
        <w:rPr>
          <w:sz w:val="24"/>
        </w:rPr>
        <w:fldChar w:fldCharType="begin"/>
      </w:r>
      <w:r>
        <w:rPr>
          <w:sz w:val="24"/>
        </w:rPr>
        <w:instrText xml:space="preserve"> PAGEREF _Toc206495078 \h </w:instrText>
      </w:r>
      <w:r>
        <w:rPr>
          <w:sz w:val="24"/>
        </w:rPr>
        <w:fldChar w:fldCharType="separate"/>
      </w:r>
      <w:r>
        <w:rPr>
          <w:sz w:val="24"/>
        </w:rPr>
        <w:t>260</w:t>
      </w:r>
      <w:r>
        <w:rPr>
          <w:sz w:val="24"/>
        </w:rPr>
        <w:fldChar w:fldCharType="end"/>
      </w:r>
      <w:r>
        <w:rPr>
          <w:sz w:val="24"/>
        </w:rPr>
        <w:fldChar w:fldCharType="end"/>
      </w:r>
    </w:p>
    <w:p w14:paraId="06E471F5">
      <w:pPr>
        <w:pStyle w:val="44"/>
        <w:tabs>
          <w:tab w:val="right" w:leader="dot" w:pos="8302"/>
        </w:tabs>
        <w:spacing w:line="276" w:lineRule="auto"/>
        <w:rPr>
          <w:rFonts w:eastAsiaTheme="minorEastAsia"/>
          <w:sz w:val="24"/>
        </w:rPr>
      </w:pPr>
      <w:r>
        <w:fldChar w:fldCharType="begin"/>
      </w:r>
      <w:r>
        <w:instrText xml:space="preserve"> HYPERLINK \l "_Toc206495079" </w:instrText>
      </w:r>
      <w:r>
        <w:fldChar w:fldCharType="separate"/>
      </w:r>
      <w:r>
        <w:rPr>
          <w:rStyle w:val="144"/>
          <w:bCs/>
          <w:sz w:val="24"/>
        </w:rPr>
        <w:t>10.2.2 资源利用现状问题</w:t>
      </w:r>
      <w:r>
        <w:rPr>
          <w:sz w:val="24"/>
        </w:rPr>
        <w:tab/>
      </w:r>
      <w:r>
        <w:rPr>
          <w:sz w:val="24"/>
        </w:rPr>
        <w:fldChar w:fldCharType="begin"/>
      </w:r>
      <w:r>
        <w:rPr>
          <w:sz w:val="24"/>
        </w:rPr>
        <w:instrText xml:space="preserve"> PAGEREF _Toc206495079 \h </w:instrText>
      </w:r>
      <w:r>
        <w:rPr>
          <w:sz w:val="24"/>
        </w:rPr>
        <w:fldChar w:fldCharType="separate"/>
      </w:r>
      <w:r>
        <w:rPr>
          <w:sz w:val="24"/>
        </w:rPr>
        <w:t>261</w:t>
      </w:r>
      <w:r>
        <w:rPr>
          <w:sz w:val="24"/>
        </w:rPr>
        <w:fldChar w:fldCharType="end"/>
      </w:r>
      <w:r>
        <w:rPr>
          <w:sz w:val="24"/>
        </w:rPr>
        <w:fldChar w:fldCharType="end"/>
      </w:r>
    </w:p>
    <w:p w14:paraId="01B2A168">
      <w:pPr>
        <w:pStyle w:val="44"/>
        <w:tabs>
          <w:tab w:val="right" w:leader="dot" w:pos="8302"/>
        </w:tabs>
        <w:spacing w:line="276" w:lineRule="auto"/>
        <w:rPr>
          <w:rFonts w:eastAsiaTheme="minorEastAsia"/>
          <w:sz w:val="24"/>
        </w:rPr>
      </w:pPr>
      <w:r>
        <w:fldChar w:fldCharType="begin"/>
      </w:r>
      <w:r>
        <w:instrText xml:space="preserve"> HYPERLINK \l "_Toc206495080" </w:instrText>
      </w:r>
      <w:r>
        <w:fldChar w:fldCharType="separate"/>
      </w:r>
      <w:r>
        <w:rPr>
          <w:rStyle w:val="144"/>
          <w:bCs/>
          <w:sz w:val="24"/>
        </w:rPr>
        <w:t>10.2.3 基础设施现状问题</w:t>
      </w:r>
      <w:r>
        <w:rPr>
          <w:sz w:val="24"/>
        </w:rPr>
        <w:tab/>
      </w:r>
      <w:r>
        <w:rPr>
          <w:sz w:val="24"/>
        </w:rPr>
        <w:fldChar w:fldCharType="begin"/>
      </w:r>
      <w:r>
        <w:rPr>
          <w:sz w:val="24"/>
        </w:rPr>
        <w:instrText xml:space="preserve"> PAGEREF _Toc206495080 \h </w:instrText>
      </w:r>
      <w:r>
        <w:rPr>
          <w:sz w:val="24"/>
        </w:rPr>
        <w:fldChar w:fldCharType="separate"/>
      </w:r>
      <w:r>
        <w:rPr>
          <w:sz w:val="24"/>
        </w:rPr>
        <w:t>261</w:t>
      </w:r>
      <w:r>
        <w:rPr>
          <w:sz w:val="24"/>
        </w:rPr>
        <w:fldChar w:fldCharType="end"/>
      </w:r>
      <w:r>
        <w:rPr>
          <w:sz w:val="24"/>
        </w:rPr>
        <w:fldChar w:fldCharType="end"/>
      </w:r>
    </w:p>
    <w:p w14:paraId="054D6DF3">
      <w:pPr>
        <w:pStyle w:val="44"/>
        <w:tabs>
          <w:tab w:val="right" w:leader="dot" w:pos="8302"/>
        </w:tabs>
        <w:spacing w:line="276" w:lineRule="auto"/>
        <w:rPr>
          <w:rFonts w:eastAsiaTheme="minorEastAsia"/>
          <w:sz w:val="24"/>
        </w:rPr>
      </w:pPr>
      <w:r>
        <w:fldChar w:fldCharType="begin"/>
      </w:r>
      <w:r>
        <w:instrText xml:space="preserve"> HYPERLINK \l "_Toc206495081" </w:instrText>
      </w:r>
      <w:r>
        <w:fldChar w:fldCharType="separate"/>
      </w:r>
      <w:r>
        <w:rPr>
          <w:rStyle w:val="144"/>
          <w:bCs/>
          <w:sz w:val="24"/>
        </w:rPr>
        <w:t>10.2.4 环境管理现状问题</w:t>
      </w:r>
      <w:r>
        <w:rPr>
          <w:sz w:val="24"/>
        </w:rPr>
        <w:tab/>
      </w:r>
      <w:r>
        <w:rPr>
          <w:sz w:val="24"/>
        </w:rPr>
        <w:fldChar w:fldCharType="begin"/>
      </w:r>
      <w:r>
        <w:rPr>
          <w:sz w:val="24"/>
        </w:rPr>
        <w:instrText xml:space="preserve"> PAGEREF _Toc206495081 \h </w:instrText>
      </w:r>
      <w:r>
        <w:rPr>
          <w:sz w:val="24"/>
        </w:rPr>
        <w:fldChar w:fldCharType="separate"/>
      </w:r>
      <w:r>
        <w:rPr>
          <w:sz w:val="24"/>
        </w:rPr>
        <w:t>262</w:t>
      </w:r>
      <w:r>
        <w:rPr>
          <w:sz w:val="24"/>
        </w:rPr>
        <w:fldChar w:fldCharType="end"/>
      </w:r>
      <w:r>
        <w:rPr>
          <w:sz w:val="24"/>
        </w:rPr>
        <w:fldChar w:fldCharType="end"/>
      </w:r>
    </w:p>
    <w:p w14:paraId="2502DF4F">
      <w:pPr>
        <w:pStyle w:val="74"/>
        <w:tabs>
          <w:tab w:val="right" w:leader="dot" w:pos="8302"/>
        </w:tabs>
        <w:spacing w:line="276" w:lineRule="auto"/>
        <w:rPr>
          <w:rFonts w:eastAsiaTheme="minorEastAsia"/>
          <w:sz w:val="24"/>
        </w:rPr>
      </w:pPr>
      <w:r>
        <w:fldChar w:fldCharType="begin"/>
      </w:r>
      <w:r>
        <w:instrText xml:space="preserve"> HYPERLINK \l "_Toc206495082" </w:instrText>
      </w:r>
      <w:r>
        <w:fldChar w:fldCharType="separate"/>
      </w:r>
      <w:r>
        <w:rPr>
          <w:rStyle w:val="144"/>
          <w:bCs/>
          <w:sz w:val="24"/>
        </w:rPr>
        <w:t>10.3 环境质量现状</w:t>
      </w:r>
      <w:r>
        <w:rPr>
          <w:sz w:val="24"/>
        </w:rPr>
        <w:tab/>
      </w:r>
      <w:r>
        <w:rPr>
          <w:sz w:val="24"/>
        </w:rPr>
        <w:fldChar w:fldCharType="begin"/>
      </w:r>
      <w:r>
        <w:rPr>
          <w:sz w:val="24"/>
        </w:rPr>
        <w:instrText xml:space="preserve"> PAGEREF _Toc206495082 \h </w:instrText>
      </w:r>
      <w:r>
        <w:rPr>
          <w:sz w:val="24"/>
        </w:rPr>
        <w:fldChar w:fldCharType="separate"/>
      </w:r>
      <w:r>
        <w:rPr>
          <w:sz w:val="24"/>
        </w:rPr>
        <w:t>263</w:t>
      </w:r>
      <w:r>
        <w:rPr>
          <w:sz w:val="24"/>
        </w:rPr>
        <w:fldChar w:fldCharType="end"/>
      </w:r>
      <w:r>
        <w:rPr>
          <w:sz w:val="24"/>
        </w:rPr>
        <w:fldChar w:fldCharType="end"/>
      </w:r>
    </w:p>
    <w:p w14:paraId="4C6D6286">
      <w:pPr>
        <w:pStyle w:val="44"/>
        <w:tabs>
          <w:tab w:val="right" w:leader="dot" w:pos="8302"/>
        </w:tabs>
        <w:spacing w:line="276" w:lineRule="auto"/>
        <w:rPr>
          <w:rFonts w:eastAsiaTheme="minorEastAsia"/>
          <w:sz w:val="24"/>
        </w:rPr>
      </w:pPr>
      <w:r>
        <w:fldChar w:fldCharType="begin"/>
      </w:r>
      <w:r>
        <w:instrText xml:space="preserve"> HYPERLINK \l "_Toc206495083" </w:instrText>
      </w:r>
      <w:r>
        <w:fldChar w:fldCharType="separate"/>
      </w:r>
      <w:r>
        <w:rPr>
          <w:rStyle w:val="144"/>
          <w:bCs/>
          <w:sz w:val="24"/>
        </w:rPr>
        <w:t>10.3.1 环境空气质量现状</w:t>
      </w:r>
      <w:r>
        <w:rPr>
          <w:sz w:val="24"/>
        </w:rPr>
        <w:tab/>
      </w:r>
      <w:r>
        <w:rPr>
          <w:sz w:val="24"/>
        </w:rPr>
        <w:fldChar w:fldCharType="begin"/>
      </w:r>
      <w:r>
        <w:rPr>
          <w:sz w:val="24"/>
        </w:rPr>
        <w:instrText xml:space="preserve"> PAGEREF _Toc206495083 \h </w:instrText>
      </w:r>
      <w:r>
        <w:rPr>
          <w:sz w:val="24"/>
        </w:rPr>
        <w:fldChar w:fldCharType="separate"/>
      </w:r>
      <w:r>
        <w:rPr>
          <w:sz w:val="24"/>
        </w:rPr>
        <w:t>263</w:t>
      </w:r>
      <w:r>
        <w:rPr>
          <w:sz w:val="24"/>
        </w:rPr>
        <w:fldChar w:fldCharType="end"/>
      </w:r>
      <w:r>
        <w:rPr>
          <w:sz w:val="24"/>
        </w:rPr>
        <w:fldChar w:fldCharType="end"/>
      </w:r>
    </w:p>
    <w:p w14:paraId="7B015BFA">
      <w:pPr>
        <w:pStyle w:val="44"/>
        <w:tabs>
          <w:tab w:val="right" w:leader="dot" w:pos="8302"/>
        </w:tabs>
        <w:spacing w:line="276" w:lineRule="auto"/>
        <w:rPr>
          <w:rFonts w:eastAsiaTheme="minorEastAsia"/>
          <w:sz w:val="24"/>
        </w:rPr>
      </w:pPr>
      <w:r>
        <w:fldChar w:fldCharType="begin"/>
      </w:r>
      <w:r>
        <w:instrText xml:space="preserve"> HYPERLINK \l "_Toc206495084" </w:instrText>
      </w:r>
      <w:r>
        <w:fldChar w:fldCharType="separate"/>
      </w:r>
      <w:r>
        <w:rPr>
          <w:rStyle w:val="144"/>
          <w:bCs/>
          <w:sz w:val="24"/>
        </w:rPr>
        <w:t>10.3.2 地表水环境质量现状</w:t>
      </w:r>
      <w:r>
        <w:rPr>
          <w:sz w:val="24"/>
        </w:rPr>
        <w:tab/>
      </w:r>
      <w:r>
        <w:rPr>
          <w:sz w:val="24"/>
        </w:rPr>
        <w:fldChar w:fldCharType="begin"/>
      </w:r>
      <w:r>
        <w:rPr>
          <w:sz w:val="24"/>
        </w:rPr>
        <w:instrText xml:space="preserve"> PAGEREF _Toc206495084 \h </w:instrText>
      </w:r>
      <w:r>
        <w:rPr>
          <w:sz w:val="24"/>
        </w:rPr>
        <w:fldChar w:fldCharType="separate"/>
      </w:r>
      <w:r>
        <w:rPr>
          <w:sz w:val="24"/>
        </w:rPr>
        <w:t>263</w:t>
      </w:r>
      <w:r>
        <w:rPr>
          <w:sz w:val="24"/>
        </w:rPr>
        <w:fldChar w:fldCharType="end"/>
      </w:r>
      <w:r>
        <w:rPr>
          <w:sz w:val="24"/>
        </w:rPr>
        <w:fldChar w:fldCharType="end"/>
      </w:r>
    </w:p>
    <w:p w14:paraId="5B02EA34">
      <w:pPr>
        <w:pStyle w:val="44"/>
        <w:tabs>
          <w:tab w:val="right" w:leader="dot" w:pos="8302"/>
        </w:tabs>
        <w:spacing w:line="276" w:lineRule="auto"/>
        <w:rPr>
          <w:rFonts w:eastAsiaTheme="minorEastAsia"/>
          <w:sz w:val="24"/>
        </w:rPr>
      </w:pPr>
      <w:r>
        <w:fldChar w:fldCharType="begin"/>
      </w:r>
      <w:r>
        <w:instrText xml:space="preserve"> HYPERLINK \l "_Toc206495085" </w:instrText>
      </w:r>
      <w:r>
        <w:fldChar w:fldCharType="separate"/>
      </w:r>
      <w:r>
        <w:rPr>
          <w:rStyle w:val="144"/>
          <w:bCs/>
          <w:sz w:val="24"/>
        </w:rPr>
        <w:t>10.3.3 地下水环境质量现状</w:t>
      </w:r>
      <w:r>
        <w:rPr>
          <w:sz w:val="24"/>
        </w:rPr>
        <w:tab/>
      </w:r>
      <w:r>
        <w:rPr>
          <w:sz w:val="24"/>
        </w:rPr>
        <w:fldChar w:fldCharType="begin"/>
      </w:r>
      <w:r>
        <w:rPr>
          <w:sz w:val="24"/>
        </w:rPr>
        <w:instrText xml:space="preserve"> PAGEREF _Toc206495085 \h </w:instrText>
      </w:r>
      <w:r>
        <w:rPr>
          <w:sz w:val="24"/>
        </w:rPr>
        <w:fldChar w:fldCharType="separate"/>
      </w:r>
      <w:r>
        <w:rPr>
          <w:sz w:val="24"/>
        </w:rPr>
        <w:t>263</w:t>
      </w:r>
      <w:r>
        <w:rPr>
          <w:sz w:val="24"/>
        </w:rPr>
        <w:fldChar w:fldCharType="end"/>
      </w:r>
      <w:r>
        <w:rPr>
          <w:sz w:val="24"/>
        </w:rPr>
        <w:fldChar w:fldCharType="end"/>
      </w:r>
    </w:p>
    <w:p w14:paraId="631C39E8">
      <w:pPr>
        <w:pStyle w:val="44"/>
        <w:tabs>
          <w:tab w:val="right" w:leader="dot" w:pos="8302"/>
        </w:tabs>
        <w:spacing w:line="276" w:lineRule="auto"/>
        <w:rPr>
          <w:rFonts w:eastAsiaTheme="minorEastAsia"/>
          <w:sz w:val="24"/>
        </w:rPr>
      </w:pPr>
      <w:r>
        <w:fldChar w:fldCharType="begin"/>
      </w:r>
      <w:r>
        <w:instrText xml:space="preserve"> HYPERLINK \l "_Toc206495086" </w:instrText>
      </w:r>
      <w:r>
        <w:fldChar w:fldCharType="separate"/>
      </w:r>
      <w:r>
        <w:rPr>
          <w:rStyle w:val="144"/>
          <w:bCs/>
          <w:sz w:val="24"/>
        </w:rPr>
        <w:t>10.3.4 土壤环境质量现状</w:t>
      </w:r>
      <w:r>
        <w:rPr>
          <w:sz w:val="24"/>
        </w:rPr>
        <w:tab/>
      </w:r>
      <w:r>
        <w:rPr>
          <w:sz w:val="24"/>
        </w:rPr>
        <w:fldChar w:fldCharType="begin"/>
      </w:r>
      <w:r>
        <w:rPr>
          <w:sz w:val="24"/>
        </w:rPr>
        <w:instrText xml:space="preserve"> PAGEREF _Toc206495086 \h </w:instrText>
      </w:r>
      <w:r>
        <w:rPr>
          <w:sz w:val="24"/>
        </w:rPr>
        <w:fldChar w:fldCharType="separate"/>
      </w:r>
      <w:r>
        <w:rPr>
          <w:sz w:val="24"/>
        </w:rPr>
        <w:t>264</w:t>
      </w:r>
      <w:r>
        <w:rPr>
          <w:sz w:val="24"/>
        </w:rPr>
        <w:fldChar w:fldCharType="end"/>
      </w:r>
      <w:r>
        <w:rPr>
          <w:sz w:val="24"/>
        </w:rPr>
        <w:fldChar w:fldCharType="end"/>
      </w:r>
    </w:p>
    <w:p w14:paraId="5548A17D">
      <w:pPr>
        <w:pStyle w:val="44"/>
        <w:tabs>
          <w:tab w:val="right" w:leader="dot" w:pos="8302"/>
        </w:tabs>
        <w:spacing w:line="276" w:lineRule="auto"/>
        <w:rPr>
          <w:rFonts w:eastAsiaTheme="minorEastAsia"/>
          <w:sz w:val="24"/>
        </w:rPr>
      </w:pPr>
      <w:r>
        <w:fldChar w:fldCharType="begin"/>
      </w:r>
      <w:r>
        <w:instrText xml:space="preserve"> HYPERLINK \l "_Toc206495087" </w:instrText>
      </w:r>
      <w:r>
        <w:fldChar w:fldCharType="separate"/>
      </w:r>
      <w:r>
        <w:rPr>
          <w:rStyle w:val="144"/>
          <w:bCs/>
          <w:sz w:val="24"/>
        </w:rPr>
        <w:t>10.3.5 声环境质量现状</w:t>
      </w:r>
      <w:r>
        <w:rPr>
          <w:sz w:val="24"/>
        </w:rPr>
        <w:tab/>
      </w:r>
      <w:r>
        <w:rPr>
          <w:sz w:val="24"/>
        </w:rPr>
        <w:fldChar w:fldCharType="begin"/>
      </w:r>
      <w:r>
        <w:rPr>
          <w:sz w:val="24"/>
        </w:rPr>
        <w:instrText xml:space="preserve"> PAGEREF _Toc206495087 \h </w:instrText>
      </w:r>
      <w:r>
        <w:rPr>
          <w:sz w:val="24"/>
        </w:rPr>
        <w:fldChar w:fldCharType="separate"/>
      </w:r>
      <w:r>
        <w:rPr>
          <w:sz w:val="24"/>
        </w:rPr>
        <w:t>264</w:t>
      </w:r>
      <w:r>
        <w:rPr>
          <w:sz w:val="24"/>
        </w:rPr>
        <w:fldChar w:fldCharType="end"/>
      </w:r>
      <w:r>
        <w:rPr>
          <w:sz w:val="24"/>
        </w:rPr>
        <w:fldChar w:fldCharType="end"/>
      </w:r>
    </w:p>
    <w:p w14:paraId="181A1CA3">
      <w:pPr>
        <w:pStyle w:val="44"/>
        <w:tabs>
          <w:tab w:val="right" w:leader="dot" w:pos="8302"/>
        </w:tabs>
        <w:spacing w:line="276" w:lineRule="auto"/>
        <w:rPr>
          <w:rFonts w:eastAsiaTheme="minorEastAsia"/>
          <w:sz w:val="24"/>
        </w:rPr>
      </w:pPr>
      <w:r>
        <w:fldChar w:fldCharType="begin"/>
      </w:r>
      <w:r>
        <w:instrText xml:space="preserve"> HYPERLINK \l "_Toc206495088" </w:instrText>
      </w:r>
      <w:r>
        <w:fldChar w:fldCharType="separate"/>
      </w:r>
      <w:r>
        <w:rPr>
          <w:rStyle w:val="144"/>
          <w:bCs/>
          <w:sz w:val="24"/>
        </w:rPr>
        <w:t>10.3.6 生态环境</w:t>
      </w:r>
      <w:r>
        <w:rPr>
          <w:sz w:val="24"/>
        </w:rPr>
        <w:tab/>
      </w:r>
      <w:r>
        <w:rPr>
          <w:sz w:val="24"/>
        </w:rPr>
        <w:fldChar w:fldCharType="begin"/>
      </w:r>
      <w:r>
        <w:rPr>
          <w:sz w:val="24"/>
        </w:rPr>
        <w:instrText xml:space="preserve"> PAGEREF _Toc206495088 \h </w:instrText>
      </w:r>
      <w:r>
        <w:rPr>
          <w:sz w:val="24"/>
        </w:rPr>
        <w:fldChar w:fldCharType="separate"/>
      </w:r>
      <w:r>
        <w:rPr>
          <w:sz w:val="24"/>
        </w:rPr>
        <w:t>264</w:t>
      </w:r>
      <w:r>
        <w:rPr>
          <w:sz w:val="24"/>
        </w:rPr>
        <w:fldChar w:fldCharType="end"/>
      </w:r>
      <w:r>
        <w:rPr>
          <w:sz w:val="24"/>
        </w:rPr>
        <w:fldChar w:fldCharType="end"/>
      </w:r>
    </w:p>
    <w:p w14:paraId="5306AB63">
      <w:pPr>
        <w:pStyle w:val="74"/>
        <w:tabs>
          <w:tab w:val="right" w:leader="dot" w:pos="8302"/>
        </w:tabs>
        <w:spacing w:line="276" w:lineRule="auto"/>
        <w:rPr>
          <w:rFonts w:eastAsiaTheme="minorEastAsia"/>
          <w:sz w:val="24"/>
        </w:rPr>
      </w:pPr>
      <w:r>
        <w:fldChar w:fldCharType="begin"/>
      </w:r>
      <w:r>
        <w:instrText xml:space="preserve"> HYPERLINK \l "_Toc206495089" </w:instrText>
      </w:r>
      <w:r>
        <w:fldChar w:fldCharType="separate"/>
      </w:r>
      <w:r>
        <w:rPr>
          <w:rStyle w:val="144"/>
          <w:bCs/>
          <w:sz w:val="24"/>
        </w:rPr>
        <w:t>10.4 环境影响预测评价</w:t>
      </w:r>
      <w:r>
        <w:rPr>
          <w:sz w:val="24"/>
        </w:rPr>
        <w:tab/>
      </w:r>
      <w:r>
        <w:rPr>
          <w:sz w:val="24"/>
        </w:rPr>
        <w:fldChar w:fldCharType="begin"/>
      </w:r>
      <w:r>
        <w:rPr>
          <w:sz w:val="24"/>
        </w:rPr>
        <w:instrText xml:space="preserve"> PAGEREF _Toc206495089 \h </w:instrText>
      </w:r>
      <w:r>
        <w:rPr>
          <w:sz w:val="24"/>
        </w:rPr>
        <w:fldChar w:fldCharType="separate"/>
      </w:r>
      <w:r>
        <w:rPr>
          <w:sz w:val="24"/>
        </w:rPr>
        <w:t>265</w:t>
      </w:r>
      <w:r>
        <w:rPr>
          <w:sz w:val="24"/>
        </w:rPr>
        <w:fldChar w:fldCharType="end"/>
      </w:r>
      <w:r>
        <w:rPr>
          <w:sz w:val="24"/>
        </w:rPr>
        <w:fldChar w:fldCharType="end"/>
      </w:r>
    </w:p>
    <w:p w14:paraId="72EC6F3F">
      <w:pPr>
        <w:pStyle w:val="44"/>
        <w:tabs>
          <w:tab w:val="right" w:leader="dot" w:pos="8302"/>
        </w:tabs>
        <w:spacing w:line="276" w:lineRule="auto"/>
        <w:rPr>
          <w:rFonts w:eastAsiaTheme="minorEastAsia"/>
          <w:sz w:val="24"/>
        </w:rPr>
      </w:pPr>
      <w:r>
        <w:fldChar w:fldCharType="begin"/>
      </w:r>
      <w:r>
        <w:instrText xml:space="preserve"> HYPERLINK \l "_Toc206495090" </w:instrText>
      </w:r>
      <w:r>
        <w:fldChar w:fldCharType="separate"/>
      </w:r>
      <w:r>
        <w:rPr>
          <w:rStyle w:val="144"/>
          <w:bCs/>
          <w:sz w:val="24"/>
        </w:rPr>
        <w:t>10.4.1 环境空气影响分析</w:t>
      </w:r>
      <w:r>
        <w:rPr>
          <w:sz w:val="24"/>
        </w:rPr>
        <w:tab/>
      </w:r>
      <w:r>
        <w:rPr>
          <w:sz w:val="24"/>
        </w:rPr>
        <w:fldChar w:fldCharType="begin"/>
      </w:r>
      <w:r>
        <w:rPr>
          <w:sz w:val="24"/>
        </w:rPr>
        <w:instrText xml:space="preserve"> PAGEREF _Toc206495090 \h </w:instrText>
      </w:r>
      <w:r>
        <w:rPr>
          <w:sz w:val="24"/>
        </w:rPr>
        <w:fldChar w:fldCharType="separate"/>
      </w:r>
      <w:r>
        <w:rPr>
          <w:sz w:val="24"/>
        </w:rPr>
        <w:t>265</w:t>
      </w:r>
      <w:r>
        <w:rPr>
          <w:sz w:val="24"/>
        </w:rPr>
        <w:fldChar w:fldCharType="end"/>
      </w:r>
      <w:r>
        <w:rPr>
          <w:sz w:val="24"/>
        </w:rPr>
        <w:fldChar w:fldCharType="end"/>
      </w:r>
    </w:p>
    <w:p w14:paraId="48EC3DB0">
      <w:pPr>
        <w:pStyle w:val="44"/>
        <w:tabs>
          <w:tab w:val="right" w:leader="dot" w:pos="8302"/>
        </w:tabs>
        <w:spacing w:line="276" w:lineRule="auto"/>
        <w:rPr>
          <w:rFonts w:eastAsiaTheme="minorEastAsia"/>
          <w:sz w:val="24"/>
        </w:rPr>
      </w:pPr>
      <w:r>
        <w:fldChar w:fldCharType="begin"/>
      </w:r>
      <w:r>
        <w:instrText xml:space="preserve"> HYPERLINK \l "_Toc206495091" </w:instrText>
      </w:r>
      <w:r>
        <w:fldChar w:fldCharType="separate"/>
      </w:r>
      <w:r>
        <w:rPr>
          <w:rStyle w:val="144"/>
          <w:bCs/>
          <w:sz w:val="24"/>
        </w:rPr>
        <w:t>10.4.2 地表水环境影响分析</w:t>
      </w:r>
      <w:r>
        <w:rPr>
          <w:sz w:val="24"/>
        </w:rPr>
        <w:tab/>
      </w:r>
      <w:r>
        <w:rPr>
          <w:sz w:val="24"/>
        </w:rPr>
        <w:fldChar w:fldCharType="begin"/>
      </w:r>
      <w:r>
        <w:rPr>
          <w:sz w:val="24"/>
        </w:rPr>
        <w:instrText xml:space="preserve"> PAGEREF _Toc206495091 \h </w:instrText>
      </w:r>
      <w:r>
        <w:rPr>
          <w:sz w:val="24"/>
        </w:rPr>
        <w:fldChar w:fldCharType="separate"/>
      </w:r>
      <w:r>
        <w:rPr>
          <w:sz w:val="24"/>
        </w:rPr>
        <w:t>265</w:t>
      </w:r>
      <w:r>
        <w:rPr>
          <w:sz w:val="24"/>
        </w:rPr>
        <w:fldChar w:fldCharType="end"/>
      </w:r>
      <w:r>
        <w:rPr>
          <w:sz w:val="24"/>
        </w:rPr>
        <w:fldChar w:fldCharType="end"/>
      </w:r>
    </w:p>
    <w:p w14:paraId="0A3397D6">
      <w:pPr>
        <w:pStyle w:val="44"/>
        <w:tabs>
          <w:tab w:val="right" w:leader="dot" w:pos="8302"/>
        </w:tabs>
        <w:spacing w:line="276" w:lineRule="auto"/>
        <w:rPr>
          <w:rFonts w:eastAsiaTheme="minorEastAsia"/>
          <w:sz w:val="24"/>
        </w:rPr>
      </w:pPr>
      <w:r>
        <w:fldChar w:fldCharType="begin"/>
      </w:r>
      <w:r>
        <w:instrText xml:space="preserve"> HYPERLINK \l "_Toc206495092" </w:instrText>
      </w:r>
      <w:r>
        <w:fldChar w:fldCharType="separate"/>
      </w:r>
      <w:r>
        <w:rPr>
          <w:rStyle w:val="144"/>
          <w:bCs/>
          <w:sz w:val="24"/>
        </w:rPr>
        <w:t>10.4.3 声环境影响分析</w:t>
      </w:r>
      <w:r>
        <w:rPr>
          <w:sz w:val="24"/>
        </w:rPr>
        <w:tab/>
      </w:r>
      <w:r>
        <w:rPr>
          <w:sz w:val="24"/>
        </w:rPr>
        <w:fldChar w:fldCharType="begin"/>
      </w:r>
      <w:r>
        <w:rPr>
          <w:sz w:val="24"/>
        </w:rPr>
        <w:instrText xml:space="preserve"> PAGEREF _Toc206495092 \h </w:instrText>
      </w:r>
      <w:r>
        <w:rPr>
          <w:sz w:val="24"/>
        </w:rPr>
        <w:fldChar w:fldCharType="separate"/>
      </w:r>
      <w:r>
        <w:rPr>
          <w:sz w:val="24"/>
        </w:rPr>
        <w:t>266</w:t>
      </w:r>
      <w:r>
        <w:rPr>
          <w:sz w:val="24"/>
        </w:rPr>
        <w:fldChar w:fldCharType="end"/>
      </w:r>
      <w:r>
        <w:rPr>
          <w:sz w:val="24"/>
        </w:rPr>
        <w:fldChar w:fldCharType="end"/>
      </w:r>
    </w:p>
    <w:p w14:paraId="1459329D">
      <w:pPr>
        <w:pStyle w:val="44"/>
        <w:tabs>
          <w:tab w:val="right" w:leader="dot" w:pos="8302"/>
        </w:tabs>
        <w:spacing w:line="276" w:lineRule="auto"/>
        <w:rPr>
          <w:rFonts w:eastAsiaTheme="minorEastAsia"/>
          <w:sz w:val="24"/>
        </w:rPr>
      </w:pPr>
      <w:r>
        <w:fldChar w:fldCharType="begin"/>
      </w:r>
      <w:r>
        <w:instrText xml:space="preserve"> HYPERLINK \l "_Toc206495093" </w:instrText>
      </w:r>
      <w:r>
        <w:fldChar w:fldCharType="separate"/>
      </w:r>
      <w:r>
        <w:rPr>
          <w:rStyle w:val="144"/>
          <w:bCs/>
          <w:sz w:val="24"/>
        </w:rPr>
        <w:t>10.4.4 地下水环境影响分析</w:t>
      </w:r>
      <w:r>
        <w:rPr>
          <w:sz w:val="24"/>
        </w:rPr>
        <w:tab/>
      </w:r>
      <w:r>
        <w:rPr>
          <w:sz w:val="24"/>
        </w:rPr>
        <w:fldChar w:fldCharType="begin"/>
      </w:r>
      <w:r>
        <w:rPr>
          <w:sz w:val="24"/>
        </w:rPr>
        <w:instrText xml:space="preserve"> PAGEREF _Toc206495093 \h </w:instrText>
      </w:r>
      <w:r>
        <w:rPr>
          <w:sz w:val="24"/>
        </w:rPr>
        <w:fldChar w:fldCharType="separate"/>
      </w:r>
      <w:r>
        <w:rPr>
          <w:sz w:val="24"/>
        </w:rPr>
        <w:t>266</w:t>
      </w:r>
      <w:r>
        <w:rPr>
          <w:sz w:val="24"/>
        </w:rPr>
        <w:fldChar w:fldCharType="end"/>
      </w:r>
      <w:r>
        <w:rPr>
          <w:sz w:val="24"/>
        </w:rPr>
        <w:fldChar w:fldCharType="end"/>
      </w:r>
    </w:p>
    <w:p w14:paraId="5CEA41F7">
      <w:pPr>
        <w:pStyle w:val="44"/>
        <w:tabs>
          <w:tab w:val="right" w:leader="dot" w:pos="8302"/>
        </w:tabs>
        <w:spacing w:line="276" w:lineRule="auto"/>
        <w:rPr>
          <w:rFonts w:eastAsiaTheme="minorEastAsia"/>
          <w:sz w:val="24"/>
        </w:rPr>
      </w:pPr>
      <w:r>
        <w:fldChar w:fldCharType="begin"/>
      </w:r>
      <w:r>
        <w:instrText xml:space="preserve"> HYPERLINK \l "_Toc206495094" </w:instrText>
      </w:r>
      <w:r>
        <w:fldChar w:fldCharType="separate"/>
      </w:r>
      <w:r>
        <w:rPr>
          <w:rStyle w:val="144"/>
          <w:bCs/>
          <w:sz w:val="24"/>
        </w:rPr>
        <w:t>10.4.5 固体废物环境影响分析</w:t>
      </w:r>
      <w:r>
        <w:rPr>
          <w:sz w:val="24"/>
        </w:rPr>
        <w:tab/>
      </w:r>
      <w:r>
        <w:rPr>
          <w:sz w:val="24"/>
        </w:rPr>
        <w:fldChar w:fldCharType="begin"/>
      </w:r>
      <w:r>
        <w:rPr>
          <w:sz w:val="24"/>
        </w:rPr>
        <w:instrText xml:space="preserve"> PAGEREF _Toc206495094 \h </w:instrText>
      </w:r>
      <w:r>
        <w:rPr>
          <w:sz w:val="24"/>
        </w:rPr>
        <w:fldChar w:fldCharType="separate"/>
      </w:r>
      <w:r>
        <w:rPr>
          <w:sz w:val="24"/>
        </w:rPr>
        <w:t>266</w:t>
      </w:r>
      <w:r>
        <w:rPr>
          <w:sz w:val="24"/>
        </w:rPr>
        <w:fldChar w:fldCharType="end"/>
      </w:r>
      <w:r>
        <w:rPr>
          <w:sz w:val="24"/>
        </w:rPr>
        <w:fldChar w:fldCharType="end"/>
      </w:r>
    </w:p>
    <w:p w14:paraId="48BF5DB6">
      <w:pPr>
        <w:pStyle w:val="44"/>
        <w:tabs>
          <w:tab w:val="right" w:leader="dot" w:pos="8302"/>
        </w:tabs>
        <w:spacing w:line="276" w:lineRule="auto"/>
        <w:rPr>
          <w:rFonts w:eastAsiaTheme="minorEastAsia"/>
          <w:sz w:val="24"/>
        </w:rPr>
      </w:pPr>
      <w:r>
        <w:fldChar w:fldCharType="begin"/>
      </w:r>
      <w:r>
        <w:instrText xml:space="preserve"> HYPERLINK \l "_Toc206495095" </w:instrText>
      </w:r>
      <w:r>
        <w:fldChar w:fldCharType="separate"/>
      </w:r>
      <w:r>
        <w:rPr>
          <w:rStyle w:val="144"/>
          <w:bCs/>
          <w:sz w:val="24"/>
        </w:rPr>
        <w:t>10.4.6 土壤环境影响分析</w:t>
      </w:r>
      <w:r>
        <w:rPr>
          <w:sz w:val="24"/>
        </w:rPr>
        <w:tab/>
      </w:r>
      <w:r>
        <w:rPr>
          <w:sz w:val="24"/>
        </w:rPr>
        <w:fldChar w:fldCharType="begin"/>
      </w:r>
      <w:r>
        <w:rPr>
          <w:sz w:val="24"/>
        </w:rPr>
        <w:instrText xml:space="preserve"> PAGEREF _Toc206495095 \h </w:instrText>
      </w:r>
      <w:r>
        <w:rPr>
          <w:sz w:val="24"/>
        </w:rPr>
        <w:fldChar w:fldCharType="separate"/>
      </w:r>
      <w:r>
        <w:rPr>
          <w:sz w:val="24"/>
        </w:rPr>
        <w:t>266</w:t>
      </w:r>
      <w:r>
        <w:rPr>
          <w:sz w:val="24"/>
        </w:rPr>
        <w:fldChar w:fldCharType="end"/>
      </w:r>
      <w:r>
        <w:rPr>
          <w:sz w:val="24"/>
        </w:rPr>
        <w:fldChar w:fldCharType="end"/>
      </w:r>
    </w:p>
    <w:p w14:paraId="315B271E">
      <w:pPr>
        <w:pStyle w:val="44"/>
        <w:tabs>
          <w:tab w:val="right" w:leader="dot" w:pos="8302"/>
        </w:tabs>
        <w:spacing w:line="276" w:lineRule="auto"/>
        <w:rPr>
          <w:rFonts w:eastAsiaTheme="minorEastAsia"/>
          <w:sz w:val="24"/>
        </w:rPr>
      </w:pPr>
      <w:r>
        <w:fldChar w:fldCharType="begin"/>
      </w:r>
      <w:r>
        <w:instrText xml:space="preserve"> HYPERLINK \l "_Toc206495096" </w:instrText>
      </w:r>
      <w:r>
        <w:fldChar w:fldCharType="separate"/>
      </w:r>
      <w:r>
        <w:rPr>
          <w:rStyle w:val="144"/>
          <w:sz w:val="24"/>
        </w:rPr>
        <w:t>10.4.7</w:t>
      </w:r>
      <w:r>
        <w:rPr>
          <w:rStyle w:val="144"/>
          <w:bCs/>
          <w:sz w:val="24"/>
        </w:rPr>
        <w:t xml:space="preserve"> 环境风险分析</w:t>
      </w:r>
      <w:r>
        <w:rPr>
          <w:sz w:val="24"/>
        </w:rPr>
        <w:tab/>
      </w:r>
      <w:r>
        <w:rPr>
          <w:sz w:val="24"/>
        </w:rPr>
        <w:fldChar w:fldCharType="begin"/>
      </w:r>
      <w:r>
        <w:rPr>
          <w:sz w:val="24"/>
        </w:rPr>
        <w:instrText xml:space="preserve"> PAGEREF _Toc206495096 \h </w:instrText>
      </w:r>
      <w:r>
        <w:rPr>
          <w:sz w:val="24"/>
        </w:rPr>
        <w:fldChar w:fldCharType="separate"/>
      </w:r>
      <w:r>
        <w:rPr>
          <w:sz w:val="24"/>
        </w:rPr>
        <w:t>267</w:t>
      </w:r>
      <w:r>
        <w:rPr>
          <w:sz w:val="24"/>
        </w:rPr>
        <w:fldChar w:fldCharType="end"/>
      </w:r>
      <w:r>
        <w:rPr>
          <w:sz w:val="24"/>
        </w:rPr>
        <w:fldChar w:fldCharType="end"/>
      </w:r>
    </w:p>
    <w:p w14:paraId="0F2F3E85">
      <w:pPr>
        <w:pStyle w:val="74"/>
        <w:tabs>
          <w:tab w:val="right" w:leader="dot" w:pos="8302"/>
        </w:tabs>
        <w:spacing w:line="276" w:lineRule="auto"/>
        <w:rPr>
          <w:rFonts w:eastAsiaTheme="minorEastAsia"/>
          <w:sz w:val="24"/>
        </w:rPr>
      </w:pPr>
      <w:r>
        <w:fldChar w:fldCharType="begin"/>
      </w:r>
      <w:r>
        <w:instrText xml:space="preserve"> HYPERLINK \l "_Toc206495097" </w:instrText>
      </w:r>
      <w:r>
        <w:fldChar w:fldCharType="separate"/>
      </w:r>
      <w:r>
        <w:rPr>
          <w:rStyle w:val="144"/>
          <w:bCs/>
          <w:sz w:val="24"/>
        </w:rPr>
        <w:t>10.5 规划综合论证及优化调整建议</w:t>
      </w:r>
      <w:r>
        <w:rPr>
          <w:sz w:val="24"/>
        </w:rPr>
        <w:tab/>
      </w:r>
      <w:r>
        <w:rPr>
          <w:sz w:val="24"/>
        </w:rPr>
        <w:fldChar w:fldCharType="begin"/>
      </w:r>
      <w:r>
        <w:rPr>
          <w:sz w:val="24"/>
        </w:rPr>
        <w:instrText xml:space="preserve"> PAGEREF _Toc206495097 \h </w:instrText>
      </w:r>
      <w:r>
        <w:rPr>
          <w:sz w:val="24"/>
        </w:rPr>
        <w:fldChar w:fldCharType="separate"/>
      </w:r>
      <w:r>
        <w:rPr>
          <w:sz w:val="24"/>
        </w:rPr>
        <w:t>267</w:t>
      </w:r>
      <w:r>
        <w:rPr>
          <w:sz w:val="24"/>
        </w:rPr>
        <w:fldChar w:fldCharType="end"/>
      </w:r>
      <w:r>
        <w:rPr>
          <w:sz w:val="24"/>
        </w:rPr>
        <w:fldChar w:fldCharType="end"/>
      </w:r>
    </w:p>
    <w:p w14:paraId="53C3404D">
      <w:pPr>
        <w:pStyle w:val="44"/>
        <w:tabs>
          <w:tab w:val="right" w:leader="dot" w:pos="8302"/>
        </w:tabs>
        <w:spacing w:line="276" w:lineRule="auto"/>
        <w:rPr>
          <w:rFonts w:eastAsiaTheme="minorEastAsia"/>
          <w:sz w:val="24"/>
        </w:rPr>
      </w:pPr>
      <w:r>
        <w:fldChar w:fldCharType="begin"/>
      </w:r>
      <w:r>
        <w:instrText xml:space="preserve"> HYPERLINK \l "_Toc206495098" </w:instrText>
      </w:r>
      <w:r>
        <w:fldChar w:fldCharType="separate"/>
      </w:r>
      <w:r>
        <w:rPr>
          <w:rStyle w:val="144"/>
          <w:bCs/>
          <w:sz w:val="24"/>
        </w:rPr>
        <w:t>10.5.1 规划方案的综合论证</w:t>
      </w:r>
      <w:r>
        <w:rPr>
          <w:sz w:val="24"/>
        </w:rPr>
        <w:tab/>
      </w:r>
      <w:r>
        <w:rPr>
          <w:sz w:val="24"/>
        </w:rPr>
        <w:fldChar w:fldCharType="begin"/>
      </w:r>
      <w:r>
        <w:rPr>
          <w:sz w:val="24"/>
        </w:rPr>
        <w:instrText xml:space="preserve"> PAGEREF _Toc206495098 \h </w:instrText>
      </w:r>
      <w:r>
        <w:rPr>
          <w:sz w:val="24"/>
        </w:rPr>
        <w:fldChar w:fldCharType="separate"/>
      </w:r>
      <w:r>
        <w:rPr>
          <w:sz w:val="24"/>
        </w:rPr>
        <w:t>267</w:t>
      </w:r>
      <w:r>
        <w:rPr>
          <w:sz w:val="24"/>
        </w:rPr>
        <w:fldChar w:fldCharType="end"/>
      </w:r>
      <w:r>
        <w:rPr>
          <w:sz w:val="24"/>
        </w:rPr>
        <w:fldChar w:fldCharType="end"/>
      </w:r>
    </w:p>
    <w:p w14:paraId="551D65F5">
      <w:pPr>
        <w:pStyle w:val="44"/>
        <w:tabs>
          <w:tab w:val="right" w:leader="dot" w:pos="8302"/>
        </w:tabs>
        <w:spacing w:line="276" w:lineRule="auto"/>
        <w:rPr>
          <w:rFonts w:eastAsiaTheme="minorEastAsia"/>
          <w:sz w:val="24"/>
        </w:rPr>
      </w:pPr>
      <w:r>
        <w:fldChar w:fldCharType="begin"/>
      </w:r>
      <w:r>
        <w:instrText xml:space="preserve"> HYPERLINK \l "_Toc206495099" </w:instrText>
      </w:r>
      <w:r>
        <w:fldChar w:fldCharType="separate"/>
      </w:r>
      <w:r>
        <w:rPr>
          <w:rStyle w:val="144"/>
          <w:bCs/>
          <w:sz w:val="24"/>
        </w:rPr>
        <w:t>10.5.2 方案的优化调整建议</w:t>
      </w:r>
      <w:r>
        <w:rPr>
          <w:sz w:val="24"/>
        </w:rPr>
        <w:tab/>
      </w:r>
      <w:r>
        <w:rPr>
          <w:sz w:val="24"/>
        </w:rPr>
        <w:fldChar w:fldCharType="begin"/>
      </w:r>
      <w:r>
        <w:rPr>
          <w:sz w:val="24"/>
        </w:rPr>
        <w:instrText xml:space="preserve"> PAGEREF _Toc206495099 \h </w:instrText>
      </w:r>
      <w:r>
        <w:rPr>
          <w:sz w:val="24"/>
        </w:rPr>
        <w:fldChar w:fldCharType="separate"/>
      </w:r>
      <w:r>
        <w:rPr>
          <w:sz w:val="24"/>
        </w:rPr>
        <w:t>268</w:t>
      </w:r>
      <w:r>
        <w:rPr>
          <w:sz w:val="24"/>
        </w:rPr>
        <w:fldChar w:fldCharType="end"/>
      </w:r>
      <w:r>
        <w:rPr>
          <w:sz w:val="24"/>
        </w:rPr>
        <w:fldChar w:fldCharType="end"/>
      </w:r>
    </w:p>
    <w:p w14:paraId="27B7076B">
      <w:pPr>
        <w:pStyle w:val="74"/>
        <w:tabs>
          <w:tab w:val="right" w:leader="dot" w:pos="8302"/>
        </w:tabs>
        <w:spacing w:line="276" w:lineRule="auto"/>
        <w:rPr>
          <w:rFonts w:eastAsiaTheme="minorEastAsia"/>
          <w:sz w:val="24"/>
        </w:rPr>
      </w:pPr>
      <w:r>
        <w:fldChar w:fldCharType="begin"/>
      </w:r>
      <w:r>
        <w:instrText xml:space="preserve"> HYPERLINK \l "_Toc206495100" </w:instrText>
      </w:r>
      <w:r>
        <w:fldChar w:fldCharType="separate"/>
      </w:r>
      <w:r>
        <w:rPr>
          <w:rStyle w:val="144"/>
          <w:bCs/>
          <w:sz w:val="24"/>
        </w:rPr>
        <w:t>10.6 环境影响减缓对策与措施</w:t>
      </w:r>
      <w:r>
        <w:rPr>
          <w:sz w:val="24"/>
        </w:rPr>
        <w:tab/>
      </w:r>
      <w:r>
        <w:rPr>
          <w:sz w:val="24"/>
        </w:rPr>
        <w:fldChar w:fldCharType="begin"/>
      </w:r>
      <w:r>
        <w:rPr>
          <w:sz w:val="24"/>
        </w:rPr>
        <w:instrText xml:space="preserve"> PAGEREF _Toc206495100 \h </w:instrText>
      </w:r>
      <w:r>
        <w:rPr>
          <w:sz w:val="24"/>
        </w:rPr>
        <w:fldChar w:fldCharType="separate"/>
      </w:r>
      <w:r>
        <w:rPr>
          <w:sz w:val="24"/>
        </w:rPr>
        <w:t>268</w:t>
      </w:r>
      <w:r>
        <w:rPr>
          <w:sz w:val="24"/>
        </w:rPr>
        <w:fldChar w:fldCharType="end"/>
      </w:r>
      <w:r>
        <w:rPr>
          <w:sz w:val="24"/>
        </w:rPr>
        <w:fldChar w:fldCharType="end"/>
      </w:r>
    </w:p>
    <w:p w14:paraId="448083E5">
      <w:pPr>
        <w:pStyle w:val="44"/>
        <w:tabs>
          <w:tab w:val="right" w:leader="dot" w:pos="8302"/>
        </w:tabs>
        <w:spacing w:line="276" w:lineRule="auto"/>
        <w:rPr>
          <w:rFonts w:eastAsiaTheme="minorEastAsia"/>
          <w:sz w:val="24"/>
        </w:rPr>
      </w:pPr>
      <w:r>
        <w:fldChar w:fldCharType="begin"/>
      </w:r>
      <w:r>
        <w:instrText xml:space="preserve"> HYPERLINK \l "_Toc206495101" </w:instrText>
      </w:r>
      <w:r>
        <w:fldChar w:fldCharType="separate"/>
      </w:r>
      <w:r>
        <w:rPr>
          <w:rStyle w:val="144"/>
          <w:bCs/>
          <w:sz w:val="24"/>
        </w:rPr>
        <w:t>10.6.1 生态环境保护措施</w:t>
      </w:r>
      <w:r>
        <w:rPr>
          <w:sz w:val="24"/>
        </w:rPr>
        <w:tab/>
      </w:r>
      <w:r>
        <w:rPr>
          <w:sz w:val="24"/>
        </w:rPr>
        <w:fldChar w:fldCharType="begin"/>
      </w:r>
      <w:r>
        <w:rPr>
          <w:sz w:val="24"/>
        </w:rPr>
        <w:instrText xml:space="preserve"> PAGEREF _Toc206495101 \h </w:instrText>
      </w:r>
      <w:r>
        <w:rPr>
          <w:sz w:val="24"/>
        </w:rPr>
        <w:fldChar w:fldCharType="separate"/>
      </w:r>
      <w:r>
        <w:rPr>
          <w:sz w:val="24"/>
        </w:rPr>
        <w:t>268</w:t>
      </w:r>
      <w:r>
        <w:rPr>
          <w:sz w:val="24"/>
        </w:rPr>
        <w:fldChar w:fldCharType="end"/>
      </w:r>
      <w:r>
        <w:rPr>
          <w:sz w:val="24"/>
        </w:rPr>
        <w:fldChar w:fldCharType="end"/>
      </w:r>
    </w:p>
    <w:p w14:paraId="4321A1EE">
      <w:pPr>
        <w:pStyle w:val="44"/>
        <w:tabs>
          <w:tab w:val="right" w:leader="dot" w:pos="8302"/>
        </w:tabs>
        <w:spacing w:line="276" w:lineRule="auto"/>
        <w:rPr>
          <w:rFonts w:eastAsiaTheme="minorEastAsia"/>
          <w:sz w:val="24"/>
        </w:rPr>
      </w:pPr>
      <w:r>
        <w:fldChar w:fldCharType="begin"/>
      </w:r>
      <w:r>
        <w:instrText xml:space="preserve"> HYPERLINK \l "_Toc206495102" </w:instrText>
      </w:r>
      <w:r>
        <w:fldChar w:fldCharType="separate"/>
      </w:r>
      <w:r>
        <w:rPr>
          <w:rStyle w:val="144"/>
          <w:bCs/>
          <w:sz w:val="24"/>
        </w:rPr>
        <w:t>10.6.2 环境准入负面清单</w:t>
      </w:r>
      <w:r>
        <w:rPr>
          <w:sz w:val="24"/>
        </w:rPr>
        <w:tab/>
      </w:r>
      <w:r>
        <w:rPr>
          <w:sz w:val="24"/>
        </w:rPr>
        <w:fldChar w:fldCharType="begin"/>
      </w:r>
      <w:r>
        <w:rPr>
          <w:sz w:val="24"/>
        </w:rPr>
        <w:instrText xml:space="preserve"> PAGEREF _Toc206495102 \h </w:instrText>
      </w:r>
      <w:r>
        <w:rPr>
          <w:sz w:val="24"/>
        </w:rPr>
        <w:fldChar w:fldCharType="separate"/>
      </w:r>
      <w:r>
        <w:rPr>
          <w:sz w:val="24"/>
        </w:rPr>
        <w:t>270</w:t>
      </w:r>
      <w:r>
        <w:rPr>
          <w:sz w:val="24"/>
        </w:rPr>
        <w:fldChar w:fldCharType="end"/>
      </w:r>
      <w:r>
        <w:rPr>
          <w:sz w:val="24"/>
        </w:rPr>
        <w:fldChar w:fldCharType="end"/>
      </w:r>
    </w:p>
    <w:p w14:paraId="4CCD7A34">
      <w:pPr>
        <w:pStyle w:val="74"/>
        <w:tabs>
          <w:tab w:val="right" w:leader="dot" w:pos="8302"/>
        </w:tabs>
        <w:spacing w:line="276" w:lineRule="auto"/>
        <w:rPr>
          <w:rFonts w:eastAsiaTheme="minorEastAsia"/>
          <w:sz w:val="24"/>
        </w:rPr>
      </w:pPr>
      <w:r>
        <w:fldChar w:fldCharType="begin"/>
      </w:r>
      <w:r>
        <w:instrText xml:space="preserve"> HYPERLINK \l "_Toc206495103" </w:instrText>
      </w:r>
      <w:r>
        <w:fldChar w:fldCharType="separate"/>
      </w:r>
      <w:r>
        <w:rPr>
          <w:rStyle w:val="144"/>
          <w:bCs/>
          <w:sz w:val="24"/>
        </w:rPr>
        <w:t>10.7 环境影响跟踪评价</w:t>
      </w:r>
      <w:r>
        <w:rPr>
          <w:sz w:val="24"/>
        </w:rPr>
        <w:tab/>
      </w:r>
      <w:r>
        <w:rPr>
          <w:sz w:val="24"/>
        </w:rPr>
        <w:fldChar w:fldCharType="begin"/>
      </w:r>
      <w:r>
        <w:rPr>
          <w:sz w:val="24"/>
        </w:rPr>
        <w:instrText xml:space="preserve"> PAGEREF _Toc206495103 \h </w:instrText>
      </w:r>
      <w:r>
        <w:rPr>
          <w:sz w:val="24"/>
        </w:rPr>
        <w:fldChar w:fldCharType="separate"/>
      </w:r>
      <w:r>
        <w:rPr>
          <w:sz w:val="24"/>
        </w:rPr>
        <w:t>271</w:t>
      </w:r>
      <w:r>
        <w:rPr>
          <w:sz w:val="24"/>
        </w:rPr>
        <w:fldChar w:fldCharType="end"/>
      </w:r>
      <w:r>
        <w:rPr>
          <w:sz w:val="24"/>
        </w:rPr>
        <w:fldChar w:fldCharType="end"/>
      </w:r>
    </w:p>
    <w:p w14:paraId="1B1AC262">
      <w:pPr>
        <w:pStyle w:val="74"/>
        <w:tabs>
          <w:tab w:val="right" w:leader="dot" w:pos="8302"/>
        </w:tabs>
        <w:spacing w:line="276" w:lineRule="auto"/>
        <w:rPr>
          <w:rFonts w:eastAsiaTheme="minorEastAsia"/>
          <w:sz w:val="24"/>
        </w:rPr>
      </w:pPr>
      <w:r>
        <w:fldChar w:fldCharType="begin"/>
      </w:r>
      <w:r>
        <w:instrText xml:space="preserve"> HYPERLINK \l "_Toc206495104" </w:instrText>
      </w:r>
      <w:r>
        <w:fldChar w:fldCharType="separate"/>
      </w:r>
      <w:r>
        <w:rPr>
          <w:rStyle w:val="144"/>
          <w:bCs/>
          <w:sz w:val="24"/>
        </w:rPr>
        <w:t>10.8 总体评价结论</w:t>
      </w:r>
      <w:r>
        <w:rPr>
          <w:sz w:val="24"/>
        </w:rPr>
        <w:tab/>
      </w:r>
      <w:r>
        <w:rPr>
          <w:sz w:val="24"/>
        </w:rPr>
        <w:fldChar w:fldCharType="begin"/>
      </w:r>
      <w:r>
        <w:rPr>
          <w:sz w:val="24"/>
        </w:rPr>
        <w:instrText xml:space="preserve"> PAGEREF _Toc206495104 \h </w:instrText>
      </w:r>
      <w:r>
        <w:rPr>
          <w:sz w:val="24"/>
        </w:rPr>
        <w:fldChar w:fldCharType="separate"/>
      </w:r>
      <w:r>
        <w:rPr>
          <w:sz w:val="24"/>
        </w:rPr>
        <w:t>271</w:t>
      </w:r>
      <w:r>
        <w:rPr>
          <w:sz w:val="24"/>
        </w:rPr>
        <w:fldChar w:fldCharType="end"/>
      </w:r>
      <w:r>
        <w:rPr>
          <w:sz w:val="24"/>
        </w:rPr>
        <w:fldChar w:fldCharType="end"/>
      </w:r>
    </w:p>
    <w:p w14:paraId="43141B8B">
      <w:pPr>
        <w:spacing w:line="276" w:lineRule="auto"/>
        <w:jc w:val="center"/>
        <w:rPr>
          <w:color w:val="FF0000"/>
          <w:sz w:val="24"/>
        </w:rPr>
      </w:pPr>
      <w:r>
        <w:rPr>
          <w:sz w:val="24"/>
        </w:rPr>
        <w:fldChar w:fldCharType="end"/>
      </w:r>
      <w:bookmarkStart w:id="3" w:name="_Toc153794988"/>
      <w:bookmarkStart w:id="4" w:name="_Toc159339475"/>
      <w:bookmarkStart w:id="5" w:name="_Toc159225876"/>
      <w:bookmarkStart w:id="6" w:name="_Toc165996113"/>
      <w:bookmarkStart w:id="7" w:name="_Toc160608401"/>
      <w:bookmarkStart w:id="8" w:name="_Toc157613821"/>
      <w:bookmarkStart w:id="9" w:name="_Toc84875268"/>
      <w:bookmarkStart w:id="10" w:name="_Toc101115639"/>
      <w:bookmarkStart w:id="11" w:name="_Toc120101237"/>
      <w:bookmarkStart w:id="12" w:name="_Toc92627315"/>
      <w:bookmarkStart w:id="13" w:name="_Toc111217701"/>
      <w:bookmarkStart w:id="14" w:name="_Toc100609468"/>
      <w:bookmarkStart w:id="15" w:name="_Toc117840221"/>
      <w:bookmarkStart w:id="16" w:name="_Toc81291643"/>
      <w:bookmarkStart w:id="17" w:name="_Toc109663600"/>
      <w:bookmarkStart w:id="18" w:name="_Toc77014972"/>
    </w:p>
    <w:p w14:paraId="72D8C538">
      <w:pPr>
        <w:spacing w:line="360" w:lineRule="auto"/>
        <w:jc w:val="left"/>
        <w:rPr>
          <w:color w:val="FF0000"/>
          <w:sz w:val="24"/>
        </w:rPr>
      </w:pPr>
    </w:p>
    <w:p w14:paraId="2A3DBDC9">
      <w:pPr>
        <w:spacing w:line="360" w:lineRule="auto"/>
        <w:jc w:val="left"/>
        <w:outlineLvl w:val="0"/>
        <w:rPr>
          <w:rFonts w:eastAsiaTheme="minorEastAsia"/>
          <w:b/>
          <w:sz w:val="28"/>
        </w:rPr>
      </w:pPr>
      <w:bookmarkStart w:id="19" w:name="_Toc168673225"/>
      <w:bookmarkStart w:id="20" w:name="_Toc178354994"/>
      <w:bookmarkStart w:id="21" w:name="_Toc18164"/>
      <w:bookmarkStart w:id="22" w:name="_Toc170985221"/>
      <w:bookmarkStart w:id="23" w:name="_Toc168673755"/>
      <w:bookmarkStart w:id="24" w:name="_Toc206492639"/>
      <w:bookmarkStart w:id="25" w:name="_Toc206494887"/>
      <w:r>
        <w:rPr>
          <w:rFonts w:eastAsiaTheme="minorEastAsia"/>
          <w:b/>
          <w:sz w:val="28"/>
        </w:rPr>
        <w:t>附  图</w:t>
      </w:r>
      <w:bookmarkEnd w:id="3"/>
      <w:bookmarkEnd w:id="4"/>
      <w:bookmarkEnd w:id="5"/>
      <w:bookmarkEnd w:id="6"/>
      <w:bookmarkEnd w:id="7"/>
      <w:bookmarkEnd w:id="8"/>
      <w:bookmarkEnd w:id="19"/>
      <w:bookmarkEnd w:id="20"/>
      <w:bookmarkEnd w:id="21"/>
      <w:bookmarkEnd w:id="22"/>
      <w:bookmarkEnd w:id="23"/>
      <w:bookmarkEnd w:id="24"/>
      <w:bookmarkEnd w:id="25"/>
    </w:p>
    <w:p w14:paraId="58C4A243">
      <w:pPr>
        <w:spacing w:line="360" w:lineRule="auto"/>
        <w:ind w:firstLine="480" w:firstLineChars="200"/>
        <w:jc w:val="left"/>
        <w:rPr>
          <w:rFonts w:eastAsiaTheme="minorEastAsia"/>
          <w:sz w:val="24"/>
        </w:rPr>
      </w:pPr>
      <w:r>
        <w:rPr>
          <w:rFonts w:hint="eastAsia" w:eastAsiaTheme="minorEastAsia"/>
          <w:sz w:val="24"/>
        </w:rPr>
        <w:t>附图1：随县石材产业规划区域地理位置图</w:t>
      </w:r>
    </w:p>
    <w:p w14:paraId="7D361CF6">
      <w:pPr>
        <w:spacing w:line="360" w:lineRule="auto"/>
        <w:ind w:firstLine="480" w:firstLineChars="200"/>
        <w:jc w:val="left"/>
        <w:rPr>
          <w:rFonts w:eastAsiaTheme="minorEastAsia"/>
          <w:sz w:val="24"/>
        </w:rPr>
      </w:pPr>
      <w:r>
        <w:rPr>
          <w:rFonts w:hint="eastAsia" w:eastAsiaTheme="minorEastAsia"/>
          <w:sz w:val="24"/>
        </w:rPr>
        <w:t>附图2：随县石材产业布局示意图</w:t>
      </w:r>
    </w:p>
    <w:p w14:paraId="166BDB94">
      <w:pPr>
        <w:spacing w:line="360" w:lineRule="auto"/>
        <w:ind w:firstLine="480" w:firstLineChars="200"/>
        <w:jc w:val="left"/>
        <w:rPr>
          <w:rFonts w:eastAsiaTheme="minorEastAsia"/>
          <w:sz w:val="24"/>
        </w:rPr>
      </w:pPr>
      <w:r>
        <w:rPr>
          <w:rFonts w:hint="eastAsia" w:eastAsiaTheme="minorEastAsia"/>
          <w:sz w:val="24"/>
        </w:rPr>
        <w:t>附图3-1至3-4：规划产业集中区现状卫星图（吴山、万和、太白顶、草店）</w:t>
      </w:r>
    </w:p>
    <w:p w14:paraId="39730AF5">
      <w:pPr>
        <w:spacing w:line="360" w:lineRule="auto"/>
        <w:ind w:firstLine="480" w:firstLineChars="200"/>
        <w:jc w:val="left"/>
        <w:rPr>
          <w:rFonts w:eastAsiaTheme="minorEastAsia"/>
          <w:sz w:val="24"/>
        </w:rPr>
      </w:pPr>
      <w:r>
        <w:rPr>
          <w:rFonts w:hint="eastAsia" w:eastAsiaTheme="minorEastAsia"/>
          <w:sz w:val="24"/>
        </w:rPr>
        <w:t>附图4-1至4-4：规划产业集中区周边主要敏感目标分布图（吴山、万和、太白顶、草店）</w:t>
      </w:r>
    </w:p>
    <w:p w14:paraId="0A8E39EA">
      <w:pPr>
        <w:spacing w:line="360" w:lineRule="auto"/>
        <w:ind w:firstLine="480" w:firstLineChars="200"/>
        <w:jc w:val="left"/>
        <w:rPr>
          <w:rFonts w:eastAsiaTheme="minorEastAsia"/>
          <w:sz w:val="24"/>
        </w:rPr>
      </w:pPr>
      <w:r>
        <w:rPr>
          <w:rFonts w:hint="eastAsia" w:eastAsiaTheme="minorEastAsia"/>
          <w:sz w:val="24"/>
        </w:rPr>
        <w:t>附图5-1至5-4：规划产业集中区监测点位布置图（吴山、万和、太白顶、草店）</w:t>
      </w:r>
    </w:p>
    <w:p w14:paraId="54BA2988">
      <w:pPr>
        <w:spacing w:line="360" w:lineRule="auto"/>
        <w:ind w:firstLine="480" w:firstLineChars="200"/>
        <w:jc w:val="left"/>
        <w:rPr>
          <w:rFonts w:eastAsiaTheme="minorEastAsia"/>
          <w:sz w:val="24"/>
        </w:rPr>
      </w:pPr>
      <w:r>
        <w:rPr>
          <w:rFonts w:hint="eastAsia" w:eastAsiaTheme="minorEastAsia"/>
          <w:sz w:val="24"/>
        </w:rPr>
        <w:t>附图6-1至6-4：规划产业集中区土地利用现状图（吴山、万和、太白顶、草店）</w:t>
      </w:r>
    </w:p>
    <w:p w14:paraId="465F2594">
      <w:pPr>
        <w:spacing w:line="360" w:lineRule="auto"/>
        <w:ind w:firstLine="480" w:firstLineChars="200"/>
        <w:jc w:val="left"/>
        <w:rPr>
          <w:rFonts w:eastAsiaTheme="minorEastAsia"/>
          <w:sz w:val="24"/>
        </w:rPr>
      </w:pPr>
      <w:r>
        <w:rPr>
          <w:rFonts w:hint="eastAsia" w:eastAsiaTheme="minorEastAsia"/>
          <w:sz w:val="24"/>
        </w:rPr>
        <w:t>附图7：规划区域水系图</w:t>
      </w:r>
    </w:p>
    <w:p w14:paraId="2C19B805">
      <w:pPr>
        <w:spacing w:line="360" w:lineRule="auto"/>
        <w:ind w:firstLine="480" w:firstLineChars="200"/>
        <w:jc w:val="left"/>
        <w:rPr>
          <w:rFonts w:eastAsiaTheme="minorEastAsia"/>
          <w:sz w:val="24"/>
        </w:rPr>
      </w:pPr>
      <w:r>
        <w:rPr>
          <w:rFonts w:hint="eastAsia" w:eastAsiaTheme="minorEastAsia"/>
          <w:sz w:val="24"/>
        </w:rPr>
        <w:t>附图8：随州市环境管控单元分布图</w:t>
      </w:r>
    </w:p>
    <w:p w14:paraId="46C62082">
      <w:pPr>
        <w:spacing w:line="360" w:lineRule="auto"/>
        <w:ind w:firstLine="480" w:firstLineChars="200"/>
        <w:jc w:val="left"/>
        <w:rPr>
          <w:rFonts w:eastAsiaTheme="minorEastAsia"/>
          <w:sz w:val="24"/>
        </w:rPr>
      </w:pPr>
      <w:r>
        <w:rPr>
          <w:rFonts w:hint="eastAsia" w:eastAsiaTheme="minorEastAsia"/>
          <w:sz w:val="24"/>
        </w:rPr>
        <w:t>附图9：随县国土空间用地规划分区图</w:t>
      </w:r>
    </w:p>
    <w:p w14:paraId="7F73E250">
      <w:pPr>
        <w:spacing w:line="360" w:lineRule="auto"/>
        <w:ind w:firstLine="480" w:firstLineChars="200"/>
        <w:jc w:val="left"/>
        <w:rPr>
          <w:rFonts w:eastAsiaTheme="minorEastAsia"/>
          <w:sz w:val="24"/>
        </w:rPr>
      </w:pPr>
      <w:r>
        <w:rPr>
          <w:rFonts w:hint="eastAsia" w:eastAsiaTheme="minorEastAsia"/>
          <w:sz w:val="24"/>
        </w:rPr>
        <w:t>附图10：随县耕地和永久基本农田保护红线图</w:t>
      </w:r>
    </w:p>
    <w:p w14:paraId="0E61D761">
      <w:pPr>
        <w:spacing w:line="360" w:lineRule="auto"/>
        <w:ind w:firstLine="480" w:firstLineChars="200"/>
        <w:jc w:val="left"/>
        <w:rPr>
          <w:rFonts w:eastAsiaTheme="minorEastAsia"/>
          <w:sz w:val="24"/>
        </w:rPr>
      </w:pPr>
      <w:r>
        <w:rPr>
          <w:rFonts w:hint="eastAsia" w:eastAsiaTheme="minorEastAsia"/>
          <w:sz w:val="24"/>
        </w:rPr>
        <w:t>附图11：随县国土空间控制线规划图</w:t>
      </w:r>
    </w:p>
    <w:p w14:paraId="137AC6EC">
      <w:pPr>
        <w:spacing w:line="360" w:lineRule="auto"/>
        <w:ind w:firstLine="480" w:firstLineChars="200"/>
        <w:jc w:val="left"/>
        <w:rPr>
          <w:rFonts w:eastAsiaTheme="minorEastAsia"/>
          <w:sz w:val="24"/>
        </w:rPr>
      </w:pPr>
      <w:r>
        <w:rPr>
          <w:rFonts w:hint="eastAsia" w:eastAsiaTheme="minorEastAsia"/>
          <w:sz w:val="24"/>
        </w:rPr>
        <w:t>附图12：随县生态保护红线图</w:t>
      </w:r>
    </w:p>
    <w:p w14:paraId="28207A7F">
      <w:pPr>
        <w:spacing w:line="360" w:lineRule="auto"/>
        <w:ind w:firstLine="480" w:firstLineChars="200"/>
        <w:jc w:val="left"/>
        <w:rPr>
          <w:rFonts w:eastAsiaTheme="minorEastAsia"/>
          <w:sz w:val="24"/>
        </w:rPr>
      </w:pPr>
      <w:r>
        <w:rPr>
          <w:rFonts w:hint="eastAsia" w:eastAsiaTheme="minorEastAsia"/>
          <w:sz w:val="24"/>
        </w:rPr>
        <w:t>附图13：随县基础设施规划图</w:t>
      </w:r>
    </w:p>
    <w:p w14:paraId="360030A5">
      <w:pPr>
        <w:spacing w:line="360" w:lineRule="auto"/>
        <w:ind w:firstLine="480" w:firstLineChars="200"/>
        <w:jc w:val="left"/>
        <w:rPr>
          <w:rFonts w:eastAsiaTheme="minorEastAsia"/>
          <w:sz w:val="24"/>
        </w:rPr>
      </w:pPr>
      <w:r>
        <w:rPr>
          <w:rFonts w:hint="eastAsia" w:eastAsiaTheme="minorEastAsia"/>
          <w:sz w:val="24"/>
        </w:rPr>
        <w:t>附图14：现状园区现场照片</w:t>
      </w:r>
    </w:p>
    <w:p w14:paraId="042BD771">
      <w:pPr>
        <w:spacing w:line="360" w:lineRule="auto"/>
        <w:jc w:val="left"/>
        <w:outlineLvl w:val="0"/>
        <w:rPr>
          <w:rFonts w:eastAsiaTheme="minorEastAsia"/>
          <w:b/>
          <w:sz w:val="28"/>
        </w:rPr>
      </w:pPr>
      <w:bookmarkStart w:id="26" w:name="_Toc168673226"/>
      <w:bookmarkStart w:id="27" w:name="_Toc170985222"/>
      <w:bookmarkStart w:id="28" w:name="_Toc206494888"/>
      <w:bookmarkStart w:id="29" w:name="_Toc206492640"/>
      <w:bookmarkStart w:id="30" w:name="_Toc178354995"/>
      <w:bookmarkStart w:id="31" w:name="_Toc8613"/>
      <w:bookmarkStart w:id="32" w:name="_Toc168673756"/>
      <w:r>
        <w:rPr>
          <w:rFonts w:eastAsiaTheme="minorEastAsia"/>
          <w:b/>
          <w:sz w:val="28"/>
        </w:rPr>
        <w:t>附  件</w:t>
      </w:r>
      <w:bookmarkEnd w:id="26"/>
      <w:bookmarkEnd w:id="27"/>
      <w:bookmarkEnd w:id="28"/>
      <w:bookmarkEnd w:id="29"/>
      <w:bookmarkEnd w:id="30"/>
      <w:bookmarkEnd w:id="31"/>
      <w:bookmarkEnd w:id="32"/>
    </w:p>
    <w:p w14:paraId="2C6B0CAC">
      <w:pPr>
        <w:spacing w:line="360" w:lineRule="auto"/>
        <w:ind w:firstLine="480" w:firstLineChars="200"/>
        <w:jc w:val="left"/>
        <w:rPr>
          <w:rFonts w:eastAsiaTheme="minorEastAsia"/>
          <w:sz w:val="24"/>
        </w:rPr>
      </w:pPr>
      <w:r>
        <w:rPr>
          <w:rFonts w:hint="eastAsia" w:eastAsiaTheme="minorEastAsia"/>
          <w:sz w:val="24"/>
        </w:rPr>
        <w:t>附件1：委托书</w:t>
      </w:r>
    </w:p>
    <w:p w14:paraId="13199B28">
      <w:pPr>
        <w:spacing w:line="360" w:lineRule="auto"/>
        <w:ind w:firstLine="480" w:firstLineChars="200"/>
        <w:jc w:val="left"/>
        <w:rPr>
          <w:rFonts w:eastAsiaTheme="minorEastAsia"/>
          <w:sz w:val="24"/>
        </w:rPr>
      </w:pPr>
      <w:r>
        <w:rPr>
          <w:rFonts w:hint="eastAsia" w:eastAsiaTheme="minorEastAsia"/>
          <w:sz w:val="24"/>
        </w:rPr>
        <w:t>附件2：随州市环境保护局《关于随县石材产业发展规划环境影响报告书的审查意见》（随环建审〔2016〕219号）</w:t>
      </w:r>
    </w:p>
    <w:p w14:paraId="42DACBC8">
      <w:pPr>
        <w:spacing w:line="360" w:lineRule="auto"/>
        <w:ind w:firstLine="480" w:firstLineChars="200"/>
        <w:jc w:val="left"/>
        <w:rPr>
          <w:rFonts w:eastAsiaTheme="minorEastAsia"/>
          <w:sz w:val="24"/>
        </w:rPr>
      </w:pPr>
      <w:r>
        <w:rPr>
          <w:rFonts w:hint="eastAsia" w:eastAsiaTheme="minorEastAsia"/>
          <w:sz w:val="24"/>
        </w:rPr>
        <w:t>附件3：随县吴山镇、万和镇、万和新城（太白顶）及草店镇污水处理厂环评批复及验收意见</w:t>
      </w:r>
    </w:p>
    <w:p w14:paraId="5C8E443A">
      <w:pPr>
        <w:spacing w:line="360" w:lineRule="auto"/>
        <w:ind w:firstLine="480" w:firstLineChars="200"/>
        <w:jc w:val="left"/>
        <w:rPr>
          <w:rFonts w:eastAsiaTheme="minorEastAsia"/>
          <w:sz w:val="24"/>
        </w:rPr>
      </w:pPr>
      <w:r>
        <w:rPr>
          <w:rFonts w:hint="eastAsia" w:eastAsiaTheme="minorEastAsia"/>
          <w:sz w:val="24"/>
        </w:rPr>
        <w:t>附件4：随县水利局《关于随县小林、草店等九个镇污水处理厂入河排污口设置的批复》（随县水利函〔2018〕34号）</w:t>
      </w:r>
    </w:p>
    <w:p w14:paraId="59CD1704">
      <w:pPr>
        <w:spacing w:line="360" w:lineRule="auto"/>
        <w:ind w:firstLine="480" w:firstLineChars="200"/>
        <w:jc w:val="left"/>
        <w:rPr>
          <w:rFonts w:eastAsiaTheme="minorEastAsia"/>
          <w:sz w:val="24"/>
        </w:rPr>
      </w:pPr>
      <w:r>
        <w:rPr>
          <w:rFonts w:hint="eastAsia" w:eastAsiaTheme="minorEastAsia"/>
          <w:sz w:val="24"/>
        </w:rPr>
        <w:t>附件5：环境质量现状检测报告</w:t>
      </w:r>
    </w:p>
    <w:bookmarkEnd w:id="9"/>
    <w:bookmarkEnd w:id="10"/>
    <w:bookmarkEnd w:id="11"/>
    <w:bookmarkEnd w:id="12"/>
    <w:bookmarkEnd w:id="13"/>
    <w:bookmarkEnd w:id="14"/>
    <w:bookmarkEnd w:id="15"/>
    <w:bookmarkEnd w:id="16"/>
    <w:bookmarkEnd w:id="17"/>
    <w:bookmarkEnd w:id="18"/>
    <w:p w14:paraId="7E98D63F">
      <w:pPr>
        <w:rPr>
          <w:rFonts w:eastAsiaTheme="minorEastAsia"/>
          <w:color w:val="FF0000"/>
        </w:rPr>
        <w:sectPr>
          <w:headerReference r:id="rId4" w:type="default"/>
          <w:footerReference r:id="rId5" w:type="default"/>
          <w:pgSz w:w="11906" w:h="16838"/>
          <w:pgMar w:top="1333" w:right="1797" w:bottom="1440" w:left="1797" w:header="709" w:footer="813" w:gutter="0"/>
          <w:paperSrc w:first="257" w:other="257"/>
          <w:pgNumType w:fmt="upperRoman"/>
          <w:cols w:space="720" w:num="1"/>
          <w:docGrid w:linePitch="312" w:charSpace="0"/>
        </w:sectPr>
      </w:pPr>
    </w:p>
    <w:p w14:paraId="297B156B">
      <w:pPr>
        <w:pStyle w:val="3"/>
        <w:pageBreakBefore/>
        <w:tabs>
          <w:tab w:val="left" w:pos="0"/>
          <w:tab w:val="left" w:pos="576"/>
        </w:tabs>
        <w:spacing w:before="360" w:after="480" w:line="240" w:lineRule="auto"/>
        <w:ind w:firstLine="964"/>
        <w:rPr>
          <w:rFonts w:eastAsiaTheme="minorEastAsia"/>
          <w:color w:val="000000" w:themeColor="text1"/>
          <w:kern w:val="2"/>
          <w:sz w:val="36"/>
          <w:szCs w:val="36"/>
          <w14:textFill>
            <w14:solidFill>
              <w14:schemeClr w14:val="tx1"/>
            </w14:solidFill>
          </w14:textFill>
        </w:rPr>
      </w:pPr>
      <w:bookmarkStart w:id="33" w:name="_Toc206494889"/>
      <w:r>
        <w:rPr>
          <w:rFonts w:hint="eastAsia" w:eastAsiaTheme="minorEastAsia"/>
          <w:color w:val="000000" w:themeColor="text1"/>
          <w:kern w:val="2"/>
          <w:sz w:val="36"/>
          <w:szCs w:val="36"/>
          <w14:textFill>
            <w14:solidFill>
              <w14:schemeClr w14:val="tx1"/>
            </w14:solidFill>
          </w14:textFill>
        </w:rPr>
        <w:t>前言</w:t>
      </w:r>
      <w:bookmarkEnd w:id="33"/>
    </w:p>
    <w:p w14:paraId="437C9F32">
      <w:pPr>
        <w:pStyle w:val="162"/>
        <w:numPr>
          <w:ilvl w:val="0"/>
          <w:numId w:val="3"/>
        </w:numPr>
        <w:jc w:val="left"/>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规划背景</w:t>
      </w:r>
    </w:p>
    <w:p w14:paraId="23848BBC">
      <w:pPr>
        <w:pStyle w:val="162"/>
        <w:ind w:firstLine="480" w:firstLineChars="2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随县位于湖北省北部，隶属湖北省随州市。花岗岩是随县的特色矿产资源，矿石储量丰富，品种以“黄金麻”和“芝麻白”为主，具有出材率高，抗压强度大，无放射性、无污染等特点，属于高品质绿色装修材料，具备较好的经济利用价值。</w:t>
      </w:r>
    </w:p>
    <w:p w14:paraId="1810D8E1">
      <w:pPr>
        <w:pStyle w:val="162"/>
        <w:ind w:firstLine="480" w:firstLineChars="2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经过多年发展，随县形成了矿山开采、板材加工、异形产品加工等较为完善的石材产业体系，为当地经济社会发展做出重要贡献。与此同时，传统发展模式下的资源开发无序、加工布局分散、基础设施不完善、废石乱堆放等现象，造成了生态环境破坏、社会矛盾尖锐等诸多问题，企业不得不停产停工整改整治，产业规模急剧萎缩，经济效益下滑，行业地位下降，严重影响产业可持续发展。近年来，随县政府加大对产业引导和扶持力度，企业也加大整治投入力度，整体环境、生态状况得到极大的改观。进入“十四五”，随县县委县政府</w:t>
      </w:r>
      <w:r>
        <w:rPr>
          <w:rFonts w:hint="eastAsia" w:eastAsiaTheme="minorEastAsia"/>
          <w:color w:val="000000" w:themeColor="text1"/>
          <w:lang w:eastAsia="zh-CN"/>
          <w14:textFill>
            <w14:solidFill>
              <w14:schemeClr w14:val="tx1"/>
            </w14:solidFill>
          </w14:textFill>
        </w:rPr>
        <w:t>以习近平新时代中国特色社会主义思想为指导</w:t>
      </w:r>
      <w:r>
        <w:rPr>
          <w:rFonts w:hint="eastAsia" w:eastAsiaTheme="minorEastAsia"/>
          <w:color w:val="000000" w:themeColor="text1"/>
          <w14:textFill>
            <w14:solidFill>
              <w14:schemeClr w14:val="tx1"/>
            </w14:solidFill>
          </w14:textFill>
        </w:rPr>
        <w:t>，坚持高质量发展，全面深入贯彻新的发展理念，加强石材行业的科学引导，坚持发展是硬道理，严格落实“双控”、“双碳”等国家政策，突出生态文明建设，走节能环保、绿色低碳发展之路，提升发展质量，实现产业转型升级。</w:t>
      </w:r>
    </w:p>
    <w:p w14:paraId="1D7A6582">
      <w:pPr>
        <w:pStyle w:val="162"/>
        <w:ind w:firstLine="480" w:firstLineChars="2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在上述背景和新形势下，科学整合随县石材矿产资源，培育特色产业，形成生态环保、智能高效、绿色低碳的产业发展新格局，解决石材产业持续生存和高质量发展问题，对稳定随县社会就业、提高本地居民收入、增加政府财税、推动经济社会发展，具有重要的发展意义。因此，随县人民政府特委托中国建筑材料工业规划研究院编制了《随县石材产业发展规划（2024-2035年）》（以下简称《规划》）。</w:t>
      </w:r>
    </w:p>
    <w:p w14:paraId="5914D3F7">
      <w:pPr>
        <w:pStyle w:val="162"/>
        <w:ind w:firstLine="480" w:firstLineChars="200"/>
        <w:rPr>
          <w:rFonts w:eastAsiaTheme="minorEastAsia"/>
          <w:color w:val="000000" w:themeColor="text1"/>
          <w14:textFill>
            <w14:solidFill>
              <w14:schemeClr w14:val="tx1"/>
            </w14:solidFill>
          </w14:textFill>
        </w:rPr>
        <w:sectPr>
          <w:headerReference r:id="rId6" w:type="default"/>
          <w:footerReference r:id="rId7" w:type="default"/>
          <w:pgSz w:w="11906" w:h="16838"/>
          <w:pgMar w:top="1560" w:right="1797" w:bottom="1560" w:left="1797" w:header="851" w:footer="861" w:gutter="0"/>
          <w:pgNumType w:start="1"/>
          <w:cols w:space="425" w:num="1"/>
          <w:docGrid w:type="lines" w:linePitch="312" w:charSpace="0"/>
        </w:sectPr>
      </w:pPr>
      <w:r>
        <w:rPr>
          <w:rFonts w:hint="eastAsia" w:eastAsiaTheme="minorEastAsia"/>
          <w:color w:val="000000" w:themeColor="text1"/>
          <w14:textFill>
            <w14:solidFill>
              <w14:schemeClr w14:val="tx1"/>
            </w14:solidFill>
          </w14:textFill>
        </w:rPr>
        <w:t>根据《规划》，以矿山资源整合推动绿色矿业示范区建设，以产业空间布局优化带动产业升级，以强链、补链、延链构建随县石材新格局、新业态。以技术创新、数字化智能化赋能、工艺装备升级提高随县石材核心竞争力。以核心龙头企业为引领，发展高端化产品，全面提升产业发展效率。以产城融合、</w:t>
      </w:r>
    </w:p>
    <w:p w14:paraId="4810FA38">
      <w:pPr>
        <w:pStyle w:val="162"/>
        <w:ind w:firstLine="480" w:firstLineChars="200"/>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产业融合促进县域经济水平整体提升。加强生态环保、绿色低碳、产业园区提档升级、“一企一策”改造，打造创新驱动、现代化、智能化、服务化、绿色低碳、多业融合的国内一流石材产业集群、绿色矿业发展示范区以及石材矿产资源高效开发利用示范基地，助力随县“中部百强县”目标的前进。规划范围：随县辖区范围内石材矿山开采、加工、商贸物流以及相关产业。规划期限：近期2024至2025年；中期2026至2030年；远期至2035年。</w:t>
      </w:r>
    </w:p>
    <w:p w14:paraId="42203DDA">
      <w:pPr>
        <w:pStyle w:val="162"/>
        <w:numPr>
          <w:ilvl w:val="0"/>
          <w:numId w:val="3"/>
        </w:numPr>
        <w:jc w:val="left"/>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评价过程</w:t>
      </w:r>
    </w:p>
    <w:p w14:paraId="72CD99A7">
      <w:pPr>
        <w:pStyle w:val="162"/>
        <w:ind w:firstLine="480" w:firstLineChars="200"/>
        <w:rPr>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根据《中华人民共和国环境保护法》、《中华人民共和国环境影响评价法》、《规划环境影响评价条例》等国家和湖北省有关规定，随县石材产业管理办公室于2025年7月25日委托湖北凌然环保科技有限公司承担了《规划》的环境影响评价工作。</w:t>
      </w:r>
      <w:r>
        <w:rPr>
          <w:rFonts w:hint="eastAsia"/>
          <w:color w:val="000000" w:themeColor="text1"/>
          <w14:textFill>
            <w14:solidFill>
              <w14:schemeClr w14:val="tx1"/>
            </w14:solidFill>
          </w14:textFill>
        </w:rPr>
        <w:t>接受委托后，我公司立即组成了评价工作组，并组织有关技术人员认真解读了随州市、随县的相关规划，详尽的实地勘查了规划区域及周围环境情况，收集调研了随州市随县的相关规划资料、环境基础数据及石材企业的相关情况。2025年7月29日随县石材产业管理办公室在随县人民政府网站发布了信息公告，以供公众了解规划区域环境影响评价工作相关信息。</w:t>
      </w:r>
    </w:p>
    <w:p w14:paraId="5D756393">
      <w:pPr>
        <w:pStyle w:val="16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我公司评价工作组根据国家环境保护法律、法规和《规划环境影响评价技术导则 总纲》和《规划环境影响评价技术导则 产业园区》（HJ131-2021）的有关要求，按照《随州市国土空间总体规划（2021-2035年）》、《随州市城乡总体规划（2016-2030年）》等规划的要求，以及当地资源环境特点开展工作，对区域产业结构、资源环境承载力、环境敏感性、规模及布局可能造成的环境影响，分层次地进行分析、预测及评估；提出预防或减轻环境影响的对策和措施，寻求发展与环境保护协调的发展方案，在此基础上编制完成了《随县石材产业发展规划（2024-2035年）环境影响报告书》（送审稿），</w:t>
      </w:r>
      <w:r>
        <w:rPr>
          <w:rFonts w:hint="eastAsia" w:cs="Calibri"/>
          <w:color w:val="000000" w:themeColor="text1"/>
          <w14:textFill>
            <w14:solidFill>
              <w14:schemeClr w14:val="tx1"/>
            </w14:solidFill>
          </w14:textFill>
        </w:rPr>
        <w:t>于2025年9月提交</w:t>
      </w:r>
      <w:r>
        <w:rPr>
          <w:rFonts w:hint="eastAsia"/>
          <w:color w:val="000000" w:themeColor="text1"/>
          <w14:textFill>
            <w14:solidFill>
              <w14:schemeClr w14:val="tx1"/>
            </w14:solidFill>
          </w14:textFill>
        </w:rPr>
        <w:t>随县石材产业管理办公室</w:t>
      </w:r>
      <w:r>
        <w:rPr>
          <w:rFonts w:hint="eastAsia" w:cs="Calibri"/>
          <w:color w:val="000000" w:themeColor="text1"/>
          <w14:textFill>
            <w14:solidFill>
              <w14:schemeClr w14:val="tx1"/>
            </w14:solidFill>
          </w14:textFill>
        </w:rPr>
        <w:t>报随州市生态环境局审查</w:t>
      </w:r>
      <w:r>
        <w:rPr>
          <w:rFonts w:hint="eastAsia"/>
          <w:color w:val="000000" w:themeColor="text1"/>
          <w14:textFill>
            <w14:solidFill>
              <w14:schemeClr w14:val="tx1"/>
            </w14:solidFill>
          </w14:textFill>
        </w:rPr>
        <w:t>。</w:t>
      </w:r>
    </w:p>
    <w:p w14:paraId="1756CD12">
      <w:pPr>
        <w:pStyle w:val="162"/>
        <w:ind w:firstLine="480" w:firstLineChars="200"/>
        <w:rPr>
          <w:rFonts w:eastAsiaTheme="minorEastAsia"/>
          <w:color w:val="000000" w:themeColor="text1"/>
          <w14:textFill>
            <w14:solidFill>
              <w14:schemeClr w14:val="tx1"/>
            </w14:solidFill>
          </w14:textFill>
        </w:rPr>
      </w:pPr>
    </w:p>
    <w:p w14:paraId="43EED77D">
      <w:pPr>
        <w:pStyle w:val="3"/>
        <w:pageBreakBefore/>
        <w:numPr>
          <w:ilvl w:val="0"/>
          <w:numId w:val="1"/>
        </w:numPr>
        <w:tabs>
          <w:tab w:val="left" w:pos="576"/>
        </w:tabs>
        <w:spacing w:before="360" w:after="480" w:line="240" w:lineRule="auto"/>
        <w:ind w:firstLine="964"/>
        <w:rPr>
          <w:rFonts w:eastAsiaTheme="minorEastAsia"/>
          <w:color w:val="000000" w:themeColor="text1"/>
          <w:kern w:val="2"/>
          <w:sz w:val="36"/>
          <w:szCs w:val="36"/>
          <w14:textFill>
            <w14:solidFill>
              <w14:schemeClr w14:val="tx1"/>
            </w14:solidFill>
          </w14:textFill>
        </w:rPr>
      </w:pPr>
      <w:bookmarkStart w:id="34" w:name="_Toc206494890"/>
      <w:bookmarkStart w:id="35" w:name="_Toc160608417"/>
      <w:r>
        <w:rPr>
          <w:rFonts w:eastAsiaTheme="minorEastAsia"/>
          <w:color w:val="000000" w:themeColor="text1"/>
          <w:kern w:val="2"/>
          <w:sz w:val="36"/>
          <w:szCs w:val="36"/>
          <w14:textFill>
            <w14:solidFill>
              <w14:schemeClr w14:val="tx1"/>
            </w14:solidFill>
          </w14:textFill>
        </w:rPr>
        <w:t>总则</w:t>
      </w:r>
      <w:bookmarkEnd w:id="34"/>
      <w:bookmarkEnd w:id="35"/>
    </w:p>
    <w:p w14:paraId="1686AFEA">
      <w:pPr>
        <w:keepNext/>
        <w:keepLines/>
        <w:widowControl/>
        <w:numPr>
          <w:ilvl w:val="1"/>
          <w:numId w:val="1"/>
        </w:numPr>
        <w:tabs>
          <w:tab w:val="left" w:pos="576"/>
        </w:tabs>
        <w:spacing w:before="240" w:after="120" w:line="360" w:lineRule="auto"/>
        <w:jc w:val="left"/>
        <w:outlineLvl w:val="1"/>
        <w:rPr>
          <w:rFonts w:eastAsiaTheme="minorEastAsia"/>
          <w:b/>
          <w:bCs/>
          <w:color w:val="000000" w:themeColor="text1"/>
          <w:sz w:val="30"/>
          <w:szCs w:val="28"/>
          <w14:textFill>
            <w14:solidFill>
              <w14:schemeClr w14:val="tx1"/>
            </w14:solidFill>
          </w14:textFill>
        </w:rPr>
      </w:pPr>
      <w:bookmarkStart w:id="36" w:name="_Toc160608418"/>
      <w:bookmarkStart w:id="37" w:name="_Toc206494891"/>
      <w:r>
        <w:rPr>
          <w:rFonts w:eastAsiaTheme="minorEastAsia"/>
          <w:b/>
          <w:bCs/>
          <w:color w:val="000000" w:themeColor="text1"/>
          <w:sz w:val="30"/>
          <w:szCs w:val="28"/>
          <w14:textFill>
            <w14:solidFill>
              <w14:schemeClr w14:val="tx1"/>
            </w14:solidFill>
          </w14:textFill>
        </w:rPr>
        <w:t>编制依据</w:t>
      </w:r>
      <w:bookmarkEnd w:id="36"/>
      <w:bookmarkEnd w:id="37"/>
    </w:p>
    <w:p w14:paraId="058A5924">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38" w:name="_Toc454064188"/>
      <w:bookmarkStart w:id="39" w:name="_Toc24103"/>
      <w:bookmarkStart w:id="40" w:name="_Toc463936655"/>
      <w:bookmarkStart w:id="41" w:name="_Toc4849"/>
      <w:bookmarkStart w:id="42" w:name="_Toc31221"/>
      <w:bookmarkStart w:id="43" w:name="_Toc26600"/>
      <w:bookmarkStart w:id="44" w:name="_Toc23187"/>
      <w:bookmarkStart w:id="45" w:name="_Toc24033"/>
      <w:bookmarkStart w:id="46" w:name="_Toc29915"/>
      <w:bookmarkStart w:id="47" w:name="_Toc3141"/>
      <w:bookmarkStart w:id="48" w:name="_Toc160608419"/>
      <w:bookmarkStart w:id="49" w:name="_Toc206494892"/>
      <w:r>
        <w:rPr>
          <w:rFonts w:eastAsiaTheme="minorEastAsia"/>
          <w:b/>
          <w:bCs/>
          <w:color w:val="000000" w:themeColor="text1"/>
          <w:sz w:val="24"/>
          <w14:textFill>
            <w14:solidFill>
              <w14:schemeClr w14:val="tx1"/>
            </w14:solidFill>
          </w14:textFill>
        </w:rPr>
        <w:t>国家相关法规</w:t>
      </w:r>
      <w:bookmarkEnd w:id="38"/>
      <w:bookmarkEnd w:id="39"/>
      <w:bookmarkEnd w:id="40"/>
      <w:bookmarkEnd w:id="41"/>
      <w:bookmarkEnd w:id="42"/>
      <w:bookmarkEnd w:id="43"/>
      <w:bookmarkEnd w:id="44"/>
      <w:bookmarkEnd w:id="45"/>
      <w:bookmarkEnd w:id="46"/>
      <w:bookmarkEnd w:id="47"/>
      <w:r>
        <w:rPr>
          <w:rFonts w:eastAsiaTheme="minorEastAsia"/>
          <w:b/>
          <w:bCs/>
          <w:color w:val="000000" w:themeColor="text1"/>
          <w:sz w:val="24"/>
          <w14:textFill>
            <w14:solidFill>
              <w14:schemeClr w14:val="tx1"/>
            </w14:solidFill>
          </w14:textFill>
        </w:rPr>
        <w:t>及</w:t>
      </w:r>
      <w:bookmarkEnd w:id="48"/>
      <w:r>
        <w:rPr>
          <w:rFonts w:hint="eastAsia" w:eastAsiaTheme="minorEastAsia"/>
          <w:b/>
          <w:bCs/>
          <w:color w:val="000000" w:themeColor="text1"/>
          <w:sz w:val="24"/>
          <w14:textFill>
            <w14:solidFill>
              <w14:schemeClr w14:val="tx1"/>
            </w14:solidFill>
          </w14:textFill>
        </w:rPr>
        <w:t>文件</w:t>
      </w:r>
      <w:bookmarkEnd w:id="49"/>
    </w:p>
    <w:p w14:paraId="25620C5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《中华人民共和国环境保护法》(中华人民共和国主席令第九号，自2015年1月1日实施)；</w:t>
      </w:r>
    </w:p>
    <w:p w14:paraId="792DD1DD">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环境影响评价法》(中华人民共和国主席令第四十八号，自2016年9月1日起施行)；第十三届全国人民代表大会常务委员会第七次会议《全国人民代表大会常务委员会关于修改＜中华人民共和国劳动法＞等七部法律的决定》第二次修正）（2018年12月29日中华人民共和国主席令第二十四号）；</w:t>
      </w:r>
    </w:p>
    <w:p w14:paraId="53C69A16">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《中华人民共和国水污染防治法》(中华人民共和国主席令第七十号，自2018年1月1日起施行)；</w:t>
      </w:r>
    </w:p>
    <w:p w14:paraId="25E438C4">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《中华人民共和国大气污染防治法》(中华人民共和国主席令第三十一号，自2016年1月1日起施行)；</w:t>
      </w:r>
    </w:p>
    <w:p w14:paraId="526D55A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《中华人民共和国噪声污染防治法》（中华人民共和国主席令第一〇四号，自 2022 年 6月 5 日起施行）</w:t>
      </w:r>
      <w:r>
        <w:rPr>
          <w:rFonts w:eastAsiaTheme="minorEastAsia"/>
          <w:color w:val="000000" w:themeColor="text1"/>
          <w:kern w:val="0"/>
          <w:sz w:val="24"/>
          <w:szCs w:val="20"/>
          <w:lang w:bidi="ar"/>
          <w14:textFill>
            <w14:solidFill>
              <w14:schemeClr w14:val="tx1"/>
            </w14:solidFill>
          </w14:textFill>
        </w:rPr>
        <w:t>；</w:t>
      </w:r>
    </w:p>
    <w:p w14:paraId="680F4195">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《中华人民共和国固体废物污染环境防治法》(中华人民共和国主席令第四十三号，自2020年9月1日公布之日起施行)；</w:t>
      </w:r>
    </w:p>
    <w:p w14:paraId="216A8CFE">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《中华人民共和国水法》(中华人民共和国主席令第四十八号，自2016年7月2日公布之日起施行)；</w:t>
      </w:r>
    </w:p>
    <w:p w14:paraId="33B1FC65">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《中华人民共和国水土保持法》(中华人民共和国主席令第三十九号，自2011年3月1日)；</w:t>
      </w:r>
    </w:p>
    <w:p w14:paraId="0C35BB8A">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《中华人民共和国清洁生产促进法》(中华人民共和国主席令第五十四号，自2012年7月1日起施行)；</w:t>
      </w:r>
    </w:p>
    <w:p w14:paraId="4D9132DD">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《中华人民共和国节约能源法》（中华人民共和国主席令第四十八号，自2016年7月2日公布之日起施行）；</w:t>
      </w:r>
    </w:p>
    <w:p w14:paraId="0FC8A4A1">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《中华人民共和国循环经济促进法》（中华人民共和国主席令第四号，自2009年1月1日起施行）；</w:t>
      </w:r>
    </w:p>
    <w:p w14:paraId="57E999DB">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《中华人民共和国突发事件应对法》（中华人民共和国主席令第六十九号，自2007年11月1日起施行）；</w:t>
      </w:r>
    </w:p>
    <w:p w14:paraId="2D125A84">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《建设项目环境保护管理条例》(中华人民共和国国务院令第682号，自2017年10月1日实施)；</w:t>
      </w:r>
    </w:p>
    <w:p w14:paraId="1F295EDD">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《规划环境影响评价条例》(</w:t>
      </w:r>
      <w:r>
        <w:rPr>
          <w:rFonts w:eastAsiaTheme="minorEastAsia"/>
          <w:color w:val="000000" w:themeColor="text1"/>
          <w:kern w:val="0"/>
          <w:sz w:val="24"/>
          <w:szCs w:val="20"/>
          <w:lang w:bidi="ar"/>
          <w14:textFill>
            <w14:solidFill>
              <w14:schemeClr w14:val="tx1"/>
            </w14:solidFill>
          </w14:textFill>
        </w:rPr>
        <w:t>中华人民共和国国务院令第</w:t>
      </w:r>
      <w:r>
        <w:rPr>
          <w:rFonts w:hint="eastAsia" w:eastAsiaTheme="minorEastAsia"/>
          <w:color w:val="000000" w:themeColor="text1"/>
          <w:kern w:val="0"/>
          <w:sz w:val="24"/>
          <w:szCs w:val="20"/>
          <w:lang w:bidi="ar"/>
          <w14:textFill>
            <w14:solidFill>
              <w14:schemeClr w14:val="tx1"/>
            </w14:solidFill>
          </w14:textFill>
        </w:rPr>
        <w:t>559</w:t>
      </w:r>
      <w:r>
        <w:rPr>
          <w:rFonts w:eastAsiaTheme="minorEastAsia"/>
          <w:color w:val="000000" w:themeColor="text1"/>
          <w:kern w:val="0"/>
          <w:sz w:val="24"/>
          <w:szCs w:val="20"/>
          <w:lang w:bidi="ar"/>
          <w14:textFill>
            <w14:solidFill>
              <w14:schemeClr w14:val="tx1"/>
            </w14:solidFill>
          </w14:textFill>
        </w:rPr>
        <w:t>号，</w:t>
      </w:r>
      <w:r>
        <w:rPr>
          <w:rFonts w:hint="eastAsia" w:eastAsiaTheme="minorEastAsia"/>
          <w:color w:val="000000" w:themeColor="text1"/>
          <w:kern w:val="0"/>
          <w:sz w:val="24"/>
          <w:szCs w:val="20"/>
          <w:lang w:bidi="ar"/>
          <w14:textFill>
            <w14:solidFill>
              <w14:schemeClr w14:val="tx1"/>
            </w14:solidFill>
          </w14:textFill>
        </w:rPr>
        <w:t>2009年10月1日起施行)</w:t>
      </w:r>
    </w:p>
    <w:p w14:paraId="4C2702C5">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《中华人民共和国城乡规划法》(第十三届全国人民代表大会常务委员会第十次会议修改通过，2019年4月23日起施行)；</w:t>
      </w:r>
    </w:p>
    <w:p w14:paraId="14C0C149">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《产业结构调整指导目录（2024年本）》（发改委令第7号，2024年2月1日实施）</w:t>
      </w:r>
      <w:r>
        <w:rPr>
          <w:rFonts w:eastAsiaTheme="minorEastAsia"/>
          <w:color w:val="000000" w:themeColor="text1"/>
          <w:kern w:val="0"/>
          <w:sz w:val="24"/>
          <w:szCs w:val="20"/>
          <w:lang w:bidi="ar"/>
          <w14:textFill>
            <w14:solidFill>
              <w14:schemeClr w14:val="tx1"/>
            </w14:solidFill>
          </w14:textFill>
        </w:rPr>
        <w:t>；</w:t>
      </w:r>
    </w:p>
    <w:p w14:paraId="20213B64">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《建设项目环境影响评价分类管理名录（2021年版）》（环境保护部令第16号，2021年1月1日）；</w:t>
      </w:r>
    </w:p>
    <w:p w14:paraId="466D540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《环境影响评价公众参与办法》（生态环境部令第4号，自2019年1月1日起施行）；</w:t>
      </w:r>
    </w:p>
    <w:p w14:paraId="7734EF6D">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《关于进一步加强环境影响评价管理防范环境风险的通知》（环发[2012]77号，自2012年7月3日印发之日起施行）；</w:t>
      </w:r>
    </w:p>
    <w:p w14:paraId="062A075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《关于切实加强风险防范严格环境影响评价管理的通知》（环发[2012]98号，2012年8月7日）；</w:t>
      </w:r>
    </w:p>
    <w:p w14:paraId="7384A24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《关于加强规划环境影响评价与建设项目环境影响评价联动工作的意见》（环发[2015]178号，2015年12月30日）；</w:t>
      </w:r>
    </w:p>
    <w:p w14:paraId="6B41EF9E">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《关于以改善环境质量为核心加强环境影响评价管理的通知》（环环评[2016]150号，2016年10月26日）；</w:t>
      </w:r>
    </w:p>
    <w:p w14:paraId="0982BF27">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中华人民共和国生态环境部《关于进一步优化环境影响评价工作的意见》</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环环评[2023]52号</w:t>
      </w:r>
      <w:r>
        <w:rPr>
          <w:rFonts w:eastAsiaTheme="minorEastAsia"/>
          <w:color w:val="000000" w:themeColor="text1"/>
          <w:kern w:val="0"/>
          <w:sz w:val="24"/>
          <w:szCs w:val="20"/>
          <w:lang w:bidi="ar"/>
          <w14:textFill>
            <w14:solidFill>
              <w14:schemeClr w14:val="tx1"/>
            </w14:solidFill>
          </w14:textFill>
        </w:rPr>
        <w:t>，20</w:t>
      </w:r>
      <w:r>
        <w:rPr>
          <w:rFonts w:hint="eastAsia" w:eastAsiaTheme="minorEastAsia"/>
          <w:color w:val="000000" w:themeColor="text1"/>
          <w:kern w:val="0"/>
          <w:sz w:val="24"/>
          <w:szCs w:val="20"/>
          <w:lang w:bidi="ar"/>
          <w14:textFill>
            <w14:solidFill>
              <w14:schemeClr w14:val="tx1"/>
            </w14:solidFill>
          </w14:textFill>
        </w:rPr>
        <w:t>23</w:t>
      </w:r>
      <w:r>
        <w:rPr>
          <w:rFonts w:eastAsiaTheme="minorEastAsia"/>
          <w:color w:val="000000" w:themeColor="text1"/>
          <w:kern w:val="0"/>
          <w:sz w:val="24"/>
          <w:szCs w:val="20"/>
          <w:lang w:bidi="ar"/>
          <w14:textFill>
            <w14:solidFill>
              <w14:schemeClr w14:val="tx1"/>
            </w14:solidFill>
          </w14:textFill>
        </w:rPr>
        <w:t>年</w:t>
      </w:r>
      <w:r>
        <w:rPr>
          <w:rFonts w:hint="eastAsia" w:eastAsiaTheme="minorEastAsia"/>
          <w:color w:val="000000" w:themeColor="text1"/>
          <w:kern w:val="0"/>
          <w:sz w:val="24"/>
          <w:szCs w:val="20"/>
          <w:lang w:bidi="ar"/>
          <w14:textFill>
            <w14:solidFill>
              <w14:schemeClr w14:val="tx1"/>
            </w14:solidFill>
          </w14:textFill>
        </w:rPr>
        <w:t>9</w:t>
      </w:r>
      <w:r>
        <w:rPr>
          <w:rFonts w:eastAsiaTheme="minorEastAsia"/>
          <w:color w:val="000000" w:themeColor="text1"/>
          <w:kern w:val="0"/>
          <w:sz w:val="24"/>
          <w:szCs w:val="20"/>
          <w:lang w:bidi="ar"/>
          <w14:textFill>
            <w14:solidFill>
              <w14:schemeClr w14:val="tx1"/>
            </w14:solidFill>
          </w14:textFill>
        </w:rPr>
        <w:t>月</w:t>
      </w:r>
      <w:r>
        <w:rPr>
          <w:rFonts w:hint="eastAsia" w:eastAsiaTheme="minorEastAsia"/>
          <w:color w:val="000000" w:themeColor="text1"/>
          <w:kern w:val="0"/>
          <w:sz w:val="24"/>
          <w:szCs w:val="20"/>
          <w:lang w:bidi="ar"/>
          <w14:textFill>
            <w14:solidFill>
              <w14:schemeClr w14:val="tx1"/>
            </w14:solidFill>
          </w14:textFill>
        </w:rPr>
        <w:t>20</w:t>
      </w:r>
      <w:r>
        <w:rPr>
          <w:rFonts w:eastAsiaTheme="minorEastAsia"/>
          <w:color w:val="000000" w:themeColor="text1"/>
          <w:kern w:val="0"/>
          <w:sz w:val="24"/>
          <w:szCs w:val="20"/>
          <w:lang w:bidi="ar"/>
          <w14:textFill>
            <w14:solidFill>
              <w14:schemeClr w14:val="tx1"/>
            </w14:solidFill>
          </w14:textFill>
        </w:rPr>
        <w:t>日</w:t>
      </w:r>
      <w:r>
        <w:rPr>
          <w:rFonts w:hint="eastAsia" w:eastAsiaTheme="minorEastAsia"/>
          <w:color w:val="000000" w:themeColor="text1"/>
          <w:kern w:val="0"/>
          <w:sz w:val="24"/>
          <w:szCs w:val="20"/>
          <w:lang w:bidi="ar"/>
          <w14:textFill>
            <w14:solidFill>
              <w14:schemeClr w14:val="tx1"/>
            </w14:solidFill>
          </w14:textFill>
        </w:rPr>
        <w:t>）。</w:t>
      </w:r>
    </w:p>
    <w:p w14:paraId="1776D38E">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《关于进一步加强产业园区规划环境影响评价工作的意见》</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环环评[2020]65号）；</w:t>
      </w:r>
    </w:p>
    <w:p w14:paraId="526E8847">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《国土资源部国家发展和改革委员会关于发布实施&lt;限制用地项目目录(2012年本)&gt;和&lt;禁止用地项目目录(2012年本)&gt;的通知》</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国土资发(2012)98号，2012年5月23日起施行）；</w:t>
      </w:r>
    </w:p>
    <w:p w14:paraId="785CF4A4">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《国务院关于印发大气污染防治行动计划的通知》</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国务院，国发[2013]37号）；</w:t>
      </w:r>
    </w:p>
    <w:p w14:paraId="71B1F68E">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《国务院关于印发水污染防治行动计划的通知》</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国发[2015]17号，2015年4月2日）；</w:t>
      </w:r>
    </w:p>
    <w:p w14:paraId="7B7D4422">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《国务院关于印发土壤污染防治行动计划的通知》</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国发[2016]31号，2016年5月28日）；</w:t>
      </w:r>
    </w:p>
    <w:p w14:paraId="19E34AFB">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《关于规划环境影响评价加强空间管制、总量管控和环境准入的指导意见</w:t>
      </w:r>
      <w:r>
        <w:rPr>
          <w:rFonts w:eastAsiaTheme="minorEastAsia"/>
          <w:color w:val="000000" w:themeColor="text1"/>
          <w:kern w:val="0"/>
          <w:sz w:val="24"/>
          <w:szCs w:val="20"/>
          <w:lang w:bidi="ar"/>
          <w14:textFill>
            <w14:solidFill>
              <w14:schemeClr w14:val="tx1"/>
            </w14:solidFill>
          </w14:textFill>
        </w:rPr>
        <w:t>（</w:t>
      </w:r>
      <w:r>
        <w:rPr>
          <w:rFonts w:hint="eastAsia" w:eastAsiaTheme="minorEastAsia"/>
          <w:color w:val="000000" w:themeColor="text1"/>
          <w:kern w:val="0"/>
          <w:sz w:val="24"/>
          <w:szCs w:val="20"/>
          <w:lang w:bidi="ar"/>
          <w14:textFill>
            <w14:solidFill>
              <w14:schemeClr w14:val="tx1"/>
            </w14:solidFill>
          </w14:textFill>
        </w:rPr>
        <w:t>试行)》(环办环评(2016)14号）；</w:t>
      </w:r>
    </w:p>
    <w:p w14:paraId="2727FCB3">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《关于开展产业园区规划环境影响评价清单式管理试点工作的通知》(环办环评[2016]61号)；</w:t>
      </w:r>
    </w:p>
    <w:p w14:paraId="187B05DD">
      <w:pPr>
        <w:numPr>
          <w:ilvl w:val="0"/>
          <w:numId w:val="4"/>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《国务院办公厅关于全面开展工程建设项目审批制度改革的实施意见》（国办发(2019)11号）。</w:t>
      </w:r>
    </w:p>
    <w:p w14:paraId="3EE1D064">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50" w:name="_Toc206494893"/>
      <w:r>
        <w:rPr>
          <w:rFonts w:hint="eastAsia" w:eastAsiaTheme="minorEastAsia"/>
          <w:b/>
          <w:bCs/>
          <w:color w:val="000000" w:themeColor="text1"/>
          <w:sz w:val="24"/>
          <w14:textFill>
            <w14:solidFill>
              <w14:schemeClr w14:val="tx1"/>
            </w14:solidFill>
          </w14:textFill>
        </w:rPr>
        <w:t>地方</w:t>
      </w:r>
      <w:r>
        <w:rPr>
          <w:rFonts w:eastAsiaTheme="minorEastAsia"/>
          <w:b/>
          <w:bCs/>
          <w:color w:val="000000" w:themeColor="text1"/>
          <w:sz w:val="24"/>
          <w14:textFill>
            <w14:solidFill>
              <w14:schemeClr w14:val="tx1"/>
            </w14:solidFill>
          </w14:textFill>
        </w:rPr>
        <w:t>相关法规及文件</w:t>
      </w:r>
      <w:bookmarkEnd w:id="50"/>
    </w:p>
    <w:p w14:paraId="0EA478E3">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《湖北省开发区、工业园区区域性统一评价试点工作方案》(鄂政办发[2018]64号)；</w:t>
      </w:r>
    </w:p>
    <w:p w14:paraId="7F17D2F4">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《关于进一步做好全省开发区、工业园区规划环境影响评价工作的通知》(鄂环办[2018]15号)；</w:t>
      </w:r>
    </w:p>
    <w:p w14:paraId="272037BF">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《关于印发湖北省开发区建设项目环境影响评价改革试点实施意见》(湖北省生态环境厅，2019年8月5日)；</w:t>
      </w:r>
    </w:p>
    <w:p w14:paraId="08D3977A">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《省人民政府办公厅转发省环境保护局关于湖北省地表水环境功能类别的通知》（鄂政办发[2000]10号，自2000年1月31日发布）；</w:t>
      </w:r>
    </w:p>
    <w:p w14:paraId="392679DE">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《省人民政府关于贯彻落实国务院大气污染防治行动计划的实施意见》（鄂政发[2014]6号，自2014年1月21日实施）；</w:t>
      </w:r>
    </w:p>
    <w:p w14:paraId="5E5C8FBD">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《省人民政府关于印发湖北省水污染防治行动计划工作方案的通知》（鄂政发[2016]3号，2016年1月10日）；</w:t>
      </w:r>
    </w:p>
    <w:p w14:paraId="75C76D18">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《湖北省水污染防治条例》（2014年1月22日湖北省第十二届人民代表大会第二次会议通过，2022年3月31日修正并施行）；</w:t>
      </w:r>
    </w:p>
    <w:p w14:paraId="7F5E8C80">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《湖北省建设项目主要污染物排放总量控制管理暂行办法》（鄂环发〔2011〕53号，2011年12月23日）；</w:t>
      </w:r>
    </w:p>
    <w:p w14:paraId="2BF4F9E9">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《省人民政府关于发布湖北省生态保护红线的通知》（鄂政发[2018]30号，2019年2月28日）；</w:t>
      </w:r>
    </w:p>
    <w:p w14:paraId="5FB9FE8C">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《市人民政府关于印发随州市“三线一单”生态环境分区管控实施方案的通知》（随政发[2021]10号）（2021年6月25日）；</w:t>
      </w:r>
    </w:p>
    <w:p w14:paraId="235D3799">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《省人民政府办公厅关于印发&lt;湖北省生态保护红线管理办法（试行）&gt;的通知》（鄂政办发[2016]72号，2016年9月10日）；</w:t>
      </w:r>
    </w:p>
    <w:p w14:paraId="79E62714">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《随州市工程建设项目审批制度改革实施方案》（</w:t>
      </w:r>
      <w:r>
        <w:rPr>
          <w:rFonts w:eastAsiaTheme="minorEastAsia"/>
          <w:color w:val="000000" w:themeColor="text1"/>
          <w:kern w:val="0"/>
          <w:sz w:val="24"/>
          <w:szCs w:val="20"/>
          <w:lang w:bidi="ar"/>
          <w14:textFill>
            <w14:solidFill>
              <w14:schemeClr w14:val="tx1"/>
            </w14:solidFill>
          </w14:textFill>
        </w:rPr>
        <w:t>2019</w:t>
      </w:r>
      <w:r>
        <w:rPr>
          <w:rFonts w:hint="eastAsia" w:eastAsiaTheme="minorEastAsia"/>
          <w:color w:val="000000" w:themeColor="text1"/>
          <w:kern w:val="0"/>
          <w:sz w:val="24"/>
          <w:szCs w:val="20"/>
          <w:lang w:bidi="ar"/>
          <w14:textFill>
            <w14:solidFill>
              <w14:schemeClr w14:val="tx1"/>
            </w14:solidFill>
          </w14:textFill>
        </w:rPr>
        <w:t>年</w:t>
      </w:r>
      <w:r>
        <w:rPr>
          <w:rFonts w:eastAsiaTheme="minorEastAsia"/>
          <w:color w:val="000000" w:themeColor="text1"/>
          <w:kern w:val="0"/>
          <w:sz w:val="24"/>
          <w:szCs w:val="20"/>
          <w:lang w:bidi="ar"/>
          <w14:textFill>
            <w14:solidFill>
              <w14:schemeClr w14:val="tx1"/>
            </w14:solidFill>
          </w14:textFill>
        </w:rPr>
        <w:t>6</w:t>
      </w:r>
      <w:r>
        <w:rPr>
          <w:rFonts w:hint="eastAsia" w:eastAsiaTheme="minorEastAsia"/>
          <w:color w:val="000000" w:themeColor="text1"/>
          <w:kern w:val="0"/>
          <w:sz w:val="24"/>
          <w:szCs w:val="20"/>
          <w:lang w:bidi="ar"/>
          <w14:textFill>
            <w14:solidFill>
              <w14:schemeClr w14:val="tx1"/>
            </w14:solidFill>
          </w14:textFill>
        </w:rPr>
        <w:t>月</w:t>
      </w:r>
      <w:r>
        <w:rPr>
          <w:rFonts w:eastAsiaTheme="minorEastAsia"/>
          <w:color w:val="000000" w:themeColor="text1"/>
          <w:kern w:val="0"/>
          <w:sz w:val="24"/>
          <w:szCs w:val="20"/>
          <w:lang w:bidi="ar"/>
          <w14:textFill>
            <w14:solidFill>
              <w14:schemeClr w14:val="tx1"/>
            </w14:solidFill>
          </w14:textFill>
        </w:rPr>
        <w:t>4日</w:t>
      </w:r>
      <w:r>
        <w:rPr>
          <w:rFonts w:hint="eastAsia" w:eastAsiaTheme="minorEastAsia"/>
          <w:color w:val="000000" w:themeColor="text1"/>
          <w:kern w:val="0"/>
          <w:sz w:val="24"/>
          <w:szCs w:val="20"/>
          <w:lang w:bidi="ar"/>
          <w14:textFill>
            <w14:solidFill>
              <w14:schemeClr w14:val="tx1"/>
            </w14:solidFill>
          </w14:textFill>
        </w:rPr>
        <w:t>）；</w:t>
      </w:r>
    </w:p>
    <w:p w14:paraId="326537E2">
      <w:pPr>
        <w:numPr>
          <w:ilvl w:val="0"/>
          <w:numId w:val="5"/>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《随州市新增工业用地“标准地”出让改革实施方案》(2020年8月)。</w:t>
      </w:r>
    </w:p>
    <w:p w14:paraId="6CAA4C39">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51" w:name="_Toc206494894"/>
      <w:r>
        <w:rPr>
          <w:rFonts w:hint="eastAsia" w:eastAsiaTheme="minorEastAsia"/>
          <w:b/>
          <w:bCs/>
          <w:color w:val="000000" w:themeColor="text1"/>
          <w:sz w:val="24"/>
          <w14:textFill>
            <w14:solidFill>
              <w14:schemeClr w14:val="tx1"/>
            </w14:solidFill>
          </w14:textFill>
        </w:rPr>
        <w:t>技术规范</w:t>
      </w:r>
      <w:bookmarkEnd w:id="51"/>
    </w:p>
    <w:p w14:paraId="4EC29E98">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《规划环境影响评价技术导则 总纲)》(HJ130-2019)；</w:t>
      </w:r>
    </w:p>
    <w:p w14:paraId="695883E7">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《建设项目环境影响评价技术导则  总纲》（HJ2.1-2016）；</w:t>
      </w:r>
    </w:p>
    <w:p w14:paraId="6773F5CD">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大气环境》（HJ2.2-2018）；</w:t>
      </w:r>
    </w:p>
    <w:p w14:paraId="2911CDA1">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地表水环境》（HJ2.3-2018）；</w:t>
      </w:r>
    </w:p>
    <w:p w14:paraId="30E6DA69">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地下水环境》（HJ610-2016）；</w:t>
      </w:r>
    </w:p>
    <w:p w14:paraId="2F2C06D9">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声环境》（HJ2.4-2021）；</w:t>
      </w:r>
    </w:p>
    <w:p w14:paraId="6BB8CE9B">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生态影响》(HJ19-2022)；</w:t>
      </w:r>
    </w:p>
    <w:p w14:paraId="53078247">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《建设项目环境风险评价技术导则》（HJ169-2018）；</w:t>
      </w:r>
    </w:p>
    <w:p w14:paraId="309A4033">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《环境影响评价技术导则  土壤环境（试行）》（HJ964-2018）；</w:t>
      </w:r>
    </w:p>
    <w:p w14:paraId="75C60FA6">
      <w:pPr>
        <w:numPr>
          <w:ilvl w:val="0"/>
          <w:numId w:val="6"/>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《规划环境影响评价技术导则  产业园区》（HJ131-2021）。</w:t>
      </w:r>
    </w:p>
    <w:p w14:paraId="0DD38A20">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52" w:name="_Toc206494895"/>
      <w:r>
        <w:rPr>
          <w:rFonts w:hint="eastAsia" w:eastAsiaTheme="minorEastAsia"/>
          <w:b/>
          <w:bCs/>
          <w:color w:val="000000" w:themeColor="text1"/>
          <w:sz w:val="24"/>
          <w14:textFill>
            <w14:solidFill>
              <w14:schemeClr w14:val="tx1"/>
            </w14:solidFill>
          </w14:textFill>
        </w:rPr>
        <w:t>相关规划</w:t>
      </w:r>
      <w:bookmarkEnd w:id="52"/>
    </w:p>
    <w:p w14:paraId="10CA76F5">
      <w:pPr>
        <w:numPr>
          <w:ilvl w:val="0"/>
          <w:numId w:val="7"/>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《随州市城乡总体规划(2016-2030)年》（鄂政函［2017］135号）；</w:t>
      </w:r>
    </w:p>
    <w:p w14:paraId="22410DD5">
      <w:pPr>
        <w:numPr>
          <w:ilvl w:val="0"/>
          <w:numId w:val="7"/>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《随州市国民经济和社会发展第十四个五年规划和2035年远景目标纲要》（2021年7月）；</w:t>
      </w:r>
    </w:p>
    <w:p w14:paraId="0EE4DF7C">
      <w:pPr>
        <w:numPr>
          <w:ilvl w:val="0"/>
          <w:numId w:val="7"/>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《随州市国土空间总体规划（2021-2035年）》</w:t>
      </w:r>
    </w:p>
    <w:p w14:paraId="6D3108FA">
      <w:pPr>
        <w:numPr>
          <w:ilvl w:val="0"/>
          <w:numId w:val="7"/>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《随县国民经济和社会发展第十四个五年规划和二〇三五年远景目标纲要》（2021年1月）</w:t>
      </w:r>
    </w:p>
    <w:p w14:paraId="43197A1D">
      <w:pPr>
        <w:numPr>
          <w:ilvl w:val="0"/>
          <w:numId w:val="7"/>
        </w:numPr>
        <w:spacing w:line="360" w:lineRule="auto"/>
        <w:ind w:left="0" w:firstLine="480"/>
        <w:rPr>
          <w:rFonts w:eastAsiaTheme="minorEastAsia"/>
          <w:color w:val="000000" w:themeColor="text1"/>
          <w:kern w:val="0"/>
          <w:sz w:val="24"/>
          <w:szCs w:val="20"/>
          <w:lang w:bidi="ar"/>
          <w14:textFill>
            <w14:solidFill>
              <w14:schemeClr w14:val="tx1"/>
            </w14:solidFill>
          </w14:textFill>
        </w:rPr>
      </w:pPr>
      <w:r>
        <w:rPr>
          <w:rFonts w:hint="eastAsia" w:eastAsiaTheme="minorEastAsia"/>
          <w:color w:val="000000" w:themeColor="text1"/>
          <w:kern w:val="0"/>
          <w:sz w:val="24"/>
          <w:szCs w:val="20"/>
          <w:lang w:bidi="ar"/>
          <w14:textFill>
            <w14:solidFill>
              <w14:schemeClr w14:val="tx1"/>
            </w14:solidFill>
          </w14:textFill>
        </w:rPr>
        <w:t>《随州市生态环境保护“十四五”规划》（2022年3月）。</w:t>
      </w:r>
    </w:p>
    <w:p w14:paraId="5E0F0DC2">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53" w:name="_Toc206494896"/>
      <w:r>
        <w:rPr>
          <w:rFonts w:hint="eastAsia" w:eastAsiaTheme="minorEastAsia"/>
          <w:b/>
          <w:bCs/>
          <w:color w:val="000000" w:themeColor="text1"/>
          <w:sz w:val="24"/>
          <w14:textFill>
            <w14:solidFill>
              <w14:schemeClr w14:val="tx1"/>
            </w14:solidFill>
          </w14:textFill>
        </w:rPr>
        <w:t>其他</w:t>
      </w:r>
      <w:r>
        <w:rPr>
          <w:rFonts w:eastAsiaTheme="minorEastAsia"/>
          <w:b/>
          <w:bCs/>
          <w:color w:val="000000" w:themeColor="text1"/>
          <w:sz w:val="24"/>
          <w14:textFill>
            <w14:solidFill>
              <w14:schemeClr w14:val="tx1"/>
            </w14:solidFill>
          </w14:textFill>
        </w:rPr>
        <w:t>资料</w:t>
      </w:r>
      <w:bookmarkEnd w:id="53"/>
    </w:p>
    <w:p w14:paraId="29EE1B06">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（1）环境影响评价委托书；</w:t>
      </w:r>
    </w:p>
    <w:p w14:paraId="08BD69C8">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2</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《随县石材产业发展规划（2024-2035年）》；</w:t>
      </w:r>
    </w:p>
    <w:p w14:paraId="52D5D88C">
      <w:pPr>
        <w:spacing w:line="360" w:lineRule="auto"/>
        <w:ind w:firstLine="480" w:firstLineChars="200"/>
        <w:rPr>
          <w:rFonts w:eastAsiaTheme="minorEastAsia"/>
          <w:sz w:val="24"/>
        </w:rPr>
      </w:pPr>
      <w:r>
        <w:rPr>
          <w:rFonts w:eastAsiaTheme="minorEastAsia"/>
          <w:color w:val="000000" w:themeColor="text1"/>
          <w:sz w:val="24"/>
          <w14:textFill>
            <w14:solidFill>
              <w14:schemeClr w14:val="tx1"/>
            </w14:solidFill>
          </w14:textFill>
        </w:rPr>
        <w:t>（2）</w:t>
      </w:r>
      <w:r>
        <w:rPr>
          <w:rFonts w:hint="eastAsia" w:eastAsiaTheme="minorEastAsia"/>
          <w:sz w:val="24"/>
        </w:rPr>
        <w:t>石材产业管理办公室及相关管理部门</w:t>
      </w:r>
      <w:r>
        <w:rPr>
          <w:rFonts w:eastAsiaTheme="minorEastAsia"/>
          <w:sz w:val="24"/>
        </w:rPr>
        <w:t>提供的基础资料及技术资料等。</w:t>
      </w:r>
    </w:p>
    <w:p w14:paraId="3020331A">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54" w:name="_Toc206494897"/>
      <w:r>
        <w:rPr>
          <w:rFonts w:hint="eastAsia" w:eastAsiaTheme="minorEastAsia"/>
          <w:b/>
          <w:bCs/>
          <w:sz w:val="30"/>
          <w:szCs w:val="28"/>
        </w:rPr>
        <w:t>评价目的</w:t>
      </w:r>
      <w:r>
        <w:rPr>
          <w:rFonts w:eastAsiaTheme="minorEastAsia"/>
          <w:b/>
          <w:bCs/>
          <w:sz w:val="30"/>
          <w:szCs w:val="28"/>
        </w:rPr>
        <w:t>及原则</w:t>
      </w:r>
      <w:bookmarkEnd w:id="54"/>
    </w:p>
    <w:p w14:paraId="00449A9D">
      <w:pPr>
        <w:keepNext/>
        <w:keepLines/>
        <w:widowControl/>
        <w:numPr>
          <w:ilvl w:val="2"/>
          <w:numId w:val="1"/>
        </w:numPr>
        <w:spacing w:before="120" w:after="120" w:line="360" w:lineRule="auto"/>
        <w:jc w:val="left"/>
        <w:outlineLvl w:val="2"/>
        <w:rPr>
          <w:rFonts w:eastAsiaTheme="minorEastAsia"/>
          <w:b/>
          <w:bCs/>
          <w:sz w:val="24"/>
        </w:rPr>
      </w:pPr>
      <w:bookmarkStart w:id="55" w:name="_Toc206494898"/>
      <w:r>
        <w:rPr>
          <w:rFonts w:hint="eastAsia" w:eastAsiaTheme="minorEastAsia"/>
          <w:b/>
          <w:bCs/>
          <w:sz w:val="24"/>
        </w:rPr>
        <w:t>评价</w:t>
      </w:r>
      <w:r>
        <w:rPr>
          <w:rFonts w:eastAsiaTheme="minorEastAsia"/>
          <w:b/>
          <w:bCs/>
          <w:sz w:val="24"/>
        </w:rPr>
        <w:t>目的</w:t>
      </w:r>
      <w:bookmarkEnd w:id="55"/>
    </w:p>
    <w:p w14:paraId="1EB05200">
      <w:pPr>
        <w:spacing w:line="360" w:lineRule="auto"/>
        <w:ind w:firstLine="480" w:firstLineChars="200"/>
        <w:rPr>
          <w:rFonts w:eastAsiaTheme="minorEastAsia"/>
          <w:sz w:val="24"/>
        </w:rPr>
      </w:pPr>
      <w:r>
        <w:rPr>
          <w:rFonts w:hint="eastAsia" w:eastAsiaTheme="minorEastAsia"/>
          <w:sz w:val="24"/>
        </w:rPr>
        <w:t>从决策源头预防环境污染和生态破坏，促进经济、社会和环境的全面协调可持续发展，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14:paraId="53410855">
      <w:pPr>
        <w:keepNext/>
        <w:keepLines/>
        <w:widowControl/>
        <w:numPr>
          <w:ilvl w:val="2"/>
          <w:numId w:val="1"/>
        </w:numPr>
        <w:spacing w:before="120" w:after="120" w:line="360" w:lineRule="auto"/>
        <w:jc w:val="left"/>
        <w:outlineLvl w:val="2"/>
        <w:rPr>
          <w:rFonts w:eastAsiaTheme="minorEastAsia"/>
          <w:b/>
          <w:bCs/>
          <w:sz w:val="24"/>
        </w:rPr>
      </w:pPr>
      <w:bookmarkStart w:id="56" w:name="_Toc206494899"/>
      <w:r>
        <w:rPr>
          <w:rFonts w:hint="eastAsia" w:eastAsiaTheme="minorEastAsia"/>
          <w:b/>
          <w:bCs/>
          <w:sz w:val="24"/>
        </w:rPr>
        <w:t>评价原则</w:t>
      </w:r>
      <w:bookmarkEnd w:id="56"/>
    </w:p>
    <w:p w14:paraId="42114CE1">
      <w:pPr>
        <w:spacing w:line="360" w:lineRule="auto"/>
        <w:ind w:firstLine="480" w:firstLineChars="200"/>
        <w:rPr>
          <w:rFonts w:eastAsiaTheme="minorEastAsia"/>
          <w:sz w:val="24"/>
        </w:rPr>
      </w:pPr>
      <w:r>
        <w:rPr>
          <w:rFonts w:hint="eastAsia" w:eastAsiaTheme="minorEastAsia"/>
          <w:sz w:val="24"/>
        </w:rPr>
        <w:t>以习近平生态文明思想为指导，坚持山水林田湖草沙是一个生命共同体的观点，分析规划实施可能对环境产生的影响。坚持以可持续发展为中心，贯彻环境建设与经济建设同步规划、同步实施、同步发展的战略方针；坚持循环经济和清洁生产的理念，依据区域的环境容量，对污染物排放实行总量控制和污染集中控制，促进区域生态环境的良性循环。</w:t>
      </w:r>
    </w:p>
    <w:p w14:paraId="7B936DB7">
      <w:pPr>
        <w:spacing w:line="360" w:lineRule="auto"/>
        <w:ind w:firstLine="480" w:firstLineChars="200"/>
        <w:rPr>
          <w:rFonts w:eastAsiaTheme="minorEastAsia"/>
          <w:sz w:val="24"/>
        </w:rPr>
      </w:pPr>
      <w:r>
        <w:rPr>
          <w:rFonts w:hint="eastAsia" w:eastAsiaTheme="minorEastAsia"/>
          <w:sz w:val="24"/>
        </w:rPr>
        <w:t>本规划环评遵循以下基本原则：</w:t>
      </w:r>
    </w:p>
    <w:p w14:paraId="7491805D">
      <w:pPr>
        <w:spacing w:line="360" w:lineRule="auto"/>
        <w:ind w:firstLine="480" w:firstLineChars="200"/>
        <w:rPr>
          <w:rFonts w:eastAsiaTheme="minorEastAsia"/>
          <w:sz w:val="24"/>
        </w:rPr>
      </w:pPr>
      <w:r>
        <w:rPr>
          <w:rFonts w:hint="eastAsia" w:eastAsiaTheme="minorEastAsia"/>
          <w:sz w:val="24"/>
        </w:rPr>
        <w:t>（1）早期介入、过程互动</w:t>
      </w:r>
    </w:p>
    <w:p w14:paraId="3D6E69D0">
      <w:pPr>
        <w:spacing w:line="360" w:lineRule="auto"/>
        <w:ind w:firstLine="480" w:firstLineChars="200"/>
        <w:rPr>
          <w:rFonts w:eastAsiaTheme="minorEastAsia"/>
          <w:sz w:val="24"/>
        </w:rPr>
      </w:pPr>
      <w:r>
        <w:rPr>
          <w:rFonts w:hint="eastAsia" w:eastAsiaTheme="minorEastAsia"/>
          <w:sz w:val="24"/>
        </w:rPr>
        <w:t>评价应在规划编制的早期阶段介入，在规划前期研究和方案编制、论证、审定等关键环节和过程中充分互动，不断优化规划方案，提高环境合理性。</w:t>
      </w:r>
    </w:p>
    <w:p w14:paraId="0EA89980">
      <w:pPr>
        <w:spacing w:line="360" w:lineRule="auto"/>
        <w:ind w:firstLine="480" w:firstLineChars="200"/>
        <w:rPr>
          <w:rFonts w:eastAsiaTheme="minorEastAsia"/>
          <w:sz w:val="24"/>
        </w:rPr>
      </w:pPr>
      <w:r>
        <w:rPr>
          <w:rFonts w:hint="eastAsia" w:eastAsiaTheme="minorEastAsia"/>
          <w:sz w:val="24"/>
        </w:rPr>
        <w:t>（2）统筹衔接、分类指导</w:t>
      </w:r>
    </w:p>
    <w:p w14:paraId="59C68FC9">
      <w:pPr>
        <w:spacing w:line="360" w:lineRule="auto"/>
        <w:ind w:firstLine="480" w:firstLineChars="200"/>
        <w:rPr>
          <w:rFonts w:eastAsiaTheme="minorEastAsia"/>
          <w:sz w:val="24"/>
        </w:rPr>
      </w:pPr>
      <w:r>
        <w:rPr>
          <w:rFonts w:hint="eastAsia" w:eastAsiaTheme="minorEastAsia"/>
          <w:sz w:val="24"/>
        </w:rPr>
        <w:t>评价工作应突出不同类型、不同层级规划及其环境影响特点，充分衔接 “三线一单”成果，分类指导规划所包含建设项目的布局和生态环境准入。</w:t>
      </w:r>
    </w:p>
    <w:p w14:paraId="125DC4F4">
      <w:pPr>
        <w:spacing w:line="360" w:lineRule="auto"/>
        <w:ind w:firstLine="480" w:firstLineChars="200"/>
        <w:rPr>
          <w:rFonts w:eastAsiaTheme="minorEastAsia"/>
          <w:sz w:val="24"/>
        </w:rPr>
      </w:pPr>
      <w:r>
        <w:rPr>
          <w:rFonts w:hint="eastAsia" w:eastAsiaTheme="minorEastAsia"/>
          <w:sz w:val="24"/>
        </w:rPr>
        <w:t>（3）客观评价、结论科学</w:t>
      </w:r>
    </w:p>
    <w:p w14:paraId="6137EB7F">
      <w:pPr>
        <w:spacing w:line="360" w:lineRule="auto"/>
        <w:ind w:firstLine="480" w:firstLineChars="200"/>
        <w:rPr>
          <w:rFonts w:eastAsiaTheme="minorEastAsia"/>
          <w:sz w:val="24"/>
        </w:rPr>
      </w:pPr>
      <w:r>
        <w:rPr>
          <w:rFonts w:hint="eastAsia" w:eastAsiaTheme="minorEastAsia"/>
          <w:sz w:val="24"/>
        </w:rPr>
        <w:t>依据现有知识水平和技术条件对规划实施可能产生的不良环境影响的范围和程度进行客观分析，评价方法应成熟可靠，数据资料应完整可信，结论建议应具体明确且具有可操作性。</w:t>
      </w:r>
    </w:p>
    <w:p w14:paraId="054F5CE2">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57" w:name="_Toc206494900"/>
      <w:r>
        <w:rPr>
          <w:rFonts w:hint="eastAsia" w:eastAsiaTheme="minorEastAsia"/>
          <w:b/>
          <w:bCs/>
          <w:sz w:val="30"/>
          <w:szCs w:val="28"/>
        </w:rPr>
        <w:t>评价范围及时段</w:t>
      </w:r>
      <w:bookmarkEnd w:id="57"/>
    </w:p>
    <w:p w14:paraId="57193561">
      <w:pPr>
        <w:spacing w:line="360" w:lineRule="auto"/>
        <w:ind w:firstLine="480" w:firstLineChars="200"/>
        <w:rPr>
          <w:rFonts w:eastAsiaTheme="minorEastAsia"/>
          <w:sz w:val="24"/>
        </w:rPr>
      </w:pPr>
      <w:r>
        <w:rPr>
          <w:rFonts w:hint="eastAsia" w:eastAsiaTheme="minorEastAsia"/>
          <w:sz w:val="24"/>
        </w:rPr>
        <w:t>（1）评价范围</w:t>
      </w:r>
    </w:p>
    <w:p w14:paraId="53F91A1B">
      <w:pPr>
        <w:spacing w:line="360" w:lineRule="auto"/>
        <w:ind w:firstLine="480" w:firstLineChars="200"/>
        <w:rPr>
          <w:rFonts w:eastAsiaTheme="minorEastAsia"/>
          <w:sz w:val="24"/>
        </w:rPr>
      </w:pPr>
      <w:r>
        <w:rPr>
          <w:rFonts w:hint="eastAsia" w:eastAsiaTheme="minorEastAsia"/>
          <w:sz w:val="24"/>
        </w:rPr>
        <w:t>环境影响评价范围同规划范围，评价范围为随县辖区范围内石材矿山开采、加工、商贸物流以及相关产业，兼顾周边环境现状及可能影响的重要区域。</w:t>
      </w:r>
    </w:p>
    <w:p w14:paraId="50C00043">
      <w:pPr>
        <w:spacing w:line="360" w:lineRule="auto"/>
        <w:ind w:firstLine="480" w:firstLineChars="200"/>
        <w:rPr>
          <w:rFonts w:eastAsiaTheme="minorEastAsia"/>
          <w:sz w:val="24"/>
        </w:rPr>
      </w:pPr>
      <w:r>
        <w:rPr>
          <w:rFonts w:hint="eastAsia" w:eastAsiaTheme="minorEastAsia"/>
          <w:sz w:val="24"/>
        </w:rPr>
        <w:t>（2）评价时段</w:t>
      </w:r>
    </w:p>
    <w:p w14:paraId="15564290">
      <w:pPr>
        <w:spacing w:line="360" w:lineRule="auto"/>
        <w:ind w:firstLine="480" w:firstLineChars="200"/>
        <w:rPr>
          <w:rFonts w:eastAsiaTheme="minorEastAsia"/>
          <w:sz w:val="24"/>
        </w:rPr>
      </w:pPr>
      <w:r>
        <w:rPr>
          <w:rFonts w:hint="eastAsia" w:eastAsiaTheme="minorEastAsia"/>
          <w:sz w:val="24"/>
        </w:rPr>
        <w:t>评价规划年：2024~2035年，其中近期2024至2025年，中期2026至2030年，远期至2035年。</w:t>
      </w:r>
    </w:p>
    <w:p w14:paraId="6C034384">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58" w:name="_Toc206494901"/>
      <w:r>
        <w:rPr>
          <w:rFonts w:hint="eastAsia" w:eastAsiaTheme="minorEastAsia"/>
          <w:b/>
          <w:bCs/>
          <w:sz w:val="30"/>
          <w:szCs w:val="28"/>
        </w:rPr>
        <w:t>评价内容与评价重点</w:t>
      </w:r>
      <w:bookmarkEnd w:id="58"/>
    </w:p>
    <w:p w14:paraId="1D68A315">
      <w:pPr>
        <w:keepNext/>
        <w:keepLines/>
        <w:widowControl/>
        <w:numPr>
          <w:ilvl w:val="2"/>
          <w:numId w:val="1"/>
        </w:numPr>
        <w:spacing w:before="120" w:after="120" w:line="360" w:lineRule="auto"/>
        <w:jc w:val="left"/>
        <w:outlineLvl w:val="2"/>
        <w:rPr>
          <w:rFonts w:eastAsiaTheme="minorEastAsia"/>
          <w:b/>
          <w:bCs/>
          <w:sz w:val="24"/>
        </w:rPr>
      </w:pPr>
      <w:bookmarkStart w:id="59" w:name="_Toc206494902"/>
      <w:r>
        <w:rPr>
          <w:rFonts w:hint="eastAsia" w:eastAsiaTheme="minorEastAsia"/>
          <w:b/>
          <w:bCs/>
          <w:sz w:val="24"/>
        </w:rPr>
        <w:t>评价内容</w:t>
      </w:r>
      <w:bookmarkEnd w:id="59"/>
    </w:p>
    <w:p w14:paraId="36D89438">
      <w:pPr>
        <w:spacing w:line="360" w:lineRule="auto"/>
        <w:ind w:firstLine="480" w:firstLineChars="200"/>
        <w:rPr>
          <w:rFonts w:eastAsiaTheme="minorEastAsia"/>
          <w:sz w:val="24"/>
        </w:rPr>
      </w:pPr>
      <w:r>
        <w:rPr>
          <w:rFonts w:hint="eastAsia" w:eastAsiaTheme="minorEastAsia"/>
          <w:sz w:val="24"/>
        </w:rPr>
        <w:t>评价内容包括规划分析、环境现状调查与评价、环境影响识别与评价指标体系构建、环境影响预测与评价、规划方案综合论证和优化调整建议、环境影响减缓对策和措施、项目环评要求与环境影响跟踪评价、公众参与等，评价内容具体设置见下表。</w:t>
      </w:r>
    </w:p>
    <w:p w14:paraId="64A8714B">
      <w:pPr>
        <w:spacing w:line="360" w:lineRule="auto"/>
        <w:ind w:firstLine="422"/>
        <w:jc w:val="center"/>
        <w:rPr>
          <w:rFonts w:eastAsiaTheme="minorEastAsia"/>
          <w:b/>
          <w:szCs w:val="21"/>
        </w:rPr>
      </w:pPr>
      <w:r>
        <w:rPr>
          <w:rFonts w:hint="eastAsia" w:eastAsiaTheme="minorEastAsia"/>
          <w:b/>
          <w:szCs w:val="21"/>
        </w:rPr>
        <w:t>表1.4.1-1    环境影响评价内容一览表</w:t>
      </w:r>
    </w:p>
    <w:tbl>
      <w:tblPr>
        <w:tblStyle w:val="88"/>
        <w:tblW w:w="8630" w:type="dxa"/>
        <w:tblInd w:w="113"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12"/>
        <w:gridCol w:w="2769"/>
        <w:gridCol w:w="4949"/>
      </w:tblGrid>
      <w:tr w14:paraId="4CE3D68E">
        <w:tblPrEx>
          <w:tblCellMar>
            <w:top w:w="0" w:type="dxa"/>
            <w:left w:w="108" w:type="dxa"/>
            <w:bottom w:w="0" w:type="dxa"/>
            <w:right w:w="108" w:type="dxa"/>
          </w:tblCellMar>
        </w:tblPrEx>
        <w:trPr>
          <w:trHeight w:val="369" w:hRule="atLeast"/>
        </w:trPr>
        <w:tc>
          <w:tcPr>
            <w:tcW w:w="912" w:type="dxa"/>
            <w:shd w:val="clear" w:color="auto" w:fill="auto"/>
            <w:noWrap/>
            <w:vAlign w:val="center"/>
          </w:tcPr>
          <w:p w14:paraId="3900102D">
            <w:pPr>
              <w:widowControl/>
              <w:spacing w:line="320" w:lineRule="exact"/>
              <w:ind w:left="-25" w:right="-25"/>
              <w:jc w:val="center"/>
              <w:rPr>
                <w:rFonts w:eastAsiaTheme="minorEastAsia"/>
                <w:kern w:val="0"/>
                <w:szCs w:val="21"/>
              </w:rPr>
            </w:pPr>
            <w:r>
              <w:rPr>
                <w:rFonts w:hint="eastAsia" w:eastAsiaTheme="minorEastAsia"/>
                <w:kern w:val="0"/>
                <w:szCs w:val="21"/>
              </w:rPr>
              <w:t>序号</w:t>
            </w:r>
          </w:p>
        </w:tc>
        <w:tc>
          <w:tcPr>
            <w:tcW w:w="2769" w:type="dxa"/>
            <w:shd w:val="clear" w:color="auto" w:fill="auto"/>
            <w:noWrap/>
            <w:vAlign w:val="center"/>
          </w:tcPr>
          <w:p w14:paraId="78B86EF3">
            <w:pPr>
              <w:widowControl/>
              <w:spacing w:line="320" w:lineRule="exact"/>
              <w:ind w:left="-25" w:right="-25"/>
              <w:jc w:val="center"/>
              <w:rPr>
                <w:rFonts w:eastAsiaTheme="minorEastAsia"/>
                <w:kern w:val="0"/>
                <w:szCs w:val="21"/>
              </w:rPr>
            </w:pPr>
            <w:r>
              <w:rPr>
                <w:rFonts w:hint="eastAsia" w:eastAsiaTheme="minorEastAsia"/>
                <w:kern w:val="0"/>
                <w:szCs w:val="21"/>
              </w:rPr>
              <w:t>专题名称</w:t>
            </w:r>
          </w:p>
        </w:tc>
        <w:tc>
          <w:tcPr>
            <w:tcW w:w="4949" w:type="dxa"/>
            <w:shd w:val="clear" w:color="auto" w:fill="auto"/>
            <w:noWrap/>
            <w:vAlign w:val="center"/>
          </w:tcPr>
          <w:p w14:paraId="6D4B54F5">
            <w:pPr>
              <w:widowControl/>
              <w:spacing w:line="320" w:lineRule="exact"/>
              <w:ind w:left="-25" w:right="-25"/>
              <w:jc w:val="center"/>
              <w:rPr>
                <w:rFonts w:eastAsiaTheme="minorEastAsia"/>
                <w:kern w:val="0"/>
                <w:szCs w:val="21"/>
              </w:rPr>
            </w:pPr>
            <w:r>
              <w:rPr>
                <w:rFonts w:hint="eastAsia" w:eastAsiaTheme="minorEastAsia"/>
                <w:kern w:val="0"/>
                <w:szCs w:val="21"/>
              </w:rPr>
              <w:t xml:space="preserve">工作内容 </w:t>
            </w:r>
          </w:p>
        </w:tc>
      </w:tr>
      <w:tr w14:paraId="20C747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014DB4F3">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2769" w:type="dxa"/>
            <w:vMerge w:val="restart"/>
            <w:shd w:val="clear" w:color="auto" w:fill="auto"/>
            <w:noWrap/>
            <w:vAlign w:val="center"/>
          </w:tcPr>
          <w:p w14:paraId="5CEF89EC">
            <w:pPr>
              <w:widowControl/>
              <w:spacing w:line="320" w:lineRule="exact"/>
              <w:ind w:left="-25" w:right="-25"/>
              <w:jc w:val="center"/>
              <w:rPr>
                <w:rFonts w:eastAsiaTheme="minorEastAsia"/>
                <w:kern w:val="0"/>
                <w:szCs w:val="21"/>
              </w:rPr>
            </w:pPr>
            <w:r>
              <w:rPr>
                <w:rFonts w:hint="eastAsia" w:eastAsiaTheme="minorEastAsia"/>
                <w:kern w:val="0"/>
                <w:szCs w:val="21"/>
              </w:rPr>
              <w:t>规划分析</w:t>
            </w:r>
          </w:p>
        </w:tc>
        <w:tc>
          <w:tcPr>
            <w:tcW w:w="4949" w:type="dxa"/>
            <w:shd w:val="clear" w:color="auto" w:fill="auto"/>
            <w:noWrap/>
            <w:vAlign w:val="center"/>
          </w:tcPr>
          <w:p w14:paraId="49A5EC26">
            <w:pPr>
              <w:widowControl/>
              <w:spacing w:line="320" w:lineRule="exact"/>
              <w:ind w:left="-25" w:right="-25"/>
              <w:jc w:val="center"/>
              <w:rPr>
                <w:rFonts w:eastAsiaTheme="minorEastAsia"/>
                <w:kern w:val="0"/>
                <w:szCs w:val="21"/>
              </w:rPr>
            </w:pPr>
            <w:r>
              <w:rPr>
                <w:rFonts w:hint="eastAsia" w:eastAsiaTheme="minorEastAsia"/>
                <w:kern w:val="0"/>
                <w:szCs w:val="21"/>
              </w:rPr>
              <w:t>规划概述</w:t>
            </w:r>
          </w:p>
        </w:tc>
      </w:tr>
      <w:tr w14:paraId="0A4EB1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78DEFE8B">
            <w:pPr>
              <w:widowControl/>
              <w:spacing w:line="320" w:lineRule="exact"/>
              <w:ind w:left="-25" w:right="-25"/>
              <w:jc w:val="center"/>
              <w:rPr>
                <w:rFonts w:eastAsiaTheme="minorEastAsia"/>
                <w:kern w:val="0"/>
                <w:szCs w:val="21"/>
              </w:rPr>
            </w:pPr>
          </w:p>
        </w:tc>
        <w:tc>
          <w:tcPr>
            <w:tcW w:w="2769" w:type="dxa"/>
            <w:vMerge w:val="continue"/>
            <w:vAlign w:val="center"/>
          </w:tcPr>
          <w:p w14:paraId="3D813B87">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4CA7A01B">
            <w:pPr>
              <w:widowControl/>
              <w:spacing w:line="320" w:lineRule="exact"/>
              <w:ind w:left="-25" w:right="-25"/>
              <w:jc w:val="center"/>
              <w:rPr>
                <w:rFonts w:eastAsiaTheme="minorEastAsia"/>
                <w:kern w:val="0"/>
                <w:szCs w:val="21"/>
              </w:rPr>
            </w:pPr>
            <w:r>
              <w:rPr>
                <w:rFonts w:hint="eastAsia" w:eastAsiaTheme="minorEastAsia"/>
                <w:kern w:val="0"/>
                <w:szCs w:val="21"/>
              </w:rPr>
              <w:t xml:space="preserve">规划协调性分析 </w:t>
            </w:r>
          </w:p>
        </w:tc>
      </w:tr>
      <w:tr w14:paraId="6DA519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62654F11">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2769" w:type="dxa"/>
            <w:vMerge w:val="restart"/>
            <w:shd w:val="clear" w:color="auto" w:fill="auto"/>
            <w:noWrap/>
            <w:vAlign w:val="center"/>
          </w:tcPr>
          <w:p w14:paraId="486B261B">
            <w:pPr>
              <w:widowControl/>
              <w:spacing w:line="320" w:lineRule="exact"/>
              <w:ind w:left="-25" w:right="-25"/>
              <w:jc w:val="center"/>
              <w:rPr>
                <w:rFonts w:eastAsiaTheme="minorEastAsia"/>
                <w:kern w:val="0"/>
                <w:szCs w:val="21"/>
              </w:rPr>
            </w:pPr>
            <w:r>
              <w:rPr>
                <w:rFonts w:hint="eastAsia" w:eastAsiaTheme="minorEastAsia"/>
                <w:kern w:val="0"/>
                <w:szCs w:val="21"/>
              </w:rPr>
              <w:t>环境现状调查与评价</w:t>
            </w:r>
          </w:p>
        </w:tc>
        <w:tc>
          <w:tcPr>
            <w:tcW w:w="4949" w:type="dxa"/>
            <w:shd w:val="clear" w:color="auto" w:fill="auto"/>
            <w:noWrap/>
            <w:vAlign w:val="center"/>
          </w:tcPr>
          <w:p w14:paraId="09BE53D3">
            <w:pPr>
              <w:widowControl/>
              <w:spacing w:line="320" w:lineRule="exact"/>
              <w:ind w:left="-25" w:right="-25"/>
              <w:jc w:val="center"/>
              <w:rPr>
                <w:rFonts w:eastAsiaTheme="minorEastAsia"/>
                <w:kern w:val="0"/>
                <w:szCs w:val="21"/>
              </w:rPr>
            </w:pPr>
            <w:r>
              <w:rPr>
                <w:rFonts w:hint="eastAsia" w:eastAsiaTheme="minorEastAsia"/>
                <w:kern w:val="0"/>
                <w:szCs w:val="21"/>
              </w:rPr>
              <w:t>自然环境状况</w:t>
            </w:r>
          </w:p>
        </w:tc>
      </w:tr>
      <w:tr w14:paraId="47276F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3430B465">
            <w:pPr>
              <w:widowControl/>
              <w:spacing w:line="320" w:lineRule="exact"/>
              <w:ind w:left="-25" w:right="-25"/>
              <w:jc w:val="center"/>
              <w:rPr>
                <w:rFonts w:eastAsiaTheme="minorEastAsia"/>
                <w:kern w:val="0"/>
                <w:szCs w:val="21"/>
              </w:rPr>
            </w:pPr>
          </w:p>
        </w:tc>
        <w:tc>
          <w:tcPr>
            <w:tcW w:w="2769" w:type="dxa"/>
            <w:vMerge w:val="continue"/>
            <w:vAlign w:val="center"/>
          </w:tcPr>
          <w:p w14:paraId="6A22704C">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4670BA21">
            <w:pPr>
              <w:widowControl/>
              <w:spacing w:line="320" w:lineRule="exact"/>
              <w:ind w:left="-25" w:right="-25"/>
              <w:jc w:val="center"/>
              <w:rPr>
                <w:rFonts w:eastAsiaTheme="minorEastAsia"/>
                <w:kern w:val="0"/>
                <w:szCs w:val="21"/>
              </w:rPr>
            </w:pPr>
            <w:r>
              <w:rPr>
                <w:rFonts w:hint="eastAsia" w:eastAsiaTheme="minorEastAsia"/>
                <w:kern w:val="0"/>
                <w:szCs w:val="21"/>
              </w:rPr>
              <w:t>社会经济概况</w:t>
            </w:r>
          </w:p>
        </w:tc>
      </w:tr>
      <w:tr w14:paraId="6941A4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1563BC52">
            <w:pPr>
              <w:widowControl/>
              <w:spacing w:line="320" w:lineRule="exact"/>
              <w:ind w:left="-25" w:right="-25"/>
              <w:jc w:val="center"/>
              <w:rPr>
                <w:rFonts w:eastAsiaTheme="minorEastAsia"/>
                <w:kern w:val="0"/>
                <w:szCs w:val="21"/>
              </w:rPr>
            </w:pPr>
          </w:p>
        </w:tc>
        <w:tc>
          <w:tcPr>
            <w:tcW w:w="2769" w:type="dxa"/>
            <w:vMerge w:val="continue"/>
            <w:vAlign w:val="center"/>
          </w:tcPr>
          <w:p w14:paraId="6F7ACED3">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76877318">
            <w:pPr>
              <w:widowControl/>
              <w:spacing w:line="320" w:lineRule="exact"/>
              <w:ind w:left="-25" w:right="-25"/>
              <w:jc w:val="center"/>
              <w:rPr>
                <w:rFonts w:eastAsiaTheme="minorEastAsia"/>
                <w:kern w:val="0"/>
                <w:szCs w:val="21"/>
              </w:rPr>
            </w:pPr>
            <w:r>
              <w:rPr>
                <w:rFonts w:hint="eastAsia" w:eastAsiaTheme="minorEastAsia"/>
                <w:kern w:val="0"/>
                <w:szCs w:val="21"/>
              </w:rPr>
              <w:t>环境质量现状调查与评价</w:t>
            </w:r>
          </w:p>
        </w:tc>
      </w:tr>
      <w:tr w14:paraId="21554E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41B72102">
            <w:pPr>
              <w:widowControl/>
              <w:spacing w:line="320" w:lineRule="exact"/>
              <w:ind w:left="-25" w:right="-25"/>
              <w:jc w:val="center"/>
              <w:rPr>
                <w:rFonts w:eastAsiaTheme="minorEastAsia"/>
                <w:kern w:val="0"/>
                <w:szCs w:val="21"/>
              </w:rPr>
            </w:pPr>
          </w:p>
        </w:tc>
        <w:tc>
          <w:tcPr>
            <w:tcW w:w="2769" w:type="dxa"/>
            <w:vMerge w:val="continue"/>
            <w:vAlign w:val="center"/>
          </w:tcPr>
          <w:p w14:paraId="45B84F5B">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6A533FCB">
            <w:pPr>
              <w:widowControl/>
              <w:spacing w:line="320" w:lineRule="exact"/>
              <w:ind w:left="-25" w:right="-25"/>
              <w:jc w:val="center"/>
              <w:rPr>
                <w:rFonts w:eastAsiaTheme="minorEastAsia"/>
                <w:kern w:val="0"/>
                <w:szCs w:val="21"/>
              </w:rPr>
            </w:pPr>
            <w:r>
              <w:rPr>
                <w:rFonts w:hint="eastAsia" w:eastAsiaTheme="minorEastAsia"/>
                <w:kern w:val="0"/>
                <w:szCs w:val="21"/>
              </w:rPr>
              <w:t>产业发展现状与回顾性分析</w:t>
            </w:r>
          </w:p>
        </w:tc>
      </w:tr>
      <w:tr w14:paraId="51E2DF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25EB4E40">
            <w:pPr>
              <w:widowControl/>
              <w:spacing w:line="320" w:lineRule="exact"/>
              <w:ind w:left="-25" w:right="-25"/>
              <w:jc w:val="center"/>
              <w:rPr>
                <w:rFonts w:eastAsiaTheme="minorEastAsia"/>
                <w:kern w:val="0"/>
                <w:szCs w:val="21"/>
              </w:rPr>
            </w:pPr>
          </w:p>
        </w:tc>
        <w:tc>
          <w:tcPr>
            <w:tcW w:w="2769" w:type="dxa"/>
            <w:vMerge w:val="continue"/>
            <w:vAlign w:val="center"/>
          </w:tcPr>
          <w:p w14:paraId="46F7CE48">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2568195A">
            <w:pPr>
              <w:widowControl/>
              <w:spacing w:line="320" w:lineRule="exact"/>
              <w:ind w:left="-25" w:right="-25"/>
              <w:jc w:val="center"/>
              <w:rPr>
                <w:rFonts w:eastAsiaTheme="minorEastAsia"/>
                <w:kern w:val="0"/>
                <w:szCs w:val="21"/>
              </w:rPr>
            </w:pPr>
            <w:r>
              <w:rPr>
                <w:rFonts w:hint="eastAsia" w:eastAsiaTheme="minorEastAsia"/>
                <w:kern w:val="0"/>
                <w:szCs w:val="21"/>
              </w:rPr>
              <w:t xml:space="preserve">产业发展制约因素分析 </w:t>
            </w:r>
          </w:p>
        </w:tc>
      </w:tr>
      <w:tr w14:paraId="76E0B8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302BA6CB">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2769" w:type="dxa"/>
            <w:vMerge w:val="restart"/>
            <w:shd w:val="clear" w:color="auto" w:fill="auto"/>
            <w:noWrap/>
            <w:vAlign w:val="center"/>
          </w:tcPr>
          <w:p w14:paraId="36E07604">
            <w:pPr>
              <w:widowControl/>
              <w:spacing w:line="320" w:lineRule="exact"/>
              <w:ind w:left="-25" w:right="-25"/>
              <w:jc w:val="center"/>
              <w:rPr>
                <w:rFonts w:eastAsiaTheme="minorEastAsia"/>
                <w:kern w:val="0"/>
                <w:szCs w:val="21"/>
              </w:rPr>
            </w:pPr>
            <w:r>
              <w:rPr>
                <w:rFonts w:hint="eastAsia" w:eastAsiaTheme="minorEastAsia"/>
                <w:kern w:val="0"/>
                <w:szCs w:val="21"/>
              </w:rPr>
              <w:t>环境影响识别与评价指标体系构建</w:t>
            </w:r>
          </w:p>
        </w:tc>
        <w:tc>
          <w:tcPr>
            <w:tcW w:w="4949" w:type="dxa"/>
            <w:shd w:val="clear" w:color="auto" w:fill="auto"/>
            <w:noWrap/>
            <w:vAlign w:val="center"/>
          </w:tcPr>
          <w:p w14:paraId="1AF158B0">
            <w:pPr>
              <w:widowControl/>
              <w:spacing w:line="320" w:lineRule="exact"/>
              <w:ind w:left="-25" w:right="-25"/>
              <w:jc w:val="center"/>
              <w:rPr>
                <w:rFonts w:eastAsiaTheme="minorEastAsia"/>
                <w:kern w:val="0"/>
                <w:szCs w:val="21"/>
              </w:rPr>
            </w:pPr>
            <w:r>
              <w:rPr>
                <w:rFonts w:hint="eastAsia" w:eastAsiaTheme="minorEastAsia"/>
                <w:kern w:val="0"/>
                <w:szCs w:val="21"/>
              </w:rPr>
              <w:t>规划环境影响识别</w:t>
            </w:r>
          </w:p>
        </w:tc>
      </w:tr>
      <w:tr w14:paraId="3D4894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shd w:val="clear" w:color="auto" w:fill="auto"/>
            <w:noWrap/>
            <w:vAlign w:val="center"/>
          </w:tcPr>
          <w:p w14:paraId="6190D8C6">
            <w:pPr>
              <w:widowControl/>
              <w:spacing w:line="320" w:lineRule="exact"/>
              <w:ind w:left="-25" w:right="-25"/>
              <w:jc w:val="center"/>
              <w:rPr>
                <w:rFonts w:eastAsiaTheme="minorEastAsia"/>
                <w:kern w:val="0"/>
                <w:szCs w:val="21"/>
              </w:rPr>
            </w:pPr>
          </w:p>
        </w:tc>
        <w:tc>
          <w:tcPr>
            <w:tcW w:w="2769" w:type="dxa"/>
            <w:vMerge w:val="continue"/>
            <w:shd w:val="clear" w:color="auto" w:fill="auto"/>
            <w:noWrap/>
            <w:vAlign w:val="center"/>
          </w:tcPr>
          <w:p w14:paraId="1B11682E">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0CD05C53">
            <w:pPr>
              <w:widowControl/>
              <w:spacing w:line="320" w:lineRule="exact"/>
              <w:ind w:left="-25" w:right="-25"/>
              <w:jc w:val="center"/>
              <w:rPr>
                <w:rFonts w:eastAsiaTheme="minorEastAsia"/>
                <w:kern w:val="0"/>
                <w:szCs w:val="21"/>
              </w:rPr>
            </w:pPr>
            <w:r>
              <w:rPr>
                <w:rFonts w:hint="eastAsia" w:eastAsiaTheme="minorEastAsia"/>
                <w:kern w:val="0"/>
                <w:szCs w:val="21"/>
              </w:rPr>
              <w:t>评价因子筛选</w:t>
            </w:r>
          </w:p>
        </w:tc>
      </w:tr>
      <w:tr w14:paraId="2F1020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26147582">
            <w:pPr>
              <w:widowControl/>
              <w:spacing w:line="320" w:lineRule="exact"/>
              <w:ind w:left="-25" w:right="-25"/>
              <w:jc w:val="center"/>
              <w:rPr>
                <w:rFonts w:eastAsiaTheme="minorEastAsia"/>
                <w:kern w:val="0"/>
                <w:szCs w:val="21"/>
              </w:rPr>
            </w:pPr>
          </w:p>
        </w:tc>
        <w:tc>
          <w:tcPr>
            <w:tcW w:w="2769" w:type="dxa"/>
            <w:vMerge w:val="continue"/>
            <w:vAlign w:val="center"/>
          </w:tcPr>
          <w:p w14:paraId="1402D18C">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3F7F6BAB">
            <w:pPr>
              <w:widowControl/>
              <w:spacing w:line="320" w:lineRule="exact"/>
              <w:ind w:left="-25" w:right="-25"/>
              <w:jc w:val="center"/>
              <w:rPr>
                <w:rFonts w:eastAsiaTheme="minorEastAsia"/>
                <w:kern w:val="0"/>
                <w:szCs w:val="21"/>
              </w:rPr>
            </w:pPr>
            <w:r>
              <w:rPr>
                <w:rFonts w:hint="eastAsia" w:eastAsiaTheme="minorEastAsia"/>
                <w:kern w:val="0"/>
                <w:szCs w:val="21"/>
              </w:rPr>
              <w:t xml:space="preserve">评价指标体系 </w:t>
            </w:r>
          </w:p>
        </w:tc>
      </w:tr>
      <w:tr w14:paraId="42921E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19C8A16C">
            <w:pPr>
              <w:widowControl/>
              <w:spacing w:line="320" w:lineRule="exact"/>
              <w:ind w:left="-25" w:right="-25"/>
              <w:jc w:val="center"/>
              <w:rPr>
                <w:rFonts w:eastAsiaTheme="minorEastAsia"/>
                <w:kern w:val="0"/>
                <w:szCs w:val="21"/>
              </w:rPr>
            </w:pPr>
            <w:r>
              <w:rPr>
                <w:rFonts w:hint="eastAsia" w:eastAsiaTheme="minorEastAsia"/>
                <w:kern w:val="0"/>
                <w:szCs w:val="21"/>
              </w:rPr>
              <w:t xml:space="preserve">4 </w:t>
            </w:r>
          </w:p>
        </w:tc>
        <w:tc>
          <w:tcPr>
            <w:tcW w:w="2769" w:type="dxa"/>
            <w:vMerge w:val="restart"/>
            <w:shd w:val="clear" w:color="auto" w:fill="auto"/>
            <w:noWrap/>
            <w:vAlign w:val="center"/>
          </w:tcPr>
          <w:p w14:paraId="71F8903A">
            <w:pPr>
              <w:widowControl/>
              <w:spacing w:line="320" w:lineRule="exact"/>
              <w:ind w:left="-25" w:right="-25"/>
              <w:jc w:val="center"/>
              <w:rPr>
                <w:rFonts w:eastAsiaTheme="minorEastAsia"/>
                <w:kern w:val="0"/>
                <w:szCs w:val="21"/>
              </w:rPr>
            </w:pPr>
            <w:r>
              <w:rPr>
                <w:rFonts w:hint="eastAsia" w:eastAsiaTheme="minorEastAsia"/>
                <w:kern w:val="0"/>
                <w:szCs w:val="21"/>
              </w:rPr>
              <w:t>环境影响预测与评价</w:t>
            </w:r>
          </w:p>
        </w:tc>
        <w:tc>
          <w:tcPr>
            <w:tcW w:w="4949" w:type="dxa"/>
            <w:shd w:val="clear" w:color="auto" w:fill="auto"/>
            <w:noWrap/>
            <w:vAlign w:val="center"/>
          </w:tcPr>
          <w:p w14:paraId="5B004F1D">
            <w:pPr>
              <w:widowControl/>
              <w:spacing w:line="320" w:lineRule="exact"/>
              <w:ind w:left="-25" w:right="-25"/>
              <w:jc w:val="center"/>
              <w:rPr>
                <w:rFonts w:eastAsiaTheme="minorEastAsia"/>
                <w:kern w:val="0"/>
                <w:szCs w:val="21"/>
              </w:rPr>
            </w:pPr>
            <w:r>
              <w:rPr>
                <w:rFonts w:hint="eastAsia" w:eastAsiaTheme="minorEastAsia"/>
                <w:kern w:val="0"/>
                <w:szCs w:val="21"/>
              </w:rPr>
              <w:t>规划实施生态环境压力分析</w:t>
            </w:r>
          </w:p>
        </w:tc>
      </w:tr>
      <w:tr w14:paraId="1C218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362953FB">
            <w:pPr>
              <w:widowControl/>
              <w:spacing w:line="320" w:lineRule="exact"/>
              <w:ind w:left="-25" w:right="-25"/>
              <w:jc w:val="center"/>
              <w:rPr>
                <w:rFonts w:eastAsiaTheme="minorEastAsia"/>
                <w:kern w:val="0"/>
                <w:szCs w:val="21"/>
              </w:rPr>
            </w:pPr>
          </w:p>
        </w:tc>
        <w:tc>
          <w:tcPr>
            <w:tcW w:w="2769" w:type="dxa"/>
            <w:vMerge w:val="continue"/>
            <w:vAlign w:val="center"/>
          </w:tcPr>
          <w:p w14:paraId="0B01163C">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1817A1F6">
            <w:pPr>
              <w:widowControl/>
              <w:spacing w:line="320" w:lineRule="exact"/>
              <w:ind w:left="-25" w:right="-25"/>
              <w:jc w:val="center"/>
              <w:rPr>
                <w:rFonts w:eastAsiaTheme="minorEastAsia"/>
                <w:kern w:val="0"/>
                <w:szCs w:val="21"/>
              </w:rPr>
            </w:pPr>
            <w:r>
              <w:rPr>
                <w:rFonts w:hint="eastAsia" w:eastAsiaTheme="minorEastAsia"/>
                <w:kern w:val="0"/>
                <w:szCs w:val="21"/>
              </w:rPr>
              <w:t>环境影响预测与分析</w:t>
            </w:r>
          </w:p>
        </w:tc>
      </w:tr>
      <w:tr w14:paraId="37DA63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1E08F326">
            <w:pPr>
              <w:widowControl/>
              <w:spacing w:line="320" w:lineRule="exact"/>
              <w:ind w:left="-25" w:right="-25"/>
              <w:jc w:val="center"/>
              <w:rPr>
                <w:rFonts w:eastAsiaTheme="minorEastAsia"/>
                <w:kern w:val="0"/>
                <w:szCs w:val="21"/>
              </w:rPr>
            </w:pPr>
          </w:p>
        </w:tc>
        <w:tc>
          <w:tcPr>
            <w:tcW w:w="2769" w:type="dxa"/>
            <w:vMerge w:val="continue"/>
            <w:vAlign w:val="center"/>
          </w:tcPr>
          <w:p w14:paraId="2A98E369">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1D0DE160">
            <w:pPr>
              <w:widowControl/>
              <w:spacing w:line="320" w:lineRule="exact"/>
              <w:ind w:left="-25" w:right="-25"/>
              <w:jc w:val="center"/>
              <w:rPr>
                <w:rFonts w:eastAsiaTheme="minorEastAsia"/>
                <w:kern w:val="0"/>
                <w:szCs w:val="21"/>
              </w:rPr>
            </w:pPr>
            <w:r>
              <w:rPr>
                <w:rFonts w:hint="eastAsia" w:eastAsiaTheme="minorEastAsia"/>
                <w:kern w:val="0"/>
                <w:szCs w:val="21"/>
              </w:rPr>
              <w:t>环境风险影响分析</w:t>
            </w:r>
          </w:p>
        </w:tc>
      </w:tr>
      <w:tr w14:paraId="384D41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62201929">
            <w:pPr>
              <w:widowControl/>
              <w:spacing w:line="320" w:lineRule="exact"/>
              <w:ind w:left="-25" w:right="-25"/>
              <w:jc w:val="center"/>
              <w:rPr>
                <w:rFonts w:eastAsiaTheme="minorEastAsia"/>
                <w:kern w:val="0"/>
                <w:szCs w:val="21"/>
              </w:rPr>
            </w:pPr>
          </w:p>
        </w:tc>
        <w:tc>
          <w:tcPr>
            <w:tcW w:w="2769" w:type="dxa"/>
            <w:vMerge w:val="continue"/>
            <w:vAlign w:val="center"/>
          </w:tcPr>
          <w:p w14:paraId="5DEBBE7C">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339FBF71">
            <w:pPr>
              <w:widowControl/>
              <w:spacing w:line="320" w:lineRule="exact"/>
              <w:ind w:left="-25" w:right="-25"/>
              <w:jc w:val="center"/>
              <w:rPr>
                <w:rFonts w:eastAsiaTheme="minorEastAsia"/>
                <w:kern w:val="0"/>
                <w:szCs w:val="21"/>
              </w:rPr>
            </w:pPr>
            <w:r>
              <w:rPr>
                <w:rFonts w:hint="eastAsia" w:eastAsiaTheme="minorEastAsia"/>
                <w:kern w:val="0"/>
                <w:szCs w:val="21"/>
              </w:rPr>
              <w:t>累积环境影响分析</w:t>
            </w:r>
          </w:p>
        </w:tc>
      </w:tr>
      <w:tr w14:paraId="6B8B52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1711A5D3">
            <w:pPr>
              <w:widowControl/>
              <w:spacing w:line="320" w:lineRule="exact"/>
              <w:ind w:left="-25" w:right="-25"/>
              <w:jc w:val="center"/>
              <w:rPr>
                <w:rFonts w:eastAsiaTheme="minorEastAsia"/>
                <w:kern w:val="0"/>
                <w:szCs w:val="21"/>
              </w:rPr>
            </w:pPr>
          </w:p>
        </w:tc>
        <w:tc>
          <w:tcPr>
            <w:tcW w:w="2769" w:type="dxa"/>
            <w:vMerge w:val="continue"/>
            <w:vAlign w:val="center"/>
          </w:tcPr>
          <w:p w14:paraId="670B3B66">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59D72360">
            <w:pPr>
              <w:widowControl/>
              <w:spacing w:line="320" w:lineRule="exact"/>
              <w:ind w:left="-25" w:right="-25"/>
              <w:jc w:val="center"/>
              <w:rPr>
                <w:rFonts w:eastAsiaTheme="minorEastAsia"/>
                <w:kern w:val="0"/>
                <w:szCs w:val="21"/>
              </w:rPr>
            </w:pPr>
            <w:r>
              <w:rPr>
                <w:rFonts w:hint="eastAsia" w:eastAsiaTheme="minorEastAsia"/>
                <w:kern w:val="0"/>
                <w:szCs w:val="21"/>
              </w:rPr>
              <w:t>社会经济影响分析</w:t>
            </w:r>
          </w:p>
        </w:tc>
      </w:tr>
      <w:tr w14:paraId="15191C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300F135B">
            <w:pPr>
              <w:widowControl/>
              <w:spacing w:line="320" w:lineRule="exact"/>
              <w:ind w:left="-25" w:right="-25"/>
              <w:jc w:val="center"/>
              <w:rPr>
                <w:rFonts w:eastAsiaTheme="minorEastAsia"/>
                <w:kern w:val="0"/>
                <w:szCs w:val="21"/>
              </w:rPr>
            </w:pPr>
          </w:p>
        </w:tc>
        <w:tc>
          <w:tcPr>
            <w:tcW w:w="2769" w:type="dxa"/>
            <w:vMerge w:val="continue"/>
            <w:vAlign w:val="center"/>
          </w:tcPr>
          <w:p w14:paraId="363CD47A">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5919F366">
            <w:pPr>
              <w:widowControl/>
              <w:spacing w:line="320" w:lineRule="exact"/>
              <w:ind w:left="-25" w:right="-25"/>
              <w:jc w:val="center"/>
              <w:rPr>
                <w:rFonts w:eastAsiaTheme="minorEastAsia"/>
                <w:kern w:val="0"/>
                <w:szCs w:val="21"/>
              </w:rPr>
            </w:pPr>
            <w:r>
              <w:rPr>
                <w:rFonts w:hint="eastAsia" w:eastAsiaTheme="minorEastAsia"/>
                <w:kern w:val="0"/>
                <w:szCs w:val="21"/>
              </w:rPr>
              <w:t>碳排放评价</w:t>
            </w:r>
          </w:p>
        </w:tc>
      </w:tr>
      <w:tr w14:paraId="2D9847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0173C1DB">
            <w:pPr>
              <w:widowControl/>
              <w:spacing w:line="320" w:lineRule="exact"/>
              <w:ind w:left="-25" w:right="-25"/>
              <w:jc w:val="center"/>
              <w:rPr>
                <w:rFonts w:eastAsiaTheme="minorEastAsia"/>
                <w:kern w:val="0"/>
                <w:szCs w:val="21"/>
              </w:rPr>
            </w:pPr>
          </w:p>
        </w:tc>
        <w:tc>
          <w:tcPr>
            <w:tcW w:w="2769" w:type="dxa"/>
            <w:vMerge w:val="continue"/>
            <w:vAlign w:val="center"/>
          </w:tcPr>
          <w:p w14:paraId="2BB55F8D">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7CBF5D0D">
            <w:pPr>
              <w:widowControl/>
              <w:spacing w:line="320" w:lineRule="exact"/>
              <w:ind w:left="-25" w:right="-25"/>
              <w:jc w:val="center"/>
              <w:rPr>
                <w:rFonts w:eastAsiaTheme="minorEastAsia"/>
                <w:kern w:val="0"/>
                <w:szCs w:val="21"/>
              </w:rPr>
            </w:pPr>
            <w:r>
              <w:rPr>
                <w:rFonts w:hint="eastAsia" w:eastAsiaTheme="minorEastAsia"/>
                <w:kern w:val="0"/>
                <w:szCs w:val="21"/>
              </w:rPr>
              <w:t>资源与环境承载力分析与评价</w:t>
            </w:r>
          </w:p>
        </w:tc>
      </w:tr>
      <w:tr w14:paraId="5F7125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43B7BEC7">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2769" w:type="dxa"/>
            <w:vMerge w:val="restart"/>
            <w:shd w:val="clear" w:color="auto" w:fill="auto"/>
            <w:noWrap/>
            <w:vAlign w:val="center"/>
          </w:tcPr>
          <w:p w14:paraId="1537F910">
            <w:pPr>
              <w:widowControl/>
              <w:spacing w:line="320" w:lineRule="exact"/>
              <w:ind w:left="-25" w:right="-25"/>
              <w:jc w:val="center"/>
              <w:rPr>
                <w:rFonts w:eastAsiaTheme="minorEastAsia"/>
                <w:kern w:val="0"/>
                <w:szCs w:val="21"/>
              </w:rPr>
            </w:pPr>
            <w:r>
              <w:rPr>
                <w:rFonts w:hint="eastAsia" w:eastAsiaTheme="minorEastAsia"/>
                <w:kern w:val="0"/>
                <w:szCs w:val="21"/>
              </w:rPr>
              <w:t>规划方案综合论证和优化调整建议</w:t>
            </w:r>
          </w:p>
        </w:tc>
        <w:tc>
          <w:tcPr>
            <w:tcW w:w="4949" w:type="dxa"/>
            <w:shd w:val="clear" w:color="auto" w:fill="auto"/>
            <w:noWrap/>
            <w:vAlign w:val="center"/>
          </w:tcPr>
          <w:p w14:paraId="3060FBD8">
            <w:pPr>
              <w:widowControl/>
              <w:spacing w:line="320" w:lineRule="exact"/>
              <w:ind w:left="-25" w:right="-25"/>
              <w:jc w:val="center"/>
              <w:rPr>
                <w:rFonts w:eastAsiaTheme="minorEastAsia"/>
                <w:kern w:val="0"/>
                <w:szCs w:val="21"/>
              </w:rPr>
            </w:pPr>
            <w:r>
              <w:rPr>
                <w:rFonts w:hint="eastAsia" w:eastAsiaTheme="minorEastAsia"/>
                <w:kern w:val="0"/>
                <w:szCs w:val="21"/>
              </w:rPr>
              <w:t>规划方案综合论证</w:t>
            </w:r>
          </w:p>
        </w:tc>
      </w:tr>
      <w:tr w14:paraId="4194C9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61C6A4FA">
            <w:pPr>
              <w:widowControl/>
              <w:spacing w:line="320" w:lineRule="exact"/>
              <w:ind w:left="-25" w:right="-25"/>
              <w:jc w:val="center"/>
              <w:rPr>
                <w:rFonts w:eastAsiaTheme="minorEastAsia"/>
                <w:kern w:val="0"/>
                <w:szCs w:val="21"/>
              </w:rPr>
            </w:pPr>
          </w:p>
        </w:tc>
        <w:tc>
          <w:tcPr>
            <w:tcW w:w="2769" w:type="dxa"/>
            <w:vMerge w:val="continue"/>
            <w:vAlign w:val="center"/>
          </w:tcPr>
          <w:p w14:paraId="4E2710F6">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2A0A09D6">
            <w:pPr>
              <w:widowControl/>
              <w:spacing w:line="320" w:lineRule="exact"/>
              <w:ind w:left="-25" w:right="-25"/>
              <w:jc w:val="center"/>
              <w:rPr>
                <w:rFonts w:eastAsiaTheme="minorEastAsia"/>
                <w:kern w:val="0"/>
                <w:szCs w:val="21"/>
              </w:rPr>
            </w:pPr>
            <w:r>
              <w:rPr>
                <w:rFonts w:hint="eastAsia" w:eastAsiaTheme="minorEastAsia"/>
                <w:kern w:val="0"/>
                <w:szCs w:val="21"/>
              </w:rPr>
              <w:t>环境保护目标的可达性</w:t>
            </w:r>
          </w:p>
        </w:tc>
      </w:tr>
      <w:tr w14:paraId="05673E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42BC6DB2">
            <w:pPr>
              <w:widowControl/>
              <w:spacing w:line="320" w:lineRule="exact"/>
              <w:ind w:left="-25" w:right="-25"/>
              <w:jc w:val="center"/>
              <w:rPr>
                <w:rFonts w:eastAsiaTheme="minorEastAsia"/>
                <w:kern w:val="0"/>
                <w:szCs w:val="21"/>
              </w:rPr>
            </w:pPr>
          </w:p>
        </w:tc>
        <w:tc>
          <w:tcPr>
            <w:tcW w:w="2769" w:type="dxa"/>
            <w:vMerge w:val="continue"/>
            <w:vAlign w:val="center"/>
          </w:tcPr>
          <w:p w14:paraId="20F394A9">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25381FAC">
            <w:pPr>
              <w:widowControl/>
              <w:spacing w:line="320" w:lineRule="exact"/>
              <w:ind w:left="-25" w:right="-25"/>
              <w:jc w:val="center"/>
              <w:rPr>
                <w:rFonts w:eastAsiaTheme="minorEastAsia"/>
                <w:kern w:val="0"/>
                <w:szCs w:val="21"/>
              </w:rPr>
            </w:pPr>
            <w:r>
              <w:rPr>
                <w:rFonts w:hint="eastAsia" w:eastAsiaTheme="minorEastAsia"/>
                <w:kern w:val="0"/>
                <w:szCs w:val="21"/>
              </w:rPr>
              <w:t xml:space="preserve">规划方案的优化调整建议 </w:t>
            </w:r>
          </w:p>
        </w:tc>
      </w:tr>
      <w:tr w14:paraId="35B609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264C77AD">
            <w:pPr>
              <w:widowControl/>
              <w:spacing w:line="320" w:lineRule="exact"/>
              <w:ind w:left="-25" w:right="-25"/>
              <w:jc w:val="center"/>
              <w:rPr>
                <w:rFonts w:eastAsiaTheme="minorEastAsia"/>
                <w:kern w:val="0"/>
                <w:szCs w:val="21"/>
              </w:rPr>
            </w:pPr>
            <w:r>
              <w:rPr>
                <w:rFonts w:hint="eastAsia" w:eastAsiaTheme="minorEastAsia"/>
                <w:kern w:val="0"/>
                <w:szCs w:val="21"/>
              </w:rPr>
              <w:t>6</w:t>
            </w:r>
          </w:p>
        </w:tc>
        <w:tc>
          <w:tcPr>
            <w:tcW w:w="2769" w:type="dxa"/>
            <w:vMerge w:val="restart"/>
            <w:shd w:val="clear" w:color="auto" w:fill="auto"/>
            <w:noWrap/>
            <w:vAlign w:val="center"/>
          </w:tcPr>
          <w:p w14:paraId="3AA4D728">
            <w:pPr>
              <w:widowControl/>
              <w:spacing w:line="320" w:lineRule="exact"/>
              <w:ind w:left="-25" w:right="-25"/>
              <w:jc w:val="center"/>
              <w:rPr>
                <w:rFonts w:eastAsiaTheme="minorEastAsia"/>
                <w:kern w:val="0"/>
                <w:szCs w:val="21"/>
              </w:rPr>
            </w:pPr>
            <w:r>
              <w:rPr>
                <w:rFonts w:hint="eastAsia" w:eastAsiaTheme="minorEastAsia"/>
                <w:kern w:val="0"/>
                <w:szCs w:val="21"/>
              </w:rPr>
              <w:t>环境影响减缓对策和措施</w:t>
            </w:r>
          </w:p>
        </w:tc>
        <w:tc>
          <w:tcPr>
            <w:tcW w:w="4949" w:type="dxa"/>
            <w:shd w:val="clear" w:color="auto" w:fill="auto"/>
            <w:noWrap/>
            <w:vAlign w:val="center"/>
          </w:tcPr>
          <w:p w14:paraId="027A1B47">
            <w:pPr>
              <w:widowControl/>
              <w:spacing w:line="320" w:lineRule="exact"/>
              <w:ind w:left="-25" w:right="-25"/>
              <w:jc w:val="center"/>
              <w:rPr>
                <w:rFonts w:eastAsiaTheme="minorEastAsia"/>
                <w:kern w:val="0"/>
                <w:szCs w:val="21"/>
              </w:rPr>
            </w:pPr>
            <w:r>
              <w:rPr>
                <w:rFonts w:hint="eastAsia" w:eastAsiaTheme="minorEastAsia"/>
                <w:kern w:val="0"/>
                <w:szCs w:val="21"/>
              </w:rPr>
              <w:t>生态环境保护对策和措施</w:t>
            </w:r>
          </w:p>
        </w:tc>
      </w:tr>
      <w:tr w14:paraId="1D380D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6D2E140B">
            <w:pPr>
              <w:widowControl/>
              <w:spacing w:line="320" w:lineRule="exact"/>
              <w:ind w:left="-25" w:right="-25"/>
              <w:jc w:val="center"/>
              <w:rPr>
                <w:rFonts w:eastAsiaTheme="minorEastAsia"/>
                <w:kern w:val="0"/>
                <w:szCs w:val="21"/>
              </w:rPr>
            </w:pPr>
          </w:p>
        </w:tc>
        <w:tc>
          <w:tcPr>
            <w:tcW w:w="2769" w:type="dxa"/>
            <w:vMerge w:val="continue"/>
            <w:vAlign w:val="center"/>
          </w:tcPr>
          <w:p w14:paraId="788BDB57">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33567FEC">
            <w:pPr>
              <w:widowControl/>
              <w:spacing w:line="320" w:lineRule="exact"/>
              <w:ind w:left="-25" w:right="-25"/>
              <w:jc w:val="center"/>
              <w:rPr>
                <w:rFonts w:eastAsiaTheme="minorEastAsia"/>
                <w:kern w:val="0"/>
                <w:szCs w:val="21"/>
              </w:rPr>
            </w:pPr>
            <w:r>
              <w:rPr>
                <w:rFonts w:hint="eastAsia" w:eastAsiaTheme="minorEastAsia"/>
                <w:kern w:val="0"/>
                <w:szCs w:val="21"/>
              </w:rPr>
              <w:t>环境管理措施</w:t>
            </w:r>
          </w:p>
        </w:tc>
      </w:tr>
      <w:tr w14:paraId="5AA440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32315BE0">
            <w:pPr>
              <w:widowControl/>
              <w:spacing w:line="320" w:lineRule="exact"/>
              <w:ind w:left="-25" w:right="-25"/>
              <w:jc w:val="center"/>
              <w:rPr>
                <w:rFonts w:eastAsiaTheme="minorEastAsia"/>
                <w:kern w:val="0"/>
                <w:szCs w:val="21"/>
              </w:rPr>
            </w:pPr>
          </w:p>
        </w:tc>
        <w:tc>
          <w:tcPr>
            <w:tcW w:w="2769" w:type="dxa"/>
            <w:vMerge w:val="continue"/>
            <w:vAlign w:val="center"/>
          </w:tcPr>
          <w:p w14:paraId="57A8D3F7">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73209146">
            <w:pPr>
              <w:widowControl/>
              <w:spacing w:line="320" w:lineRule="exact"/>
              <w:ind w:left="-25" w:right="-25"/>
              <w:jc w:val="center"/>
              <w:rPr>
                <w:rFonts w:eastAsiaTheme="minorEastAsia"/>
                <w:kern w:val="0"/>
                <w:szCs w:val="21"/>
              </w:rPr>
            </w:pPr>
            <w:r>
              <w:rPr>
                <w:rFonts w:hint="eastAsia" w:eastAsiaTheme="minorEastAsia"/>
                <w:kern w:val="0"/>
                <w:szCs w:val="21"/>
              </w:rPr>
              <w:t>清洁生产与循环经济</w:t>
            </w:r>
          </w:p>
        </w:tc>
      </w:tr>
      <w:tr w14:paraId="543C6A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vAlign w:val="center"/>
          </w:tcPr>
          <w:p w14:paraId="66B8681A">
            <w:pPr>
              <w:widowControl/>
              <w:spacing w:line="320" w:lineRule="exact"/>
              <w:ind w:left="-25" w:right="-25"/>
              <w:jc w:val="center"/>
              <w:rPr>
                <w:rFonts w:eastAsiaTheme="minorEastAsia"/>
                <w:kern w:val="0"/>
                <w:szCs w:val="21"/>
              </w:rPr>
            </w:pPr>
          </w:p>
        </w:tc>
        <w:tc>
          <w:tcPr>
            <w:tcW w:w="2769" w:type="dxa"/>
            <w:vMerge w:val="continue"/>
            <w:vAlign w:val="center"/>
          </w:tcPr>
          <w:p w14:paraId="08A0C0AC">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7BFBDD77">
            <w:pPr>
              <w:widowControl/>
              <w:spacing w:line="320" w:lineRule="exact"/>
              <w:ind w:left="-25" w:right="-25"/>
              <w:jc w:val="center"/>
              <w:rPr>
                <w:rFonts w:eastAsiaTheme="minorEastAsia"/>
                <w:kern w:val="0"/>
                <w:szCs w:val="21"/>
              </w:rPr>
            </w:pPr>
            <w:r>
              <w:rPr>
                <w:rFonts w:hint="eastAsia" w:eastAsiaTheme="minorEastAsia"/>
                <w:kern w:val="0"/>
                <w:szCs w:val="21"/>
              </w:rPr>
              <w:t>生态环境准入</w:t>
            </w:r>
          </w:p>
        </w:tc>
      </w:tr>
      <w:tr w14:paraId="17EE9E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restart"/>
            <w:shd w:val="clear" w:color="auto" w:fill="auto"/>
            <w:noWrap/>
            <w:vAlign w:val="center"/>
          </w:tcPr>
          <w:p w14:paraId="3127B25E">
            <w:pPr>
              <w:widowControl/>
              <w:spacing w:line="320" w:lineRule="exact"/>
              <w:ind w:left="-25" w:right="-25"/>
              <w:jc w:val="center"/>
              <w:rPr>
                <w:rFonts w:eastAsiaTheme="minorEastAsia"/>
                <w:kern w:val="0"/>
                <w:szCs w:val="21"/>
              </w:rPr>
            </w:pPr>
            <w:r>
              <w:rPr>
                <w:rFonts w:hint="eastAsia" w:eastAsiaTheme="minorEastAsia"/>
                <w:kern w:val="0"/>
                <w:szCs w:val="21"/>
              </w:rPr>
              <w:t>7</w:t>
            </w:r>
          </w:p>
        </w:tc>
        <w:tc>
          <w:tcPr>
            <w:tcW w:w="2769" w:type="dxa"/>
            <w:vMerge w:val="restart"/>
            <w:shd w:val="clear" w:color="auto" w:fill="auto"/>
            <w:noWrap/>
            <w:vAlign w:val="center"/>
          </w:tcPr>
          <w:p w14:paraId="1D1B79B2">
            <w:pPr>
              <w:widowControl/>
              <w:spacing w:line="320" w:lineRule="exact"/>
              <w:ind w:left="-25" w:right="-25"/>
              <w:jc w:val="center"/>
              <w:rPr>
                <w:rFonts w:eastAsiaTheme="minorEastAsia"/>
                <w:kern w:val="0"/>
                <w:szCs w:val="21"/>
              </w:rPr>
            </w:pPr>
            <w:r>
              <w:rPr>
                <w:rFonts w:hint="eastAsia" w:eastAsiaTheme="minorEastAsia"/>
                <w:kern w:val="0"/>
                <w:szCs w:val="21"/>
              </w:rPr>
              <w:t>项目环评要求与环境影响跟踪评价</w:t>
            </w:r>
          </w:p>
        </w:tc>
        <w:tc>
          <w:tcPr>
            <w:tcW w:w="4949" w:type="dxa"/>
            <w:shd w:val="clear" w:color="auto" w:fill="auto"/>
            <w:noWrap/>
            <w:vAlign w:val="center"/>
          </w:tcPr>
          <w:p w14:paraId="0DD9FE75">
            <w:pPr>
              <w:widowControl/>
              <w:spacing w:line="320" w:lineRule="exact"/>
              <w:ind w:left="-25" w:right="-25"/>
              <w:jc w:val="center"/>
              <w:rPr>
                <w:rFonts w:eastAsiaTheme="minorEastAsia"/>
                <w:kern w:val="0"/>
                <w:szCs w:val="21"/>
              </w:rPr>
            </w:pPr>
            <w:r>
              <w:rPr>
                <w:rFonts w:hint="eastAsia" w:eastAsiaTheme="minorEastAsia"/>
                <w:kern w:val="0"/>
                <w:szCs w:val="21"/>
              </w:rPr>
              <w:t>项目环评要求</w:t>
            </w:r>
          </w:p>
        </w:tc>
      </w:tr>
      <w:tr w14:paraId="419244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shd w:val="clear" w:color="auto" w:fill="auto"/>
            <w:noWrap/>
            <w:vAlign w:val="center"/>
          </w:tcPr>
          <w:p w14:paraId="65725C9A">
            <w:pPr>
              <w:widowControl/>
              <w:spacing w:line="320" w:lineRule="exact"/>
              <w:ind w:left="-25" w:right="-25"/>
              <w:jc w:val="center"/>
              <w:rPr>
                <w:rFonts w:eastAsiaTheme="minorEastAsia"/>
                <w:kern w:val="0"/>
                <w:szCs w:val="21"/>
              </w:rPr>
            </w:pPr>
          </w:p>
        </w:tc>
        <w:tc>
          <w:tcPr>
            <w:tcW w:w="2769" w:type="dxa"/>
            <w:vMerge w:val="continue"/>
            <w:shd w:val="clear" w:color="auto" w:fill="auto"/>
            <w:noWrap/>
            <w:vAlign w:val="center"/>
          </w:tcPr>
          <w:p w14:paraId="19BC6996">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2E3C7FA1">
            <w:pPr>
              <w:widowControl/>
              <w:spacing w:line="320" w:lineRule="exact"/>
              <w:ind w:left="-25" w:right="-25"/>
              <w:jc w:val="center"/>
              <w:rPr>
                <w:rFonts w:eastAsiaTheme="minorEastAsia"/>
                <w:kern w:val="0"/>
                <w:szCs w:val="21"/>
              </w:rPr>
            </w:pPr>
            <w:r>
              <w:rPr>
                <w:rFonts w:hint="eastAsia" w:eastAsiaTheme="minorEastAsia"/>
                <w:kern w:val="0"/>
                <w:szCs w:val="21"/>
              </w:rPr>
              <w:t>园区环境管理</w:t>
            </w:r>
          </w:p>
        </w:tc>
      </w:tr>
      <w:tr w14:paraId="300825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vMerge w:val="continue"/>
            <w:shd w:val="clear" w:color="auto" w:fill="auto"/>
            <w:noWrap/>
            <w:vAlign w:val="center"/>
          </w:tcPr>
          <w:p w14:paraId="162EB83B">
            <w:pPr>
              <w:widowControl/>
              <w:spacing w:line="320" w:lineRule="exact"/>
              <w:ind w:left="-25" w:right="-25"/>
              <w:jc w:val="center"/>
              <w:rPr>
                <w:rFonts w:eastAsiaTheme="minorEastAsia"/>
                <w:kern w:val="0"/>
                <w:szCs w:val="21"/>
              </w:rPr>
            </w:pPr>
          </w:p>
        </w:tc>
        <w:tc>
          <w:tcPr>
            <w:tcW w:w="2769" w:type="dxa"/>
            <w:vMerge w:val="continue"/>
            <w:shd w:val="clear" w:color="auto" w:fill="auto"/>
            <w:noWrap/>
            <w:vAlign w:val="center"/>
          </w:tcPr>
          <w:p w14:paraId="771EE120">
            <w:pPr>
              <w:widowControl/>
              <w:spacing w:line="320" w:lineRule="exact"/>
              <w:ind w:left="-25" w:right="-25"/>
              <w:jc w:val="center"/>
              <w:rPr>
                <w:rFonts w:eastAsiaTheme="minorEastAsia"/>
                <w:kern w:val="0"/>
                <w:szCs w:val="21"/>
              </w:rPr>
            </w:pPr>
          </w:p>
        </w:tc>
        <w:tc>
          <w:tcPr>
            <w:tcW w:w="4949" w:type="dxa"/>
            <w:shd w:val="clear" w:color="auto" w:fill="auto"/>
            <w:noWrap/>
            <w:vAlign w:val="center"/>
          </w:tcPr>
          <w:p w14:paraId="02C0DCBE">
            <w:pPr>
              <w:widowControl/>
              <w:spacing w:line="320" w:lineRule="exact"/>
              <w:ind w:left="-25" w:right="-25"/>
              <w:jc w:val="center"/>
              <w:rPr>
                <w:rFonts w:eastAsiaTheme="minorEastAsia"/>
                <w:kern w:val="0"/>
                <w:szCs w:val="21"/>
              </w:rPr>
            </w:pPr>
            <w:r>
              <w:rPr>
                <w:rFonts w:hint="eastAsia" w:eastAsiaTheme="minorEastAsia"/>
                <w:kern w:val="0"/>
                <w:szCs w:val="21"/>
              </w:rPr>
              <w:t>环境影响跟踪评价</w:t>
            </w:r>
          </w:p>
        </w:tc>
      </w:tr>
      <w:tr w14:paraId="1D018E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912" w:type="dxa"/>
            <w:shd w:val="clear" w:color="auto" w:fill="auto"/>
            <w:noWrap/>
            <w:vAlign w:val="center"/>
          </w:tcPr>
          <w:p w14:paraId="3E40D734">
            <w:pPr>
              <w:widowControl/>
              <w:spacing w:line="320" w:lineRule="exact"/>
              <w:ind w:left="-25" w:right="-25"/>
              <w:jc w:val="center"/>
              <w:rPr>
                <w:rFonts w:eastAsiaTheme="minorEastAsia"/>
                <w:kern w:val="0"/>
                <w:szCs w:val="21"/>
              </w:rPr>
            </w:pPr>
            <w:r>
              <w:rPr>
                <w:rFonts w:hint="eastAsia" w:eastAsiaTheme="minorEastAsia"/>
                <w:kern w:val="0"/>
                <w:szCs w:val="21"/>
              </w:rPr>
              <w:t>8</w:t>
            </w:r>
          </w:p>
        </w:tc>
        <w:tc>
          <w:tcPr>
            <w:tcW w:w="2769" w:type="dxa"/>
            <w:shd w:val="clear" w:color="auto" w:fill="auto"/>
            <w:noWrap/>
            <w:vAlign w:val="center"/>
          </w:tcPr>
          <w:p w14:paraId="54149FC5">
            <w:pPr>
              <w:widowControl/>
              <w:spacing w:line="320" w:lineRule="exact"/>
              <w:ind w:left="-25" w:right="-25"/>
              <w:jc w:val="center"/>
              <w:rPr>
                <w:rFonts w:eastAsiaTheme="minorEastAsia"/>
                <w:kern w:val="0"/>
                <w:szCs w:val="21"/>
              </w:rPr>
            </w:pPr>
            <w:r>
              <w:rPr>
                <w:rFonts w:hint="eastAsia" w:eastAsiaTheme="minorEastAsia"/>
                <w:kern w:val="0"/>
                <w:szCs w:val="21"/>
              </w:rPr>
              <w:t>公众参与</w:t>
            </w:r>
          </w:p>
        </w:tc>
        <w:tc>
          <w:tcPr>
            <w:tcW w:w="4949" w:type="dxa"/>
            <w:shd w:val="clear" w:color="auto" w:fill="auto"/>
            <w:noWrap/>
            <w:vAlign w:val="center"/>
          </w:tcPr>
          <w:p w14:paraId="3B673E6F">
            <w:pPr>
              <w:widowControl/>
              <w:spacing w:line="320" w:lineRule="exact"/>
              <w:ind w:left="-25" w:right="-25"/>
              <w:jc w:val="center"/>
              <w:rPr>
                <w:rFonts w:eastAsiaTheme="minorEastAsia"/>
                <w:kern w:val="0"/>
                <w:szCs w:val="21"/>
              </w:rPr>
            </w:pPr>
            <w:r>
              <w:rPr>
                <w:rFonts w:hint="eastAsia" w:eastAsiaTheme="minorEastAsia"/>
                <w:kern w:val="0"/>
                <w:szCs w:val="21"/>
              </w:rPr>
              <w:t>公众参与意见处理</w:t>
            </w:r>
          </w:p>
        </w:tc>
      </w:tr>
    </w:tbl>
    <w:p w14:paraId="51E1B584">
      <w:pPr>
        <w:keepNext/>
        <w:keepLines/>
        <w:widowControl/>
        <w:numPr>
          <w:ilvl w:val="2"/>
          <w:numId w:val="1"/>
        </w:numPr>
        <w:spacing w:before="120" w:after="120" w:line="360" w:lineRule="auto"/>
        <w:jc w:val="left"/>
        <w:outlineLvl w:val="2"/>
        <w:rPr>
          <w:rFonts w:eastAsiaTheme="minorEastAsia"/>
          <w:b/>
          <w:bCs/>
          <w:sz w:val="24"/>
        </w:rPr>
      </w:pPr>
      <w:bookmarkStart w:id="60" w:name="_Toc206494903"/>
      <w:r>
        <w:rPr>
          <w:rFonts w:hint="eastAsia" w:eastAsiaTheme="minorEastAsia"/>
          <w:b/>
          <w:bCs/>
          <w:sz w:val="24"/>
        </w:rPr>
        <w:t>评价重点</w:t>
      </w:r>
      <w:bookmarkEnd w:id="60"/>
    </w:p>
    <w:p w14:paraId="3E6CEC20">
      <w:pPr>
        <w:spacing w:line="360" w:lineRule="auto"/>
        <w:ind w:firstLine="480" w:firstLineChars="200"/>
        <w:rPr>
          <w:rFonts w:eastAsiaTheme="minorEastAsia"/>
          <w:sz w:val="24"/>
        </w:rPr>
      </w:pPr>
      <w:r>
        <w:rPr>
          <w:rFonts w:hint="eastAsia" w:eastAsiaTheme="minorEastAsia"/>
          <w:sz w:val="24"/>
        </w:rPr>
        <w:t>本次环境影响评价的重点内容包括以下五个方面：</w:t>
      </w:r>
    </w:p>
    <w:p w14:paraId="49BA72B7">
      <w:pPr>
        <w:spacing w:line="360" w:lineRule="auto"/>
        <w:ind w:firstLine="480" w:firstLineChars="200"/>
        <w:rPr>
          <w:rFonts w:eastAsiaTheme="minorEastAsia"/>
          <w:sz w:val="24"/>
        </w:rPr>
      </w:pPr>
      <w:r>
        <w:rPr>
          <w:rFonts w:hint="eastAsia" w:eastAsiaTheme="minorEastAsia"/>
          <w:sz w:val="24"/>
        </w:rPr>
        <w:t>（1）规划分析</w:t>
      </w:r>
    </w:p>
    <w:p w14:paraId="3B8D11B2">
      <w:pPr>
        <w:spacing w:line="360" w:lineRule="auto"/>
        <w:ind w:firstLine="480" w:firstLineChars="200"/>
        <w:rPr>
          <w:rFonts w:eastAsiaTheme="minorEastAsia"/>
          <w:sz w:val="24"/>
        </w:rPr>
      </w:pPr>
      <w:r>
        <w:rPr>
          <w:rFonts w:hint="eastAsia" w:eastAsiaTheme="minorEastAsia"/>
          <w:sz w:val="24"/>
        </w:rPr>
        <w:t>根据《随县石材产业发展规划（2024-2035年）》，明确可能对生态环境造成影响的规划内容，分析规划与相关法律、法规、政策的相符性，以及规划在空间布局、资源保护与利用、生态环境保护等方面的冲突和矛盾。</w:t>
      </w:r>
    </w:p>
    <w:p w14:paraId="6F91D063">
      <w:pPr>
        <w:spacing w:line="360" w:lineRule="auto"/>
        <w:ind w:firstLine="480" w:firstLineChars="200"/>
        <w:rPr>
          <w:rFonts w:eastAsiaTheme="minorEastAsia"/>
          <w:sz w:val="24"/>
        </w:rPr>
      </w:pPr>
      <w:r>
        <w:rPr>
          <w:rFonts w:hint="eastAsia" w:eastAsiaTheme="minorEastAsia"/>
          <w:sz w:val="24"/>
        </w:rPr>
        <w:t>（2）现状调查与评价</w:t>
      </w:r>
    </w:p>
    <w:p w14:paraId="0B852244">
      <w:pPr>
        <w:spacing w:line="360" w:lineRule="auto"/>
        <w:ind w:firstLine="480" w:firstLineChars="200"/>
        <w:rPr>
          <w:rFonts w:eastAsiaTheme="minorEastAsia"/>
          <w:sz w:val="24"/>
        </w:rPr>
      </w:pPr>
      <w:r>
        <w:rPr>
          <w:rFonts w:hint="eastAsia" w:eastAsiaTheme="minorEastAsia"/>
          <w:sz w:val="24"/>
        </w:rPr>
        <w:t>开展生态环境现状调查，分析环境质量状况、污染物排放情况，分析主要生态环境问题及成因，梳理规划实施的资源、生态、环境制约因素。</w:t>
      </w:r>
    </w:p>
    <w:p w14:paraId="27B897AF">
      <w:pPr>
        <w:spacing w:line="360" w:lineRule="auto"/>
        <w:ind w:firstLine="480" w:firstLineChars="200"/>
        <w:rPr>
          <w:rFonts w:eastAsiaTheme="minorEastAsia"/>
          <w:sz w:val="24"/>
        </w:rPr>
      </w:pPr>
      <w:r>
        <w:rPr>
          <w:rFonts w:hint="eastAsia" w:eastAsiaTheme="minorEastAsia"/>
          <w:sz w:val="24"/>
        </w:rPr>
        <w:t>（3）环境影响预测与评价</w:t>
      </w:r>
    </w:p>
    <w:p w14:paraId="0161CB8F">
      <w:pPr>
        <w:spacing w:line="360" w:lineRule="auto"/>
        <w:ind w:firstLine="480" w:firstLineChars="200"/>
        <w:rPr>
          <w:rFonts w:eastAsiaTheme="minorEastAsia"/>
          <w:sz w:val="24"/>
        </w:rPr>
      </w:pPr>
      <w:r>
        <w:rPr>
          <w:rFonts w:hint="eastAsia" w:eastAsiaTheme="minorEastAsia"/>
          <w:sz w:val="24"/>
        </w:rPr>
        <w:t>识别规划实施可能产生的资源、生态、环境影响，明确环境目标，建立评价的指标体系，开展影响分析与评价，分析规划实施对区域资源、生态、环境的影响程度。</w:t>
      </w:r>
    </w:p>
    <w:p w14:paraId="1C58C617">
      <w:pPr>
        <w:spacing w:line="360" w:lineRule="auto"/>
        <w:ind w:firstLine="480" w:firstLineChars="200"/>
        <w:rPr>
          <w:rFonts w:eastAsiaTheme="minorEastAsia"/>
          <w:sz w:val="24"/>
        </w:rPr>
      </w:pPr>
      <w:r>
        <w:rPr>
          <w:rFonts w:hint="eastAsia" w:eastAsiaTheme="minorEastAsia"/>
          <w:sz w:val="24"/>
        </w:rPr>
        <w:t>（4）规划综合论证与调整建议</w:t>
      </w:r>
    </w:p>
    <w:p w14:paraId="0A7BFFF5">
      <w:pPr>
        <w:spacing w:line="360" w:lineRule="auto"/>
        <w:ind w:firstLine="480" w:firstLineChars="200"/>
        <w:rPr>
          <w:rFonts w:eastAsiaTheme="minorEastAsia"/>
          <w:sz w:val="24"/>
        </w:rPr>
      </w:pPr>
      <w:r>
        <w:rPr>
          <w:rFonts w:hint="eastAsia" w:eastAsiaTheme="minorEastAsia"/>
          <w:sz w:val="24"/>
        </w:rPr>
        <w:t>以改善环境质量和保障生态安全为核心，综合环境影响预测与评价结果、规划协调性分析等，进行规划综合论证，分析规划实施的环境合理性和在优化区域空间格局和产业结构等方面的环境效益，提出规划优化调整建议。</w:t>
      </w:r>
    </w:p>
    <w:p w14:paraId="78E2ED50">
      <w:pPr>
        <w:spacing w:line="360" w:lineRule="auto"/>
        <w:ind w:firstLine="480" w:firstLineChars="200"/>
        <w:rPr>
          <w:rFonts w:eastAsiaTheme="minorEastAsia"/>
          <w:sz w:val="24"/>
        </w:rPr>
      </w:pPr>
      <w:r>
        <w:rPr>
          <w:rFonts w:hint="eastAsia" w:eastAsiaTheme="minorEastAsia"/>
          <w:sz w:val="24"/>
        </w:rPr>
        <w:t>（5）环境影响减缓对策和措施</w:t>
      </w:r>
    </w:p>
    <w:p w14:paraId="78A4C47B">
      <w:pPr>
        <w:spacing w:line="360" w:lineRule="auto"/>
        <w:ind w:firstLine="480" w:firstLineChars="200"/>
        <w:rPr>
          <w:rFonts w:eastAsiaTheme="minorEastAsia"/>
          <w:sz w:val="24"/>
        </w:rPr>
      </w:pPr>
      <w:r>
        <w:rPr>
          <w:rFonts w:hint="eastAsia" w:eastAsiaTheme="minorEastAsia"/>
          <w:sz w:val="24"/>
        </w:rPr>
        <w:t>给出减缓不良生态环境影响的环境保护方案和“三线一单”（资源利用上线、环境质量底线、生态保护红线、环境负面清单）管控要求，提出规划所包含的建设项目环评的要求，拟定跟踪监测与评价计划。</w:t>
      </w:r>
    </w:p>
    <w:p w14:paraId="0AE01BC0">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61" w:name="_Toc206494904"/>
      <w:r>
        <w:rPr>
          <w:rFonts w:hint="eastAsia" w:eastAsiaTheme="minorEastAsia"/>
          <w:b/>
          <w:bCs/>
          <w:sz w:val="30"/>
          <w:szCs w:val="28"/>
        </w:rPr>
        <w:t>区域环境功能区划</w:t>
      </w:r>
      <w:bookmarkEnd w:id="61"/>
    </w:p>
    <w:p w14:paraId="65DFA92C">
      <w:pPr>
        <w:keepNext/>
        <w:keepLines/>
        <w:widowControl/>
        <w:numPr>
          <w:ilvl w:val="2"/>
          <w:numId w:val="1"/>
        </w:numPr>
        <w:spacing w:before="120" w:after="120" w:line="360" w:lineRule="auto"/>
        <w:jc w:val="left"/>
        <w:outlineLvl w:val="2"/>
        <w:rPr>
          <w:rFonts w:eastAsiaTheme="minorEastAsia"/>
          <w:b/>
          <w:bCs/>
          <w:sz w:val="24"/>
        </w:rPr>
      </w:pPr>
      <w:bookmarkStart w:id="62" w:name="_Toc206494905"/>
      <w:r>
        <w:rPr>
          <w:rFonts w:hint="eastAsia" w:eastAsiaTheme="minorEastAsia"/>
          <w:b/>
          <w:bCs/>
          <w:sz w:val="24"/>
        </w:rPr>
        <w:t>环境空气功能区划</w:t>
      </w:r>
      <w:bookmarkEnd w:id="62"/>
    </w:p>
    <w:p w14:paraId="49535B90">
      <w:pPr>
        <w:spacing w:line="360" w:lineRule="auto"/>
        <w:ind w:firstLine="480" w:firstLineChars="200"/>
        <w:rPr>
          <w:rFonts w:eastAsiaTheme="minorEastAsia"/>
          <w:sz w:val="24"/>
        </w:rPr>
      </w:pPr>
      <w:r>
        <w:rPr>
          <w:rFonts w:hint="eastAsia" w:eastAsiaTheme="minorEastAsia"/>
          <w:sz w:val="24"/>
        </w:rPr>
        <w:t>按《环境空气质量标准》（GB3095-2012），规划区域包含工业区、商业交通居民混合区，区域环境空气功能区划为：二类区。区域环境空气质量执行《环境空气质量标准》（GB3095-2012）及其修改单中二级标准要求。</w:t>
      </w:r>
    </w:p>
    <w:p w14:paraId="0521F02A">
      <w:pPr>
        <w:keepNext/>
        <w:keepLines/>
        <w:widowControl/>
        <w:numPr>
          <w:ilvl w:val="2"/>
          <w:numId w:val="1"/>
        </w:numPr>
        <w:spacing w:before="120" w:after="120" w:line="360" w:lineRule="auto"/>
        <w:jc w:val="left"/>
        <w:outlineLvl w:val="2"/>
        <w:rPr>
          <w:rFonts w:eastAsiaTheme="minorEastAsia"/>
          <w:b/>
          <w:bCs/>
          <w:sz w:val="24"/>
        </w:rPr>
      </w:pPr>
      <w:bookmarkStart w:id="63" w:name="_Toc206494906"/>
      <w:r>
        <w:rPr>
          <w:rFonts w:hint="eastAsia" w:eastAsiaTheme="minorEastAsia"/>
          <w:b/>
          <w:bCs/>
          <w:sz w:val="24"/>
        </w:rPr>
        <w:t>地表水功能区划</w:t>
      </w:r>
      <w:bookmarkEnd w:id="63"/>
    </w:p>
    <w:p w14:paraId="0A2676C1">
      <w:pPr>
        <w:spacing w:line="360" w:lineRule="auto"/>
        <w:ind w:firstLine="480" w:firstLineChars="200"/>
        <w:rPr>
          <w:rFonts w:eastAsiaTheme="minorEastAsia"/>
          <w:sz w:val="24"/>
        </w:rPr>
      </w:pPr>
      <w:r>
        <w:rPr>
          <w:rFonts w:hint="eastAsia" w:eastAsiaTheme="minorEastAsia"/>
          <w:sz w:val="24"/>
        </w:rPr>
        <w:t>根据《省人民政府办公厅转发省环境保护局关于湖北省地表水环境功能类别的通知》（鄂政办发[2000]10号）及《随州市环境质量月报》（2025 年第4 期总第48 期），规划区域内水环境功能区划及主要适用功能如下表：</w:t>
      </w:r>
    </w:p>
    <w:p w14:paraId="632EBFDA">
      <w:pPr>
        <w:spacing w:line="360" w:lineRule="auto"/>
        <w:jc w:val="center"/>
        <w:rPr>
          <w:b/>
          <w:szCs w:val="21"/>
        </w:rPr>
      </w:pPr>
      <w:r>
        <w:rPr>
          <w:rFonts w:hint="eastAsia"/>
          <w:b/>
          <w:szCs w:val="21"/>
        </w:rPr>
        <w:t>表1</w:t>
      </w:r>
      <w:r>
        <w:rPr>
          <w:b/>
          <w:szCs w:val="21"/>
        </w:rPr>
        <w:t>.</w:t>
      </w:r>
      <w:r>
        <w:rPr>
          <w:rFonts w:hint="eastAsia"/>
          <w:b/>
          <w:szCs w:val="21"/>
        </w:rPr>
        <w:t>5.2</w:t>
      </w:r>
      <w:r>
        <w:rPr>
          <w:b/>
          <w:szCs w:val="21"/>
        </w:rPr>
        <w:t>-1</w:t>
      </w:r>
      <w:r>
        <w:rPr>
          <w:rFonts w:hint="eastAsia"/>
          <w:b/>
          <w:szCs w:val="21"/>
        </w:rPr>
        <w:t xml:space="preserve">  </w:t>
      </w:r>
      <w:r>
        <w:rPr>
          <w:b/>
          <w:szCs w:val="21"/>
        </w:rPr>
        <w:t xml:space="preserve"> </w:t>
      </w:r>
      <w:r>
        <w:rPr>
          <w:rFonts w:hint="eastAsia"/>
          <w:b/>
          <w:szCs w:val="21"/>
        </w:rPr>
        <w:t>区域水环境功能区划</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85"/>
        <w:gridCol w:w="2835"/>
        <w:gridCol w:w="2608"/>
      </w:tblGrid>
      <w:tr w14:paraId="1C979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5A65E577">
            <w:pPr>
              <w:pStyle w:val="2425"/>
              <w:rPr>
                <w:rFonts w:ascii="Times New Roman" w:hAnsi="Times New Roman"/>
                <w:sz w:val="21"/>
              </w:rPr>
            </w:pPr>
            <w:r>
              <w:rPr>
                <w:rFonts w:ascii="Times New Roman" w:hAnsi="Times New Roman"/>
                <w:sz w:val="21"/>
              </w:rPr>
              <w:t>水体名称</w:t>
            </w:r>
          </w:p>
        </w:tc>
        <w:tc>
          <w:tcPr>
            <w:tcW w:w="1662" w:type="pct"/>
            <w:tcBorders>
              <w:right w:val="single" w:color="auto" w:sz="4" w:space="0"/>
            </w:tcBorders>
            <w:vAlign w:val="center"/>
          </w:tcPr>
          <w:p w14:paraId="5A38A52C">
            <w:pPr>
              <w:pStyle w:val="2425"/>
              <w:rPr>
                <w:rFonts w:ascii="Times New Roman" w:hAnsi="Times New Roman"/>
                <w:sz w:val="21"/>
              </w:rPr>
            </w:pPr>
            <w:r>
              <w:rPr>
                <w:rFonts w:ascii="Times New Roman" w:hAnsi="Times New Roman"/>
                <w:sz w:val="21"/>
              </w:rPr>
              <w:t>流域范围</w:t>
            </w:r>
          </w:p>
        </w:tc>
        <w:tc>
          <w:tcPr>
            <w:tcW w:w="1529" w:type="pct"/>
            <w:shd w:val="clear" w:color="auto" w:fill="auto"/>
            <w:vAlign w:val="center"/>
          </w:tcPr>
          <w:p w14:paraId="512DB08A">
            <w:pPr>
              <w:pStyle w:val="2425"/>
              <w:rPr>
                <w:rFonts w:ascii="Times New Roman" w:hAnsi="Times New Roman"/>
                <w:sz w:val="21"/>
              </w:rPr>
            </w:pPr>
            <w:r>
              <w:rPr>
                <w:rFonts w:ascii="Times New Roman" w:hAnsi="Times New Roman"/>
                <w:sz w:val="21"/>
              </w:rPr>
              <w:t>水质标准</w:t>
            </w:r>
          </w:p>
        </w:tc>
      </w:tr>
      <w:tr w14:paraId="515CC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2F71EB70">
            <w:pPr>
              <w:pStyle w:val="2425"/>
              <w:rPr>
                <w:rFonts w:ascii="Times New Roman" w:hAnsi="Times New Roman"/>
                <w:sz w:val="21"/>
              </w:rPr>
            </w:pPr>
            <w:r>
              <w:rPr>
                <w:rFonts w:ascii="Times New Roman" w:hAnsi="Times New Roman"/>
                <w:sz w:val="21"/>
              </w:rPr>
              <w:t>游河</w:t>
            </w:r>
          </w:p>
        </w:tc>
        <w:tc>
          <w:tcPr>
            <w:tcW w:w="1662" w:type="pct"/>
            <w:tcBorders>
              <w:right w:val="single" w:color="auto" w:sz="4" w:space="0"/>
            </w:tcBorders>
            <w:vAlign w:val="center"/>
          </w:tcPr>
          <w:p w14:paraId="1BDAD419">
            <w:pPr>
              <w:spacing w:line="320" w:lineRule="exact"/>
              <w:jc w:val="center"/>
              <w:rPr>
                <w:szCs w:val="21"/>
              </w:rPr>
            </w:pPr>
            <w:r>
              <w:rPr>
                <w:szCs w:val="21"/>
              </w:rPr>
              <w:t>随县水域</w:t>
            </w:r>
          </w:p>
        </w:tc>
        <w:tc>
          <w:tcPr>
            <w:tcW w:w="1529" w:type="pct"/>
            <w:vMerge w:val="restart"/>
            <w:shd w:val="clear" w:color="auto" w:fill="auto"/>
            <w:vAlign w:val="center"/>
          </w:tcPr>
          <w:p w14:paraId="14897A35">
            <w:pPr>
              <w:pStyle w:val="2425"/>
              <w:rPr>
                <w:rFonts w:ascii="Times New Roman" w:hAnsi="Times New Roman"/>
                <w:sz w:val="21"/>
              </w:rPr>
            </w:pPr>
            <w:r>
              <w:rPr>
                <w:rFonts w:ascii="Times New Roman" w:hAnsi="Times New Roman"/>
                <w:sz w:val="21"/>
              </w:rPr>
              <w:t>《地表水环境质量标准》（GB3838-2002）中Ⅲ类标准</w:t>
            </w:r>
          </w:p>
        </w:tc>
      </w:tr>
      <w:tr w14:paraId="7A8F4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764F1647">
            <w:pPr>
              <w:pStyle w:val="2425"/>
              <w:rPr>
                <w:rFonts w:ascii="Times New Roman" w:hAnsi="Times New Roman"/>
                <w:sz w:val="21"/>
              </w:rPr>
            </w:pPr>
            <w:r>
              <w:rPr>
                <w:rFonts w:ascii="Times New Roman" w:hAnsi="Times New Roman"/>
                <w:sz w:val="21"/>
              </w:rPr>
              <w:t>漂水</w:t>
            </w:r>
          </w:p>
        </w:tc>
        <w:tc>
          <w:tcPr>
            <w:tcW w:w="1662" w:type="pct"/>
            <w:tcBorders>
              <w:right w:val="single" w:color="auto" w:sz="4" w:space="0"/>
            </w:tcBorders>
            <w:vAlign w:val="center"/>
          </w:tcPr>
          <w:p w14:paraId="01375A6B">
            <w:pPr>
              <w:spacing w:line="320" w:lineRule="exact"/>
              <w:jc w:val="center"/>
              <w:rPr>
                <w:szCs w:val="21"/>
              </w:rPr>
            </w:pPr>
            <w:r>
              <w:rPr>
                <w:szCs w:val="21"/>
              </w:rPr>
              <w:t>随县水域</w:t>
            </w:r>
          </w:p>
        </w:tc>
        <w:tc>
          <w:tcPr>
            <w:tcW w:w="1529" w:type="pct"/>
            <w:vMerge w:val="continue"/>
            <w:shd w:val="clear" w:color="auto" w:fill="auto"/>
            <w:vAlign w:val="center"/>
          </w:tcPr>
          <w:p w14:paraId="01A41720">
            <w:pPr>
              <w:pStyle w:val="2425"/>
              <w:rPr>
                <w:rFonts w:ascii="Times New Roman" w:hAnsi="Times New Roman"/>
                <w:sz w:val="21"/>
              </w:rPr>
            </w:pPr>
          </w:p>
        </w:tc>
      </w:tr>
      <w:tr w14:paraId="06C2D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0D424AA6">
            <w:pPr>
              <w:pStyle w:val="2425"/>
              <w:rPr>
                <w:rFonts w:ascii="Times New Roman" w:hAnsi="Times New Roman"/>
                <w:sz w:val="21"/>
              </w:rPr>
            </w:pPr>
            <w:r>
              <w:rPr>
                <w:rFonts w:ascii="Times New Roman" w:hAnsi="Times New Roman"/>
                <w:sz w:val="21"/>
              </w:rPr>
              <w:t>厥水河</w:t>
            </w:r>
          </w:p>
        </w:tc>
        <w:tc>
          <w:tcPr>
            <w:tcW w:w="1662" w:type="pct"/>
            <w:tcBorders>
              <w:right w:val="single" w:color="auto" w:sz="4" w:space="0"/>
            </w:tcBorders>
            <w:vAlign w:val="center"/>
          </w:tcPr>
          <w:p w14:paraId="3F8F5C8D">
            <w:pPr>
              <w:spacing w:line="320" w:lineRule="exact"/>
              <w:jc w:val="center"/>
              <w:rPr>
                <w:szCs w:val="21"/>
              </w:rPr>
            </w:pPr>
            <w:r>
              <w:rPr>
                <w:szCs w:val="21"/>
              </w:rPr>
              <w:t>随县水域</w:t>
            </w:r>
          </w:p>
        </w:tc>
        <w:tc>
          <w:tcPr>
            <w:tcW w:w="1529" w:type="pct"/>
            <w:vMerge w:val="continue"/>
            <w:shd w:val="clear" w:color="auto" w:fill="auto"/>
            <w:vAlign w:val="center"/>
          </w:tcPr>
          <w:p w14:paraId="4D1F20B3">
            <w:pPr>
              <w:pStyle w:val="2425"/>
              <w:rPr>
                <w:rFonts w:ascii="Times New Roman" w:hAnsi="Times New Roman"/>
                <w:sz w:val="21"/>
              </w:rPr>
            </w:pPr>
          </w:p>
        </w:tc>
      </w:tr>
      <w:tr w14:paraId="1CF6F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58A1CCDB">
            <w:pPr>
              <w:pStyle w:val="2425"/>
              <w:rPr>
                <w:rFonts w:ascii="Times New Roman" w:hAnsi="Times New Roman"/>
                <w:sz w:val="21"/>
              </w:rPr>
            </w:pPr>
            <w:r>
              <w:rPr>
                <w:rFonts w:ascii="Times New Roman" w:hAnsi="Times New Roman"/>
                <w:sz w:val="21"/>
              </w:rPr>
              <w:t>溠水</w:t>
            </w:r>
          </w:p>
        </w:tc>
        <w:tc>
          <w:tcPr>
            <w:tcW w:w="1662" w:type="pct"/>
            <w:tcBorders>
              <w:right w:val="single" w:color="auto" w:sz="4" w:space="0"/>
            </w:tcBorders>
            <w:vAlign w:val="center"/>
          </w:tcPr>
          <w:p w14:paraId="5EB18122">
            <w:pPr>
              <w:spacing w:line="320" w:lineRule="exact"/>
              <w:jc w:val="center"/>
              <w:rPr>
                <w:szCs w:val="21"/>
              </w:rPr>
            </w:pPr>
            <w:r>
              <w:rPr>
                <w:szCs w:val="21"/>
              </w:rPr>
              <w:t>随县水域</w:t>
            </w:r>
          </w:p>
        </w:tc>
        <w:tc>
          <w:tcPr>
            <w:tcW w:w="1529" w:type="pct"/>
            <w:vMerge w:val="continue"/>
            <w:shd w:val="clear" w:color="auto" w:fill="auto"/>
            <w:vAlign w:val="center"/>
          </w:tcPr>
          <w:p w14:paraId="230D2EC1">
            <w:pPr>
              <w:pStyle w:val="2425"/>
              <w:rPr>
                <w:rFonts w:ascii="Times New Roman" w:hAnsi="Times New Roman"/>
                <w:sz w:val="21"/>
              </w:rPr>
            </w:pPr>
          </w:p>
        </w:tc>
      </w:tr>
      <w:tr w14:paraId="07D7D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09" w:type="pct"/>
            <w:tcBorders>
              <w:right w:val="single" w:color="auto" w:sz="4" w:space="0"/>
            </w:tcBorders>
            <w:shd w:val="clear" w:color="auto" w:fill="auto"/>
            <w:vAlign w:val="center"/>
          </w:tcPr>
          <w:p w14:paraId="7E54CD05">
            <w:pPr>
              <w:pStyle w:val="2425"/>
              <w:rPr>
                <w:rFonts w:ascii="Times New Roman" w:hAnsi="Times New Roman"/>
                <w:sz w:val="21"/>
              </w:rPr>
            </w:pPr>
            <w:r>
              <w:rPr>
                <w:rFonts w:ascii="Times New Roman" w:hAnsi="Times New Roman"/>
                <w:sz w:val="21"/>
              </w:rPr>
              <w:t>吴山水库</w:t>
            </w:r>
          </w:p>
        </w:tc>
        <w:tc>
          <w:tcPr>
            <w:tcW w:w="1662" w:type="pct"/>
            <w:tcBorders>
              <w:right w:val="single" w:color="auto" w:sz="4" w:space="0"/>
            </w:tcBorders>
            <w:vAlign w:val="center"/>
          </w:tcPr>
          <w:p w14:paraId="0224DBFF">
            <w:pPr>
              <w:spacing w:line="320" w:lineRule="exact"/>
              <w:jc w:val="center"/>
              <w:rPr>
                <w:szCs w:val="21"/>
              </w:rPr>
            </w:pPr>
            <w:r>
              <w:rPr>
                <w:szCs w:val="21"/>
              </w:rPr>
              <w:t>随县吴山镇</w:t>
            </w:r>
          </w:p>
        </w:tc>
        <w:tc>
          <w:tcPr>
            <w:tcW w:w="1529" w:type="pct"/>
            <w:vMerge w:val="continue"/>
            <w:shd w:val="clear" w:color="auto" w:fill="auto"/>
            <w:vAlign w:val="center"/>
          </w:tcPr>
          <w:p w14:paraId="44070EAA">
            <w:pPr>
              <w:pStyle w:val="2425"/>
              <w:rPr>
                <w:rFonts w:ascii="Times New Roman" w:hAnsi="Times New Roman"/>
                <w:sz w:val="21"/>
              </w:rPr>
            </w:pPr>
          </w:p>
        </w:tc>
      </w:tr>
    </w:tbl>
    <w:p w14:paraId="6515A796">
      <w:pPr>
        <w:keepNext/>
        <w:keepLines/>
        <w:widowControl/>
        <w:numPr>
          <w:ilvl w:val="2"/>
          <w:numId w:val="1"/>
        </w:numPr>
        <w:spacing w:before="120" w:after="120" w:line="360" w:lineRule="auto"/>
        <w:jc w:val="left"/>
        <w:outlineLvl w:val="2"/>
        <w:rPr>
          <w:rFonts w:eastAsiaTheme="minorEastAsia"/>
          <w:b/>
          <w:bCs/>
          <w:sz w:val="24"/>
        </w:rPr>
      </w:pPr>
      <w:bookmarkStart w:id="64" w:name="_Toc206494907"/>
      <w:r>
        <w:rPr>
          <w:rFonts w:hint="eastAsia" w:eastAsiaTheme="minorEastAsia"/>
          <w:b/>
          <w:bCs/>
          <w:sz w:val="24"/>
        </w:rPr>
        <w:t>声环境功能区划</w:t>
      </w:r>
      <w:bookmarkEnd w:id="64"/>
    </w:p>
    <w:p w14:paraId="4DE748D1">
      <w:pPr>
        <w:spacing w:line="360" w:lineRule="auto"/>
        <w:ind w:firstLine="480" w:firstLineChars="200"/>
        <w:rPr>
          <w:rFonts w:eastAsiaTheme="minorEastAsia"/>
          <w:sz w:val="24"/>
        </w:rPr>
      </w:pPr>
      <w:r>
        <w:rPr>
          <w:rFonts w:hint="eastAsia" w:eastAsiaTheme="minorEastAsia"/>
          <w:sz w:val="24"/>
        </w:rPr>
        <w:t>居民住宅、医疗卫生、教育、科研设计、行政办公为主要功能区域适用《声环境质量标准》(GB3096-2008）1类标准；居住、商业、工业混杂区适用《声环境质量标准》(GB3096-2008）2类标准；工业区适用《声环境质量标准》(GB3096-2008）3类标准；区域主干路和次干路两侧区域适用《声环境质量标准》(GB3096-2008）4类标准。</w:t>
      </w:r>
    </w:p>
    <w:p w14:paraId="5F299E7F">
      <w:pPr>
        <w:keepNext/>
        <w:keepLines/>
        <w:widowControl/>
        <w:numPr>
          <w:ilvl w:val="2"/>
          <w:numId w:val="1"/>
        </w:numPr>
        <w:spacing w:before="120" w:after="120" w:line="360" w:lineRule="auto"/>
        <w:jc w:val="left"/>
        <w:outlineLvl w:val="2"/>
        <w:rPr>
          <w:rFonts w:eastAsiaTheme="minorEastAsia"/>
          <w:b/>
          <w:bCs/>
          <w:sz w:val="24"/>
        </w:rPr>
      </w:pPr>
      <w:bookmarkStart w:id="65" w:name="_Toc206494908"/>
      <w:r>
        <w:rPr>
          <w:rFonts w:hint="eastAsia" w:eastAsiaTheme="minorEastAsia"/>
          <w:b/>
          <w:bCs/>
          <w:sz w:val="24"/>
        </w:rPr>
        <w:t>地下水水环境功能区划</w:t>
      </w:r>
      <w:bookmarkEnd w:id="65"/>
    </w:p>
    <w:p w14:paraId="468AF9CD">
      <w:pPr>
        <w:spacing w:line="360" w:lineRule="auto"/>
        <w:ind w:firstLine="480" w:firstLineChars="200"/>
        <w:rPr>
          <w:rFonts w:eastAsiaTheme="minorEastAsia"/>
          <w:sz w:val="24"/>
        </w:rPr>
      </w:pPr>
      <w:r>
        <w:rPr>
          <w:rFonts w:hint="eastAsia" w:eastAsiaTheme="minorEastAsia"/>
          <w:sz w:val="24"/>
        </w:rPr>
        <w:t>根据《地下水质量标准》（GB/T14848-2017）中的分类标准，本规划实施各区域及周边区域的地下水属于《地下水质量标准》（GB/T14848-2017）中III类地下水。</w:t>
      </w:r>
    </w:p>
    <w:p w14:paraId="5424ACB1">
      <w:pPr>
        <w:keepNext/>
        <w:keepLines/>
        <w:widowControl/>
        <w:numPr>
          <w:ilvl w:val="2"/>
          <w:numId w:val="1"/>
        </w:numPr>
        <w:spacing w:before="120" w:after="120" w:line="360" w:lineRule="auto"/>
        <w:jc w:val="left"/>
        <w:outlineLvl w:val="2"/>
        <w:rPr>
          <w:rFonts w:eastAsiaTheme="minorEastAsia"/>
          <w:b/>
          <w:bCs/>
          <w:sz w:val="24"/>
        </w:rPr>
      </w:pPr>
      <w:bookmarkStart w:id="66" w:name="_Toc206494909"/>
      <w:r>
        <w:rPr>
          <w:rFonts w:hint="eastAsia" w:eastAsiaTheme="minorEastAsia"/>
          <w:b/>
          <w:bCs/>
          <w:sz w:val="24"/>
        </w:rPr>
        <w:t>区域生态功能区划</w:t>
      </w:r>
      <w:bookmarkEnd w:id="66"/>
    </w:p>
    <w:p w14:paraId="5AC0806C">
      <w:pPr>
        <w:spacing w:line="360" w:lineRule="auto"/>
        <w:ind w:firstLine="480" w:firstLineChars="200"/>
        <w:rPr>
          <w:rFonts w:eastAsiaTheme="minorEastAsia"/>
          <w:sz w:val="24"/>
        </w:rPr>
      </w:pPr>
      <w:r>
        <w:rPr>
          <w:rFonts w:hint="eastAsia" w:eastAsiaTheme="minorEastAsia"/>
          <w:sz w:val="24"/>
        </w:rPr>
        <w:t>根据《湖北省生态功能区划》，规划范围内区域属于VI鄂东北低山丘陵森林生态区—VI1桐柏山常绿、落叶阔叶混交林生态亚区—VI1-1桐柏山水源涵养与水土保持生态功能区。本区包括随州市北部和广水市北部，面积4012平方公里。</w:t>
      </w:r>
    </w:p>
    <w:p w14:paraId="61E1FCBB">
      <w:pPr>
        <w:spacing w:line="360" w:lineRule="auto"/>
        <w:ind w:firstLine="480" w:firstLineChars="200"/>
        <w:rPr>
          <w:rFonts w:eastAsiaTheme="minorEastAsia"/>
          <w:sz w:val="24"/>
        </w:rPr>
      </w:pPr>
      <w:r>
        <w:rPr>
          <w:rFonts w:hint="eastAsia" w:eastAsiaTheme="minorEastAsia"/>
          <w:sz w:val="24"/>
        </w:rPr>
        <w:t>本区位于桐柏山南麓，地貌类型以中低山为主，植被覆盖较好，森林覆盖率达40%以上。主要生态功能为水源涵养与水土保持。区内物产丰富，是著名的商品粮、商品牛、养蜂、桔梗、食用菌、烤烟、银鱼等生产基地。由于具有悠久的文化历史与自然景观，旅游资源众多。但本区仍存在以下生态问题：水土流失问题，旅游资源开发的同时也对生态环境带来了一定的负面影响，荒山荒地没有充分利用，林业产业化建设还没有起步，经济林没有主打品牌，林业对社会经济的发展贡献不高。</w:t>
      </w:r>
    </w:p>
    <w:p w14:paraId="27B8E66F">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67" w:name="_Toc206494910"/>
      <w:r>
        <w:rPr>
          <w:rFonts w:hint="eastAsia" w:eastAsiaTheme="minorEastAsia"/>
          <w:b/>
          <w:bCs/>
          <w:sz w:val="30"/>
          <w:szCs w:val="28"/>
        </w:rPr>
        <w:t>评价标准</w:t>
      </w:r>
      <w:bookmarkEnd w:id="67"/>
    </w:p>
    <w:p w14:paraId="140B5EBE">
      <w:pPr>
        <w:keepNext/>
        <w:keepLines/>
        <w:widowControl/>
        <w:numPr>
          <w:ilvl w:val="2"/>
          <w:numId w:val="1"/>
        </w:numPr>
        <w:spacing w:before="120" w:after="120" w:line="360" w:lineRule="auto"/>
        <w:jc w:val="left"/>
        <w:outlineLvl w:val="2"/>
        <w:rPr>
          <w:rFonts w:eastAsiaTheme="minorEastAsia"/>
          <w:b/>
          <w:bCs/>
          <w:sz w:val="24"/>
        </w:rPr>
      </w:pPr>
      <w:bookmarkStart w:id="68" w:name="_Toc206494911"/>
      <w:r>
        <w:rPr>
          <w:rFonts w:eastAsiaTheme="minorEastAsia"/>
          <w:b/>
          <w:bCs/>
          <w:sz w:val="24"/>
        </w:rPr>
        <w:t>标准概述</w:t>
      </w:r>
      <w:bookmarkEnd w:id="68"/>
    </w:p>
    <w:p w14:paraId="21AFE912">
      <w:pPr>
        <w:spacing w:line="360" w:lineRule="auto"/>
        <w:ind w:firstLine="480" w:firstLineChars="200"/>
        <w:jc w:val="left"/>
        <w:rPr>
          <w:rFonts w:eastAsiaTheme="minorEastAsia"/>
          <w:sz w:val="24"/>
        </w:rPr>
      </w:pPr>
      <w:r>
        <w:rPr>
          <w:rFonts w:eastAsiaTheme="minorEastAsia"/>
          <w:sz w:val="24"/>
        </w:rPr>
        <w:t>本评价拟采用环境质量标准及污染物排放标准见下表。</w:t>
      </w:r>
    </w:p>
    <w:p w14:paraId="25CCEDAC">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1.6.1</w:t>
      </w:r>
      <w:r>
        <w:rPr>
          <w:rFonts w:eastAsiaTheme="minorEastAsia"/>
          <w:b/>
          <w:snapToGrid w:val="0"/>
          <w:kern w:val="18"/>
          <w:szCs w:val="21"/>
        </w:rPr>
        <w:t>-1    评价标准表</w:t>
      </w:r>
    </w:p>
    <w:tbl>
      <w:tblPr>
        <w:tblStyle w:val="88"/>
        <w:tblW w:w="87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9"/>
        <w:gridCol w:w="426"/>
        <w:gridCol w:w="1711"/>
        <w:gridCol w:w="4429"/>
        <w:gridCol w:w="1739"/>
      </w:tblGrid>
      <w:tr w14:paraId="4AB02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3C12C7C9">
            <w:pPr>
              <w:spacing w:line="320" w:lineRule="exact"/>
              <w:jc w:val="center"/>
              <w:rPr>
                <w:rFonts w:eastAsiaTheme="minorEastAsia"/>
                <w:szCs w:val="21"/>
              </w:rPr>
            </w:pPr>
            <w:r>
              <w:rPr>
                <w:rFonts w:eastAsiaTheme="minorEastAsia"/>
                <w:szCs w:val="21"/>
              </w:rPr>
              <w:t>编号</w:t>
            </w:r>
          </w:p>
        </w:tc>
        <w:tc>
          <w:tcPr>
            <w:tcW w:w="426" w:type="dxa"/>
            <w:vAlign w:val="center"/>
          </w:tcPr>
          <w:p w14:paraId="65C1B03F">
            <w:pPr>
              <w:spacing w:line="320" w:lineRule="exact"/>
              <w:jc w:val="center"/>
              <w:rPr>
                <w:rFonts w:eastAsiaTheme="minorEastAsia"/>
                <w:szCs w:val="21"/>
              </w:rPr>
            </w:pPr>
            <w:r>
              <w:rPr>
                <w:rFonts w:eastAsiaTheme="minorEastAsia"/>
                <w:szCs w:val="21"/>
              </w:rPr>
              <w:t>类别</w:t>
            </w:r>
          </w:p>
        </w:tc>
        <w:tc>
          <w:tcPr>
            <w:tcW w:w="1711" w:type="dxa"/>
            <w:vAlign w:val="center"/>
          </w:tcPr>
          <w:p w14:paraId="45B8148B">
            <w:pPr>
              <w:spacing w:line="320" w:lineRule="exact"/>
              <w:jc w:val="center"/>
              <w:rPr>
                <w:rFonts w:eastAsiaTheme="minorEastAsia"/>
                <w:szCs w:val="21"/>
              </w:rPr>
            </w:pPr>
            <w:r>
              <w:rPr>
                <w:rFonts w:eastAsiaTheme="minorEastAsia"/>
                <w:szCs w:val="21"/>
              </w:rPr>
              <w:t>标准号</w:t>
            </w:r>
          </w:p>
        </w:tc>
        <w:tc>
          <w:tcPr>
            <w:tcW w:w="4429" w:type="dxa"/>
            <w:vAlign w:val="center"/>
          </w:tcPr>
          <w:p w14:paraId="632B7543">
            <w:pPr>
              <w:spacing w:line="320" w:lineRule="exact"/>
              <w:jc w:val="center"/>
              <w:rPr>
                <w:rFonts w:eastAsiaTheme="minorEastAsia"/>
                <w:szCs w:val="21"/>
              </w:rPr>
            </w:pPr>
            <w:r>
              <w:rPr>
                <w:rFonts w:eastAsiaTheme="minorEastAsia"/>
                <w:szCs w:val="21"/>
              </w:rPr>
              <w:t>标准名称</w:t>
            </w:r>
          </w:p>
        </w:tc>
        <w:tc>
          <w:tcPr>
            <w:tcW w:w="1739" w:type="dxa"/>
            <w:vAlign w:val="center"/>
          </w:tcPr>
          <w:p w14:paraId="76629E11">
            <w:pPr>
              <w:spacing w:line="320" w:lineRule="exact"/>
              <w:jc w:val="center"/>
              <w:rPr>
                <w:rFonts w:eastAsiaTheme="minorEastAsia"/>
                <w:szCs w:val="21"/>
              </w:rPr>
            </w:pPr>
            <w:r>
              <w:rPr>
                <w:rFonts w:eastAsiaTheme="minorEastAsia"/>
                <w:szCs w:val="21"/>
              </w:rPr>
              <w:t>评价对象</w:t>
            </w:r>
          </w:p>
        </w:tc>
      </w:tr>
      <w:tr w14:paraId="63D5B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1060C6FF">
            <w:pPr>
              <w:spacing w:line="320" w:lineRule="exact"/>
              <w:jc w:val="center"/>
              <w:rPr>
                <w:rFonts w:eastAsiaTheme="minorEastAsia"/>
                <w:szCs w:val="21"/>
              </w:rPr>
            </w:pPr>
            <w:r>
              <w:rPr>
                <w:rFonts w:eastAsiaTheme="minorEastAsia"/>
                <w:szCs w:val="21"/>
              </w:rPr>
              <w:t>1</w:t>
            </w:r>
          </w:p>
        </w:tc>
        <w:tc>
          <w:tcPr>
            <w:tcW w:w="426" w:type="dxa"/>
            <w:vMerge w:val="restart"/>
            <w:vAlign w:val="center"/>
          </w:tcPr>
          <w:p w14:paraId="16C8015B">
            <w:pPr>
              <w:spacing w:line="320" w:lineRule="exact"/>
              <w:jc w:val="center"/>
              <w:rPr>
                <w:rFonts w:eastAsiaTheme="minorEastAsia"/>
                <w:szCs w:val="21"/>
              </w:rPr>
            </w:pPr>
            <w:r>
              <w:rPr>
                <w:rFonts w:eastAsiaTheme="minorEastAsia"/>
                <w:szCs w:val="21"/>
              </w:rPr>
              <w:t>质量标准</w:t>
            </w:r>
          </w:p>
        </w:tc>
        <w:tc>
          <w:tcPr>
            <w:tcW w:w="1711" w:type="dxa"/>
            <w:vAlign w:val="center"/>
          </w:tcPr>
          <w:p w14:paraId="3D279528">
            <w:pPr>
              <w:spacing w:line="320" w:lineRule="exact"/>
              <w:ind w:left="-53" w:leftChars="-25" w:right="-53" w:rightChars="-25"/>
              <w:jc w:val="center"/>
              <w:rPr>
                <w:rFonts w:eastAsiaTheme="minorEastAsia"/>
                <w:szCs w:val="21"/>
              </w:rPr>
            </w:pPr>
            <w:r>
              <w:rPr>
                <w:rFonts w:eastAsiaTheme="minorEastAsia"/>
                <w:szCs w:val="21"/>
              </w:rPr>
              <w:t>GB3095-2012</w:t>
            </w:r>
          </w:p>
        </w:tc>
        <w:tc>
          <w:tcPr>
            <w:tcW w:w="4429" w:type="dxa"/>
            <w:vAlign w:val="center"/>
          </w:tcPr>
          <w:p w14:paraId="76BA0B7E">
            <w:pPr>
              <w:spacing w:line="320" w:lineRule="exact"/>
              <w:ind w:left="-53" w:leftChars="-25" w:right="-53" w:rightChars="-25"/>
              <w:jc w:val="center"/>
              <w:rPr>
                <w:rFonts w:eastAsiaTheme="minorEastAsia"/>
                <w:szCs w:val="21"/>
              </w:rPr>
            </w:pPr>
            <w:r>
              <w:rPr>
                <w:rFonts w:eastAsiaTheme="minorEastAsia"/>
                <w:szCs w:val="21"/>
              </w:rPr>
              <w:t>《环境空气质量标准》（2018修订版）二级</w:t>
            </w:r>
          </w:p>
        </w:tc>
        <w:tc>
          <w:tcPr>
            <w:tcW w:w="1739" w:type="dxa"/>
            <w:vAlign w:val="center"/>
          </w:tcPr>
          <w:p w14:paraId="5892047B">
            <w:pPr>
              <w:spacing w:line="320" w:lineRule="exact"/>
              <w:ind w:left="-53" w:leftChars="-25" w:right="-53" w:rightChars="-25"/>
              <w:jc w:val="center"/>
              <w:rPr>
                <w:rFonts w:eastAsiaTheme="minorEastAsia"/>
                <w:szCs w:val="21"/>
              </w:rPr>
            </w:pPr>
            <w:r>
              <w:rPr>
                <w:rFonts w:eastAsiaTheme="minorEastAsia"/>
                <w:szCs w:val="21"/>
              </w:rPr>
              <w:t>环境空气</w:t>
            </w:r>
          </w:p>
        </w:tc>
      </w:tr>
      <w:tr w14:paraId="79380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17BE907C">
            <w:pPr>
              <w:spacing w:line="320" w:lineRule="exact"/>
              <w:jc w:val="center"/>
              <w:rPr>
                <w:rFonts w:eastAsiaTheme="minorEastAsia"/>
                <w:szCs w:val="21"/>
              </w:rPr>
            </w:pPr>
            <w:r>
              <w:rPr>
                <w:rFonts w:hint="eastAsia" w:eastAsiaTheme="minorEastAsia"/>
                <w:szCs w:val="21"/>
              </w:rPr>
              <w:t>2</w:t>
            </w:r>
          </w:p>
        </w:tc>
        <w:tc>
          <w:tcPr>
            <w:tcW w:w="426" w:type="dxa"/>
            <w:vMerge w:val="continue"/>
            <w:vAlign w:val="center"/>
          </w:tcPr>
          <w:p w14:paraId="08988670">
            <w:pPr>
              <w:spacing w:line="320" w:lineRule="exact"/>
              <w:jc w:val="center"/>
              <w:rPr>
                <w:rFonts w:eastAsiaTheme="minorEastAsia"/>
                <w:szCs w:val="21"/>
              </w:rPr>
            </w:pPr>
          </w:p>
        </w:tc>
        <w:tc>
          <w:tcPr>
            <w:tcW w:w="1711" w:type="dxa"/>
            <w:vAlign w:val="center"/>
          </w:tcPr>
          <w:p w14:paraId="7E7A682C">
            <w:pPr>
              <w:spacing w:line="320" w:lineRule="exact"/>
              <w:ind w:left="-53" w:leftChars="-25" w:right="-53" w:rightChars="-25"/>
              <w:jc w:val="center"/>
              <w:rPr>
                <w:rFonts w:eastAsiaTheme="minorEastAsia"/>
                <w:szCs w:val="21"/>
              </w:rPr>
            </w:pPr>
            <w:r>
              <w:rPr>
                <w:rFonts w:eastAsiaTheme="minorEastAsia"/>
                <w:szCs w:val="21"/>
              </w:rPr>
              <w:t>GB3838-2002</w:t>
            </w:r>
          </w:p>
        </w:tc>
        <w:tc>
          <w:tcPr>
            <w:tcW w:w="4429" w:type="dxa"/>
            <w:vAlign w:val="center"/>
          </w:tcPr>
          <w:p w14:paraId="6FB3F03F">
            <w:pPr>
              <w:spacing w:line="320" w:lineRule="exact"/>
              <w:ind w:left="-53" w:leftChars="-25" w:right="-53" w:rightChars="-25"/>
              <w:jc w:val="center"/>
              <w:rPr>
                <w:rFonts w:eastAsiaTheme="minorEastAsia"/>
                <w:szCs w:val="21"/>
              </w:rPr>
            </w:pPr>
            <w:r>
              <w:rPr>
                <w:rFonts w:eastAsiaTheme="minorEastAsia"/>
                <w:szCs w:val="21"/>
              </w:rPr>
              <w:t>《地表水环境质量标准》Ⅲ类</w:t>
            </w:r>
          </w:p>
        </w:tc>
        <w:tc>
          <w:tcPr>
            <w:tcW w:w="1739" w:type="dxa"/>
            <w:vAlign w:val="center"/>
          </w:tcPr>
          <w:p w14:paraId="1B2C58E4">
            <w:pPr>
              <w:spacing w:line="320" w:lineRule="exact"/>
              <w:ind w:left="-53" w:leftChars="-25" w:right="-53" w:rightChars="-25"/>
              <w:jc w:val="center"/>
              <w:rPr>
                <w:rFonts w:eastAsiaTheme="minorEastAsia"/>
                <w:szCs w:val="21"/>
              </w:rPr>
            </w:pPr>
            <w:r>
              <w:rPr>
                <w:rFonts w:hint="eastAsia" w:eastAsiaTheme="minorEastAsia"/>
                <w:szCs w:val="21"/>
              </w:rPr>
              <w:t>游河、漂水、厥水河、溠水、吴山水库</w:t>
            </w:r>
          </w:p>
        </w:tc>
      </w:tr>
      <w:tr w14:paraId="008AD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07B510C3">
            <w:pPr>
              <w:spacing w:line="320" w:lineRule="exact"/>
              <w:jc w:val="center"/>
              <w:rPr>
                <w:rFonts w:eastAsiaTheme="minorEastAsia"/>
                <w:szCs w:val="21"/>
              </w:rPr>
            </w:pPr>
            <w:r>
              <w:rPr>
                <w:rFonts w:hint="eastAsia" w:eastAsiaTheme="minorEastAsia"/>
                <w:szCs w:val="21"/>
              </w:rPr>
              <w:t>3</w:t>
            </w:r>
          </w:p>
        </w:tc>
        <w:tc>
          <w:tcPr>
            <w:tcW w:w="426" w:type="dxa"/>
            <w:vMerge w:val="continue"/>
            <w:vAlign w:val="center"/>
          </w:tcPr>
          <w:p w14:paraId="1B5BFF61">
            <w:pPr>
              <w:spacing w:line="320" w:lineRule="exact"/>
              <w:jc w:val="center"/>
              <w:rPr>
                <w:rFonts w:eastAsiaTheme="minorEastAsia"/>
                <w:szCs w:val="21"/>
              </w:rPr>
            </w:pPr>
          </w:p>
        </w:tc>
        <w:tc>
          <w:tcPr>
            <w:tcW w:w="1711" w:type="dxa"/>
            <w:vAlign w:val="center"/>
          </w:tcPr>
          <w:p w14:paraId="4C5BF894">
            <w:pPr>
              <w:spacing w:line="320" w:lineRule="exact"/>
              <w:ind w:left="-53" w:leftChars="-25" w:right="-53" w:rightChars="-25"/>
              <w:jc w:val="center"/>
              <w:rPr>
                <w:rFonts w:eastAsiaTheme="minorEastAsia"/>
                <w:szCs w:val="21"/>
              </w:rPr>
            </w:pPr>
            <w:r>
              <w:rPr>
                <w:rFonts w:eastAsiaTheme="minorEastAsia"/>
                <w:szCs w:val="21"/>
              </w:rPr>
              <w:t>GB/T14848-2017</w:t>
            </w:r>
          </w:p>
        </w:tc>
        <w:tc>
          <w:tcPr>
            <w:tcW w:w="4429" w:type="dxa"/>
            <w:vAlign w:val="center"/>
          </w:tcPr>
          <w:p w14:paraId="196918E7">
            <w:pPr>
              <w:spacing w:line="320" w:lineRule="exact"/>
              <w:ind w:left="-53" w:leftChars="-25" w:right="-53" w:rightChars="-25"/>
              <w:jc w:val="center"/>
              <w:textAlignment w:val="baseline"/>
              <w:rPr>
                <w:rFonts w:eastAsiaTheme="minorEastAsia"/>
                <w:szCs w:val="21"/>
              </w:rPr>
            </w:pPr>
            <w:r>
              <w:rPr>
                <w:rFonts w:eastAsiaTheme="minorEastAsia"/>
                <w:szCs w:val="21"/>
              </w:rPr>
              <w:t>《地下水质量标准》Ⅲ类</w:t>
            </w:r>
          </w:p>
        </w:tc>
        <w:tc>
          <w:tcPr>
            <w:tcW w:w="1739" w:type="dxa"/>
            <w:vAlign w:val="center"/>
          </w:tcPr>
          <w:p w14:paraId="584BDED8">
            <w:pPr>
              <w:spacing w:line="320" w:lineRule="exact"/>
              <w:ind w:left="-53" w:leftChars="-25" w:right="-53" w:rightChars="-25"/>
              <w:jc w:val="center"/>
              <w:textAlignment w:val="baseline"/>
              <w:rPr>
                <w:rFonts w:eastAsiaTheme="minorEastAsia"/>
                <w:szCs w:val="21"/>
              </w:rPr>
            </w:pPr>
            <w:r>
              <w:rPr>
                <w:rFonts w:eastAsiaTheme="minorEastAsia"/>
                <w:szCs w:val="21"/>
              </w:rPr>
              <w:t>评价区地下水</w:t>
            </w:r>
          </w:p>
        </w:tc>
      </w:tr>
      <w:tr w14:paraId="622E4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1A56166E">
            <w:pPr>
              <w:spacing w:line="320" w:lineRule="exact"/>
              <w:jc w:val="center"/>
              <w:rPr>
                <w:rFonts w:eastAsiaTheme="minorEastAsia"/>
                <w:szCs w:val="21"/>
              </w:rPr>
            </w:pPr>
            <w:r>
              <w:rPr>
                <w:rFonts w:hint="eastAsia" w:eastAsiaTheme="minorEastAsia"/>
                <w:szCs w:val="21"/>
              </w:rPr>
              <w:t>4</w:t>
            </w:r>
          </w:p>
        </w:tc>
        <w:tc>
          <w:tcPr>
            <w:tcW w:w="426" w:type="dxa"/>
            <w:vMerge w:val="continue"/>
            <w:vAlign w:val="center"/>
          </w:tcPr>
          <w:p w14:paraId="5BBA4D97">
            <w:pPr>
              <w:spacing w:line="320" w:lineRule="exact"/>
              <w:jc w:val="center"/>
              <w:rPr>
                <w:rFonts w:eastAsiaTheme="minorEastAsia"/>
                <w:szCs w:val="21"/>
              </w:rPr>
            </w:pPr>
          </w:p>
        </w:tc>
        <w:tc>
          <w:tcPr>
            <w:tcW w:w="1711" w:type="dxa"/>
            <w:vAlign w:val="center"/>
          </w:tcPr>
          <w:p w14:paraId="65772AF3">
            <w:pPr>
              <w:spacing w:line="320" w:lineRule="exact"/>
              <w:ind w:left="-53" w:leftChars="-25" w:right="-53" w:rightChars="-25"/>
              <w:jc w:val="center"/>
              <w:rPr>
                <w:rFonts w:eastAsiaTheme="minorEastAsia"/>
                <w:szCs w:val="21"/>
              </w:rPr>
            </w:pPr>
            <w:r>
              <w:rPr>
                <w:rFonts w:eastAsiaTheme="minorEastAsia"/>
                <w:szCs w:val="21"/>
              </w:rPr>
              <w:t>GB3096-2008</w:t>
            </w:r>
          </w:p>
        </w:tc>
        <w:tc>
          <w:tcPr>
            <w:tcW w:w="4429" w:type="dxa"/>
            <w:vAlign w:val="center"/>
          </w:tcPr>
          <w:p w14:paraId="5D769A16">
            <w:pPr>
              <w:spacing w:line="320" w:lineRule="exact"/>
              <w:ind w:left="-53" w:leftChars="-25" w:right="-53" w:rightChars="-25"/>
              <w:jc w:val="center"/>
              <w:rPr>
                <w:rFonts w:eastAsiaTheme="minorEastAsia"/>
                <w:szCs w:val="21"/>
              </w:rPr>
            </w:pPr>
            <w:r>
              <w:rPr>
                <w:rFonts w:eastAsiaTheme="minorEastAsia"/>
                <w:szCs w:val="21"/>
              </w:rPr>
              <w:t>《声环境质量标准》</w:t>
            </w:r>
            <w:r>
              <w:rPr>
                <w:rFonts w:hint="eastAsia" w:eastAsiaTheme="minorEastAsia"/>
                <w:szCs w:val="21"/>
              </w:rPr>
              <w:t>1类、2类、</w:t>
            </w:r>
            <w:r>
              <w:rPr>
                <w:rFonts w:eastAsiaTheme="minorEastAsia"/>
                <w:szCs w:val="21"/>
              </w:rPr>
              <w:t>3类、</w:t>
            </w:r>
            <w:r>
              <w:rPr>
                <w:rFonts w:hint="eastAsia" w:eastAsiaTheme="minorEastAsia"/>
                <w:szCs w:val="21"/>
              </w:rPr>
              <w:t>4a</w:t>
            </w:r>
            <w:r>
              <w:rPr>
                <w:rFonts w:eastAsiaTheme="minorEastAsia"/>
                <w:szCs w:val="21"/>
              </w:rPr>
              <w:t>类标准</w:t>
            </w:r>
          </w:p>
        </w:tc>
        <w:tc>
          <w:tcPr>
            <w:tcW w:w="1739" w:type="dxa"/>
            <w:vAlign w:val="center"/>
          </w:tcPr>
          <w:p w14:paraId="208EF2E4">
            <w:pPr>
              <w:spacing w:line="320" w:lineRule="exact"/>
              <w:ind w:left="-53" w:leftChars="-25" w:right="-53" w:rightChars="-25"/>
              <w:jc w:val="center"/>
              <w:rPr>
                <w:rFonts w:eastAsiaTheme="minorEastAsia"/>
                <w:szCs w:val="21"/>
              </w:rPr>
            </w:pPr>
            <w:r>
              <w:rPr>
                <w:rFonts w:eastAsiaTheme="minorEastAsia"/>
                <w:szCs w:val="21"/>
              </w:rPr>
              <w:t>环境噪声</w:t>
            </w:r>
          </w:p>
        </w:tc>
      </w:tr>
      <w:tr w14:paraId="3FF12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369C2972">
            <w:pPr>
              <w:spacing w:line="320" w:lineRule="exact"/>
              <w:jc w:val="center"/>
              <w:rPr>
                <w:rFonts w:eastAsiaTheme="minorEastAsia"/>
                <w:szCs w:val="21"/>
              </w:rPr>
            </w:pPr>
            <w:r>
              <w:rPr>
                <w:rFonts w:hint="eastAsia" w:eastAsiaTheme="minorEastAsia"/>
                <w:szCs w:val="21"/>
              </w:rPr>
              <w:t>5</w:t>
            </w:r>
          </w:p>
        </w:tc>
        <w:tc>
          <w:tcPr>
            <w:tcW w:w="426" w:type="dxa"/>
            <w:vMerge w:val="continue"/>
            <w:vAlign w:val="center"/>
          </w:tcPr>
          <w:p w14:paraId="7EFFA1BD">
            <w:pPr>
              <w:spacing w:line="320" w:lineRule="exact"/>
              <w:jc w:val="center"/>
              <w:rPr>
                <w:rFonts w:eastAsiaTheme="minorEastAsia"/>
                <w:szCs w:val="21"/>
              </w:rPr>
            </w:pPr>
          </w:p>
        </w:tc>
        <w:tc>
          <w:tcPr>
            <w:tcW w:w="1711" w:type="dxa"/>
            <w:vAlign w:val="center"/>
          </w:tcPr>
          <w:p w14:paraId="5E98D5F6">
            <w:pPr>
              <w:spacing w:line="320" w:lineRule="exact"/>
              <w:ind w:left="-53" w:leftChars="-25" w:right="-53" w:rightChars="-25"/>
              <w:jc w:val="center"/>
              <w:rPr>
                <w:rFonts w:eastAsiaTheme="minorEastAsia"/>
                <w:szCs w:val="21"/>
              </w:rPr>
            </w:pPr>
            <w:r>
              <w:rPr>
                <w:rFonts w:eastAsiaTheme="minorEastAsia"/>
                <w:szCs w:val="21"/>
              </w:rPr>
              <w:t>GB36600-2018</w:t>
            </w:r>
          </w:p>
        </w:tc>
        <w:tc>
          <w:tcPr>
            <w:tcW w:w="4429" w:type="dxa"/>
            <w:vAlign w:val="center"/>
          </w:tcPr>
          <w:p w14:paraId="07A66DC6">
            <w:pPr>
              <w:spacing w:line="320" w:lineRule="exact"/>
              <w:ind w:left="-53" w:leftChars="-25" w:right="-53" w:rightChars="-25"/>
              <w:jc w:val="center"/>
              <w:rPr>
                <w:rFonts w:eastAsiaTheme="minorEastAsia"/>
                <w:szCs w:val="21"/>
              </w:rPr>
            </w:pPr>
            <w:r>
              <w:rPr>
                <w:rFonts w:eastAsiaTheme="minorEastAsia"/>
                <w:szCs w:val="21"/>
              </w:rPr>
              <w:t>《土壤环境质量  建设用地土壤污染风险管控标准》第二类用地筛选值</w:t>
            </w:r>
          </w:p>
        </w:tc>
        <w:tc>
          <w:tcPr>
            <w:tcW w:w="1739" w:type="dxa"/>
            <w:vMerge w:val="restart"/>
            <w:vAlign w:val="center"/>
          </w:tcPr>
          <w:p w14:paraId="36B8EF8A">
            <w:pPr>
              <w:spacing w:line="320" w:lineRule="exact"/>
              <w:ind w:left="-53" w:leftChars="-25" w:right="-53" w:rightChars="-25"/>
              <w:jc w:val="center"/>
              <w:rPr>
                <w:rFonts w:eastAsiaTheme="minorEastAsia"/>
                <w:szCs w:val="21"/>
              </w:rPr>
            </w:pPr>
            <w:r>
              <w:rPr>
                <w:rFonts w:eastAsiaTheme="minorEastAsia"/>
                <w:szCs w:val="21"/>
              </w:rPr>
              <w:t>评价区土壤</w:t>
            </w:r>
          </w:p>
        </w:tc>
      </w:tr>
      <w:tr w14:paraId="1A918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7FC16684">
            <w:pPr>
              <w:spacing w:line="320" w:lineRule="exact"/>
              <w:jc w:val="center"/>
              <w:rPr>
                <w:rFonts w:eastAsiaTheme="minorEastAsia"/>
                <w:szCs w:val="21"/>
              </w:rPr>
            </w:pPr>
            <w:r>
              <w:rPr>
                <w:rFonts w:hint="eastAsia" w:eastAsiaTheme="minorEastAsia"/>
                <w:szCs w:val="21"/>
              </w:rPr>
              <w:t>6</w:t>
            </w:r>
          </w:p>
        </w:tc>
        <w:tc>
          <w:tcPr>
            <w:tcW w:w="426" w:type="dxa"/>
            <w:vMerge w:val="continue"/>
            <w:vAlign w:val="center"/>
          </w:tcPr>
          <w:p w14:paraId="3216D934">
            <w:pPr>
              <w:spacing w:line="320" w:lineRule="exact"/>
              <w:jc w:val="center"/>
              <w:rPr>
                <w:rFonts w:eastAsiaTheme="minorEastAsia"/>
                <w:szCs w:val="21"/>
              </w:rPr>
            </w:pPr>
          </w:p>
        </w:tc>
        <w:tc>
          <w:tcPr>
            <w:tcW w:w="1711" w:type="dxa"/>
            <w:vAlign w:val="center"/>
          </w:tcPr>
          <w:p w14:paraId="3C3F3B5B">
            <w:pPr>
              <w:spacing w:line="320" w:lineRule="exact"/>
              <w:ind w:left="-53" w:leftChars="-25" w:right="-53" w:rightChars="-25"/>
              <w:jc w:val="center"/>
              <w:rPr>
                <w:rFonts w:eastAsiaTheme="minorEastAsia"/>
                <w:szCs w:val="21"/>
              </w:rPr>
            </w:pPr>
            <w:r>
              <w:rPr>
                <w:rFonts w:hint="eastAsia" w:eastAsiaTheme="minorEastAsia"/>
                <w:szCs w:val="21"/>
              </w:rPr>
              <w:t>GB15618-2018</w:t>
            </w:r>
          </w:p>
        </w:tc>
        <w:tc>
          <w:tcPr>
            <w:tcW w:w="4429" w:type="dxa"/>
            <w:vAlign w:val="center"/>
          </w:tcPr>
          <w:p w14:paraId="219EFBF9">
            <w:pPr>
              <w:spacing w:line="320" w:lineRule="exact"/>
              <w:ind w:left="-53" w:leftChars="-25" w:right="-53" w:rightChars="-25"/>
              <w:jc w:val="center"/>
              <w:rPr>
                <w:rFonts w:eastAsiaTheme="minorEastAsia"/>
                <w:szCs w:val="21"/>
              </w:rPr>
            </w:pPr>
            <w:r>
              <w:rPr>
                <w:rFonts w:hint="eastAsia" w:eastAsiaTheme="minorEastAsia"/>
                <w:szCs w:val="21"/>
              </w:rPr>
              <w:t>《土壤环境质量  农用地土壤污染风险管控标准》</w:t>
            </w:r>
          </w:p>
        </w:tc>
        <w:tc>
          <w:tcPr>
            <w:tcW w:w="1739" w:type="dxa"/>
            <w:vMerge w:val="continue"/>
            <w:vAlign w:val="center"/>
          </w:tcPr>
          <w:p w14:paraId="00604D01">
            <w:pPr>
              <w:spacing w:line="320" w:lineRule="exact"/>
              <w:ind w:left="-53" w:leftChars="-25" w:right="-53" w:rightChars="-25"/>
              <w:jc w:val="center"/>
              <w:rPr>
                <w:rFonts w:eastAsiaTheme="minorEastAsia"/>
                <w:szCs w:val="21"/>
              </w:rPr>
            </w:pPr>
          </w:p>
        </w:tc>
      </w:tr>
      <w:tr w14:paraId="3C33F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4DD273C3">
            <w:pPr>
              <w:spacing w:line="320" w:lineRule="exact"/>
              <w:jc w:val="center"/>
              <w:rPr>
                <w:rFonts w:eastAsiaTheme="minorEastAsia"/>
                <w:szCs w:val="21"/>
              </w:rPr>
            </w:pPr>
            <w:r>
              <w:rPr>
                <w:rFonts w:hint="eastAsia" w:eastAsiaTheme="minorEastAsia"/>
                <w:szCs w:val="21"/>
              </w:rPr>
              <w:t>7</w:t>
            </w:r>
          </w:p>
        </w:tc>
        <w:tc>
          <w:tcPr>
            <w:tcW w:w="426" w:type="dxa"/>
            <w:vMerge w:val="restart"/>
            <w:vAlign w:val="center"/>
          </w:tcPr>
          <w:p w14:paraId="5EB8F041">
            <w:pPr>
              <w:spacing w:line="320" w:lineRule="exact"/>
              <w:jc w:val="center"/>
              <w:rPr>
                <w:rFonts w:eastAsiaTheme="minorEastAsia"/>
                <w:szCs w:val="21"/>
              </w:rPr>
            </w:pPr>
            <w:r>
              <w:rPr>
                <w:rFonts w:eastAsiaTheme="minorEastAsia"/>
                <w:szCs w:val="21"/>
              </w:rPr>
              <w:t>污染物排放标准</w:t>
            </w:r>
          </w:p>
        </w:tc>
        <w:tc>
          <w:tcPr>
            <w:tcW w:w="1711" w:type="dxa"/>
            <w:vAlign w:val="center"/>
          </w:tcPr>
          <w:p w14:paraId="4164C511">
            <w:pPr>
              <w:spacing w:line="320" w:lineRule="exact"/>
              <w:ind w:left="-53" w:leftChars="-25" w:right="-53" w:rightChars="-25"/>
              <w:jc w:val="center"/>
              <w:rPr>
                <w:rFonts w:eastAsiaTheme="minorEastAsia"/>
                <w:szCs w:val="21"/>
              </w:rPr>
            </w:pPr>
            <w:r>
              <w:rPr>
                <w:rFonts w:eastAsiaTheme="minorEastAsia"/>
                <w:szCs w:val="21"/>
              </w:rPr>
              <w:t>GB16297-1996</w:t>
            </w:r>
          </w:p>
        </w:tc>
        <w:tc>
          <w:tcPr>
            <w:tcW w:w="4429" w:type="dxa"/>
            <w:vAlign w:val="center"/>
          </w:tcPr>
          <w:p w14:paraId="3B166737">
            <w:pPr>
              <w:spacing w:line="320" w:lineRule="exact"/>
              <w:ind w:left="-53" w:leftChars="-25" w:right="-53" w:rightChars="-25"/>
              <w:jc w:val="center"/>
              <w:rPr>
                <w:rFonts w:eastAsiaTheme="minorEastAsia"/>
                <w:szCs w:val="21"/>
              </w:rPr>
            </w:pPr>
            <w:r>
              <w:rPr>
                <w:rFonts w:eastAsiaTheme="minorEastAsia"/>
                <w:szCs w:val="21"/>
              </w:rPr>
              <w:t>《大气污染物综合排放标准》中的表2二级标准及无组织排放监控浓度限值要求</w:t>
            </w:r>
          </w:p>
        </w:tc>
        <w:tc>
          <w:tcPr>
            <w:tcW w:w="1739" w:type="dxa"/>
            <w:vAlign w:val="center"/>
          </w:tcPr>
          <w:p w14:paraId="24DD9F76">
            <w:pPr>
              <w:spacing w:line="320" w:lineRule="exact"/>
              <w:ind w:left="-53" w:leftChars="-25" w:right="-53" w:rightChars="-25"/>
              <w:jc w:val="center"/>
              <w:rPr>
                <w:rFonts w:eastAsiaTheme="minorEastAsia"/>
                <w:szCs w:val="21"/>
              </w:rPr>
            </w:pPr>
            <w:r>
              <w:rPr>
                <w:rFonts w:eastAsiaTheme="minorEastAsia"/>
                <w:szCs w:val="21"/>
              </w:rPr>
              <w:t>废气</w:t>
            </w:r>
          </w:p>
        </w:tc>
      </w:tr>
      <w:tr w14:paraId="39C2A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2E124003">
            <w:pPr>
              <w:spacing w:line="320" w:lineRule="exact"/>
              <w:jc w:val="center"/>
              <w:rPr>
                <w:rFonts w:eastAsiaTheme="minorEastAsia"/>
                <w:szCs w:val="21"/>
              </w:rPr>
            </w:pPr>
            <w:r>
              <w:rPr>
                <w:rFonts w:hint="eastAsia" w:eastAsiaTheme="minorEastAsia"/>
                <w:szCs w:val="21"/>
              </w:rPr>
              <w:t>8</w:t>
            </w:r>
          </w:p>
        </w:tc>
        <w:tc>
          <w:tcPr>
            <w:tcW w:w="426" w:type="dxa"/>
            <w:vMerge w:val="continue"/>
            <w:vAlign w:val="center"/>
          </w:tcPr>
          <w:p w14:paraId="7FF0D7DF">
            <w:pPr>
              <w:spacing w:line="320" w:lineRule="exact"/>
              <w:jc w:val="center"/>
              <w:rPr>
                <w:rFonts w:eastAsiaTheme="minorEastAsia"/>
                <w:szCs w:val="21"/>
              </w:rPr>
            </w:pPr>
          </w:p>
        </w:tc>
        <w:tc>
          <w:tcPr>
            <w:tcW w:w="1711" w:type="dxa"/>
            <w:vAlign w:val="center"/>
          </w:tcPr>
          <w:p w14:paraId="23A6A309">
            <w:pPr>
              <w:spacing w:line="320" w:lineRule="exact"/>
              <w:ind w:left="-53" w:leftChars="-25" w:right="-53" w:rightChars="-25"/>
              <w:jc w:val="center"/>
              <w:rPr>
                <w:rFonts w:eastAsiaTheme="minorEastAsia"/>
                <w:szCs w:val="21"/>
              </w:rPr>
            </w:pPr>
            <w:r>
              <w:rPr>
                <w:rFonts w:eastAsiaTheme="minorEastAsia"/>
                <w:szCs w:val="21"/>
              </w:rPr>
              <w:t>——</w:t>
            </w:r>
          </w:p>
        </w:tc>
        <w:tc>
          <w:tcPr>
            <w:tcW w:w="4429" w:type="dxa"/>
            <w:vAlign w:val="center"/>
          </w:tcPr>
          <w:p w14:paraId="55E3CAD3">
            <w:pPr>
              <w:spacing w:line="320" w:lineRule="exact"/>
              <w:ind w:left="-53" w:leftChars="-25" w:right="-53" w:rightChars="-25"/>
              <w:jc w:val="center"/>
              <w:rPr>
                <w:rFonts w:eastAsiaTheme="minorEastAsia"/>
                <w:szCs w:val="21"/>
              </w:rPr>
            </w:pPr>
            <w:r>
              <w:rPr>
                <w:rFonts w:eastAsiaTheme="minorEastAsia"/>
                <w:szCs w:val="21"/>
              </w:rPr>
              <w:t>污水处理厂接管标准</w:t>
            </w:r>
          </w:p>
        </w:tc>
        <w:tc>
          <w:tcPr>
            <w:tcW w:w="1739" w:type="dxa"/>
            <w:vMerge w:val="restart"/>
            <w:vAlign w:val="center"/>
          </w:tcPr>
          <w:p w14:paraId="274B338D">
            <w:pPr>
              <w:spacing w:line="320" w:lineRule="exact"/>
              <w:ind w:left="-53" w:leftChars="-25" w:right="-53" w:rightChars="-25"/>
              <w:jc w:val="center"/>
              <w:rPr>
                <w:rFonts w:eastAsiaTheme="minorEastAsia"/>
                <w:szCs w:val="21"/>
              </w:rPr>
            </w:pPr>
            <w:r>
              <w:rPr>
                <w:rFonts w:hint="eastAsia" w:eastAsiaTheme="minorEastAsia"/>
                <w:szCs w:val="21"/>
              </w:rPr>
              <w:t>生活污水</w:t>
            </w:r>
          </w:p>
        </w:tc>
      </w:tr>
      <w:tr w14:paraId="28B8D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vAlign w:val="center"/>
          </w:tcPr>
          <w:p w14:paraId="78742907">
            <w:pPr>
              <w:spacing w:line="320" w:lineRule="exact"/>
              <w:jc w:val="center"/>
              <w:rPr>
                <w:rFonts w:eastAsiaTheme="minorEastAsia"/>
                <w:szCs w:val="21"/>
              </w:rPr>
            </w:pPr>
            <w:r>
              <w:rPr>
                <w:rFonts w:hint="eastAsia" w:eastAsiaTheme="minorEastAsia"/>
                <w:szCs w:val="21"/>
              </w:rPr>
              <w:t>9</w:t>
            </w:r>
          </w:p>
        </w:tc>
        <w:tc>
          <w:tcPr>
            <w:tcW w:w="426" w:type="dxa"/>
            <w:vMerge w:val="continue"/>
            <w:vAlign w:val="center"/>
          </w:tcPr>
          <w:p w14:paraId="792F9F5F">
            <w:pPr>
              <w:spacing w:line="320" w:lineRule="exact"/>
              <w:jc w:val="center"/>
              <w:rPr>
                <w:rFonts w:eastAsiaTheme="minorEastAsia"/>
                <w:szCs w:val="21"/>
              </w:rPr>
            </w:pPr>
          </w:p>
        </w:tc>
        <w:tc>
          <w:tcPr>
            <w:tcW w:w="1711" w:type="dxa"/>
            <w:vAlign w:val="center"/>
          </w:tcPr>
          <w:p w14:paraId="68E501EA">
            <w:pPr>
              <w:spacing w:line="320" w:lineRule="exact"/>
              <w:ind w:left="-53" w:leftChars="-25" w:right="-53" w:rightChars="-25"/>
              <w:jc w:val="center"/>
              <w:rPr>
                <w:rFonts w:eastAsiaTheme="minorEastAsia"/>
                <w:szCs w:val="21"/>
              </w:rPr>
            </w:pPr>
            <w:r>
              <w:rPr>
                <w:rFonts w:hint="eastAsia" w:eastAsiaTheme="minorEastAsia"/>
                <w:szCs w:val="21"/>
              </w:rPr>
              <w:t>GB8978-1996</w:t>
            </w:r>
          </w:p>
        </w:tc>
        <w:tc>
          <w:tcPr>
            <w:tcW w:w="4429" w:type="dxa"/>
            <w:vAlign w:val="center"/>
          </w:tcPr>
          <w:p w14:paraId="5102F0C3">
            <w:pPr>
              <w:spacing w:line="320" w:lineRule="exact"/>
              <w:ind w:left="-53" w:leftChars="-25" w:right="-53" w:rightChars="-25"/>
              <w:jc w:val="center"/>
              <w:rPr>
                <w:rFonts w:eastAsiaTheme="minorEastAsia"/>
                <w:szCs w:val="21"/>
              </w:rPr>
            </w:pPr>
            <w:r>
              <w:rPr>
                <w:rFonts w:hint="eastAsia" w:eastAsiaTheme="minorEastAsia"/>
                <w:szCs w:val="21"/>
              </w:rPr>
              <w:t>《污水综合排放标准》表4三级标准</w:t>
            </w:r>
          </w:p>
        </w:tc>
        <w:tc>
          <w:tcPr>
            <w:tcW w:w="1739" w:type="dxa"/>
            <w:vMerge w:val="continue"/>
            <w:vAlign w:val="center"/>
          </w:tcPr>
          <w:p w14:paraId="03F142F7">
            <w:pPr>
              <w:spacing w:line="320" w:lineRule="exact"/>
              <w:ind w:left="-53" w:leftChars="-25" w:right="-53" w:rightChars="-25"/>
              <w:jc w:val="center"/>
              <w:rPr>
                <w:rFonts w:eastAsiaTheme="minorEastAsia"/>
                <w:szCs w:val="21"/>
              </w:rPr>
            </w:pPr>
          </w:p>
        </w:tc>
      </w:tr>
      <w:tr w14:paraId="45E45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tcBorders>
              <w:bottom w:val="single" w:color="auto" w:sz="4" w:space="0"/>
            </w:tcBorders>
            <w:vAlign w:val="center"/>
          </w:tcPr>
          <w:p w14:paraId="3EBE1090">
            <w:pPr>
              <w:spacing w:line="320" w:lineRule="exact"/>
              <w:jc w:val="center"/>
              <w:rPr>
                <w:rFonts w:eastAsiaTheme="minorEastAsia"/>
                <w:szCs w:val="21"/>
              </w:rPr>
            </w:pPr>
            <w:r>
              <w:rPr>
                <w:rFonts w:hint="eastAsia" w:eastAsiaTheme="minorEastAsia"/>
                <w:szCs w:val="21"/>
              </w:rPr>
              <w:t>10</w:t>
            </w:r>
          </w:p>
        </w:tc>
        <w:tc>
          <w:tcPr>
            <w:tcW w:w="426" w:type="dxa"/>
            <w:vMerge w:val="continue"/>
            <w:vAlign w:val="center"/>
          </w:tcPr>
          <w:p w14:paraId="4430B673">
            <w:pPr>
              <w:spacing w:line="320" w:lineRule="exact"/>
              <w:jc w:val="center"/>
              <w:rPr>
                <w:rFonts w:eastAsiaTheme="minorEastAsia"/>
                <w:szCs w:val="21"/>
              </w:rPr>
            </w:pPr>
          </w:p>
        </w:tc>
        <w:tc>
          <w:tcPr>
            <w:tcW w:w="1711" w:type="dxa"/>
            <w:vAlign w:val="center"/>
          </w:tcPr>
          <w:p w14:paraId="569E5F24">
            <w:pPr>
              <w:spacing w:line="320" w:lineRule="exact"/>
              <w:ind w:left="-53" w:leftChars="-25" w:right="-53" w:rightChars="-25"/>
              <w:jc w:val="center"/>
              <w:rPr>
                <w:rFonts w:eastAsiaTheme="minorEastAsia"/>
                <w:szCs w:val="21"/>
              </w:rPr>
            </w:pPr>
            <w:r>
              <w:rPr>
                <w:rFonts w:eastAsiaTheme="minorEastAsia"/>
                <w:szCs w:val="21"/>
              </w:rPr>
              <w:t>GB12348-2008</w:t>
            </w:r>
          </w:p>
        </w:tc>
        <w:tc>
          <w:tcPr>
            <w:tcW w:w="4429" w:type="dxa"/>
            <w:vAlign w:val="center"/>
          </w:tcPr>
          <w:p w14:paraId="6C5FC499">
            <w:pPr>
              <w:spacing w:line="320" w:lineRule="exact"/>
              <w:ind w:left="-53" w:leftChars="-25" w:right="-53" w:rightChars="-25"/>
              <w:jc w:val="center"/>
              <w:rPr>
                <w:rFonts w:eastAsiaTheme="minorEastAsia"/>
                <w:kern w:val="0"/>
                <w:szCs w:val="21"/>
              </w:rPr>
            </w:pPr>
            <w:r>
              <w:rPr>
                <w:rFonts w:eastAsiaTheme="minorEastAsia"/>
                <w:kern w:val="0"/>
                <w:szCs w:val="21"/>
              </w:rPr>
              <w:t>《工业企业厂界环境噪声排放标准》</w:t>
            </w:r>
            <w:r>
              <w:rPr>
                <w:rFonts w:hint="eastAsia" w:eastAsiaTheme="minorEastAsia"/>
                <w:szCs w:val="21"/>
              </w:rPr>
              <w:t>2类、</w:t>
            </w:r>
            <w:r>
              <w:rPr>
                <w:rFonts w:eastAsiaTheme="minorEastAsia"/>
                <w:szCs w:val="21"/>
              </w:rPr>
              <w:t>3类、</w:t>
            </w:r>
            <w:r>
              <w:rPr>
                <w:rFonts w:hint="eastAsia" w:eastAsiaTheme="minorEastAsia"/>
                <w:szCs w:val="21"/>
              </w:rPr>
              <w:t>4</w:t>
            </w:r>
            <w:r>
              <w:rPr>
                <w:rFonts w:eastAsiaTheme="minorEastAsia"/>
                <w:szCs w:val="21"/>
              </w:rPr>
              <w:t>类标准</w:t>
            </w:r>
          </w:p>
        </w:tc>
        <w:tc>
          <w:tcPr>
            <w:tcW w:w="1739" w:type="dxa"/>
            <w:vAlign w:val="center"/>
          </w:tcPr>
          <w:p w14:paraId="3D4D11A0">
            <w:pPr>
              <w:spacing w:line="320" w:lineRule="exact"/>
              <w:ind w:left="-53" w:leftChars="-25" w:right="-53" w:rightChars="-25"/>
              <w:jc w:val="center"/>
              <w:rPr>
                <w:rFonts w:eastAsiaTheme="minorEastAsia"/>
                <w:szCs w:val="21"/>
              </w:rPr>
            </w:pPr>
            <w:r>
              <w:rPr>
                <w:rFonts w:eastAsiaTheme="minorEastAsia"/>
                <w:szCs w:val="21"/>
              </w:rPr>
              <w:t>厂界噪声、居民区</w:t>
            </w:r>
          </w:p>
        </w:tc>
      </w:tr>
      <w:tr w14:paraId="32053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tcBorders>
              <w:top w:val="single" w:color="auto" w:sz="4" w:space="0"/>
            </w:tcBorders>
            <w:vAlign w:val="center"/>
          </w:tcPr>
          <w:p w14:paraId="35D13136">
            <w:pPr>
              <w:spacing w:line="320" w:lineRule="exact"/>
              <w:jc w:val="center"/>
              <w:rPr>
                <w:rFonts w:eastAsiaTheme="minorEastAsia"/>
                <w:szCs w:val="21"/>
              </w:rPr>
            </w:pPr>
            <w:r>
              <w:rPr>
                <w:rFonts w:hint="eastAsia" w:eastAsiaTheme="minorEastAsia"/>
                <w:szCs w:val="21"/>
              </w:rPr>
              <w:t>11</w:t>
            </w:r>
          </w:p>
        </w:tc>
        <w:tc>
          <w:tcPr>
            <w:tcW w:w="426" w:type="dxa"/>
            <w:vMerge w:val="continue"/>
            <w:vAlign w:val="center"/>
          </w:tcPr>
          <w:p w14:paraId="401B87FC">
            <w:pPr>
              <w:spacing w:line="320" w:lineRule="exact"/>
              <w:jc w:val="center"/>
              <w:rPr>
                <w:rFonts w:eastAsiaTheme="minorEastAsia"/>
                <w:szCs w:val="21"/>
              </w:rPr>
            </w:pPr>
          </w:p>
        </w:tc>
        <w:tc>
          <w:tcPr>
            <w:tcW w:w="1711" w:type="dxa"/>
            <w:vAlign w:val="center"/>
          </w:tcPr>
          <w:p w14:paraId="03EA0B3F">
            <w:pPr>
              <w:spacing w:line="320" w:lineRule="exact"/>
              <w:ind w:left="-53" w:leftChars="-25" w:right="-53" w:rightChars="-25"/>
              <w:jc w:val="center"/>
              <w:rPr>
                <w:rFonts w:eastAsiaTheme="minorEastAsia"/>
                <w:szCs w:val="21"/>
              </w:rPr>
            </w:pPr>
            <w:r>
              <w:rPr>
                <w:rFonts w:eastAsiaTheme="minorEastAsia"/>
                <w:szCs w:val="21"/>
              </w:rPr>
              <w:t>GB12523-2011</w:t>
            </w:r>
          </w:p>
        </w:tc>
        <w:tc>
          <w:tcPr>
            <w:tcW w:w="4429" w:type="dxa"/>
            <w:vAlign w:val="center"/>
          </w:tcPr>
          <w:p w14:paraId="11D35C35">
            <w:pPr>
              <w:spacing w:line="320" w:lineRule="exact"/>
              <w:ind w:left="-53" w:leftChars="-25" w:right="-53" w:rightChars="-25"/>
              <w:jc w:val="center"/>
              <w:rPr>
                <w:rFonts w:eastAsiaTheme="minorEastAsia"/>
                <w:szCs w:val="21"/>
              </w:rPr>
            </w:pPr>
            <w:r>
              <w:rPr>
                <w:rFonts w:eastAsiaTheme="minorEastAsia"/>
                <w:szCs w:val="21"/>
              </w:rPr>
              <w:t>《建筑施工场界环境噪声排放标准》</w:t>
            </w:r>
          </w:p>
        </w:tc>
        <w:tc>
          <w:tcPr>
            <w:tcW w:w="1739" w:type="dxa"/>
            <w:vAlign w:val="center"/>
          </w:tcPr>
          <w:p w14:paraId="11114E5D">
            <w:pPr>
              <w:spacing w:line="320" w:lineRule="exact"/>
              <w:ind w:left="-53" w:leftChars="-25" w:right="-53" w:rightChars="-25"/>
              <w:jc w:val="center"/>
              <w:rPr>
                <w:rFonts w:eastAsiaTheme="minorEastAsia"/>
                <w:szCs w:val="21"/>
              </w:rPr>
            </w:pPr>
            <w:r>
              <w:rPr>
                <w:rFonts w:eastAsiaTheme="minorEastAsia"/>
                <w:szCs w:val="21"/>
              </w:rPr>
              <w:t>施工场界噪声</w:t>
            </w:r>
          </w:p>
        </w:tc>
      </w:tr>
      <w:tr w14:paraId="3A4EE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tcBorders>
              <w:bottom w:val="single" w:color="auto" w:sz="4" w:space="0"/>
            </w:tcBorders>
            <w:vAlign w:val="center"/>
          </w:tcPr>
          <w:p w14:paraId="1508AC45">
            <w:pPr>
              <w:spacing w:line="320" w:lineRule="exact"/>
              <w:jc w:val="center"/>
              <w:rPr>
                <w:rFonts w:eastAsiaTheme="minorEastAsia"/>
                <w:szCs w:val="21"/>
              </w:rPr>
            </w:pPr>
            <w:r>
              <w:rPr>
                <w:rFonts w:hint="eastAsia" w:eastAsiaTheme="minorEastAsia"/>
                <w:szCs w:val="21"/>
              </w:rPr>
              <w:t>12</w:t>
            </w:r>
          </w:p>
        </w:tc>
        <w:tc>
          <w:tcPr>
            <w:tcW w:w="426" w:type="dxa"/>
            <w:vMerge w:val="continue"/>
            <w:vAlign w:val="center"/>
          </w:tcPr>
          <w:p w14:paraId="54E83C25">
            <w:pPr>
              <w:spacing w:line="320" w:lineRule="exact"/>
              <w:jc w:val="center"/>
              <w:rPr>
                <w:rFonts w:eastAsiaTheme="minorEastAsia"/>
                <w:szCs w:val="21"/>
              </w:rPr>
            </w:pPr>
          </w:p>
        </w:tc>
        <w:tc>
          <w:tcPr>
            <w:tcW w:w="1711" w:type="dxa"/>
            <w:vAlign w:val="center"/>
          </w:tcPr>
          <w:p w14:paraId="07C4A1EC">
            <w:pPr>
              <w:spacing w:line="320" w:lineRule="exact"/>
              <w:ind w:left="-53" w:leftChars="-25" w:right="-53" w:rightChars="-25"/>
              <w:jc w:val="center"/>
              <w:rPr>
                <w:rFonts w:eastAsiaTheme="minorEastAsia"/>
                <w:szCs w:val="21"/>
              </w:rPr>
            </w:pPr>
            <w:r>
              <w:rPr>
                <w:rFonts w:eastAsiaTheme="minorEastAsia"/>
                <w:szCs w:val="21"/>
              </w:rPr>
              <w:t>GB18599-2020</w:t>
            </w:r>
          </w:p>
        </w:tc>
        <w:tc>
          <w:tcPr>
            <w:tcW w:w="4429" w:type="dxa"/>
            <w:vAlign w:val="center"/>
          </w:tcPr>
          <w:p w14:paraId="7F9A8748">
            <w:pPr>
              <w:spacing w:line="320" w:lineRule="exact"/>
              <w:ind w:left="-53" w:leftChars="-25" w:right="-53" w:rightChars="-25"/>
              <w:jc w:val="center"/>
              <w:rPr>
                <w:rFonts w:eastAsiaTheme="minorEastAsia"/>
                <w:szCs w:val="21"/>
              </w:rPr>
            </w:pPr>
            <w:r>
              <w:rPr>
                <w:rFonts w:eastAsiaTheme="minorEastAsia"/>
                <w:szCs w:val="21"/>
              </w:rPr>
              <w:t>《一般工业固体废物贮存和填埋污染控制标准》</w:t>
            </w:r>
          </w:p>
        </w:tc>
        <w:tc>
          <w:tcPr>
            <w:tcW w:w="1739" w:type="dxa"/>
            <w:vAlign w:val="center"/>
          </w:tcPr>
          <w:p w14:paraId="1A3CEA1E">
            <w:pPr>
              <w:spacing w:line="320" w:lineRule="exact"/>
              <w:ind w:left="-53" w:leftChars="-25" w:right="-53" w:rightChars="-25"/>
              <w:jc w:val="center"/>
              <w:rPr>
                <w:rFonts w:eastAsiaTheme="minorEastAsia"/>
                <w:szCs w:val="21"/>
              </w:rPr>
            </w:pPr>
            <w:r>
              <w:rPr>
                <w:rFonts w:eastAsiaTheme="minorEastAsia"/>
                <w:szCs w:val="21"/>
              </w:rPr>
              <w:t>一般固体废物</w:t>
            </w:r>
          </w:p>
        </w:tc>
      </w:tr>
      <w:tr w14:paraId="07952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69" w:type="dxa"/>
            <w:tcBorders>
              <w:top w:val="single" w:color="auto" w:sz="4" w:space="0"/>
            </w:tcBorders>
            <w:vAlign w:val="center"/>
          </w:tcPr>
          <w:p w14:paraId="392BF134">
            <w:pPr>
              <w:spacing w:line="320" w:lineRule="exact"/>
              <w:jc w:val="center"/>
              <w:rPr>
                <w:rFonts w:eastAsiaTheme="minorEastAsia"/>
                <w:szCs w:val="21"/>
              </w:rPr>
            </w:pPr>
            <w:r>
              <w:rPr>
                <w:rFonts w:hint="eastAsia" w:eastAsiaTheme="minorEastAsia"/>
                <w:szCs w:val="21"/>
              </w:rPr>
              <w:t>13</w:t>
            </w:r>
          </w:p>
        </w:tc>
        <w:tc>
          <w:tcPr>
            <w:tcW w:w="426" w:type="dxa"/>
            <w:vMerge w:val="continue"/>
            <w:vAlign w:val="center"/>
          </w:tcPr>
          <w:p w14:paraId="702AE50A">
            <w:pPr>
              <w:spacing w:line="320" w:lineRule="exact"/>
              <w:jc w:val="center"/>
              <w:rPr>
                <w:rFonts w:eastAsiaTheme="minorEastAsia"/>
                <w:szCs w:val="21"/>
              </w:rPr>
            </w:pPr>
          </w:p>
        </w:tc>
        <w:tc>
          <w:tcPr>
            <w:tcW w:w="1711" w:type="dxa"/>
            <w:vAlign w:val="center"/>
          </w:tcPr>
          <w:p w14:paraId="57101DDB">
            <w:pPr>
              <w:spacing w:line="320" w:lineRule="exact"/>
              <w:jc w:val="center"/>
              <w:rPr>
                <w:rFonts w:eastAsiaTheme="minorEastAsia"/>
                <w:szCs w:val="21"/>
              </w:rPr>
            </w:pPr>
            <w:r>
              <w:rPr>
                <w:rFonts w:eastAsiaTheme="minorEastAsia"/>
                <w:szCs w:val="21"/>
              </w:rPr>
              <w:t>GB18597-2023</w:t>
            </w:r>
          </w:p>
        </w:tc>
        <w:tc>
          <w:tcPr>
            <w:tcW w:w="4429" w:type="dxa"/>
            <w:vAlign w:val="center"/>
          </w:tcPr>
          <w:p w14:paraId="498B6224">
            <w:pPr>
              <w:spacing w:line="320" w:lineRule="exact"/>
              <w:jc w:val="center"/>
              <w:rPr>
                <w:rFonts w:eastAsiaTheme="minorEastAsia"/>
                <w:szCs w:val="21"/>
              </w:rPr>
            </w:pPr>
            <w:r>
              <w:rPr>
                <w:rFonts w:eastAsiaTheme="minorEastAsia"/>
                <w:szCs w:val="21"/>
              </w:rPr>
              <w:t>《危险废物贮存污染控制标准》</w:t>
            </w:r>
          </w:p>
        </w:tc>
        <w:tc>
          <w:tcPr>
            <w:tcW w:w="1739" w:type="dxa"/>
            <w:vAlign w:val="center"/>
          </w:tcPr>
          <w:p w14:paraId="62BB5A21">
            <w:pPr>
              <w:spacing w:line="320" w:lineRule="exact"/>
              <w:jc w:val="center"/>
              <w:rPr>
                <w:rFonts w:eastAsiaTheme="minorEastAsia"/>
                <w:szCs w:val="21"/>
              </w:rPr>
            </w:pPr>
            <w:r>
              <w:rPr>
                <w:rFonts w:eastAsiaTheme="minorEastAsia"/>
                <w:szCs w:val="21"/>
              </w:rPr>
              <w:t>危险废物</w:t>
            </w:r>
          </w:p>
        </w:tc>
      </w:tr>
    </w:tbl>
    <w:p w14:paraId="73EBBB40">
      <w:pPr>
        <w:keepNext/>
        <w:keepLines/>
        <w:widowControl/>
        <w:numPr>
          <w:ilvl w:val="2"/>
          <w:numId w:val="1"/>
        </w:numPr>
        <w:spacing w:before="120" w:after="120" w:line="360" w:lineRule="auto"/>
        <w:jc w:val="left"/>
        <w:outlineLvl w:val="2"/>
        <w:rPr>
          <w:rFonts w:eastAsiaTheme="minorEastAsia"/>
          <w:b/>
          <w:bCs/>
          <w:sz w:val="24"/>
        </w:rPr>
      </w:pPr>
      <w:bookmarkStart w:id="69" w:name="_Toc206494912"/>
      <w:r>
        <w:rPr>
          <w:rFonts w:eastAsiaTheme="minorEastAsia"/>
          <w:b/>
          <w:bCs/>
          <w:sz w:val="24"/>
        </w:rPr>
        <w:t>环境质量标准</w:t>
      </w:r>
      <w:bookmarkEnd w:id="69"/>
    </w:p>
    <w:p w14:paraId="14846B84">
      <w:pPr>
        <w:spacing w:line="360" w:lineRule="auto"/>
        <w:ind w:firstLine="482" w:firstLineChars="200"/>
        <w:rPr>
          <w:rFonts w:eastAsiaTheme="minorEastAsia"/>
          <w:b/>
          <w:sz w:val="24"/>
        </w:rPr>
      </w:pPr>
      <w:r>
        <w:rPr>
          <w:rFonts w:eastAsiaTheme="minorEastAsia"/>
          <w:b/>
          <w:sz w:val="24"/>
        </w:rPr>
        <w:t>（1）环境空气质量标准</w:t>
      </w:r>
    </w:p>
    <w:p w14:paraId="493CCB50">
      <w:pPr>
        <w:spacing w:line="360" w:lineRule="auto"/>
        <w:ind w:firstLine="480" w:firstLineChars="200"/>
        <w:rPr>
          <w:rFonts w:eastAsiaTheme="minorEastAsia"/>
          <w:sz w:val="24"/>
        </w:rPr>
      </w:pPr>
      <w:r>
        <w:rPr>
          <w:rFonts w:eastAsiaTheme="minorEastAsia"/>
          <w:sz w:val="24"/>
        </w:rPr>
        <w:t>根据《环境空气质量标准》（GB3095-2012）中环境空气质量功能区分类规定，本区属于二类功能区，环境空气质量执行二级标准。</w:t>
      </w:r>
    </w:p>
    <w:p w14:paraId="28362D3B">
      <w:pPr>
        <w:spacing w:line="360" w:lineRule="auto"/>
        <w:ind w:firstLine="480" w:firstLineChars="200"/>
        <w:rPr>
          <w:rFonts w:eastAsiaTheme="minorEastAsia"/>
          <w:sz w:val="24"/>
        </w:rPr>
      </w:pPr>
      <w:r>
        <w:rPr>
          <w:rFonts w:eastAsiaTheme="minorEastAsia"/>
          <w:sz w:val="24"/>
        </w:rPr>
        <w:t>环境空气现状评价因子标准值见下表。</w:t>
      </w:r>
    </w:p>
    <w:p w14:paraId="741652FD">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1</w:t>
      </w:r>
      <w:r>
        <w:rPr>
          <w:rFonts w:eastAsiaTheme="minorEastAsia"/>
          <w:b/>
          <w:snapToGrid w:val="0"/>
          <w:kern w:val="18"/>
          <w:szCs w:val="21"/>
        </w:rPr>
        <w:t xml:space="preserve">   环境空气现状评价因子质量标准</w:t>
      </w:r>
    </w:p>
    <w:tbl>
      <w:tblPr>
        <w:tblStyle w:val="88"/>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6"/>
        <w:gridCol w:w="3248"/>
        <w:gridCol w:w="851"/>
        <w:gridCol w:w="992"/>
        <w:gridCol w:w="1418"/>
        <w:gridCol w:w="1134"/>
      </w:tblGrid>
      <w:tr w14:paraId="60694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6" w:type="dxa"/>
            <w:vMerge w:val="restart"/>
            <w:vAlign w:val="center"/>
          </w:tcPr>
          <w:p w14:paraId="6162B6FE">
            <w:pPr>
              <w:spacing w:line="320" w:lineRule="exact"/>
              <w:contextualSpacing/>
              <w:jc w:val="center"/>
              <w:rPr>
                <w:rFonts w:eastAsiaTheme="minorEastAsia"/>
                <w:szCs w:val="21"/>
              </w:rPr>
            </w:pPr>
            <w:r>
              <w:rPr>
                <w:rFonts w:eastAsiaTheme="minorEastAsia"/>
                <w:szCs w:val="21"/>
              </w:rPr>
              <w:t>类别</w:t>
            </w:r>
          </w:p>
        </w:tc>
        <w:tc>
          <w:tcPr>
            <w:tcW w:w="3248" w:type="dxa"/>
            <w:vMerge w:val="restart"/>
            <w:vAlign w:val="center"/>
          </w:tcPr>
          <w:p w14:paraId="280F2044">
            <w:pPr>
              <w:spacing w:line="320" w:lineRule="exact"/>
              <w:contextualSpacing/>
              <w:jc w:val="center"/>
              <w:rPr>
                <w:rFonts w:eastAsiaTheme="minorEastAsia"/>
                <w:szCs w:val="21"/>
              </w:rPr>
            </w:pPr>
            <w:r>
              <w:rPr>
                <w:rFonts w:eastAsiaTheme="minorEastAsia"/>
                <w:szCs w:val="21"/>
              </w:rPr>
              <w:t>标准号及名称</w:t>
            </w:r>
          </w:p>
        </w:tc>
        <w:tc>
          <w:tcPr>
            <w:tcW w:w="851" w:type="dxa"/>
            <w:vMerge w:val="restart"/>
            <w:vAlign w:val="center"/>
          </w:tcPr>
          <w:p w14:paraId="6392370C">
            <w:pPr>
              <w:spacing w:line="320" w:lineRule="exact"/>
              <w:contextualSpacing/>
              <w:jc w:val="center"/>
              <w:rPr>
                <w:rFonts w:eastAsiaTheme="minorEastAsia"/>
                <w:szCs w:val="21"/>
              </w:rPr>
            </w:pPr>
            <w:r>
              <w:rPr>
                <w:rFonts w:eastAsiaTheme="minorEastAsia"/>
                <w:szCs w:val="21"/>
              </w:rPr>
              <w:t>类别</w:t>
            </w:r>
          </w:p>
        </w:tc>
        <w:tc>
          <w:tcPr>
            <w:tcW w:w="3544" w:type="dxa"/>
            <w:gridSpan w:val="3"/>
            <w:vAlign w:val="center"/>
          </w:tcPr>
          <w:p w14:paraId="6AA0E383">
            <w:pPr>
              <w:spacing w:line="320" w:lineRule="exact"/>
              <w:contextualSpacing/>
              <w:jc w:val="center"/>
              <w:rPr>
                <w:rFonts w:eastAsiaTheme="minorEastAsia"/>
                <w:szCs w:val="21"/>
              </w:rPr>
            </w:pPr>
            <w:r>
              <w:rPr>
                <w:rFonts w:eastAsiaTheme="minorEastAsia"/>
                <w:szCs w:val="21"/>
              </w:rPr>
              <w:t>污染物浓度限值</w:t>
            </w:r>
          </w:p>
        </w:tc>
      </w:tr>
      <w:tr w14:paraId="38C33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6" w:type="dxa"/>
            <w:vMerge w:val="continue"/>
            <w:vAlign w:val="center"/>
          </w:tcPr>
          <w:p w14:paraId="2E16C6A6">
            <w:pPr>
              <w:spacing w:line="320" w:lineRule="exact"/>
              <w:contextualSpacing/>
              <w:jc w:val="center"/>
              <w:rPr>
                <w:rFonts w:eastAsiaTheme="minorEastAsia"/>
                <w:szCs w:val="21"/>
              </w:rPr>
            </w:pPr>
          </w:p>
        </w:tc>
        <w:tc>
          <w:tcPr>
            <w:tcW w:w="3248" w:type="dxa"/>
            <w:vMerge w:val="continue"/>
            <w:vAlign w:val="center"/>
          </w:tcPr>
          <w:p w14:paraId="5160A8FB">
            <w:pPr>
              <w:spacing w:line="320" w:lineRule="exact"/>
              <w:contextualSpacing/>
              <w:jc w:val="center"/>
              <w:rPr>
                <w:rFonts w:eastAsiaTheme="minorEastAsia"/>
                <w:szCs w:val="21"/>
              </w:rPr>
            </w:pPr>
          </w:p>
        </w:tc>
        <w:tc>
          <w:tcPr>
            <w:tcW w:w="851" w:type="dxa"/>
            <w:vMerge w:val="continue"/>
            <w:vAlign w:val="center"/>
          </w:tcPr>
          <w:p w14:paraId="288532D6">
            <w:pPr>
              <w:spacing w:line="320" w:lineRule="exact"/>
              <w:contextualSpacing/>
              <w:jc w:val="center"/>
              <w:rPr>
                <w:rFonts w:eastAsiaTheme="minorEastAsia"/>
                <w:szCs w:val="21"/>
              </w:rPr>
            </w:pPr>
          </w:p>
        </w:tc>
        <w:tc>
          <w:tcPr>
            <w:tcW w:w="992" w:type="dxa"/>
            <w:vAlign w:val="center"/>
          </w:tcPr>
          <w:p w14:paraId="6D8DEB22">
            <w:pPr>
              <w:spacing w:line="320" w:lineRule="exact"/>
              <w:contextualSpacing/>
              <w:jc w:val="center"/>
              <w:rPr>
                <w:rFonts w:eastAsiaTheme="minorEastAsia"/>
                <w:szCs w:val="21"/>
              </w:rPr>
            </w:pPr>
            <w:r>
              <w:rPr>
                <w:rFonts w:eastAsiaTheme="minorEastAsia"/>
                <w:szCs w:val="21"/>
              </w:rPr>
              <w:t>名称</w:t>
            </w:r>
          </w:p>
        </w:tc>
        <w:tc>
          <w:tcPr>
            <w:tcW w:w="1418" w:type="dxa"/>
            <w:vAlign w:val="center"/>
          </w:tcPr>
          <w:p w14:paraId="4F762C0E">
            <w:pPr>
              <w:spacing w:line="320" w:lineRule="exact"/>
              <w:contextualSpacing/>
              <w:jc w:val="center"/>
              <w:rPr>
                <w:rFonts w:eastAsiaTheme="minorEastAsia"/>
                <w:szCs w:val="21"/>
              </w:rPr>
            </w:pPr>
            <w:r>
              <w:rPr>
                <w:rFonts w:eastAsiaTheme="minorEastAsia"/>
                <w:szCs w:val="21"/>
              </w:rPr>
              <w:t>取值时间</w:t>
            </w:r>
          </w:p>
        </w:tc>
        <w:tc>
          <w:tcPr>
            <w:tcW w:w="1134" w:type="dxa"/>
            <w:vAlign w:val="center"/>
          </w:tcPr>
          <w:p w14:paraId="7F2F670E">
            <w:pPr>
              <w:spacing w:line="320" w:lineRule="exact"/>
              <w:contextualSpacing/>
              <w:jc w:val="center"/>
              <w:rPr>
                <w:rFonts w:eastAsiaTheme="minorEastAsia"/>
                <w:szCs w:val="21"/>
              </w:rPr>
            </w:pPr>
            <w:r>
              <w:rPr>
                <w:rFonts w:eastAsiaTheme="minorEastAsia"/>
                <w:szCs w:val="21"/>
              </w:rPr>
              <w:t>标准值</w:t>
            </w:r>
          </w:p>
        </w:tc>
      </w:tr>
      <w:tr w14:paraId="5602E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restart"/>
            <w:vAlign w:val="center"/>
          </w:tcPr>
          <w:p w14:paraId="50905601">
            <w:pPr>
              <w:spacing w:line="320" w:lineRule="exact"/>
              <w:contextualSpacing/>
              <w:jc w:val="center"/>
              <w:rPr>
                <w:rFonts w:eastAsiaTheme="minorEastAsia"/>
                <w:szCs w:val="21"/>
              </w:rPr>
            </w:pPr>
            <w:r>
              <w:rPr>
                <w:rFonts w:eastAsiaTheme="minorEastAsia"/>
                <w:szCs w:val="21"/>
              </w:rPr>
              <w:t>环境空气</w:t>
            </w:r>
          </w:p>
        </w:tc>
        <w:tc>
          <w:tcPr>
            <w:tcW w:w="3248" w:type="dxa"/>
            <w:vMerge w:val="restart"/>
            <w:vAlign w:val="center"/>
          </w:tcPr>
          <w:p w14:paraId="1074B93A">
            <w:pPr>
              <w:spacing w:line="320" w:lineRule="exact"/>
              <w:contextualSpacing/>
              <w:jc w:val="center"/>
              <w:rPr>
                <w:rFonts w:eastAsiaTheme="minorEastAsia"/>
                <w:szCs w:val="21"/>
              </w:rPr>
            </w:pPr>
            <w:r>
              <w:rPr>
                <w:rFonts w:eastAsiaTheme="minorEastAsia"/>
                <w:szCs w:val="21"/>
              </w:rPr>
              <w:t>《环境空气质量标准》（GB3095-2012）及其修改单</w:t>
            </w:r>
          </w:p>
        </w:tc>
        <w:tc>
          <w:tcPr>
            <w:tcW w:w="851" w:type="dxa"/>
            <w:vMerge w:val="restart"/>
            <w:vAlign w:val="center"/>
          </w:tcPr>
          <w:p w14:paraId="706AB53B">
            <w:pPr>
              <w:spacing w:line="320" w:lineRule="exact"/>
              <w:contextualSpacing/>
              <w:jc w:val="center"/>
              <w:rPr>
                <w:rFonts w:eastAsiaTheme="minorEastAsia"/>
                <w:szCs w:val="21"/>
              </w:rPr>
            </w:pPr>
            <w:r>
              <w:rPr>
                <w:rFonts w:eastAsiaTheme="minorEastAsia"/>
                <w:szCs w:val="21"/>
              </w:rPr>
              <w:t>二级</w:t>
            </w:r>
          </w:p>
        </w:tc>
        <w:tc>
          <w:tcPr>
            <w:tcW w:w="992" w:type="dxa"/>
            <w:vMerge w:val="restart"/>
            <w:vAlign w:val="center"/>
          </w:tcPr>
          <w:p w14:paraId="54D08422">
            <w:pPr>
              <w:spacing w:line="320" w:lineRule="exact"/>
              <w:contextualSpacing/>
              <w:jc w:val="center"/>
              <w:rPr>
                <w:rFonts w:eastAsiaTheme="minorEastAsia"/>
                <w:szCs w:val="21"/>
              </w:rPr>
            </w:pPr>
            <w:r>
              <w:rPr>
                <w:rFonts w:eastAsiaTheme="minorEastAsia"/>
                <w:szCs w:val="21"/>
              </w:rPr>
              <w:t>SO</w:t>
            </w:r>
            <w:r>
              <w:rPr>
                <w:rFonts w:eastAsiaTheme="minorEastAsia"/>
                <w:szCs w:val="21"/>
                <w:vertAlign w:val="subscript"/>
              </w:rPr>
              <w:t>2</w:t>
            </w:r>
          </w:p>
        </w:tc>
        <w:tc>
          <w:tcPr>
            <w:tcW w:w="1418" w:type="dxa"/>
            <w:vAlign w:val="center"/>
          </w:tcPr>
          <w:p w14:paraId="6A2C07CE">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68DCBC5F">
            <w:pPr>
              <w:spacing w:line="320" w:lineRule="exact"/>
              <w:contextualSpacing/>
              <w:jc w:val="center"/>
              <w:rPr>
                <w:rFonts w:eastAsiaTheme="minorEastAsia"/>
                <w:szCs w:val="21"/>
              </w:rPr>
            </w:pPr>
            <w:r>
              <w:rPr>
                <w:rFonts w:eastAsiaTheme="minorEastAsia"/>
                <w:szCs w:val="21"/>
              </w:rPr>
              <w:t>60ug/m³</w:t>
            </w:r>
          </w:p>
        </w:tc>
      </w:tr>
      <w:tr w14:paraId="6BD49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5A678601">
            <w:pPr>
              <w:spacing w:line="320" w:lineRule="exact"/>
              <w:contextualSpacing/>
              <w:jc w:val="center"/>
              <w:rPr>
                <w:rFonts w:eastAsiaTheme="minorEastAsia"/>
                <w:szCs w:val="21"/>
              </w:rPr>
            </w:pPr>
          </w:p>
        </w:tc>
        <w:tc>
          <w:tcPr>
            <w:tcW w:w="3248" w:type="dxa"/>
            <w:vMerge w:val="continue"/>
            <w:vAlign w:val="center"/>
          </w:tcPr>
          <w:p w14:paraId="4C794434">
            <w:pPr>
              <w:spacing w:line="320" w:lineRule="exact"/>
              <w:contextualSpacing/>
              <w:jc w:val="center"/>
              <w:rPr>
                <w:rFonts w:eastAsiaTheme="minorEastAsia"/>
                <w:szCs w:val="21"/>
              </w:rPr>
            </w:pPr>
          </w:p>
        </w:tc>
        <w:tc>
          <w:tcPr>
            <w:tcW w:w="851" w:type="dxa"/>
            <w:vMerge w:val="continue"/>
            <w:vAlign w:val="center"/>
          </w:tcPr>
          <w:p w14:paraId="7512781D">
            <w:pPr>
              <w:spacing w:line="320" w:lineRule="exact"/>
              <w:contextualSpacing/>
              <w:jc w:val="center"/>
              <w:rPr>
                <w:rFonts w:eastAsiaTheme="minorEastAsia"/>
                <w:szCs w:val="21"/>
              </w:rPr>
            </w:pPr>
          </w:p>
        </w:tc>
        <w:tc>
          <w:tcPr>
            <w:tcW w:w="992" w:type="dxa"/>
            <w:vMerge w:val="continue"/>
            <w:vAlign w:val="center"/>
          </w:tcPr>
          <w:p w14:paraId="3D929C05">
            <w:pPr>
              <w:spacing w:line="320" w:lineRule="exact"/>
              <w:contextualSpacing/>
              <w:jc w:val="center"/>
              <w:rPr>
                <w:rFonts w:eastAsiaTheme="minorEastAsia"/>
                <w:szCs w:val="21"/>
              </w:rPr>
            </w:pPr>
          </w:p>
        </w:tc>
        <w:tc>
          <w:tcPr>
            <w:tcW w:w="1418" w:type="dxa"/>
            <w:vAlign w:val="center"/>
          </w:tcPr>
          <w:p w14:paraId="3BBC1B2A">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6F682CEA">
            <w:pPr>
              <w:spacing w:line="320" w:lineRule="exact"/>
              <w:contextualSpacing/>
              <w:jc w:val="center"/>
              <w:rPr>
                <w:rFonts w:eastAsiaTheme="minorEastAsia"/>
                <w:szCs w:val="21"/>
              </w:rPr>
            </w:pPr>
            <w:r>
              <w:rPr>
                <w:rFonts w:eastAsiaTheme="minorEastAsia"/>
                <w:szCs w:val="21"/>
              </w:rPr>
              <w:t>150ug/m³</w:t>
            </w:r>
          </w:p>
        </w:tc>
      </w:tr>
      <w:tr w14:paraId="155ED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48A373D2">
            <w:pPr>
              <w:spacing w:line="320" w:lineRule="exact"/>
              <w:contextualSpacing/>
              <w:jc w:val="center"/>
              <w:rPr>
                <w:rFonts w:eastAsiaTheme="minorEastAsia"/>
                <w:szCs w:val="21"/>
              </w:rPr>
            </w:pPr>
          </w:p>
        </w:tc>
        <w:tc>
          <w:tcPr>
            <w:tcW w:w="3248" w:type="dxa"/>
            <w:vMerge w:val="continue"/>
            <w:vAlign w:val="center"/>
          </w:tcPr>
          <w:p w14:paraId="6143E3FD">
            <w:pPr>
              <w:spacing w:line="320" w:lineRule="exact"/>
              <w:contextualSpacing/>
              <w:jc w:val="center"/>
              <w:rPr>
                <w:rFonts w:eastAsiaTheme="minorEastAsia"/>
                <w:szCs w:val="21"/>
              </w:rPr>
            </w:pPr>
          </w:p>
        </w:tc>
        <w:tc>
          <w:tcPr>
            <w:tcW w:w="851" w:type="dxa"/>
            <w:vMerge w:val="continue"/>
            <w:vAlign w:val="center"/>
          </w:tcPr>
          <w:p w14:paraId="74A44930">
            <w:pPr>
              <w:spacing w:line="320" w:lineRule="exact"/>
              <w:contextualSpacing/>
              <w:jc w:val="center"/>
              <w:rPr>
                <w:rFonts w:eastAsiaTheme="minorEastAsia"/>
                <w:szCs w:val="21"/>
              </w:rPr>
            </w:pPr>
          </w:p>
        </w:tc>
        <w:tc>
          <w:tcPr>
            <w:tcW w:w="992" w:type="dxa"/>
            <w:vMerge w:val="continue"/>
            <w:vAlign w:val="center"/>
          </w:tcPr>
          <w:p w14:paraId="2E6E3F37">
            <w:pPr>
              <w:spacing w:line="320" w:lineRule="exact"/>
              <w:contextualSpacing/>
              <w:jc w:val="center"/>
              <w:rPr>
                <w:rFonts w:eastAsiaTheme="minorEastAsia"/>
                <w:szCs w:val="21"/>
              </w:rPr>
            </w:pPr>
          </w:p>
        </w:tc>
        <w:tc>
          <w:tcPr>
            <w:tcW w:w="1418" w:type="dxa"/>
            <w:vAlign w:val="center"/>
          </w:tcPr>
          <w:p w14:paraId="21FF17A2">
            <w:pPr>
              <w:spacing w:line="320" w:lineRule="exact"/>
              <w:contextualSpacing/>
              <w:jc w:val="center"/>
              <w:rPr>
                <w:rFonts w:eastAsiaTheme="minorEastAsia"/>
                <w:szCs w:val="21"/>
              </w:rPr>
            </w:pPr>
            <w:r>
              <w:rPr>
                <w:rFonts w:eastAsiaTheme="minorEastAsia"/>
                <w:szCs w:val="21"/>
              </w:rPr>
              <w:t>1小时平均</w:t>
            </w:r>
          </w:p>
        </w:tc>
        <w:tc>
          <w:tcPr>
            <w:tcW w:w="1134" w:type="dxa"/>
            <w:vAlign w:val="center"/>
          </w:tcPr>
          <w:p w14:paraId="2CD2A8E4">
            <w:pPr>
              <w:spacing w:line="320" w:lineRule="exact"/>
              <w:contextualSpacing/>
              <w:jc w:val="center"/>
              <w:rPr>
                <w:rFonts w:eastAsiaTheme="minorEastAsia"/>
                <w:szCs w:val="21"/>
              </w:rPr>
            </w:pPr>
            <w:r>
              <w:rPr>
                <w:rFonts w:eastAsiaTheme="minorEastAsia"/>
                <w:szCs w:val="21"/>
              </w:rPr>
              <w:t>500ug/m³</w:t>
            </w:r>
          </w:p>
        </w:tc>
      </w:tr>
      <w:tr w14:paraId="36E10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0012CFC2">
            <w:pPr>
              <w:spacing w:line="320" w:lineRule="exact"/>
              <w:contextualSpacing/>
              <w:jc w:val="center"/>
              <w:rPr>
                <w:rFonts w:eastAsiaTheme="minorEastAsia"/>
                <w:szCs w:val="21"/>
              </w:rPr>
            </w:pPr>
          </w:p>
        </w:tc>
        <w:tc>
          <w:tcPr>
            <w:tcW w:w="3248" w:type="dxa"/>
            <w:vMerge w:val="continue"/>
            <w:vAlign w:val="center"/>
          </w:tcPr>
          <w:p w14:paraId="790723A0">
            <w:pPr>
              <w:spacing w:line="320" w:lineRule="exact"/>
              <w:contextualSpacing/>
              <w:jc w:val="center"/>
              <w:rPr>
                <w:rFonts w:eastAsiaTheme="minorEastAsia"/>
                <w:szCs w:val="21"/>
              </w:rPr>
            </w:pPr>
          </w:p>
        </w:tc>
        <w:tc>
          <w:tcPr>
            <w:tcW w:w="851" w:type="dxa"/>
            <w:vMerge w:val="continue"/>
            <w:vAlign w:val="center"/>
          </w:tcPr>
          <w:p w14:paraId="4F8EDB8B">
            <w:pPr>
              <w:spacing w:line="320" w:lineRule="exact"/>
              <w:contextualSpacing/>
              <w:jc w:val="center"/>
              <w:rPr>
                <w:rFonts w:eastAsiaTheme="minorEastAsia"/>
                <w:szCs w:val="21"/>
              </w:rPr>
            </w:pPr>
          </w:p>
        </w:tc>
        <w:tc>
          <w:tcPr>
            <w:tcW w:w="992" w:type="dxa"/>
            <w:vMerge w:val="restart"/>
            <w:vAlign w:val="center"/>
          </w:tcPr>
          <w:p w14:paraId="37C78846">
            <w:pPr>
              <w:spacing w:line="320" w:lineRule="exact"/>
              <w:contextualSpacing/>
              <w:jc w:val="center"/>
              <w:rPr>
                <w:rFonts w:eastAsiaTheme="minorEastAsia"/>
                <w:szCs w:val="21"/>
              </w:rPr>
            </w:pPr>
            <w:r>
              <w:rPr>
                <w:rFonts w:eastAsiaTheme="minorEastAsia"/>
                <w:szCs w:val="21"/>
              </w:rPr>
              <w:t>NO</w:t>
            </w:r>
            <w:r>
              <w:rPr>
                <w:rFonts w:eastAsiaTheme="minorEastAsia"/>
                <w:szCs w:val="21"/>
                <w:vertAlign w:val="subscript"/>
              </w:rPr>
              <w:t>2</w:t>
            </w:r>
          </w:p>
        </w:tc>
        <w:tc>
          <w:tcPr>
            <w:tcW w:w="1418" w:type="dxa"/>
            <w:vAlign w:val="center"/>
          </w:tcPr>
          <w:p w14:paraId="11DA9751">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7C44BD03">
            <w:pPr>
              <w:spacing w:line="320" w:lineRule="exact"/>
              <w:contextualSpacing/>
              <w:jc w:val="center"/>
              <w:rPr>
                <w:rFonts w:eastAsiaTheme="minorEastAsia"/>
                <w:szCs w:val="21"/>
              </w:rPr>
            </w:pPr>
            <w:r>
              <w:rPr>
                <w:rFonts w:eastAsiaTheme="minorEastAsia"/>
                <w:szCs w:val="21"/>
              </w:rPr>
              <w:t>40ug/m³</w:t>
            </w:r>
          </w:p>
        </w:tc>
      </w:tr>
      <w:tr w14:paraId="0B816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6F1B51B2">
            <w:pPr>
              <w:spacing w:line="320" w:lineRule="exact"/>
              <w:contextualSpacing/>
              <w:jc w:val="center"/>
              <w:rPr>
                <w:rFonts w:eastAsiaTheme="minorEastAsia"/>
                <w:szCs w:val="21"/>
              </w:rPr>
            </w:pPr>
          </w:p>
        </w:tc>
        <w:tc>
          <w:tcPr>
            <w:tcW w:w="3248" w:type="dxa"/>
            <w:vMerge w:val="continue"/>
            <w:vAlign w:val="center"/>
          </w:tcPr>
          <w:p w14:paraId="282B5C6A">
            <w:pPr>
              <w:spacing w:line="320" w:lineRule="exact"/>
              <w:contextualSpacing/>
              <w:jc w:val="center"/>
              <w:rPr>
                <w:rFonts w:eastAsiaTheme="minorEastAsia"/>
                <w:szCs w:val="21"/>
              </w:rPr>
            </w:pPr>
          </w:p>
        </w:tc>
        <w:tc>
          <w:tcPr>
            <w:tcW w:w="851" w:type="dxa"/>
            <w:vMerge w:val="continue"/>
            <w:vAlign w:val="center"/>
          </w:tcPr>
          <w:p w14:paraId="27B8117B">
            <w:pPr>
              <w:spacing w:line="320" w:lineRule="exact"/>
              <w:contextualSpacing/>
              <w:jc w:val="center"/>
              <w:rPr>
                <w:rFonts w:eastAsiaTheme="minorEastAsia"/>
                <w:szCs w:val="21"/>
              </w:rPr>
            </w:pPr>
          </w:p>
        </w:tc>
        <w:tc>
          <w:tcPr>
            <w:tcW w:w="992" w:type="dxa"/>
            <w:vMerge w:val="continue"/>
            <w:vAlign w:val="center"/>
          </w:tcPr>
          <w:p w14:paraId="2A991F61">
            <w:pPr>
              <w:spacing w:line="320" w:lineRule="exact"/>
              <w:contextualSpacing/>
              <w:jc w:val="center"/>
              <w:rPr>
                <w:rFonts w:eastAsiaTheme="minorEastAsia"/>
                <w:szCs w:val="21"/>
              </w:rPr>
            </w:pPr>
          </w:p>
        </w:tc>
        <w:tc>
          <w:tcPr>
            <w:tcW w:w="1418" w:type="dxa"/>
            <w:vAlign w:val="center"/>
          </w:tcPr>
          <w:p w14:paraId="76FA3CEC">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4B3827E2">
            <w:pPr>
              <w:spacing w:line="320" w:lineRule="exact"/>
              <w:contextualSpacing/>
              <w:jc w:val="center"/>
              <w:rPr>
                <w:rFonts w:eastAsiaTheme="minorEastAsia"/>
                <w:szCs w:val="21"/>
              </w:rPr>
            </w:pPr>
            <w:r>
              <w:rPr>
                <w:rFonts w:eastAsiaTheme="minorEastAsia"/>
                <w:szCs w:val="21"/>
              </w:rPr>
              <w:t>80ug/m³</w:t>
            </w:r>
          </w:p>
        </w:tc>
      </w:tr>
      <w:tr w14:paraId="7E2DC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16750C16">
            <w:pPr>
              <w:spacing w:line="320" w:lineRule="exact"/>
              <w:contextualSpacing/>
              <w:jc w:val="center"/>
              <w:rPr>
                <w:rFonts w:eastAsiaTheme="minorEastAsia"/>
                <w:szCs w:val="21"/>
              </w:rPr>
            </w:pPr>
          </w:p>
        </w:tc>
        <w:tc>
          <w:tcPr>
            <w:tcW w:w="3248" w:type="dxa"/>
            <w:vMerge w:val="continue"/>
            <w:vAlign w:val="center"/>
          </w:tcPr>
          <w:p w14:paraId="3E79C616">
            <w:pPr>
              <w:spacing w:line="320" w:lineRule="exact"/>
              <w:contextualSpacing/>
              <w:jc w:val="center"/>
              <w:rPr>
                <w:rFonts w:eastAsiaTheme="minorEastAsia"/>
                <w:szCs w:val="21"/>
              </w:rPr>
            </w:pPr>
          </w:p>
        </w:tc>
        <w:tc>
          <w:tcPr>
            <w:tcW w:w="851" w:type="dxa"/>
            <w:vMerge w:val="continue"/>
            <w:vAlign w:val="center"/>
          </w:tcPr>
          <w:p w14:paraId="29688852">
            <w:pPr>
              <w:spacing w:line="320" w:lineRule="exact"/>
              <w:contextualSpacing/>
              <w:jc w:val="center"/>
              <w:rPr>
                <w:rFonts w:eastAsiaTheme="minorEastAsia"/>
                <w:szCs w:val="21"/>
              </w:rPr>
            </w:pPr>
          </w:p>
        </w:tc>
        <w:tc>
          <w:tcPr>
            <w:tcW w:w="992" w:type="dxa"/>
            <w:vMerge w:val="continue"/>
            <w:vAlign w:val="center"/>
          </w:tcPr>
          <w:p w14:paraId="0F65BA8B">
            <w:pPr>
              <w:spacing w:line="320" w:lineRule="exact"/>
              <w:contextualSpacing/>
              <w:jc w:val="center"/>
              <w:rPr>
                <w:rFonts w:eastAsiaTheme="minorEastAsia"/>
                <w:szCs w:val="21"/>
              </w:rPr>
            </w:pPr>
          </w:p>
        </w:tc>
        <w:tc>
          <w:tcPr>
            <w:tcW w:w="1418" w:type="dxa"/>
            <w:vAlign w:val="center"/>
          </w:tcPr>
          <w:p w14:paraId="7880D265">
            <w:pPr>
              <w:spacing w:line="320" w:lineRule="exact"/>
              <w:contextualSpacing/>
              <w:jc w:val="center"/>
              <w:rPr>
                <w:rFonts w:eastAsiaTheme="minorEastAsia"/>
                <w:szCs w:val="21"/>
              </w:rPr>
            </w:pPr>
            <w:r>
              <w:rPr>
                <w:rFonts w:eastAsiaTheme="minorEastAsia"/>
                <w:szCs w:val="21"/>
              </w:rPr>
              <w:t>1小时平均</w:t>
            </w:r>
          </w:p>
        </w:tc>
        <w:tc>
          <w:tcPr>
            <w:tcW w:w="1134" w:type="dxa"/>
            <w:vAlign w:val="center"/>
          </w:tcPr>
          <w:p w14:paraId="18A80398">
            <w:pPr>
              <w:spacing w:line="320" w:lineRule="exact"/>
              <w:contextualSpacing/>
              <w:jc w:val="center"/>
              <w:rPr>
                <w:rFonts w:eastAsiaTheme="minorEastAsia"/>
                <w:szCs w:val="21"/>
              </w:rPr>
            </w:pPr>
            <w:r>
              <w:rPr>
                <w:rFonts w:eastAsiaTheme="minorEastAsia"/>
                <w:szCs w:val="21"/>
              </w:rPr>
              <w:t>200ug/m³</w:t>
            </w:r>
          </w:p>
        </w:tc>
      </w:tr>
      <w:tr w14:paraId="554ED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25E811BA">
            <w:pPr>
              <w:spacing w:line="320" w:lineRule="exact"/>
              <w:contextualSpacing/>
              <w:jc w:val="center"/>
              <w:rPr>
                <w:rFonts w:eastAsiaTheme="minorEastAsia"/>
                <w:szCs w:val="21"/>
              </w:rPr>
            </w:pPr>
          </w:p>
        </w:tc>
        <w:tc>
          <w:tcPr>
            <w:tcW w:w="3248" w:type="dxa"/>
            <w:vMerge w:val="continue"/>
            <w:vAlign w:val="center"/>
          </w:tcPr>
          <w:p w14:paraId="45DE69AD">
            <w:pPr>
              <w:spacing w:line="320" w:lineRule="exact"/>
              <w:contextualSpacing/>
              <w:jc w:val="center"/>
              <w:rPr>
                <w:rFonts w:eastAsiaTheme="minorEastAsia"/>
                <w:szCs w:val="21"/>
              </w:rPr>
            </w:pPr>
          </w:p>
        </w:tc>
        <w:tc>
          <w:tcPr>
            <w:tcW w:w="851" w:type="dxa"/>
            <w:vMerge w:val="continue"/>
            <w:vAlign w:val="center"/>
          </w:tcPr>
          <w:p w14:paraId="693058BC">
            <w:pPr>
              <w:spacing w:line="320" w:lineRule="exact"/>
              <w:contextualSpacing/>
              <w:jc w:val="center"/>
              <w:rPr>
                <w:rFonts w:eastAsiaTheme="minorEastAsia"/>
                <w:szCs w:val="21"/>
              </w:rPr>
            </w:pPr>
          </w:p>
        </w:tc>
        <w:tc>
          <w:tcPr>
            <w:tcW w:w="992" w:type="dxa"/>
            <w:vMerge w:val="restart"/>
            <w:vAlign w:val="center"/>
          </w:tcPr>
          <w:p w14:paraId="7DEDB7A2">
            <w:pPr>
              <w:spacing w:line="320" w:lineRule="exact"/>
              <w:contextualSpacing/>
              <w:jc w:val="center"/>
              <w:rPr>
                <w:rFonts w:eastAsiaTheme="minorEastAsia"/>
                <w:szCs w:val="21"/>
              </w:rPr>
            </w:pPr>
            <w:r>
              <w:rPr>
                <w:rFonts w:eastAsiaTheme="minorEastAsia"/>
                <w:szCs w:val="21"/>
              </w:rPr>
              <w:t>NO</w:t>
            </w:r>
            <w:r>
              <w:rPr>
                <w:rFonts w:eastAsiaTheme="minorEastAsia"/>
                <w:szCs w:val="21"/>
                <w:vertAlign w:val="subscript"/>
              </w:rPr>
              <w:t>x</w:t>
            </w:r>
          </w:p>
        </w:tc>
        <w:tc>
          <w:tcPr>
            <w:tcW w:w="1418" w:type="dxa"/>
            <w:vAlign w:val="center"/>
          </w:tcPr>
          <w:p w14:paraId="17F37F65">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2AE3A4E7">
            <w:pPr>
              <w:spacing w:line="320" w:lineRule="exact"/>
              <w:contextualSpacing/>
              <w:jc w:val="center"/>
              <w:rPr>
                <w:rFonts w:eastAsiaTheme="minorEastAsia"/>
                <w:szCs w:val="21"/>
              </w:rPr>
            </w:pPr>
            <w:r>
              <w:rPr>
                <w:rFonts w:eastAsiaTheme="minorEastAsia"/>
                <w:szCs w:val="21"/>
              </w:rPr>
              <w:t>50ug/m³</w:t>
            </w:r>
          </w:p>
        </w:tc>
      </w:tr>
      <w:tr w14:paraId="570AA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35BB8AA5">
            <w:pPr>
              <w:spacing w:line="320" w:lineRule="exact"/>
              <w:contextualSpacing/>
              <w:jc w:val="center"/>
              <w:rPr>
                <w:rFonts w:eastAsiaTheme="minorEastAsia"/>
                <w:szCs w:val="21"/>
              </w:rPr>
            </w:pPr>
          </w:p>
        </w:tc>
        <w:tc>
          <w:tcPr>
            <w:tcW w:w="3248" w:type="dxa"/>
            <w:vMerge w:val="continue"/>
            <w:vAlign w:val="center"/>
          </w:tcPr>
          <w:p w14:paraId="721EA2A9">
            <w:pPr>
              <w:spacing w:line="320" w:lineRule="exact"/>
              <w:contextualSpacing/>
              <w:jc w:val="center"/>
              <w:rPr>
                <w:rFonts w:eastAsiaTheme="minorEastAsia"/>
                <w:szCs w:val="21"/>
              </w:rPr>
            </w:pPr>
          </w:p>
        </w:tc>
        <w:tc>
          <w:tcPr>
            <w:tcW w:w="851" w:type="dxa"/>
            <w:vMerge w:val="continue"/>
            <w:vAlign w:val="center"/>
          </w:tcPr>
          <w:p w14:paraId="5EDB66C7">
            <w:pPr>
              <w:spacing w:line="320" w:lineRule="exact"/>
              <w:contextualSpacing/>
              <w:jc w:val="center"/>
              <w:rPr>
                <w:rFonts w:eastAsiaTheme="minorEastAsia"/>
                <w:szCs w:val="21"/>
              </w:rPr>
            </w:pPr>
          </w:p>
        </w:tc>
        <w:tc>
          <w:tcPr>
            <w:tcW w:w="992" w:type="dxa"/>
            <w:vMerge w:val="continue"/>
            <w:vAlign w:val="center"/>
          </w:tcPr>
          <w:p w14:paraId="19EFFAC3">
            <w:pPr>
              <w:spacing w:line="320" w:lineRule="exact"/>
              <w:contextualSpacing/>
              <w:jc w:val="center"/>
              <w:rPr>
                <w:rFonts w:eastAsiaTheme="minorEastAsia"/>
                <w:szCs w:val="21"/>
              </w:rPr>
            </w:pPr>
          </w:p>
        </w:tc>
        <w:tc>
          <w:tcPr>
            <w:tcW w:w="1418" w:type="dxa"/>
            <w:vAlign w:val="center"/>
          </w:tcPr>
          <w:p w14:paraId="389513CA">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35537DDB">
            <w:pPr>
              <w:spacing w:line="320" w:lineRule="exact"/>
              <w:contextualSpacing/>
              <w:jc w:val="center"/>
              <w:rPr>
                <w:rFonts w:eastAsiaTheme="minorEastAsia"/>
                <w:szCs w:val="21"/>
              </w:rPr>
            </w:pPr>
            <w:r>
              <w:rPr>
                <w:rFonts w:eastAsiaTheme="minorEastAsia"/>
                <w:szCs w:val="21"/>
              </w:rPr>
              <w:t>100ug/m³</w:t>
            </w:r>
          </w:p>
        </w:tc>
      </w:tr>
      <w:tr w14:paraId="5B3B5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16F72B79">
            <w:pPr>
              <w:spacing w:line="320" w:lineRule="exact"/>
              <w:contextualSpacing/>
              <w:jc w:val="center"/>
              <w:rPr>
                <w:rFonts w:eastAsiaTheme="minorEastAsia"/>
                <w:szCs w:val="21"/>
              </w:rPr>
            </w:pPr>
          </w:p>
        </w:tc>
        <w:tc>
          <w:tcPr>
            <w:tcW w:w="3248" w:type="dxa"/>
            <w:vMerge w:val="continue"/>
            <w:vAlign w:val="center"/>
          </w:tcPr>
          <w:p w14:paraId="59CA9233">
            <w:pPr>
              <w:spacing w:line="320" w:lineRule="exact"/>
              <w:contextualSpacing/>
              <w:jc w:val="center"/>
              <w:rPr>
                <w:rFonts w:eastAsiaTheme="minorEastAsia"/>
                <w:szCs w:val="21"/>
              </w:rPr>
            </w:pPr>
          </w:p>
        </w:tc>
        <w:tc>
          <w:tcPr>
            <w:tcW w:w="851" w:type="dxa"/>
            <w:vMerge w:val="continue"/>
            <w:vAlign w:val="center"/>
          </w:tcPr>
          <w:p w14:paraId="384CBFEE">
            <w:pPr>
              <w:spacing w:line="320" w:lineRule="exact"/>
              <w:contextualSpacing/>
              <w:jc w:val="center"/>
              <w:rPr>
                <w:rFonts w:eastAsiaTheme="minorEastAsia"/>
                <w:szCs w:val="21"/>
              </w:rPr>
            </w:pPr>
          </w:p>
        </w:tc>
        <w:tc>
          <w:tcPr>
            <w:tcW w:w="992" w:type="dxa"/>
            <w:vMerge w:val="continue"/>
            <w:vAlign w:val="center"/>
          </w:tcPr>
          <w:p w14:paraId="15224E96">
            <w:pPr>
              <w:spacing w:line="320" w:lineRule="exact"/>
              <w:contextualSpacing/>
              <w:jc w:val="center"/>
              <w:rPr>
                <w:rFonts w:eastAsiaTheme="minorEastAsia"/>
                <w:szCs w:val="21"/>
              </w:rPr>
            </w:pPr>
          </w:p>
        </w:tc>
        <w:tc>
          <w:tcPr>
            <w:tcW w:w="1418" w:type="dxa"/>
            <w:vAlign w:val="center"/>
          </w:tcPr>
          <w:p w14:paraId="12F206D9">
            <w:pPr>
              <w:spacing w:line="320" w:lineRule="exact"/>
              <w:contextualSpacing/>
              <w:jc w:val="center"/>
              <w:rPr>
                <w:rFonts w:eastAsiaTheme="minorEastAsia"/>
                <w:szCs w:val="21"/>
              </w:rPr>
            </w:pPr>
            <w:r>
              <w:rPr>
                <w:rFonts w:eastAsiaTheme="minorEastAsia"/>
                <w:szCs w:val="21"/>
              </w:rPr>
              <w:t>1小时平均</w:t>
            </w:r>
          </w:p>
        </w:tc>
        <w:tc>
          <w:tcPr>
            <w:tcW w:w="1134" w:type="dxa"/>
            <w:vAlign w:val="center"/>
          </w:tcPr>
          <w:p w14:paraId="3340F964">
            <w:pPr>
              <w:spacing w:line="320" w:lineRule="exact"/>
              <w:contextualSpacing/>
              <w:jc w:val="center"/>
              <w:rPr>
                <w:rFonts w:eastAsiaTheme="minorEastAsia"/>
                <w:szCs w:val="21"/>
              </w:rPr>
            </w:pPr>
            <w:r>
              <w:rPr>
                <w:rFonts w:eastAsiaTheme="minorEastAsia"/>
                <w:szCs w:val="21"/>
              </w:rPr>
              <w:t>250ug/m³</w:t>
            </w:r>
          </w:p>
        </w:tc>
      </w:tr>
      <w:tr w14:paraId="4E18D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6BDEF741">
            <w:pPr>
              <w:spacing w:line="320" w:lineRule="exact"/>
              <w:contextualSpacing/>
              <w:jc w:val="center"/>
              <w:rPr>
                <w:rFonts w:eastAsiaTheme="minorEastAsia"/>
                <w:szCs w:val="21"/>
              </w:rPr>
            </w:pPr>
          </w:p>
        </w:tc>
        <w:tc>
          <w:tcPr>
            <w:tcW w:w="3248" w:type="dxa"/>
            <w:vMerge w:val="continue"/>
            <w:vAlign w:val="center"/>
          </w:tcPr>
          <w:p w14:paraId="32F573FB">
            <w:pPr>
              <w:spacing w:line="320" w:lineRule="exact"/>
              <w:contextualSpacing/>
              <w:jc w:val="center"/>
              <w:rPr>
                <w:rFonts w:eastAsiaTheme="minorEastAsia"/>
                <w:szCs w:val="21"/>
              </w:rPr>
            </w:pPr>
          </w:p>
        </w:tc>
        <w:tc>
          <w:tcPr>
            <w:tcW w:w="851" w:type="dxa"/>
            <w:vMerge w:val="continue"/>
            <w:vAlign w:val="center"/>
          </w:tcPr>
          <w:p w14:paraId="5DA3D565">
            <w:pPr>
              <w:spacing w:line="320" w:lineRule="exact"/>
              <w:contextualSpacing/>
              <w:jc w:val="center"/>
              <w:rPr>
                <w:rFonts w:eastAsiaTheme="minorEastAsia"/>
                <w:szCs w:val="21"/>
              </w:rPr>
            </w:pPr>
          </w:p>
        </w:tc>
        <w:tc>
          <w:tcPr>
            <w:tcW w:w="992" w:type="dxa"/>
            <w:vMerge w:val="restart"/>
            <w:vAlign w:val="center"/>
          </w:tcPr>
          <w:p w14:paraId="24FF6BE6">
            <w:pPr>
              <w:spacing w:line="320" w:lineRule="exact"/>
              <w:contextualSpacing/>
              <w:jc w:val="center"/>
              <w:rPr>
                <w:rFonts w:eastAsiaTheme="minorEastAsia"/>
                <w:szCs w:val="21"/>
              </w:rPr>
            </w:pPr>
            <w:r>
              <w:rPr>
                <w:rFonts w:eastAsiaTheme="minorEastAsia"/>
                <w:szCs w:val="21"/>
              </w:rPr>
              <w:t>PM</w:t>
            </w:r>
            <w:r>
              <w:rPr>
                <w:rFonts w:eastAsiaTheme="minorEastAsia"/>
                <w:szCs w:val="21"/>
                <w:vertAlign w:val="subscript"/>
              </w:rPr>
              <w:t>10</w:t>
            </w:r>
          </w:p>
        </w:tc>
        <w:tc>
          <w:tcPr>
            <w:tcW w:w="1418" w:type="dxa"/>
            <w:vAlign w:val="center"/>
          </w:tcPr>
          <w:p w14:paraId="4ACB070C">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082A5FBB">
            <w:pPr>
              <w:spacing w:line="320" w:lineRule="exact"/>
              <w:contextualSpacing/>
              <w:jc w:val="center"/>
              <w:rPr>
                <w:rFonts w:eastAsiaTheme="minorEastAsia"/>
                <w:szCs w:val="21"/>
              </w:rPr>
            </w:pPr>
            <w:r>
              <w:rPr>
                <w:rFonts w:eastAsiaTheme="minorEastAsia"/>
                <w:szCs w:val="21"/>
              </w:rPr>
              <w:t>70ug/m³</w:t>
            </w:r>
          </w:p>
        </w:tc>
      </w:tr>
      <w:tr w14:paraId="41429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38F8B959">
            <w:pPr>
              <w:spacing w:line="320" w:lineRule="exact"/>
              <w:contextualSpacing/>
              <w:jc w:val="center"/>
              <w:rPr>
                <w:rFonts w:eastAsiaTheme="minorEastAsia"/>
                <w:szCs w:val="21"/>
              </w:rPr>
            </w:pPr>
          </w:p>
        </w:tc>
        <w:tc>
          <w:tcPr>
            <w:tcW w:w="3248" w:type="dxa"/>
            <w:vMerge w:val="continue"/>
            <w:vAlign w:val="center"/>
          </w:tcPr>
          <w:p w14:paraId="051E40BE">
            <w:pPr>
              <w:spacing w:line="320" w:lineRule="exact"/>
              <w:contextualSpacing/>
              <w:jc w:val="center"/>
              <w:rPr>
                <w:rFonts w:eastAsiaTheme="minorEastAsia"/>
                <w:szCs w:val="21"/>
              </w:rPr>
            </w:pPr>
          </w:p>
        </w:tc>
        <w:tc>
          <w:tcPr>
            <w:tcW w:w="851" w:type="dxa"/>
            <w:vMerge w:val="continue"/>
            <w:vAlign w:val="center"/>
          </w:tcPr>
          <w:p w14:paraId="49D2A347">
            <w:pPr>
              <w:spacing w:line="320" w:lineRule="exact"/>
              <w:contextualSpacing/>
              <w:jc w:val="center"/>
              <w:rPr>
                <w:rFonts w:eastAsiaTheme="minorEastAsia"/>
                <w:szCs w:val="21"/>
              </w:rPr>
            </w:pPr>
          </w:p>
        </w:tc>
        <w:tc>
          <w:tcPr>
            <w:tcW w:w="992" w:type="dxa"/>
            <w:vMerge w:val="continue"/>
            <w:vAlign w:val="center"/>
          </w:tcPr>
          <w:p w14:paraId="41254501">
            <w:pPr>
              <w:spacing w:line="320" w:lineRule="exact"/>
              <w:contextualSpacing/>
              <w:jc w:val="center"/>
              <w:rPr>
                <w:rFonts w:eastAsiaTheme="minorEastAsia"/>
                <w:szCs w:val="21"/>
              </w:rPr>
            </w:pPr>
          </w:p>
        </w:tc>
        <w:tc>
          <w:tcPr>
            <w:tcW w:w="1418" w:type="dxa"/>
            <w:vAlign w:val="center"/>
          </w:tcPr>
          <w:p w14:paraId="17E947B0">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102B240C">
            <w:pPr>
              <w:spacing w:line="320" w:lineRule="exact"/>
              <w:contextualSpacing/>
              <w:jc w:val="center"/>
              <w:rPr>
                <w:rFonts w:eastAsiaTheme="minorEastAsia"/>
                <w:szCs w:val="21"/>
              </w:rPr>
            </w:pPr>
            <w:r>
              <w:rPr>
                <w:rFonts w:eastAsiaTheme="minorEastAsia"/>
                <w:szCs w:val="21"/>
              </w:rPr>
              <w:t>150ug/m³</w:t>
            </w:r>
          </w:p>
        </w:tc>
      </w:tr>
      <w:tr w14:paraId="06758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37E8A105">
            <w:pPr>
              <w:spacing w:line="320" w:lineRule="exact"/>
              <w:contextualSpacing/>
              <w:jc w:val="center"/>
              <w:rPr>
                <w:rFonts w:eastAsiaTheme="minorEastAsia"/>
                <w:szCs w:val="21"/>
              </w:rPr>
            </w:pPr>
          </w:p>
        </w:tc>
        <w:tc>
          <w:tcPr>
            <w:tcW w:w="3248" w:type="dxa"/>
            <w:vMerge w:val="continue"/>
            <w:vAlign w:val="center"/>
          </w:tcPr>
          <w:p w14:paraId="7130BE46">
            <w:pPr>
              <w:spacing w:line="320" w:lineRule="exact"/>
              <w:contextualSpacing/>
              <w:jc w:val="center"/>
              <w:rPr>
                <w:rFonts w:eastAsiaTheme="minorEastAsia"/>
                <w:szCs w:val="21"/>
              </w:rPr>
            </w:pPr>
          </w:p>
        </w:tc>
        <w:tc>
          <w:tcPr>
            <w:tcW w:w="851" w:type="dxa"/>
            <w:vMerge w:val="continue"/>
            <w:vAlign w:val="center"/>
          </w:tcPr>
          <w:p w14:paraId="118C2EAC">
            <w:pPr>
              <w:spacing w:line="320" w:lineRule="exact"/>
              <w:contextualSpacing/>
              <w:jc w:val="center"/>
              <w:rPr>
                <w:rFonts w:eastAsiaTheme="minorEastAsia"/>
                <w:szCs w:val="21"/>
              </w:rPr>
            </w:pPr>
          </w:p>
        </w:tc>
        <w:tc>
          <w:tcPr>
            <w:tcW w:w="992" w:type="dxa"/>
            <w:vMerge w:val="restart"/>
            <w:vAlign w:val="center"/>
          </w:tcPr>
          <w:p w14:paraId="039A5F9E">
            <w:pPr>
              <w:spacing w:line="320" w:lineRule="exact"/>
              <w:contextualSpacing/>
              <w:jc w:val="center"/>
              <w:rPr>
                <w:rFonts w:eastAsiaTheme="minorEastAsia"/>
                <w:szCs w:val="21"/>
                <w:vertAlign w:val="subscript"/>
              </w:rPr>
            </w:pPr>
            <w:r>
              <w:rPr>
                <w:rFonts w:eastAsiaTheme="minorEastAsia"/>
                <w:szCs w:val="21"/>
              </w:rPr>
              <w:t>PM</w:t>
            </w:r>
            <w:r>
              <w:rPr>
                <w:rFonts w:eastAsiaTheme="minorEastAsia"/>
                <w:szCs w:val="21"/>
                <w:vertAlign w:val="subscript"/>
              </w:rPr>
              <w:t>2.5</w:t>
            </w:r>
          </w:p>
        </w:tc>
        <w:tc>
          <w:tcPr>
            <w:tcW w:w="1418" w:type="dxa"/>
            <w:vAlign w:val="center"/>
          </w:tcPr>
          <w:p w14:paraId="44A484C3">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3A2311C7">
            <w:pPr>
              <w:spacing w:line="320" w:lineRule="exact"/>
              <w:contextualSpacing/>
              <w:jc w:val="center"/>
              <w:rPr>
                <w:rFonts w:eastAsiaTheme="minorEastAsia"/>
                <w:szCs w:val="21"/>
              </w:rPr>
            </w:pPr>
            <w:r>
              <w:rPr>
                <w:rFonts w:eastAsiaTheme="minorEastAsia"/>
                <w:szCs w:val="21"/>
              </w:rPr>
              <w:t>35ug/m³</w:t>
            </w:r>
          </w:p>
        </w:tc>
      </w:tr>
      <w:tr w14:paraId="6152F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170CA3D1">
            <w:pPr>
              <w:spacing w:line="320" w:lineRule="exact"/>
              <w:contextualSpacing/>
              <w:jc w:val="center"/>
              <w:rPr>
                <w:rFonts w:eastAsiaTheme="minorEastAsia"/>
                <w:szCs w:val="21"/>
              </w:rPr>
            </w:pPr>
          </w:p>
        </w:tc>
        <w:tc>
          <w:tcPr>
            <w:tcW w:w="3248" w:type="dxa"/>
            <w:vMerge w:val="continue"/>
            <w:vAlign w:val="center"/>
          </w:tcPr>
          <w:p w14:paraId="392AE5EA">
            <w:pPr>
              <w:spacing w:line="320" w:lineRule="exact"/>
              <w:contextualSpacing/>
              <w:jc w:val="center"/>
              <w:rPr>
                <w:rFonts w:eastAsiaTheme="minorEastAsia"/>
                <w:szCs w:val="21"/>
              </w:rPr>
            </w:pPr>
          </w:p>
        </w:tc>
        <w:tc>
          <w:tcPr>
            <w:tcW w:w="851" w:type="dxa"/>
            <w:vMerge w:val="continue"/>
            <w:vAlign w:val="center"/>
          </w:tcPr>
          <w:p w14:paraId="2FC51027">
            <w:pPr>
              <w:spacing w:line="320" w:lineRule="exact"/>
              <w:contextualSpacing/>
              <w:jc w:val="center"/>
              <w:rPr>
                <w:rFonts w:eastAsiaTheme="minorEastAsia"/>
                <w:szCs w:val="21"/>
              </w:rPr>
            </w:pPr>
          </w:p>
        </w:tc>
        <w:tc>
          <w:tcPr>
            <w:tcW w:w="992" w:type="dxa"/>
            <w:vMerge w:val="continue"/>
            <w:vAlign w:val="center"/>
          </w:tcPr>
          <w:p w14:paraId="0697BE4E">
            <w:pPr>
              <w:spacing w:line="320" w:lineRule="exact"/>
              <w:contextualSpacing/>
              <w:jc w:val="center"/>
              <w:rPr>
                <w:rFonts w:eastAsiaTheme="minorEastAsia"/>
                <w:szCs w:val="21"/>
              </w:rPr>
            </w:pPr>
          </w:p>
        </w:tc>
        <w:tc>
          <w:tcPr>
            <w:tcW w:w="1418" w:type="dxa"/>
            <w:vAlign w:val="center"/>
          </w:tcPr>
          <w:p w14:paraId="48149066">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397F069E">
            <w:pPr>
              <w:spacing w:line="320" w:lineRule="exact"/>
              <w:contextualSpacing/>
              <w:jc w:val="center"/>
              <w:rPr>
                <w:rFonts w:eastAsiaTheme="minorEastAsia"/>
                <w:szCs w:val="21"/>
              </w:rPr>
            </w:pPr>
            <w:r>
              <w:rPr>
                <w:rFonts w:eastAsiaTheme="minorEastAsia"/>
                <w:szCs w:val="21"/>
              </w:rPr>
              <w:t>75ug/m³</w:t>
            </w:r>
          </w:p>
        </w:tc>
      </w:tr>
      <w:tr w14:paraId="0599A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4593EDF5">
            <w:pPr>
              <w:spacing w:line="320" w:lineRule="exact"/>
              <w:contextualSpacing/>
              <w:jc w:val="center"/>
              <w:rPr>
                <w:rFonts w:eastAsiaTheme="minorEastAsia"/>
                <w:szCs w:val="21"/>
              </w:rPr>
            </w:pPr>
          </w:p>
        </w:tc>
        <w:tc>
          <w:tcPr>
            <w:tcW w:w="3248" w:type="dxa"/>
            <w:vMerge w:val="continue"/>
            <w:vAlign w:val="center"/>
          </w:tcPr>
          <w:p w14:paraId="1447D4B1">
            <w:pPr>
              <w:spacing w:line="320" w:lineRule="exact"/>
              <w:contextualSpacing/>
              <w:jc w:val="center"/>
              <w:rPr>
                <w:rFonts w:eastAsiaTheme="minorEastAsia"/>
                <w:szCs w:val="21"/>
              </w:rPr>
            </w:pPr>
          </w:p>
        </w:tc>
        <w:tc>
          <w:tcPr>
            <w:tcW w:w="851" w:type="dxa"/>
            <w:vMerge w:val="continue"/>
            <w:vAlign w:val="center"/>
          </w:tcPr>
          <w:p w14:paraId="1B93F3BA">
            <w:pPr>
              <w:spacing w:line="320" w:lineRule="exact"/>
              <w:contextualSpacing/>
              <w:jc w:val="center"/>
              <w:rPr>
                <w:rFonts w:eastAsiaTheme="minorEastAsia"/>
                <w:szCs w:val="21"/>
              </w:rPr>
            </w:pPr>
          </w:p>
        </w:tc>
        <w:tc>
          <w:tcPr>
            <w:tcW w:w="992" w:type="dxa"/>
            <w:vMerge w:val="restart"/>
            <w:vAlign w:val="center"/>
          </w:tcPr>
          <w:p w14:paraId="391245F1">
            <w:pPr>
              <w:spacing w:line="320" w:lineRule="exact"/>
              <w:contextualSpacing/>
              <w:jc w:val="center"/>
              <w:rPr>
                <w:rFonts w:eastAsiaTheme="minorEastAsia"/>
                <w:szCs w:val="21"/>
              </w:rPr>
            </w:pPr>
            <w:r>
              <w:rPr>
                <w:rFonts w:eastAsiaTheme="minorEastAsia"/>
                <w:szCs w:val="21"/>
              </w:rPr>
              <w:t>CO</w:t>
            </w:r>
          </w:p>
        </w:tc>
        <w:tc>
          <w:tcPr>
            <w:tcW w:w="1418" w:type="dxa"/>
            <w:vAlign w:val="center"/>
          </w:tcPr>
          <w:p w14:paraId="52472B41">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298DC0EB">
            <w:pPr>
              <w:spacing w:line="320" w:lineRule="exact"/>
              <w:contextualSpacing/>
              <w:jc w:val="center"/>
              <w:rPr>
                <w:rFonts w:eastAsiaTheme="minorEastAsia"/>
                <w:szCs w:val="21"/>
              </w:rPr>
            </w:pPr>
            <w:r>
              <w:rPr>
                <w:rFonts w:eastAsiaTheme="minorEastAsia"/>
                <w:szCs w:val="21"/>
              </w:rPr>
              <w:t>4mg/m³</w:t>
            </w:r>
          </w:p>
        </w:tc>
      </w:tr>
      <w:tr w14:paraId="244FB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6CD33624">
            <w:pPr>
              <w:spacing w:line="320" w:lineRule="exact"/>
              <w:contextualSpacing/>
              <w:jc w:val="center"/>
              <w:rPr>
                <w:rFonts w:eastAsiaTheme="minorEastAsia"/>
                <w:szCs w:val="21"/>
              </w:rPr>
            </w:pPr>
          </w:p>
        </w:tc>
        <w:tc>
          <w:tcPr>
            <w:tcW w:w="3248" w:type="dxa"/>
            <w:vMerge w:val="continue"/>
            <w:vAlign w:val="center"/>
          </w:tcPr>
          <w:p w14:paraId="38FA5E05">
            <w:pPr>
              <w:spacing w:line="320" w:lineRule="exact"/>
              <w:contextualSpacing/>
              <w:jc w:val="center"/>
              <w:rPr>
                <w:rFonts w:eastAsiaTheme="minorEastAsia"/>
                <w:szCs w:val="21"/>
              </w:rPr>
            </w:pPr>
          </w:p>
        </w:tc>
        <w:tc>
          <w:tcPr>
            <w:tcW w:w="851" w:type="dxa"/>
            <w:vMerge w:val="continue"/>
            <w:vAlign w:val="center"/>
          </w:tcPr>
          <w:p w14:paraId="214E822A">
            <w:pPr>
              <w:spacing w:line="320" w:lineRule="exact"/>
              <w:contextualSpacing/>
              <w:jc w:val="center"/>
              <w:rPr>
                <w:rFonts w:eastAsiaTheme="minorEastAsia"/>
                <w:szCs w:val="21"/>
              </w:rPr>
            </w:pPr>
          </w:p>
        </w:tc>
        <w:tc>
          <w:tcPr>
            <w:tcW w:w="992" w:type="dxa"/>
            <w:vMerge w:val="continue"/>
            <w:vAlign w:val="center"/>
          </w:tcPr>
          <w:p w14:paraId="758D18D1">
            <w:pPr>
              <w:spacing w:line="320" w:lineRule="exact"/>
              <w:contextualSpacing/>
              <w:jc w:val="center"/>
              <w:rPr>
                <w:rFonts w:eastAsiaTheme="minorEastAsia"/>
                <w:szCs w:val="21"/>
              </w:rPr>
            </w:pPr>
          </w:p>
        </w:tc>
        <w:tc>
          <w:tcPr>
            <w:tcW w:w="1418" w:type="dxa"/>
            <w:vAlign w:val="center"/>
          </w:tcPr>
          <w:p w14:paraId="1DD7AE29">
            <w:pPr>
              <w:spacing w:line="320" w:lineRule="exact"/>
              <w:contextualSpacing/>
              <w:jc w:val="center"/>
              <w:rPr>
                <w:rFonts w:eastAsiaTheme="minorEastAsia"/>
                <w:szCs w:val="21"/>
              </w:rPr>
            </w:pPr>
            <w:r>
              <w:rPr>
                <w:rFonts w:eastAsiaTheme="minorEastAsia"/>
                <w:szCs w:val="21"/>
              </w:rPr>
              <w:t>1小时平均</w:t>
            </w:r>
          </w:p>
        </w:tc>
        <w:tc>
          <w:tcPr>
            <w:tcW w:w="1134" w:type="dxa"/>
            <w:vAlign w:val="center"/>
          </w:tcPr>
          <w:p w14:paraId="276C92EB">
            <w:pPr>
              <w:spacing w:line="320" w:lineRule="exact"/>
              <w:contextualSpacing/>
              <w:jc w:val="center"/>
              <w:rPr>
                <w:rFonts w:eastAsiaTheme="minorEastAsia"/>
                <w:szCs w:val="21"/>
              </w:rPr>
            </w:pPr>
            <w:r>
              <w:rPr>
                <w:rFonts w:eastAsiaTheme="minorEastAsia"/>
                <w:szCs w:val="21"/>
              </w:rPr>
              <w:t>10 mg/m³</w:t>
            </w:r>
          </w:p>
        </w:tc>
      </w:tr>
      <w:tr w14:paraId="3D74D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6232C9A4">
            <w:pPr>
              <w:spacing w:line="320" w:lineRule="exact"/>
              <w:contextualSpacing/>
              <w:jc w:val="center"/>
              <w:rPr>
                <w:rFonts w:eastAsiaTheme="minorEastAsia"/>
                <w:szCs w:val="21"/>
              </w:rPr>
            </w:pPr>
          </w:p>
        </w:tc>
        <w:tc>
          <w:tcPr>
            <w:tcW w:w="3248" w:type="dxa"/>
            <w:vMerge w:val="continue"/>
            <w:vAlign w:val="center"/>
          </w:tcPr>
          <w:p w14:paraId="00C1E7F6">
            <w:pPr>
              <w:spacing w:line="320" w:lineRule="exact"/>
              <w:contextualSpacing/>
              <w:jc w:val="center"/>
              <w:rPr>
                <w:rFonts w:eastAsiaTheme="minorEastAsia"/>
                <w:szCs w:val="21"/>
              </w:rPr>
            </w:pPr>
          </w:p>
        </w:tc>
        <w:tc>
          <w:tcPr>
            <w:tcW w:w="851" w:type="dxa"/>
            <w:vMerge w:val="continue"/>
            <w:vAlign w:val="center"/>
          </w:tcPr>
          <w:p w14:paraId="26FCFC39">
            <w:pPr>
              <w:spacing w:line="320" w:lineRule="exact"/>
              <w:contextualSpacing/>
              <w:jc w:val="center"/>
              <w:rPr>
                <w:rFonts w:eastAsiaTheme="minorEastAsia"/>
                <w:szCs w:val="21"/>
              </w:rPr>
            </w:pPr>
          </w:p>
        </w:tc>
        <w:tc>
          <w:tcPr>
            <w:tcW w:w="992" w:type="dxa"/>
            <w:vMerge w:val="restart"/>
            <w:vAlign w:val="center"/>
          </w:tcPr>
          <w:p w14:paraId="3E7B2F5B">
            <w:pPr>
              <w:spacing w:line="320" w:lineRule="exact"/>
              <w:contextualSpacing/>
              <w:jc w:val="center"/>
              <w:rPr>
                <w:rFonts w:eastAsiaTheme="minorEastAsia"/>
                <w:szCs w:val="21"/>
              </w:rPr>
            </w:pPr>
            <w:r>
              <w:rPr>
                <w:rFonts w:eastAsiaTheme="minorEastAsia"/>
                <w:szCs w:val="21"/>
              </w:rPr>
              <w:t>TSP</w:t>
            </w:r>
          </w:p>
        </w:tc>
        <w:tc>
          <w:tcPr>
            <w:tcW w:w="1418" w:type="dxa"/>
            <w:vAlign w:val="center"/>
          </w:tcPr>
          <w:p w14:paraId="28C1FE64">
            <w:pPr>
              <w:spacing w:line="320" w:lineRule="exact"/>
              <w:contextualSpacing/>
              <w:jc w:val="center"/>
              <w:rPr>
                <w:rFonts w:eastAsiaTheme="minorEastAsia"/>
                <w:szCs w:val="21"/>
              </w:rPr>
            </w:pPr>
            <w:r>
              <w:rPr>
                <w:rFonts w:eastAsiaTheme="minorEastAsia"/>
                <w:szCs w:val="21"/>
              </w:rPr>
              <w:t>年平均</w:t>
            </w:r>
          </w:p>
        </w:tc>
        <w:tc>
          <w:tcPr>
            <w:tcW w:w="1134" w:type="dxa"/>
            <w:vAlign w:val="center"/>
          </w:tcPr>
          <w:p w14:paraId="7DDE8F76">
            <w:pPr>
              <w:spacing w:line="320" w:lineRule="exact"/>
              <w:contextualSpacing/>
              <w:jc w:val="center"/>
              <w:rPr>
                <w:rFonts w:eastAsiaTheme="minorEastAsia"/>
                <w:szCs w:val="21"/>
              </w:rPr>
            </w:pPr>
            <w:r>
              <w:rPr>
                <w:rFonts w:hint="eastAsia" w:eastAsiaTheme="minorEastAsia"/>
                <w:szCs w:val="21"/>
              </w:rPr>
              <w:t>20</w:t>
            </w:r>
            <w:r>
              <w:rPr>
                <w:rFonts w:eastAsiaTheme="minorEastAsia"/>
                <w:szCs w:val="21"/>
              </w:rPr>
              <w:t>0ug/m³</w:t>
            </w:r>
          </w:p>
        </w:tc>
      </w:tr>
      <w:tr w14:paraId="055A1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48E70FC8">
            <w:pPr>
              <w:spacing w:line="320" w:lineRule="exact"/>
              <w:contextualSpacing/>
              <w:jc w:val="center"/>
              <w:rPr>
                <w:rFonts w:eastAsiaTheme="minorEastAsia"/>
                <w:szCs w:val="21"/>
              </w:rPr>
            </w:pPr>
          </w:p>
        </w:tc>
        <w:tc>
          <w:tcPr>
            <w:tcW w:w="3248" w:type="dxa"/>
            <w:vMerge w:val="continue"/>
            <w:vAlign w:val="center"/>
          </w:tcPr>
          <w:p w14:paraId="2A0E3D59">
            <w:pPr>
              <w:spacing w:line="320" w:lineRule="exact"/>
              <w:contextualSpacing/>
              <w:jc w:val="center"/>
              <w:rPr>
                <w:rFonts w:eastAsiaTheme="minorEastAsia"/>
                <w:szCs w:val="21"/>
              </w:rPr>
            </w:pPr>
          </w:p>
        </w:tc>
        <w:tc>
          <w:tcPr>
            <w:tcW w:w="851" w:type="dxa"/>
            <w:vMerge w:val="continue"/>
            <w:vAlign w:val="center"/>
          </w:tcPr>
          <w:p w14:paraId="73423E10">
            <w:pPr>
              <w:spacing w:line="320" w:lineRule="exact"/>
              <w:contextualSpacing/>
              <w:jc w:val="center"/>
              <w:rPr>
                <w:rFonts w:eastAsiaTheme="minorEastAsia"/>
                <w:szCs w:val="21"/>
              </w:rPr>
            </w:pPr>
          </w:p>
        </w:tc>
        <w:tc>
          <w:tcPr>
            <w:tcW w:w="992" w:type="dxa"/>
            <w:vMerge w:val="continue"/>
            <w:vAlign w:val="center"/>
          </w:tcPr>
          <w:p w14:paraId="733A1057">
            <w:pPr>
              <w:spacing w:line="320" w:lineRule="exact"/>
              <w:contextualSpacing/>
              <w:jc w:val="center"/>
              <w:rPr>
                <w:rFonts w:eastAsiaTheme="minorEastAsia"/>
                <w:szCs w:val="21"/>
              </w:rPr>
            </w:pPr>
          </w:p>
        </w:tc>
        <w:tc>
          <w:tcPr>
            <w:tcW w:w="1418" w:type="dxa"/>
            <w:vAlign w:val="center"/>
          </w:tcPr>
          <w:p w14:paraId="72CBC024">
            <w:pPr>
              <w:spacing w:line="320" w:lineRule="exact"/>
              <w:contextualSpacing/>
              <w:jc w:val="center"/>
              <w:rPr>
                <w:rFonts w:eastAsiaTheme="minorEastAsia"/>
                <w:szCs w:val="21"/>
              </w:rPr>
            </w:pPr>
            <w:r>
              <w:rPr>
                <w:rFonts w:eastAsiaTheme="minorEastAsia"/>
                <w:szCs w:val="21"/>
              </w:rPr>
              <w:t>24小时平均</w:t>
            </w:r>
          </w:p>
        </w:tc>
        <w:tc>
          <w:tcPr>
            <w:tcW w:w="1134" w:type="dxa"/>
            <w:vAlign w:val="center"/>
          </w:tcPr>
          <w:p w14:paraId="2B132694">
            <w:pPr>
              <w:spacing w:line="320" w:lineRule="exact"/>
              <w:contextualSpacing/>
              <w:jc w:val="center"/>
              <w:rPr>
                <w:rFonts w:eastAsiaTheme="minorEastAsia"/>
                <w:szCs w:val="21"/>
              </w:rPr>
            </w:pPr>
            <w:r>
              <w:rPr>
                <w:rFonts w:hint="eastAsia" w:eastAsiaTheme="minorEastAsia"/>
                <w:szCs w:val="21"/>
              </w:rPr>
              <w:t>300</w:t>
            </w:r>
            <w:r>
              <w:rPr>
                <w:rFonts w:eastAsiaTheme="minorEastAsia"/>
                <w:szCs w:val="21"/>
              </w:rPr>
              <w:t>ug/m³</w:t>
            </w:r>
          </w:p>
        </w:tc>
      </w:tr>
    </w:tbl>
    <w:p w14:paraId="2B0E31B8">
      <w:pPr>
        <w:spacing w:line="360" w:lineRule="auto"/>
        <w:ind w:firstLine="482" w:firstLineChars="200"/>
        <w:rPr>
          <w:rFonts w:eastAsiaTheme="minorEastAsia"/>
          <w:b/>
          <w:sz w:val="24"/>
        </w:rPr>
      </w:pPr>
      <w:r>
        <w:rPr>
          <w:rFonts w:eastAsiaTheme="minorEastAsia"/>
          <w:b/>
          <w:sz w:val="24"/>
        </w:rPr>
        <w:t>（2）地表水环境质量标准</w:t>
      </w:r>
    </w:p>
    <w:p w14:paraId="55E6B5F6">
      <w:pPr>
        <w:spacing w:line="360" w:lineRule="auto"/>
        <w:ind w:firstLine="480" w:firstLineChars="200"/>
        <w:rPr>
          <w:rFonts w:eastAsiaTheme="minorEastAsia"/>
          <w:spacing w:val="6"/>
          <w:sz w:val="24"/>
        </w:rPr>
      </w:pPr>
      <w:r>
        <w:rPr>
          <w:rFonts w:hint="eastAsia" w:eastAsiaTheme="minorEastAsia"/>
          <w:sz w:val="24"/>
        </w:rPr>
        <w:t>规划园区</w:t>
      </w:r>
      <w:r>
        <w:rPr>
          <w:rFonts w:eastAsiaTheme="minorEastAsia"/>
          <w:sz w:val="24"/>
        </w:rPr>
        <w:t>周边地表水执行</w:t>
      </w:r>
      <w:r>
        <w:rPr>
          <w:rFonts w:hint="eastAsia" w:eastAsiaTheme="minorEastAsia"/>
          <w:sz w:val="24"/>
        </w:rPr>
        <w:t>《地表水环境质量标准》（GB3838-2002）中Ⅲ类标准，</w:t>
      </w:r>
      <w:r>
        <w:rPr>
          <w:rFonts w:eastAsiaTheme="minorEastAsia"/>
          <w:spacing w:val="6"/>
          <w:sz w:val="24"/>
        </w:rPr>
        <w:t>具体指标见</w:t>
      </w:r>
      <w:r>
        <w:rPr>
          <w:rFonts w:eastAsiaTheme="minorEastAsia"/>
          <w:sz w:val="24"/>
        </w:rPr>
        <w:t>下表</w:t>
      </w:r>
      <w:r>
        <w:rPr>
          <w:rFonts w:eastAsiaTheme="minorEastAsia"/>
          <w:spacing w:val="6"/>
          <w:sz w:val="24"/>
        </w:rPr>
        <w:t>。</w:t>
      </w:r>
    </w:p>
    <w:p w14:paraId="5730EB10">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 xml:space="preserve">2 </w:t>
      </w:r>
      <w:r>
        <w:rPr>
          <w:rFonts w:eastAsiaTheme="minorEastAsia"/>
          <w:b/>
          <w:snapToGrid w:val="0"/>
          <w:kern w:val="18"/>
          <w:szCs w:val="21"/>
        </w:rPr>
        <w:t xml:space="preserve">  地表水环境质量标准（单位：mg/L，pH值无量纲）</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488"/>
        <w:gridCol w:w="5040"/>
      </w:tblGrid>
      <w:tr w14:paraId="593F8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exact"/>
        </w:trPr>
        <w:tc>
          <w:tcPr>
            <w:tcW w:w="2045" w:type="pct"/>
            <w:vAlign w:val="center"/>
          </w:tcPr>
          <w:p w14:paraId="3F876921">
            <w:pPr>
              <w:tabs>
                <w:tab w:val="left" w:pos="417"/>
              </w:tabs>
              <w:snapToGrid w:val="0"/>
              <w:spacing w:line="320" w:lineRule="exact"/>
              <w:jc w:val="center"/>
              <w:rPr>
                <w:rFonts w:eastAsiaTheme="minorEastAsia"/>
                <w:szCs w:val="21"/>
                <w:lang w:bidi="th-TH"/>
              </w:rPr>
            </w:pPr>
            <w:r>
              <w:rPr>
                <w:rFonts w:eastAsiaTheme="minorEastAsia"/>
                <w:szCs w:val="21"/>
                <w:lang w:bidi="th-TH"/>
              </w:rPr>
              <w:t>项目</w:t>
            </w:r>
          </w:p>
        </w:tc>
        <w:tc>
          <w:tcPr>
            <w:tcW w:w="2955" w:type="pct"/>
            <w:vAlign w:val="center"/>
          </w:tcPr>
          <w:p w14:paraId="0FC042C5">
            <w:pPr>
              <w:tabs>
                <w:tab w:val="left" w:pos="417"/>
              </w:tabs>
              <w:snapToGrid w:val="0"/>
              <w:spacing w:line="320" w:lineRule="exact"/>
              <w:jc w:val="center"/>
              <w:rPr>
                <w:rFonts w:eastAsiaTheme="minorEastAsia"/>
                <w:szCs w:val="21"/>
                <w:lang w:bidi="th-TH"/>
              </w:rPr>
            </w:pPr>
            <w:r>
              <w:rPr>
                <w:rFonts w:eastAsiaTheme="minorEastAsia"/>
                <w:szCs w:val="21"/>
              </w:rPr>
              <w:t>Ⅲ类标准限值</w:t>
            </w:r>
          </w:p>
        </w:tc>
      </w:tr>
      <w:tr w14:paraId="3A71C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51402015">
            <w:pPr>
              <w:tabs>
                <w:tab w:val="left" w:pos="417"/>
              </w:tabs>
              <w:snapToGrid w:val="0"/>
              <w:spacing w:line="320" w:lineRule="exact"/>
              <w:jc w:val="center"/>
              <w:rPr>
                <w:rFonts w:eastAsiaTheme="minorEastAsia"/>
                <w:szCs w:val="21"/>
                <w:lang w:bidi="th-TH"/>
              </w:rPr>
            </w:pPr>
            <w:r>
              <w:rPr>
                <w:rFonts w:eastAsiaTheme="minorEastAsia"/>
                <w:szCs w:val="21"/>
                <w:lang w:bidi="th-TH"/>
              </w:rPr>
              <w:t>pH值</w:t>
            </w:r>
          </w:p>
        </w:tc>
        <w:tc>
          <w:tcPr>
            <w:tcW w:w="2955" w:type="pct"/>
            <w:vAlign w:val="center"/>
          </w:tcPr>
          <w:p w14:paraId="30577559">
            <w:pPr>
              <w:tabs>
                <w:tab w:val="left" w:pos="417"/>
              </w:tabs>
              <w:snapToGrid w:val="0"/>
              <w:spacing w:line="320" w:lineRule="exact"/>
              <w:jc w:val="center"/>
              <w:rPr>
                <w:rFonts w:eastAsiaTheme="minorEastAsia"/>
                <w:szCs w:val="21"/>
                <w:lang w:bidi="th-TH"/>
              </w:rPr>
            </w:pPr>
            <w:r>
              <w:rPr>
                <w:rFonts w:eastAsiaTheme="minorEastAsia"/>
                <w:szCs w:val="21"/>
              </w:rPr>
              <w:t>6～9</w:t>
            </w:r>
          </w:p>
        </w:tc>
      </w:tr>
      <w:tr w14:paraId="6F461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2DF64A00">
            <w:pPr>
              <w:tabs>
                <w:tab w:val="left" w:pos="417"/>
              </w:tabs>
              <w:snapToGrid w:val="0"/>
              <w:spacing w:line="320" w:lineRule="exact"/>
              <w:jc w:val="center"/>
              <w:rPr>
                <w:rFonts w:eastAsiaTheme="minorEastAsia"/>
                <w:szCs w:val="21"/>
                <w:lang w:bidi="th-TH"/>
              </w:rPr>
            </w:pPr>
            <w:r>
              <w:rPr>
                <w:rFonts w:eastAsiaTheme="minorEastAsia"/>
                <w:szCs w:val="21"/>
                <w:lang w:bidi="th-TH"/>
              </w:rPr>
              <w:t>溶解氧</w:t>
            </w:r>
          </w:p>
        </w:tc>
        <w:tc>
          <w:tcPr>
            <w:tcW w:w="2955" w:type="pct"/>
            <w:vAlign w:val="center"/>
          </w:tcPr>
          <w:p w14:paraId="452E0FD8">
            <w:pPr>
              <w:tabs>
                <w:tab w:val="left" w:pos="417"/>
              </w:tabs>
              <w:snapToGrid w:val="0"/>
              <w:spacing w:line="320" w:lineRule="exact"/>
              <w:jc w:val="center"/>
              <w:rPr>
                <w:rFonts w:eastAsiaTheme="minorEastAsia"/>
                <w:szCs w:val="21"/>
              </w:rPr>
            </w:pPr>
            <w:r>
              <w:rPr>
                <w:rFonts w:eastAsiaTheme="minorEastAsia"/>
                <w:szCs w:val="21"/>
                <w:lang w:bidi="th-TH"/>
              </w:rPr>
              <w:t>≥5.0</w:t>
            </w:r>
          </w:p>
        </w:tc>
      </w:tr>
      <w:tr w14:paraId="44B4F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2FF5B2B2">
            <w:pPr>
              <w:tabs>
                <w:tab w:val="left" w:pos="417"/>
              </w:tabs>
              <w:snapToGrid w:val="0"/>
              <w:spacing w:line="320" w:lineRule="exact"/>
              <w:jc w:val="center"/>
              <w:rPr>
                <w:rFonts w:eastAsiaTheme="minorEastAsia"/>
                <w:szCs w:val="21"/>
                <w:lang w:bidi="th-TH"/>
              </w:rPr>
            </w:pPr>
            <w:r>
              <w:rPr>
                <w:rFonts w:eastAsiaTheme="minorEastAsia"/>
                <w:szCs w:val="21"/>
                <w:lang w:bidi="th-TH"/>
              </w:rPr>
              <w:t>COD</w:t>
            </w:r>
          </w:p>
        </w:tc>
        <w:tc>
          <w:tcPr>
            <w:tcW w:w="2955" w:type="pct"/>
            <w:vAlign w:val="center"/>
          </w:tcPr>
          <w:p w14:paraId="100EDBBA">
            <w:pPr>
              <w:tabs>
                <w:tab w:val="left" w:pos="417"/>
              </w:tabs>
              <w:snapToGrid w:val="0"/>
              <w:spacing w:line="320" w:lineRule="exact"/>
              <w:jc w:val="center"/>
              <w:rPr>
                <w:rFonts w:eastAsiaTheme="minorEastAsia"/>
                <w:szCs w:val="21"/>
                <w:lang w:bidi="th-TH"/>
              </w:rPr>
            </w:pPr>
            <w:r>
              <w:rPr>
                <w:rFonts w:eastAsiaTheme="minorEastAsia"/>
                <w:szCs w:val="21"/>
                <w:lang w:bidi="th-TH"/>
              </w:rPr>
              <w:t>≤20</w:t>
            </w:r>
          </w:p>
        </w:tc>
      </w:tr>
      <w:tr w14:paraId="4D64F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6DF8BB4C">
            <w:pPr>
              <w:tabs>
                <w:tab w:val="left" w:pos="417"/>
              </w:tabs>
              <w:snapToGrid w:val="0"/>
              <w:spacing w:line="320" w:lineRule="exact"/>
              <w:jc w:val="center"/>
              <w:rPr>
                <w:rFonts w:eastAsiaTheme="minorEastAsia"/>
                <w:szCs w:val="21"/>
                <w:lang w:bidi="th-TH"/>
              </w:rPr>
            </w:pPr>
            <w:r>
              <w:rPr>
                <w:rFonts w:eastAsiaTheme="minorEastAsia"/>
                <w:szCs w:val="21"/>
              </w:rPr>
              <w:t>NH</w:t>
            </w:r>
            <w:r>
              <w:rPr>
                <w:rFonts w:eastAsiaTheme="minorEastAsia"/>
                <w:szCs w:val="21"/>
                <w:vertAlign w:val="subscript"/>
              </w:rPr>
              <w:t>3</w:t>
            </w:r>
            <w:r>
              <w:rPr>
                <w:rFonts w:eastAsiaTheme="minorEastAsia"/>
                <w:szCs w:val="21"/>
              </w:rPr>
              <w:t>-N</w:t>
            </w:r>
          </w:p>
        </w:tc>
        <w:tc>
          <w:tcPr>
            <w:tcW w:w="2955" w:type="pct"/>
            <w:vAlign w:val="center"/>
          </w:tcPr>
          <w:p w14:paraId="17E49585">
            <w:pPr>
              <w:tabs>
                <w:tab w:val="left" w:pos="417"/>
              </w:tabs>
              <w:snapToGrid w:val="0"/>
              <w:spacing w:line="320" w:lineRule="exact"/>
              <w:jc w:val="center"/>
              <w:rPr>
                <w:rFonts w:eastAsiaTheme="minorEastAsia"/>
                <w:szCs w:val="21"/>
                <w:lang w:bidi="th-TH"/>
              </w:rPr>
            </w:pPr>
            <w:r>
              <w:rPr>
                <w:rFonts w:eastAsiaTheme="minorEastAsia"/>
                <w:szCs w:val="21"/>
                <w:lang w:bidi="th-TH"/>
              </w:rPr>
              <w:t>≤1.0</w:t>
            </w:r>
          </w:p>
        </w:tc>
      </w:tr>
      <w:tr w14:paraId="1C407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43F9A19A">
            <w:pPr>
              <w:tabs>
                <w:tab w:val="left" w:pos="417"/>
              </w:tabs>
              <w:snapToGrid w:val="0"/>
              <w:spacing w:line="320" w:lineRule="exact"/>
              <w:jc w:val="center"/>
              <w:rPr>
                <w:rFonts w:eastAsiaTheme="minorEastAsia"/>
                <w:szCs w:val="21"/>
              </w:rPr>
            </w:pPr>
            <w:r>
              <w:rPr>
                <w:rFonts w:eastAsiaTheme="minorEastAsia"/>
                <w:szCs w:val="21"/>
                <w:lang w:bidi="th-TH"/>
              </w:rPr>
              <w:t>总磷</w:t>
            </w:r>
          </w:p>
        </w:tc>
        <w:tc>
          <w:tcPr>
            <w:tcW w:w="2955" w:type="pct"/>
            <w:vAlign w:val="center"/>
          </w:tcPr>
          <w:p w14:paraId="309D3D54">
            <w:pPr>
              <w:tabs>
                <w:tab w:val="left" w:pos="417"/>
              </w:tabs>
              <w:snapToGrid w:val="0"/>
              <w:spacing w:line="320" w:lineRule="exact"/>
              <w:jc w:val="center"/>
              <w:rPr>
                <w:rFonts w:eastAsiaTheme="minorEastAsia"/>
                <w:szCs w:val="21"/>
                <w:lang w:bidi="th-TH"/>
              </w:rPr>
            </w:pPr>
            <w:r>
              <w:rPr>
                <w:rFonts w:eastAsiaTheme="minorEastAsia"/>
                <w:szCs w:val="21"/>
                <w:lang w:bidi="th-TH"/>
              </w:rPr>
              <w:t>≤0.2</w:t>
            </w:r>
          </w:p>
        </w:tc>
      </w:tr>
      <w:tr w14:paraId="05178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4DEAA345">
            <w:pPr>
              <w:tabs>
                <w:tab w:val="left" w:pos="417"/>
              </w:tabs>
              <w:snapToGrid w:val="0"/>
              <w:spacing w:line="320" w:lineRule="exact"/>
              <w:jc w:val="center"/>
              <w:rPr>
                <w:rFonts w:eastAsiaTheme="minorEastAsia"/>
                <w:szCs w:val="21"/>
                <w:lang w:bidi="th-TH"/>
              </w:rPr>
            </w:pPr>
            <w:r>
              <w:rPr>
                <w:rFonts w:eastAsiaTheme="minorEastAsia"/>
                <w:szCs w:val="21"/>
                <w:lang w:bidi="th-TH"/>
              </w:rPr>
              <w:t>总氮</w:t>
            </w:r>
          </w:p>
        </w:tc>
        <w:tc>
          <w:tcPr>
            <w:tcW w:w="2955" w:type="pct"/>
            <w:vAlign w:val="center"/>
          </w:tcPr>
          <w:p w14:paraId="294005B3">
            <w:pPr>
              <w:tabs>
                <w:tab w:val="left" w:pos="417"/>
              </w:tabs>
              <w:snapToGrid w:val="0"/>
              <w:spacing w:line="320" w:lineRule="exact"/>
              <w:jc w:val="center"/>
              <w:rPr>
                <w:rFonts w:eastAsiaTheme="minorEastAsia"/>
                <w:szCs w:val="21"/>
                <w:lang w:bidi="th-TH"/>
              </w:rPr>
            </w:pPr>
            <w:r>
              <w:rPr>
                <w:rFonts w:eastAsiaTheme="minorEastAsia"/>
                <w:szCs w:val="21"/>
                <w:lang w:bidi="th-TH"/>
              </w:rPr>
              <w:t>≤1.0</w:t>
            </w:r>
          </w:p>
        </w:tc>
      </w:tr>
      <w:tr w14:paraId="28EBA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4D95D51C">
            <w:pPr>
              <w:tabs>
                <w:tab w:val="left" w:pos="417"/>
              </w:tabs>
              <w:snapToGrid w:val="0"/>
              <w:spacing w:line="320" w:lineRule="exact"/>
              <w:jc w:val="center"/>
              <w:rPr>
                <w:rFonts w:eastAsiaTheme="minorEastAsia"/>
                <w:szCs w:val="21"/>
                <w:lang w:bidi="th-TH"/>
              </w:rPr>
            </w:pPr>
            <w:r>
              <w:rPr>
                <w:rFonts w:eastAsiaTheme="minorEastAsia"/>
                <w:szCs w:val="21"/>
                <w:lang w:bidi="th-TH"/>
              </w:rPr>
              <w:t>BOD</w:t>
            </w:r>
            <w:r>
              <w:rPr>
                <w:rFonts w:eastAsiaTheme="minorEastAsia"/>
                <w:szCs w:val="21"/>
                <w:vertAlign w:val="subscript"/>
                <w:lang w:bidi="th-TH"/>
              </w:rPr>
              <w:t>5</w:t>
            </w:r>
          </w:p>
        </w:tc>
        <w:tc>
          <w:tcPr>
            <w:tcW w:w="2955" w:type="pct"/>
            <w:vAlign w:val="center"/>
          </w:tcPr>
          <w:p w14:paraId="57CD29AF">
            <w:pPr>
              <w:tabs>
                <w:tab w:val="left" w:pos="417"/>
              </w:tabs>
              <w:snapToGrid w:val="0"/>
              <w:spacing w:line="320" w:lineRule="exact"/>
              <w:jc w:val="center"/>
              <w:rPr>
                <w:rFonts w:eastAsiaTheme="minorEastAsia"/>
                <w:szCs w:val="21"/>
                <w:lang w:bidi="th-TH"/>
              </w:rPr>
            </w:pPr>
            <w:r>
              <w:rPr>
                <w:rFonts w:eastAsiaTheme="minorEastAsia"/>
                <w:szCs w:val="21"/>
                <w:lang w:bidi="th-TH"/>
              </w:rPr>
              <w:t>≤4.0</w:t>
            </w:r>
          </w:p>
        </w:tc>
      </w:tr>
      <w:tr w14:paraId="53D76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exact"/>
        </w:trPr>
        <w:tc>
          <w:tcPr>
            <w:tcW w:w="2045" w:type="pct"/>
            <w:vAlign w:val="center"/>
          </w:tcPr>
          <w:p w14:paraId="3E36F1FB">
            <w:pPr>
              <w:tabs>
                <w:tab w:val="left" w:pos="417"/>
              </w:tabs>
              <w:snapToGrid w:val="0"/>
              <w:spacing w:line="320" w:lineRule="exact"/>
              <w:jc w:val="center"/>
              <w:rPr>
                <w:rFonts w:eastAsiaTheme="minorEastAsia"/>
                <w:szCs w:val="21"/>
                <w:lang w:bidi="th-TH"/>
              </w:rPr>
            </w:pPr>
            <w:r>
              <w:rPr>
                <w:rFonts w:eastAsiaTheme="minorEastAsia"/>
                <w:szCs w:val="21"/>
                <w:lang w:bidi="th-TH"/>
              </w:rPr>
              <w:t>石油类</w:t>
            </w:r>
          </w:p>
        </w:tc>
        <w:tc>
          <w:tcPr>
            <w:tcW w:w="2955" w:type="pct"/>
            <w:vAlign w:val="center"/>
          </w:tcPr>
          <w:p w14:paraId="1AFE902D">
            <w:pPr>
              <w:tabs>
                <w:tab w:val="left" w:pos="417"/>
              </w:tabs>
              <w:snapToGrid w:val="0"/>
              <w:spacing w:line="320" w:lineRule="exact"/>
              <w:jc w:val="center"/>
              <w:rPr>
                <w:rFonts w:eastAsiaTheme="minorEastAsia"/>
                <w:szCs w:val="21"/>
                <w:lang w:bidi="th-TH"/>
              </w:rPr>
            </w:pPr>
            <w:r>
              <w:rPr>
                <w:rFonts w:eastAsiaTheme="minorEastAsia"/>
                <w:szCs w:val="21"/>
                <w:lang w:bidi="th-TH"/>
              </w:rPr>
              <w:t>≤0.05</w:t>
            </w:r>
          </w:p>
        </w:tc>
      </w:tr>
    </w:tbl>
    <w:p w14:paraId="2D7861E8">
      <w:pPr>
        <w:spacing w:line="360" w:lineRule="auto"/>
        <w:ind w:firstLine="482" w:firstLineChars="200"/>
        <w:rPr>
          <w:rFonts w:eastAsiaTheme="minorEastAsia"/>
          <w:b/>
          <w:sz w:val="24"/>
        </w:rPr>
      </w:pPr>
      <w:r>
        <w:rPr>
          <w:rFonts w:eastAsiaTheme="minorEastAsia"/>
          <w:b/>
          <w:sz w:val="24"/>
        </w:rPr>
        <w:t>（3）地下水环境质量标准</w:t>
      </w:r>
    </w:p>
    <w:p w14:paraId="15C95411">
      <w:pPr>
        <w:spacing w:line="360" w:lineRule="auto"/>
        <w:ind w:firstLine="480" w:firstLineChars="200"/>
        <w:rPr>
          <w:rFonts w:eastAsiaTheme="minorEastAsia"/>
          <w:sz w:val="24"/>
        </w:rPr>
      </w:pPr>
      <w:r>
        <w:rPr>
          <w:rFonts w:hint="eastAsia" w:eastAsiaTheme="minorEastAsia"/>
          <w:sz w:val="24"/>
        </w:rPr>
        <w:t>规划区域</w:t>
      </w:r>
      <w:r>
        <w:rPr>
          <w:rFonts w:eastAsiaTheme="minorEastAsia"/>
          <w:sz w:val="24"/>
        </w:rPr>
        <w:t>地下水执行《地下水质量标准》（GB/T14848-2017）Ⅲ类标准，地下水环境质量标准值见下表。</w:t>
      </w:r>
    </w:p>
    <w:p w14:paraId="6FC045A3">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3</w:t>
      </w:r>
      <w:r>
        <w:rPr>
          <w:rFonts w:eastAsiaTheme="minorEastAsia"/>
          <w:b/>
          <w:snapToGrid w:val="0"/>
          <w:kern w:val="18"/>
          <w:szCs w:val="21"/>
        </w:rPr>
        <w:t xml:space="preserve">    地下水质量标准值</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95"/>
        <w:gridCol w:w="1100"/>
        <w:gridCol w:w="1926"/>
        <w:gridCol w:w="2064"/>
        <w:gridCol w:w="1243"/>
      </w:tblGrid>
      <w:tr w14:paraId="2DBBD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restart"/>
            <w:vAlign w:val="center"/>
          </w:tcPr>
          <w:p w14:paraId="6F18F0A0">
            <w:pPr>
              <w:spacing w:line="320" w:lineRule="exact"/>
              <w:jc w:val="center"/>
              <w:rPr>
                <w:rFonts w:eastAsiaTheme="minorEastAsia"/>
                <w:szCs w:val="21"/>
              </w:rPr>
            </w:pPr>
            <w:r>
              <w:rPr>
                <w:rFonts w:eastAsiaTheme="minorEastAsia"/>
                <w:szCs w:val="21"/>
              </w:rPr>
              <w:t>标准名称</w:t>
            </w:r>
          </w:p>
        </w:tc>
        <w:tc>
          <w:tcPr>
            <w:tcW w:w="645" w:type="pct"/>
            <w:vMerge w:val="restart"/>
            <w:vAlign w:val="center"/>
          </w:tcPr>
          <w:p w14:paraId="3FBAB108">
            <w:pPr>
              <w:spacing w:line="320" w:lineRule="exact"/>
              <w:jc w:val="center"/>
              <w:rPr>
                <w:rFonts w:eastAsiaTheme="minorEastAsia"/>
                <w:szCs w:val="21"/>
              </w:rPr>
            </w:pPr>
            <w:r>
              <w:rPr>
                <w:rFonts w:eastAsiaTheme="minorEastAsia"/>
                <w:szCs w:val="21"/>
              </w:rPr>
              <w:t>适用类别</w:t>
            </w:r>
          </w:p>
        </w:tc>
        <w:tc>
          <w:tcPr>
            <w:tcW w:w="2339" w:type="pct"/>
            <w:gridSpan w:val="2"/>
            <w:vAlign w:val="center"/>
          </w:tcPr>
          <w:p w14:paraId="4B3055C6">
            <w:pPr>
              <w:spacing w:line="320" w:lineRule="exact"/>
              <w:jc w:val="center"/>
              <w:rPr>
                <w:rFonts w:eastAsiaTheme="minorEastAsia"/>
                <w:szCs w:val="21"/>
              </w:rPr>
            </w:pPr>
            <w:r>
              <w:rPr>
                <w:rFonts w:eastAsiaTheme="minorEastAsia"/>
                <w:szCs w:val="21"/>
              </w:rPr>
              <w:t>标准限值</w:t>
            </w:r>
          </w:p>
        </w:tc>
        <w:tc>
          <w:tcPr>
            <w:tcW w:w="729" w:type="pct"/>
            <w:vMerge w:val="restart"/>
            <w:vAlign w:val="center"/>
          </w:tcPr>
          <w:p w14:paraId="3C0794B5">
            <w:pPr>
              <w:spacing w:line="320" w:lineRule="exact"/>
              <w:jc w:val="center"/>
              <w:rPr>
                <w:rFonts w:eastAsiaTheme="minorEastAsia"/>
                <w:szCs w:val="21"/>
              </w:rPr>
            </w:pPr>
            <w:r>
              <w:rPr>
                <w:rFonts w:eastAsiaTheme="minorEastAsia"/>
                <w:szCs w:val="21"/>
              </w:rPr>
              <w:t>评价对象</w:t>
            </w:r>
          </w:p>
        </w:tc>
      </w:tr>
      <w:tr w14:paraId="2B139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17FEE430">
            <w:pPr>
              <w:spacing w:line="320" w:lineRule="exact"/>
              <w:jc w:val="center"/>
              <w:rPr>
                <w:rFonts w:eastAsiaTheme="minorEastAsia"/>
                <w:szCs w:val="21"/>
              </w:rPr>
            </w:pPr>
          </w:p>
        </w:tc>
        <w:tc>
          <w:tcPr>
            <w:tcW w:w="645" w:type="pct"/>
            <w:vMerge w:val="continue"/>
            <w:vAlign w:val="center"/>
          </w:tcPr>
          <w:p w14:paraId="274B6A79">
            <w:pPr>
              <w:spacing w:line="320" w:lineRule="exact"/>
              <w:jc w:val="center"/>
              <w:rPr>
                <w:rFonts w:eastAsiaTheme="minorEastAsia"/>
                <w:szCs w:val="21"/>
              </w:rPr>
            </w:pPr>
          </w:p>
        </w:tc>
        <w:tc>
          <w:tcPr>
            <w:tcW w:w="1129" w:type="pct"/>
            <w:vAlign w:val="center"/>
          </w:tcPr>
          <w:p w14:paraId="1F0A3914">
            <w:pPr>
              <w:spacing w:line="320" w:lineRule="exact"/>
              <w:jc w:val="center"/>
              <w:rPr>
                <w:rFonts w:eastAsiaTheme="minorEastAsia"/>
                <w:szCs w:val="21"/>
              </w:rPr>
            </w:pPr>
            <w:r>
              <w:rPr>
                <w:rFonts w:eastAsiaTheme="minorEastAsia"/>
                <w:szCs w:val="21"/>
              </w:rPr>
              <w:t>参数名称</w:t>
            </w:r>
          </w:p>
        </w:tc>
        <w:tc>
          <w:tcPr>
            <w:tcW w:w="1210" w:type="pct"/>
            <w:vAlign w:val="center"/>
          </w:tcPr>
          <w:p w14:paraId="0FF8B42F">
            <w:pPr>
              <w:spacing w:line="320" w:lineRule="exact"/>
              <w:jc w:val="center"/>
              <w:rPr>
                <w:rFonts w:eastAsiaTheme="minorEastAsia"/>
                <w:szCs w:val="21"/>
              </w:rPr>
            </w:pPr>
            <w:r>
              <w:rPr>
                <w:rFonts w:eastAsiaTheme="minorEastAsia"/>
                <w:szCs w:val="21"/>
              </w:rPr>
              <w:t>浓度限值</w:t>
            </w:r>
          </w:p>
        </w:tc>
        <w:tc>
          <w:tcPr>
            <w:tcW w:w="729" w:type="pct"/>
            <w:vMerge w:val="continue"/>
            <w:vAlign w:val="center"/>
          </w:tcPr>
          <w:p w14:paraId="12E8A744">
            <w:pPr>
              <w:spacing w:line="320" w:lineRule="exact"/>
              <w:jc w:val="center"/>
              <w:rPr>
                <w:rFonts w:eastAsiaTheme="minorEastAsia"/>
                <w:szCs w:val="21"/>
              </w:rPr>
            </w:pPr>
          </w:p>
        </w:tc>
      </w:tr>
      <w:tr w14:paraId="531C6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restart"/>
            <w:vAlign w:val="center"/>
          </w:tcPr>
          <w:p w14:paraId="24ED5FB3">
            <w:pPr>
              <w:spacing w:line="320" w:lineRule="exact"/>
              <w:jc w:val="center"/>
              <w:rPr>
                <w:rFonts w:eastAsiaTheme="minorEastAsia"/>
                <w:szCs w:val="21"/>
              </w:rPr>
            </w:pPr>
            <w:r>
              <w:rPr>
                <w:rFonts w:eastAsiaTheme="minorEastAsia"/>
                <w:szCs w:val="21"/>
              </w:rPr>
              <w:t>《地下水质量标准》（GB/T14848-2017）</w:t>
            </w:r>
          </w:p>
        </w:tc>
        <w:tc>
          <w:tcPr>
            <w:tcW w:w="645" w:type="pct"/>
            <w:vMerge w:val="restart"/>
            <w:vAlign w:val="center"/>
          </w:tcPr>
          <w:p w14:paraId="461869AD">
            <w:pPr>
              <w:spacing w:line="320" w:lineRule="exact"/>
              <w:jc w:val="center"/>
              <w:rPr>
                <w:rFonts w:eastAsiaTheme="minorEastAsia"/>
                <w:szCs w:val="21"/>
              </w:rPr>
            </w:pPr>
            <w:r>
              <w:rPr>
                <w:rFonts w:eastAsiaTheme="minorEastAsia"/>
                <w:szCs w:val="21"/>
              </w:rPr>
              <w:t>III类</w:t>
            </w:r>
          </w:p>
        </w:tc>
        <w:tc>
          <w:tcPr>
            <w:tcW w:w="1129" w:type="pct"/>
            <w:vAlign w:val="center"/>
          </w:tcPr>
          <w:p w14:paraId="2CDD1D12">
            <w:pPr>
              <w:spacing w:line="320" w:lineRule="exact"/>
              <w:jc w:val="center"/>
              <w:rPr>
                <w:rFonts w:eastAsiaTheme="minorEastAsia"/>
                <w:szCs w:val="21"/>
              </w:rPr>
            </w:pPr>
            <w:r>
              <w:rPr>
                <w:rFonts w:eastAsiaTheme="minorEastAsia"/>
                <w:szCs w:val="21"/>
              </w:rPr>
              <w:t>pH</w:t>
            </w:r>
          </w:p>
        </w:tc>
        <w:tc>
          <w:tcPr>
            <w:tcW w:w="1210" w:type="pct"/>
            <w:vAlign w:val="center"/>
          </w:tcPr>
          <w:p w14:paraId="64FB36D2">
            <w:pPr>
              <w:spacing w:line="320" w:lineRule="exact"/>
              <w:jc w:val="center"/>
              <w:rPr>
                <w:rFonts w:eastAsiaTheme="minorEastAsia"/>
                <w:szCs w:val="21"/>
              </w:rPr>
            </w:pPr>
            <w:r>
              <w:rPr>
                <w:rFonts w:eastAsiaTheme="minorEastAsia"/>
                <w:szCs w:val="21"/>
              </w:rPr>
              <w:t>6.5-8.5</w:t>
            </w:r>
          </w:p>
        </w:tc>
        <w:tc>
          <w:tcPr>
            <w:tcW w:w="729" w:type="pct"/>
            <w:vMerge w:val="restart"/>
            <w:vAlign w:val="center"/>
          </w:tcPr>
          <w:p w14:paraId="7A504F5D">
            <w:pPr>
              <w:spacing w:line="320" w:lineRule="exact"/>
              <w:jc w:val="center"/>
              <w:rPr>
                <w:rFonts w:eastAsiaTheme="minorEastAsia"/>
                <w:szCs w:val="21"/>
              </w:rPr>
            </w:pPr>
            <w:r>
              <w:rPr>
                <w:rFonts w:eastAsiaTheme="minorEastAsia"/>
                <w:szCs w:val="21"/>
              </w:rPr>
              <w:t>园区所在区域地下水</w:t>
            </w:r>
          </w:p>
        </w:tc>
      </w:tr>
      <w:tr w14:paraId="33D8D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39F09EB6">
            <w:pPr>
              <w:spacing w:line="320" w:lineRule="exact"/>
              <w:jc w:val="center"/>
              <w:rPr>
                <w:rFonts w:eastAsiaTheme="minorEastAsia"/>
                <w:szCs w:val="21"/>
              </w:rPr>
            </w:pPr>
          </w:p>
        </w:tc>
        <w:tc>
          <w:tcPr>
            <w:tcW w:w="645" w:type="pct"/>
            <w:vMerge w:val="continue"/>
            <w:vAlign w:val="center"/>
          </w:tcPr>
          <w:p w14:paraId="031E0343">
            <w:pPr>
              <w:spacing w:line="320" w:lineRule="exact"/>
              <w:jc w:val="center"/>
              <w:rPr>
                <w:rFonts w:eastAsiaTheme="minorEastAsia"/>
                <w:szCs w:val="21"/>
              </w:rPr>
            </w:pPr>
          </w:p>
        </w:tc>
        <w:tc>
          <w:tcPr>
            <w:tcW w:w="1129" w:type="pct"/>
            <w:vAlign w:val="center"/>
          </w:tcPr>
          <w:p w14:paraId="2B904E32">
            <w:pPr>
              <w:spacing w:line="320" w:lineRule="exact"/>
              <w:jc w:val="center"/>
              <w:rPr>
                <w:rFonts w:eastAsiaTheme="minorEastAsia"/>
                <w:szCs w:val="21"/>
              </w:rPr>
            </w:pPr>
            <w:r>
              <w:rPr>
                <w:rFonts w:eastAsiaTheme="minorEastAsia"/>
                <w:szCs w:val="21"/>
              </w:rPr>
              <w:t>氨氮</w:t>
            </w:r>
          </w:p>
        </w:tc>
        <w:tc>
          <w:tcPr>
            <w:tcW w:w="1210" w:type="pct"/>
            <w:vAlign w:val="center"/>
          </w:tcPr>
          <w:p w14:paraId="21B1826F">
            <w:pPr>
              <w:spacing w:line="320" w:lineRule="exact"/>
              <w:jc w:val="center"/>
              <w:rPr>
                <w:rFonts w:eastAsiaTheme="minorEastAsia"/>
                <w:szCs w:val="21"/>
              </w:rPr>
            </w:pPr>
            <w:r>
              <w:rPr>
                <w:rFonts w:eastAsiaTheme="minorEastAsia"/>
                <w:szCs w:val="21"/>
              </w:rPr>
              <w:t>≤0.5mg/L</w:t>
            </w:r>
          </w:p>
        </w:tc>
        <w:tc>
          <w:tcPr>
            <w:tcW w:w="729" w:type="pct"/>
            <w:vMerge w:val="continue"/>
            <w:vAlign w:val="center"/>
          </w:tcPr>
          <w:p w14:paraId="4A986D0B">
            <w:pPr>
              <w:spacing w:line="320" w:lineRule="exact"/>
              <w:jc w:val="center"/>
              <w:rPr>
                <w:rFonts w:eastAsiaTheme="minorEastAsia"/>
                <w:szCs w:val="21"/>
              </w:rPr>
            </w:pPr>
          </w:p>
        </w:tc>
      </w:tr>
      <w:tr w14:paraId="270CC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7E0F3A9D">
            <w:pPr>
              <w:spacing w:line="320" w:lineRule="exact"/>
              <w:jc w:val="center"/>
              <w:rPr>
                <w:rFonts w:eastAsiaTheme="minorEastAsia"/>
                <w:szCs w:val="21"/>
              </w:rPr>
            </w:pPr>
          </w:p>
        </w:tc>
        <w:tc>
          <w:tcPr>
            <w:tcW w:w="645" w:type="pct"/>
            <w:vMerge w:val="continue"/>
            <w:vAlign w:val="center"/>
          </w:tcPr>
          <w:p w14:paraId="022B05A4">
            <w:pPr>
              <w:spacing w:line="320" w:lineRule="exact"/>
              <w:jc w:val="center"/>
              <w:rPr>
                <w:rFonts w:eastAsiaTheme="minorEastAsia"/>
                <w:szCs w:val="21"/>
              </w:rPr>
            </w:pPr>
          </w:p>
        </w:tc>
        <w:tc>
          <w:tcPr>
            <w:tcW w:w="1129" w:type="pct"/>
            <w:vAlign w:val="center"/>
          </w:tcPr>
          <w:p w14:paraId="33D65ECE">
            <w:pPr>
              <w:spacing w:line="320" w:lineRule="exact"/>
              <w:jc w:val="center"/>
              <w:rPr>
                <w:rFonts w:eastAsiaTheme="minorEastAsia"/>
                <w:szCs w:val="21"/>
              </w:rPr>
            </w:pPr>
            <w:r>
              <w:rPr>
                <w:rFonts w:eastAsiaTheme="minorEastAsia"/>
                <w:szCs w:val="21"/>
              </w:rPr>
              <w:t>硝酸盐</w:t>
            </w:r>
          </w:p>
        </w:tc>
        <w:tc>
          <w:tcPr>
            <w:tcW w:w="1210" w:type="pct"/>
            <w:vAlign w:val="center"/>
          </w:tcPr>
          <w:p w14:paraId="360B0ED8">
            <w:pPr>
              <w:spacing w:line="320" w:lineRule="exact"/>
              <w:jc w:val="center"/>
              <w:rPr>
                <w:rFonts w:eastAsiaTheme="minorEastAsia"/>
                <w:szCs w:val="21"/>
              </w:rPr>
            </w:pPr>
            <w:r>
              <w:rPr>
                <w:rFonts w:eastAsiaTheme="minorEastAsia"/>
                <w:szCs w:val="21"/>
              </w:rPr>
              <w:t>≤20mg/L</w:t>
            </w:r>
          </w:p>
        </w:tc>
        <w:tc>
          <w:tcPr>
            <w:tcW w:w="729" w:type="pct"/>
            <w:vMerge w:val="continue"/>
            <w:vAlign w:val="center"/>
          </w:tcPr>
          <w:p w14:paraId="678D5AC3">
            <w:pPr>
              <w:spacing w:line="320" w:lineRule="exact"/>
              <w:jc w:val="center"/>
              <w:rPr>
                <w:rFonts w:eastAsiaTheme="minorEastAsia"/>
                <w:szCs w:val="21"/>
              </w:rPr>
            </w:pPr>
          </w:p>
        </w:tc>
      </w:tr>
      <w:tr w14:paraId="147CB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3750C7F2">
            <w:pPr>
              <w:spacing w:line="320" w:lineRule="exact"/>
              <w:jc w:val="center"/>
              <w:rPr>
                <w:rFonts w:eastAsiaTheme="minorEastAsia"/>
                <w:szCs w:val="21"/>
              </w:rPr>
            </w:pPr>
          </w:p>
        </w:tc>
        <w:tc>
          <w:tcPr>
            <w:tcW w:w="645" w:type="pct"/>
            <w:vMerge w:val="continue"/>
            <w:vAlign w:val="center"/>
          </w:tcPr>
          <w:p w14:paraId="2564EFDA">
            <w:pPr>
              <w:spacing w:line="320" w:lineRule="exact"/>
              <w:jc w:val="center"/>
              <w:rPr>
                <w:rFonts w:eastAsiaTheme="minorEastAsia"/>
                <w:szCs w:val="21"/>
              </w:rPr>
            </w:pPr>
          </w:p>
        </w:tc>
        <w:tc>
          <w:tcPr>
            <w:tcW w:w="1129" w:type="pct"/>
            <w:vAlign w:val="center"/>
          </w:tcPr>
          <w:p w14:paraId="59E6470E">
            <w:pPr>
              <w:spacing w:line="320" w:lineRule="exact"/>
              <w:jc w:val="center"/>
              <w:rPr>
                <w:rFonts w:eastAsiaTheme="minorEastAsia"/>
                <w:szCs w:val="21"/>
              </w:rPr>
            </w:pPr>
            <w:r>
              <w:rPr>
                <w:rFonts w:eastAsiaTheme="minorEastAsia"/>
                <w:szCs w:val="21"/>
              </w:rPr>
              <w:t>亚硝酸盐氮</w:t>
            </w:r>
          </w:p>
        </w:tc>
        <w:tc>
          <w:tcPr>
            <w:tcW w:w="1210" w:type="pct"/>
            <w:vAlign w:val="center"/>
          </w:tcPr>
          <w:p w14:paraId="08195317">
            <w:pPr>
              <w:spacing w:line="320" w:lineRule="exact"/>
              <w:jc w:val="center"/>
              <w:rPr>
                <w:rFonts w:eastAsiaTheme="minorEastAsia"/>
                <w:szCs w:val="21"/>
              </w:rPr>
            </w:pPr>
            <w:r>
              <w:rPr>
                <w:rFonts w:eastAsiaTheme="minorEastAsia"/>
                <w:szCs w:val="21"/>
              </w:rPr>
              <w:t>≤1mg/L</w:t>
            </w:r>
          </w:p>
        </w:tc>
        <w:tc>
          <w:tcPr>
            <w:tcW w:w="729" w:type="pct"/>
            <w:vMerge w:val="continue"/>
            <w:vAlign w:val="center"/>
          </w:tcPr>
          <w:p w14:paraId="50BF638F">
            <w:pPr>
              <w:spacing w:line="320" w:lineRule="exact"/>
              <w:jc w:val="center"/>
              <w:rPr>
                <w:rFonts w:eastAsiaTheme="minorEastAsia"/>
                <w:szCs w:val="21"/>
              </w:rPr>
            </w:pPr>
          </w:p>
        </w:tc>
      </w:tr>
      <w:tr w14:paraId="5F1633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F973BCE">
            <w:pPr>
              <w:spacing w:line="320" w:lineRule="exact"/>
              <w:jc w:val="center"/>
              <w:rPr>
                <w:rFonts w:eastAsiaTheme="minorEastAsia"/>
                <w:szCs w:val="21"/>
              </w:rPr>
            </w:pPr>
          </w:p>
        </w:tc>
        <w:tc>
          <w:tcPr>
            <w:tcW w:w="645" w:type="pct"/>
            <w:vMerge w:val="continue"/>
            <w:vAlign w:val="center"/>
          </w:tcPr>
          <w:p w14:paraId="331384D7">
            <w:pPr>
              <w:spacing w:line="320" w:lineRule="exact"/>
              <w:jc w:val="center"/>
              <w:rPr>
                <w:rFonts w:eastAsiaTheme="minorEastAsia"/>
                <w:szCs w:val="21"/>
              </w:rPr>
            </w:pPr>
          </w:p>
        </w:tc>
        <w:tc>
          <w:tcPr>
            <w:tcW w:w="1129" w:type="pct"/>
            <w:vAlign w:val="center"/>
          </w:tcPr>
          <w:p w14:paraId="0018AA37">
            <w:pPr>
              <w:spacing w:line="320" w:lineRule="exact"/>
              <w:jc w:val="center"/>
              <w:rPr>
                <w:rFonts w:eastAsiaTheme="minorEastAsia"/>
                <w:szCs w:val="21"/>
              </w:rPr>
            </w:pPr>
            <w:r>
              <w:rPr>
                <w:rFonts w:eastAsiaTheme="minorEastAsia"/>
                <w:szCs w:val="21"/>
              </w:rPr>
              <w:t>挥发性酚类</w:t>
            </w:r>
          </w:p>
        </w:tc>
        <w:tc>
          <w:tcPr>
            <w:tcW w:w="1210" w:type="pct"/>
            <w:vAlign w:val="center"/>
          </w:tcPr>
          <w:p w14:paraId="70826CB7">
            <w:pPr>
              <w:spacing w:line="320" w:lineRule="exact"/>
              <w:jc w:val="center"/>
              <w:rPr>
                <w:rFonts w:eastAsiaTheme="minorEastAsia"/>
                <w:szCs w:val="21"/>
              </w:rPr>
            </w:pPr>
            <w:r>
              <w:rPr>
                <w:rFonts w:eastAsiaTheme="minorEastAsia"/>
                <w:szCs w:val="21"/>
              </w:rPr>
              <w:t>≤0.002mg/L</w:t>
            </w:r>
          </w:p>
        </w:tc>
        <w:tc>
          <w:tcPr>
            <w:tcW w:w="729" w:type="pct"/>
            <w:vMerge w:val="continue"/>
            <w:vAlign w:val="center"/>
          </w:tcPr>
          <w:p w14:paraId="66A2A005">
            <w:pPr>
              <w:spacing w:line="320" w:lineRule="exact"/>
              <w:jc w:val="center"/>
              <w:rPr>
                <w:rFonts w:eastAsiaTheme="minorEastAsia"/>
                <w:szCs w:val="21"/>
              </w:rPr>
            </w:pPr>
          </w:p>
        </w:tc>
      </w:tr>
      <w:tr w14:paraId="69D4F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3AAC380">
            <w:pPr>
              <w:spacing w:line="320" w:lineRule="exact"/>
              <w:jc w:val="center"/>
              <w:rPr>
                <w:rFonts w:eastAsiaTheme="minorEastAsia"/>
                <w:szCs w:val="21"/>
              </w:rPr>
            </w:pPr>
          </w:p>
        </w:tc>
        <w:tc>
          <w:tcPr>
            <w:tcW w:w="645" w:type="pct"/>
            <w:vMerge w:val="continue"/>
            <w:vAlign w:val="center"/>
          </w:tcPr>
          <w:p w14:paraId="452C383E">
            <w:pPr>
              <w:spacing w:line="320" w:lineRule="exact"/>
              <w:jc w:val="center"/>
              <w:rPr>
                <w:rFonts w:eastAsiaTheme="minorEastAsia"/>
                <w:szCs w:val="21"/>
              </w:rPr>
            </w:pPr>
          </w:p>
        </w:tc>
        <w:tc>
          <w:tcPr>
            <w:tcW w:w="1129" w:type="pct"/>
            <w:vAlign w:val="center"/>
          </w:tcPr>
          <w:p w14:paraId="6B460E3B">
            <w:pPr>
              <w:spacing w:line="320" w:lineRule="exact"/>
              <w:jc w:val="center"/>
              <w:rPr>
                <w:rFonts w:eastAsiaTheme="minorEastAsia"/>
                <w:szCs w:val="21"/>
              </w:rPr>
            </w:pPr>
            <w:r>
              <w:rPr>
                <w:rFonts w:eastAsiaTheme="minorEastAsia"/>
                <w:szCs w:val="21"/>
              </w:rPr>
              <w:t>氰化物</w:t>
            </w:r>
          </w:p>
        </w:tc>
        <w:tc>
          <w:tcPr>
            <w:tcW w:w="1210" w:type="pct"/>
            <w:vAlign w:val="center"/>
          </w:tcPr>
          <w:p w14:paraId="42847AE2">
            <w:pPr>
              <w:spacing w:line="320" w:lineRule="exact"/>
              <w:jc w:val="center"/>
              <w:rPr>
                <w:rFonts w:eastAsiaTheme="minorEastAsia"/>
                <w:szCs w:val="21"/>
              </w:rPr>
            </w:pPr>
            <w:r>
              <w:rPr>
                <w:rFonts w:eastAsiaTheme="minorEastAsia"/>
                <w:szCs w:val="21"/>
              </w:rPr>
              <w:t>≤0.05mg/L</w:t>
            </w:r>
          </w:p>
        </w:tc>
        <w:tc>
          <w:tcPr>
            <w:tcW w:w="729" w:type="pct"/>
            <w:vMerge w:val="continue"/>
            <w:vAlign w:val="center"/>
          </w:tcPr>
          <w:p w14:paraId="75EFD107">
            <w:pPr>
              <w:spacing w:line="320" w:lineRule="exact"/>
              <w:jc w:val="center"/>
              <w:rPr>
                <w:rFonts w:eastAsiaTheme="minorEastAsia"/>
                <w:szCs w:val="21"/>
              </w:rPr>
            </w:pPr>
          </w:p>
        </w:tc>
      </w:tr>
      <w:tr w14:paraId="4B0BF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0CA1768E">
            <w:pPr>
              <w:spacing w:line="320" w:lineRule="exact"/>
              <w:jc w:val="center"/>
              <w:rPr>
                <w:rFonts w:eastAsiaTheme="minorEastAsia"/>
                <w:szCs w:val="21"/>
              </w:rPr>
            </w:pPr>
          </w:p>
        </w:tc>
        <w:tc>
          <w:tcPr>
            <w:tcW w:w="645" w:type="pct"/>
            <w:vMerge w:val="continue"/>
            <w:vAlign w:val="center"/>
          </w:tcPr>
          <w:p w14:paraId="66340C18">
            <w:pPr>
              <w:spacing w:line="320" w:lineRule="exact"/>
              <w:jc w:val="center"/>
              <w:rPr>
                <w:rFonts w:eastAsiaTheme="minorEastAsia"/>
                <w:szCs w:val="21"/>
              </w:rPr>
            </w:pPr>
          </w:p>
        </w:tc>
        <w:tc>
          <w:tcPr>
            <w:tcW w:w="1129" w:type="pct"/>
            <w:vAlign w:val="center"/>
          </w:tcPr>
          <w:p w14:paraId="1C8F499C">
            <w:pPr>
              <w:spacing w:line="320" w:lineRule="exact"/>
              <w:jc w:val="center"/>
              <w:rPr>
                <w:rFonts w:eastAsiaTheme="minorEastAsia"/>
                <w:szCs w:val="21"/>
              </w:rPr>
            </w:pPr>
            <w:r>
              <w:rPr>
                <w:rFonts w:eastAsiaTheme="minorEastAsia"/>
                <w:szCs w:val="21"/>
              </w:rPr>
              <w:t>砷</w:t>
            </w:r>
          </w:p>
        </w:tc>
        <w:tc>
          <w:tcPr>
            <w:tcW w:w="1210" w:type="pct"/>
            <w:vAlign w:val="center"/>
          </w:tcPr>
          <w:p w14:paraId="19BB64D3">
            <w:pPr>
              <w:spacing w:line="320" w:lineRule="exact"/>
              <w:jc w:val="center"/>
              <w:rPr>
                <w:rFonts w:eastAsiaTheme="minorEastAsia"/>
                <w:szCs w:val="21"/>
              </w:rPr>
            </w:pPr>
            <w:r>
              <w:rPr>
                <w:rFonts w:eastAsiaTheme="minorEastAsia"/>
                <w:szCs w:val="21"/>
              </w:rPr>
              <w:t>≤0.01mg/L</w:t>
            </w:r>
          </w:p>
        </w:tc>
        <w:tc>
          <w:tcPr>
            <w:tcW w:w="729" w:type="pct"/>
            <w:vMerge w:val="continue"/>
            <w:vAlign w:val="center"/>
          </w:tcPr>
          <w:p w14:paraId="589AC38A">
            <w:pPr>
              <w:spacing w:line="320" w:lineRule="exact"/>
              <w:jc w:val="center"/>
              <w:rPr>
                <w:rFonts w:eastAsiaTheme="minorEastAsia"/>
                <w:szCs w:val="21"/>
              </w:rPr>
            </w:pPr>
          </w:p>
        </w:tc>
      </w:tr>
      <w:tr w14:paraId="58C99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2F6C53AF">
            <w:pPr>
              <w:spacing w:line="320" w:lineRule="exact"/>
              <w:jc w:val="center"/>
              <w:rPr>
                <w:rFonts w:eastAsiaTheme="minorEastAsia"/>
                <w:szCs w:val="21"/>
              </w:rPr>
            </w:pPr>
          </w:p>
        </w:tc>
        <w:tc>
          <w:tcPr>
            <w:tcW w:w="645" w:type="pct"/>
            <w:vMerge w:val="continue"/>
            <w:vAlign w:val="center"/>
          </w:tcPr>
          <w:p w14:paraId="7B7599EE">
            <w:pPr>
              <w:spacing w:line="320" w:lineRule="exact"/>
              <w:jc w:val="center"/>
              <w:rPr>
                <w:rFonts w:eastAsiaTheme="minorEastAsia"/>
                <w:szCs w:val="21"/>
              </w:rPr>
            </w:pPr>
          </w:p>
        </w:tc>
        <w:tc>
          <w:tcPr>
            <w:tcW w:w="1129" w:type="pct"/>
            <w:vAlign w:val="center"/>
          </w:tcPr>
          <w:p w14:paraId="6CE4378F">
            <w:pPr>
              <w:spacing w:line="320" w:lineRule="exact"/>
              <w:jc w:val="center"/>
              <w:rPr>
                <w:rFonts w:eastAsiaTheme="minorEastAsia"/>
                <w:szCs w:val="21"/>
              </w:rPr>
            </w:pPr>
            <w:r>
              <w:rPr>
                <w:rFonts w:eastAsiaTheme="minorEastAsia"/>
                <w:szCs w:val="21"/>
              </w:rPr>
              <w:t>汞</w:t>
            </w:r>
          </w:p>
        </w:tc>
        <w:tc>
          <w:tcPr>
            <w:tcW w:w="1210" w:type="pct"/>
            <w:vAlign w:val="center"/>
          </w:tcPr>
          <w:p w14:paraId="3367B104">
            <w:pPr>
              <w:spacing w:line="320" w:lineRule="exact"/>
              <w:jc w:val="center"/>
              <w:rPr>
                <w:rFonts w:eastAsiaTheme="minorEastAsia"/>
                <w:szCs w:val="21"/>
              </w:rPr>
            </w:pPr>
            <w:r>
              <w:rPr>
                <w:rFonts w:eastAsiaTheme="minorEastAsia"/>
                <w:szCs w:val="21"/>
              </w:rPr>
              <w:t>≤0.001mg/L</w:t>
            </w:r>
          </w:p>
        </w:tc>
        <w:tc>
          <w:tcPr>
            <w:tcW w:w="729" w:type="pct"/>
            <w:vMerge w:val="continue"/>
            <w:vAlign w:val="center"/>
          </w:tcPr>
          <w:p w14:paraId="4C5FE04A">
            <w:pPr>
              <w:spacing w:line="320" w:lineRule="exact"/>
              <w:jc w:val="center"/>
              <w:rPr>
                <w:rFonts w:eastAsiaTheme="minorEastAsia"/>
                <w:szCs w:val="21"/>
              </w:rPr>
            </w:pPr>
          </w:p>
        </w:tc>
      </w:tr>
      <w:tr w14:paraId="5FF58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046DE129">
            <w:pPr>
              <w:spacing w:line="320" w:lineRule="exact"/>
              <w:jc w:val="center"/>
              <w:rPr>
                <w:rFonts w:eastAsiaTheme="minorEastAsia"/>
                <w:szCs w:val="21"/>
              </w:rPr>
            </w:pPr>
          </w:p>
        </w:tc>
        <w:tc>
          <w:tcPr>
            <w:tcW w:w="645" w:type="pct"/>
            <w:vMerge w:val="continue"/>
            <w:vAlign w:val="center"/>
          </w:tcPr>
          <w:p w14:paraId="3E873B29">
            <w:pPr>
              <w:spacing w:line="320" w:lineRule="exact"/>
              <w:jc w:val="center"/>
              <w:rPr>
                <w:rFonts w:eastAsiaTheme="minorEastAsia"/>
                <w:szCs w:val="21"/>
              </w:rPr>
            </w:pPr>
          </w:p>
        </w:tc>
        <w:tc>
          <w:tcPr>
            <w:tcW w:w="1129" w:type="pct"/>
            <w:vAlign w:val="center"/>
          </w:tcPr>
          <w:p w14:paraId="3DEBBB0C">
            <w:pPr>
              <w:spacing w:line="320" w:lineRule="exact"/>
              <w:jc w:val="center"/>
              <w:rPr>
                <w:rFonts w:eastAsiaTheme="minorEastAsia"/>
                <w:szCs w:val="21"/>
              </w:rPr>
            </w:pPr>
            <w:r>
              <w:rPr>
                <w:rFonts w:eastAsiaTheme="minorEastAsia"/>
                <w:szCs w:val="21"/>
              </w:rPr>
              <w:t>六价铬</w:t>
            </w:r>
          </w:p>
        </w:tc>
        <w:tc>
          <w:tcPr>
            <w:tcW w:w="1210" w:type="pct"/>
            <w:vAlign w:val="center"/>
          </w:tcPr>
          <w:p w14:paraId="425828DC">
            <w:pPr>
              <w:spacing w:line="320" w:lineRule="exact"/>
              <w:jc w:val="center"/>
              <w:rPr>
                <w:rFonts w:eastAsiaTheme="minorEastAsia"/>
                <w:szCs w:val="21"/>
              </w:rPr>
            </w:pPr>
            <w:r>
              <w:rPr>
                <w:rFonts w:eastAsiaTheme="minorEastAsia"/>
                <w:szCs w:val="21"/>
              </w:rPr>
              <w:t>≤0.05mg/L</w:t>
            </w:r>
          </w:p>
        </w:tc>
        <w:tc>
          <w:tcPr>
            <w:tcW w:w="729" w:type="pct"/>
            <w:vMerge w:val="continue"/>
            <w:vAlign w:val="center"/>
          </w:tcPr>
          <w:p w14:paraId="7E514A2E">
            <w:pPr>
              <w:spacing w:line="320" w:lineRule="exact"/>
              <w:jc w:val="center"/>
              <w:rPr>
                <w:rFonts w:eastAsiaTheme="minorEastAsia"/>
                <w:szCs w:val="21"/>
              </w:rPr>
            </w:pPr>
          </w:p>
        </w:tc>
      </w:tr>
      <w:tr w14:paraId="7B501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59B48026">
            <w:pPr>
              <w:spacing w:line="320" w:lineRule="exact"/>
              <w:jc w:val="center"/>
              <w:rPr>
                <w:rFonts w:eastAsiaTheme="minorEastAsia"/>
                <w:szCs w:val="21"/>
              </w:rPr>
            </w:pPr>
          </w:p>
        </w:tc>
        <w:tc>
          <w:tcPr>
            <w:tcW w:w="645" w:type="pct"/>
            <w:vMerge w:val="continue"/>
            <w:vAlign w:val="center"/>
          </w:tcPr>
          <w:p w14:paraId="100B1CE5">
            <w:pPr>
              <w:spacing w:line="320" w:lineRule="exact"/>
              <w:jc w:val="center"/>
              <w:rPr>
                <w:rFonts w:eastAsiaTheme="minorEastAsia"/>
                <w:szCs w:val="21"/>
              </w:rPr>
            </w:pPr>
          </w:p>
        </w:tc>
        <w:tc>
          <w:tcPr>
            <w:tcW w:w="1129" w:type="pct"/>
            <w:vAlign w:val="center"/>
          </w:tcPr>
          <w:p w14:paraId="3FF97599">
            <w:pPr>
              <w:spacing w:line="320" w:lineRule="exact"/>
              <w:jc w:val="center"/>
              <w:rPr>
                <w:rFonts w:eastAsiaTheme="minorEastAsia"/>
                <w:szCs w:val="21"/>
              </w:rPr>
            </w:pPr>
            <w:r>
              <w:rPr>
                <w:rFonts w:eastAsiaTheme="minorEastAsia"/>
                <w:szCs w:val="21"/>
              </w:rPr>
              <w:t>总硬度</w:t>
            </w:r>
          </w:p>
        </w:tc>
        <w:tc>
          <w:tcPr>
            <w:tcW w:w="1210" w:type="pct"/>
            <w:vAlign w:val="center"/>
          </w:tcPr>
          <w:p w14:paraId="3EB68936">
            <w:pPr>
              <w:spacing w:line="320" w:lineRule="exact"/>
              <w:jc w:val="center"/>
              <w:rPr>
                <w:rFonts w:eastAsiaTheme="minorEastAsia"/>
                <w:szCs w:val="21"/>
              </w:rPr>
            </w:pPr>
            <w:r>
              <w:rPr>
                <w:rFonts w:eastAsiaTheme="minorEastAsia"/>
                <w:szCs w:val="21"/>
              </w:rPr>
              <w:t>≤450mg/L</w:t>
            </w:r>
          </w:p>
        </w:tc>
        <w:tc>
          <w:tcPr>
            <w:tcW w:w="729" w:type="pct"/>
            <w:vMerge w:val="continue"/>
            <w:vAlign w:val="center"/>
          </w:tcPr>
          <w:p w14:paraId="3EE42AD0">
            <w:pPr>
              <w:spacing w:line="320" w:lineRule="exact"/>
              <w:jc w:val="center"/>
              <w:rPr>
                <w:rFonts w:eastAsiaTheme="minorEastAsia"/>
                <w:szCs w:val="21"/>
              </w:rPr>
            </w:pPr>
          </w:p>
        </w:tc>
      </w:tr>
      <w:tr w14:paraId="14631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06BBF7D7">
            <w:pPr>
              <w:spacing w:line="320" w:lineRule="exact"/>
              <w:jc w:val="center"/>
              <w:rPr>
                <w:rFonts w:eastAsiaTheme="minorEastAsia"/>
                <w:szCs w:val="21"/>
              </w:rPr>
            </w:pPr>
          </w:p>
        </w:tc>
        <w:tc>
          <w:tcPr>
            <w:tcW w:w="645" w:type="pct"/>
            <w:vMerge w:val="continue"/>
            <w:vAlign w:val="center"/>
          </w:tcPr>
          <w:p w14:paraId="2ED5F0C4">
            <w:pPr>
              <w:spacing w:line="320" w:lineRule="exact"/>
              <w:jc w:val="center"/>
              <w:rPr>
                <w:rFonts w:eastAsiaTheme="minorEastAsia"/>
                <w:szCs w:val="21"/>
              </w:rPr>
            </w:pPr>
          </w:p>
        </w:tc>
        <w:tc>
          <w:tcPr>
            <w:tcW w:w="1129" w:type="pct"/>
            <w:vAlign w:val="center"/>
          </w:tcPr>
          <w:p w14:paraId="6A4E9C98">
            <w:pPr>
              <w:spacing w:line="320" w:lineRule="exact"/>
              <w:jc w:val="center"/>
              <w:rPr>
                <w:rFonts w:eastAsiaTheme="minorEastAsia"/>
                <w:szCs w:val="21"/>
              </w:rPr>
            </w:pPr>
            <w:r>
              <w:rPr>
                <w:rFonts w:eastAsiaTheme="minorEastAsia"/>
                <w:szCs w:val="21"/>
              </w:rPr>
              <w:t>铅</w:t>
            </w:r>
          </w:p>
        </w:tc>
        <w:tc>
          <w:tcPr>
            <w:tcW w:w="1210" w:type="pct"/>
            <w:vAlign w:val="center"/>
          </w:tcPr>
          <w:p w14:paraId="27B2FC34">
            <w:pPr>
              <w:spacing w:line="320" w:lineRule="exact"/>
              <w:jc w:val="center"/>
              <w:rPr>
                <w:rFonts w:eastAsiaTheme="minorEastAsia"/>
                <w:szCs w:val="21"/>
              </w:rPr>
            </w:pPr>
            <w:r>
              <w:rPr>
                <w:rFonts w:eastAsiaTheme="minorEastAsia"/>
                <w:szCs w:val="21"/>
              </w:rPr>
              <w:t>≤0.01mg/L</w:t>
            </w:r>
          </w:p>
        </w:tc>
        <w:tc>
          <w:tcPr>
            <w:tcW w:w="729" w:type="pct"/>
            <w:vMerge w:val="continue"/>
            <w:vAlign w:val="center"/>
          </w:tcPr>
          <w:p w14:paraId="378F7F95">
            <w:pPr>
              <w:spacing w:line="320" w:lineRule="exact"/>
              <w:jc w:val="center"/>
              <w:rPr>
                <w:rFonts w:eastAsiaTheme="minorEastAsia"/>
                <w:szCs w:val="21"/>
              </w:rPr>
            </w:pPr>
          </w:p>
        </w:tc>
      </w:tr>
      <w:tr w14:paraId="331FE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0C758FB1">
            <w:pPr>
              <w:spacing w:line="320" w:lineRule="exact"/>
              <w:jc w:val="center"/>
              <w:rPr>
                <w:rFonts w:eastAsiaTheme="minorEastAsia"/>
                <w:szCs w:val="21"/>
              </w:rPr>
            </w:pPr>
          </w:p>
        </w:tc>
        <w:tc>
          <w:tcPr>
            <w:tcW w:w="645" w:type="pct"/>
            <w:vMerge w:val="continue"/>
            <w:vAlign w:val="center"/>
          </w:tcPr>
          <w:p w14:paraId="2ACD9D07">
            <w:pPr>
              <w:spacing w:line="320" w:lineRule="exact"/>
              <w:jc w:val="center"/>
              <w:rPr>
                <w:rFonts w:eastAsiaTheme="minorEastAsia"/>
                <w:szCs w:val="21"/>
              </w:rPr>
            </w:pPr>
          </w:p>
        </w:tc>
        <w:tc>
          <w:tcPr>
            <w:tcW w:w="1129" w:type="pct"/>
            <w:vAlign w:val="center"/>
          </w:tcPr>
          <w:p w14:paraId="52ABF2D4">
            <w:pPr>
              <w:spacing w:line="320" w:lineRule="exact"/>
              <w:jc w:val="center"/>
              <w:rPr>
                <w:rFonts w:eastAsiaTheme="minorEastAsia"/>
                <w:szCs w:val="21"/>
              </w:rPr>
            </w:pPr>
            <w:r>
              <w:rPr>
                <w:rFonts w:eastAsiaTheme="minorEastAsia"/>
                <w:szCs w:val="21"/>
              </w:rPr>
              <w:t>镉</w:t>
            </w:r>
          </w:p>
        </w:tc>
        <w:tc>
          <w:tcPr>
            <w:tcW w:w="1210" w:type="pct"/>
            <w:vAlign w:val="center"/>
          </w:tcPr>
          <w:p w14:paraId="6A3B6BEA">
            <w:pPr>
              <w:spacing w:line="320" w:lineRule="exact"/>
              <w:jc w:val="center"/>
              <w:rPr>
                <w:rFonts w:eastAsiaTheme="minorEastAsia"/>
                <w:szCs w:val="21"/>
              </w:rPr>
            </w:pPr>
            <w:r>
              <w:rPr>
                <w:rFonts w:eastAsiaTheme="minorEastAsia"/>
                <w:szCs w:val="21"/>
              </w:rPr>
              <w:t>≤0.005mg/L</w:t>
            </w:r>
          </w:p>
        </w:tc>
        <w:tc>
          <w:tcPr>
            <w:tcW w:w="729" w:type="pct"/>
            <w:vMerge w:val="continue"/>
            <w:vAlign w:val="center"/>
          </w:tcPr>
          <w:p w14:paraId="1FE346CC">
            <w:pPr>
              <w:spacing w:line="320" w:lineRule="exact"/>
              <w:jc w:val="center"/>
              <w:rPr>
                <w:rFonts w:eastAsiaTheme="minorEastAsia"/>
                <w:szCs w:val="21"/>
              </w:rPr>
            </w:pPr>
          </w:p>
        </w:tc>
      </w:tr>
      <w:tr w14:paraId="1DD07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3C08325">
            <w:pPr>
              <w:spacing w:line="320" w:lineRule="exact"/>
              <w:jc w:val="center"/>
              <w:rPr>
                <w:rFonts w:eastAsiaTheme="minorEastAsia"/>
                <w:szCs w:val="21"/>
              </w:rPr>
            </w:pPr>
          </w:p>
        </w:tc>
        <w:tc>
          <w:tcPr>
            <w:tcW w:w="645" w:type="pct"/>
            <w:vMerge w:val="continue"/>
            <w:vAlign w:val="center"/>
          </w:tcPr>
          <w:p w14:paraId="66F00EB1">
            <w:pPr>
              <w:spacing w:line="320" w:lineRule="exact"/>
              <w:jc w:val="center"/>
              <w:rPr>
                <w:rFonts w:eastAsiaTheme="minorEastAsia"/>
                <w:szCs w:val="21"/>
              </w:rPr>
            </w:pPr>
          </w:p>
        </w:tc>
        <w:tc>
          <w:tcPr>
            <w:tcW w:w="1129" w:type="pct"/>
            <w:vAlign w:val="center"/>
          </w:tcPr>
          <w:p w14:paraId="307D8281">
            <w:pPr>
              <w:spacing w:line="320" w:lineRule="exact"/>
              <w:jc w:val="center"/>
              <w:rPr>
                <w:rFonts w:eastAsiaTheme="minorEastAsia"/>
                <w:szCs w:val="21"/>
              </w:rPr>
            </w:pPr>
            <w:r>
              <w:rPr>
                <w:rFonts w:eastAsiaTheme="minorEastAsia"/>
                <w:szCs w:val="21"/>
              </w:rPr>
              <w:t>铁</w:t>
            </w:r>
          </w:p>
        </w:tc>
        <w:tc>
          <w:tcPr>
            <w:tcW w:w="1210" w:type="pct"/>
            <w:vAlign w:val="center"/>
          </w:tcPr>
          <w:p w14:paraId="6C6AAD1F">
            <w:pPr>
              <w:spacing w:line="320" w:lineRule="exact"/>
              <w:jc w:val="center"/>
              <w:rPr>
                <w:rFonts w:eastAsiaTheme="minorEastAsia"/>
                <w:szCs w:val="21"/>
              </w:rPr>
            </w:pPr>
            <w:r>
              <w:rPr>
                <w:rFonts w:eastAsiaTheme="minorEastAsia"/>
                <w:szCs w:val="21"/>
              </w:rPr>
              <w:t>≤0.3mg/L</w:t>
            </w:r>
          </w:p>
        </w:tc>
        <w:tc>
          <w:tcPr>
            <w:tcW w:w="729" w:type="pct"/>
            <w:vMerge w:val="continue"/>
            <w:vAlign w:val="center"/>
          </w:tcPr>
          <w:p w14:paraId="01D43213">
            <w:pPr>
              <w:spacing w:line="320" w:lineRule="exact"/>
              <w:jc w:val="center"/>
              <w:rPr>
                <w:rFonts w:eastAsiaTheme="minorEastAsia"/>
                <w:szCs w:val="21"/>
              </w:rPr>
            </w:pPr>
          </w:p>
        </w:tc>
      </w:tr>
      <w:tr w14:paraId="36239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570B7E8B">
            <w:pPr>
              <w:spacing w:line="320" w:lineRule="exact"/>
              <w:jc w:val="center"/>
              <w:rPr>
                <w:rFonts w:eastAsiaTheme="minorEastAsia"/>
                <w:szCs w:val="21"/>
              </w:rPr>
            </w:pPr>
          </w:p>
        </w:tc>
        <w:tc>
          <w:tcPr>
            <w:tcW w:w="645" w:type="pct"/>
            <w:vMerge w:val="continue"/>
            <w:vAlign w:val="center"/>
          </w:tcPr>
          <w:p w14:paraId="790A622D">
            <w:pPr>
              <w:spacing w:line="320" w:lineRule="exact"/>
              <w:jc w:val="center"/>
              <w:rPr>
                <w:rFonts w:eastAsiaTheme="minorEastAsia"/>
                <w:szCs w:val="21"/>
              </w:rPr>
            </w:pPr>
          </w:p>
        </w:tc>
        <w:tc>
          <w:tcPr>
            <w:tcW w:w="1129" w:type="pct"/>
            <w:vAlign w:val="center"/>
          </w:tcPr>
          <w:p w14:paraId="5D34E7CA">
            <w:pPr>
              <w:spacing w:line="320" w:lineRule="exact"/>
              <w:jc w:val="center"/>
              <w:rPr>
                <w:rFonts w:eastAsiaTheme="minorEastAsia"/>
                <w:szCs w:val="21"/>
              </w:rPr>
            </w:pPr>
            <w:r>
              <w:rPr>
                <w:rFonts w:eastAsiaTheme="minorEastAsia"/>
                <w:szCs w:val="21"/>
              </w:rPr>
              <w:t>锰</w:t>
            </w:r>
          </w:p>
        </w:tc>
        <w:tc>
          <w:tcPr>
            <w:tcW w:w="1210" w:type="pct"/>
            <w:vAlign w:val="center"/>
          </w:tcPr>
          <w:p w14:paraId="15564467">
            <w:pPr>
              <w:spacing w:line="320" w:lineRule="exact"/>
              <w:jc w:val="center"/>
              <w:rPr>
                <w:rFonts w:eastAsiaTheme="minorEastAsia"/>
                <w:szCs w:val="21"/>
              </w:rPr>
            </w:pPr>
            <w:r>
              <w:rPr>
                <w:rFonts w:eastAsiaTheme="minorEastAsia"/>
                <w:szCs w:val="21"/>
              </w:rPr>
              <w:t>≤0.10mg/L</w:t>
            </w:r>
          </w:p>
        </w:tc>
        <w:tc>
          <w:tcPr>
            <w:tcW w:w="729" w:type="pct"/>
            <w:vMerge w:val="continue"/>
            <w:vAlign w:val="center"/>
          </w:tcPr>
          <w:p w14:paraId="23A16EAB">
            <w:pPr>
              <w:spacing w:line="320" w:lineRule="exact"/>
              <w:jc w:val="center"/>
              <w:rPr>
                <w:rFonts w:eastAsiaTheme="minorEastAsia"/>
                <w:szCs w:val="21"/>
              </w:rPr>
            </w:pPr>
          </w:p>
        </w:tc>
      </w:tr>
      <w:tr w14:paraId="3E4DD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13260F86">
            <w:pPr>
              <w:spacing w:line="320" w:lineRule="exact"/>
              <w:jc w:val="center"/>
              <w:rPr>
                <w:rFonts w:eastAsiaTheme="minorEastAsia"/>
                <w:szCs w:val="21"/>
              </w:rPr>
            </w:pPr>
          </w:p>
        </w:tc>
        <w:tc>
          <w:tcPr>
            <w:tcW w:w="645" w:type="pct"/>
            <w:vMerge w:val="continue"/>
            <w:vAlign w:val="center"/>
          </w:tcPr>
          <w:p w14:paraId="71B4043C">
            <w:pPr>
              <w:spacing w:line="320" w:lineRule="exact"/>
              <w:jc w:val="center"/>
              <w:rPr>
                <w:rFonts w:eastAsiaTheme="minorEastAsia"/>
                <w:szCs w:val="21"/>
              </w:rPr>
            </w:pPr>
          </w:p>
        </w:tc>
        <w:tc>
          <w:tcPr>
            <w:tcW w:w="1129" w:type="pct"/>
            <w:vAlign w:val="center"/>
          </w:tcPr>
          <w:p w14:paraId="07EED2A4">
            <w:pPr>
              <w:spacing w:line="320" w:lineRule="exact"/>
              <w:jc w:val="center"/>
              <w:rPr>
                <w:rFonts w:eastAsiaTheme="minorEastAsia"/>
                <w:szCs w:val="21"/>
              </w:rPr>
            </w:pPr>
            <w:r>
              <w:rPr>
                <w:rFonts w:eastAsiaTheme="minorEastAsia"/>
                <w:szCs w:val="21"/>
              </w:rPr>
              <w:t>溶解性总固体</w:t>
            </w:r>
          </w:p>
        </w:tc>
        <w:tc>
          <w:tcPr>
            <w:tcW w:w="1210" w:type="pct"/>
            <w:vAlign w:val="center"/>
          </w:tcPr>
          <w:p w14:paraId="43D9AE55">
            <w:pPr>
              <w:spacing w:line="320" w:lineRule="exact"/>
              <w:jc w:val="center"/>
              <w:rPr>
                <w:rFonts w:eastAsiaTheme="minorEastAsia"/>
                <w:szCs w:val="21"/>
              </w:rPr>
            </w:pPr>
            <w:r>
              <w:rPr>
                <w:rFonts w:eastAsiaTheme="minorEastAsia"/>
                <w:szCs w:val="21"/>
              </w:rPr>
              <w:t>≤1000mg/L</w:t>
            </w:r>
          </w:p>
        </w:tc>
        <w:tc>
          <w:tcPr>
            <w:tcW w:w="729" w:type="pct"/>
            <w:vMerge w:val="continue"/>
            <w:vAlign w:val="center"/>
          </w:tcPr>
          <w:p w14:paraId="63AA9ABB">
            <w:pPr>
              <w:spacing w:line="320" w:lineRule="exact"/>
              <w:jc w:val="center"/>
              <w:rPr>
                <w:rFonts w:eastAsiaTheme="minorEastAsia"/>
                <w:szCs w:val="21"/>
              </w:rPr>
            </w:pPr>
          </w:p>
        </w:tc>
      </w:tr>
      <w:tr w14:paraId="40FAD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053BA75">
            <w:pPr>
              <w:spacing w:line="320" w:lineRule="exact"/>
              <w:jc w:val="center"/>
              <w:rPr>
                <w:rFonts w:eastAsiaTheme="minorEastAsia"/>
                <w:szCs w:val="21"/>
              </w:rPr>
            </w:pPr>
          </w:p>
        </w:tc>
        <w:tc>
          <w:tcPr>
            <w:tcW w:w="645" w:type="pct"/>
            <w:vMerge w:val="continue"/>
            <w:vAlign w:val="center"/>
          </w:tcPr>
          <w:p w14:paraId="6C6769FC">
            <w:pPr>
              <w:spacing w:line="320" w:lineRule="exact"/>
              <w:jc w:val="center"/>
              <w:rPr>
                <w:rFonts w:eastAsiaTheme="minorEastAsia"/>
                <w:szCs w:val="21"/>
              </w:rPr>
            </w:pPr>
          </w:p>
        </w:tc>
        <w:tc>
          <w:tcPr>
            <w:tcW w:w="1129" w:type="pct"/>
            <w:vAlign w:val="center"/>
          </w:tcPr>
          <w:p w14:paraId="496E0D75">
            <w:pPr>
              <w:spacing w:line="320" w:lineRule="exact"/>
              <w:jc w:val="center"/>
              <w:rPr>
                <w:rFonts w:eastAsiaTheme="minorEastAsia"/>
                <w:szCs w:val="21"/>
              </w:rPr>
            </w:pPr>
            <w:r>
              <w:rPr>
                <w:rFonts w:eastAsiaTheme="minorEastAsia"/>
                <w:szCs w:val="21"/>
              </w:rPr>
              <w:t>高猛酸盐指数</w:t>
            </w:r>
          </w:p>
        </w:tc>
        <w:tc>
          <w:tcPr>
            <w:tcW w:w="1210" w:type="pct"/>
            <w:vAlign w:val="center"/>
          </w:tcPr>
          <w:p w14:paraId="1AB80AB4">
            <w:pPr>
              <w:spacing w:line="320" w:lineRule="exact"/>
              <w:jc w:val="center"/>
              <w:rPr>
                <w:rFonts w:eastAsiaTheme="minorEastAsia"/>
                <w:szCs w:val="21"/>
              </w:rPr>
            </w:pPr>
            <w:r>
              <w:rPr>
                <w:rFonts w:eastAsiaTheme="minorEastAsia"/>
                <w:szCs w:val="21"/>
              </w:rPr>
              <w:t>≤3.0mg/L</w:t>
            </w:r>
          </w:p>
        </w:tc>
        <w:tc>
          <w:tcPr>
            <w:tcW w:w="729" w:type="pct"/>
            <w:vMerge w:val="continue"/>
            <w:vAlign w:val="center"/>
          </w:tcPr>
          <w:p w14:paraId="5E9B5606">
            <w:pPr>
              <w:spacing w:line="320" w:lineRule="exact"/>
              <w:jc w:val="center"/>
              <w:rPr>
                <w:rFonts w:eastAsiaTheme="minorEastAsia"/>
                <w:szCs w:val="21"/>
              </w:rPr>
            </w:pPr>
          </w:p>
        </w:tc>
      </w:tr>
      <w:tr w14:paraId="1983A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5826EA6">
            <w:pPr>
              <w:spacing w:line="320" w:lineRule="exact"/>
              <w:jc w:val="center"/>
              <w:rPr>
                <w:rFonts w:eastAsiaTheme="minorEastAsia"/>
                <w:szCs w:val="21"/>
              </w:rPr>
            </w:pPr>
          </w:p>
        </w:tc>
        <w:tc>
          <w:tcPr>
            <w:tcW w:w="645" w:type="pct"/>
            <w:vMerge w:val="continue"/>
            <w:vAlign w:val="center"/>
          </w:tcPr>
          <w:p w14:paraId="05C3DE99">
            <w:pPr>
              <w:spacing w:line="320" w:lineRule="exact"/>
              <w:jc w:val="center"/>
              <w:rPr>
                <w:rFonts w:eastAsiaTheme="minorEastAsia"/>
                <w:szCs w:val="21"/>
              </w:rPr>
            </w:pPr>
          </w:p>
        </w:tc>
        <w:tc>
          <w:tcPr>
            <w:tcW w:w="1129" w:type="pct"/>
            <w:vAlign w:val="center"/>
          </w:tcPr>
          <w:p w14:paraId="4A1FBD01">
            <w:pPr>
              <w:spacing w:line="320" w:lineRule="exact"/>
              <w:jc w:val="center"/>
              <w:rPr>
                <w:rFonts w:eastAsiaTheme="minorEastAsia"/>
                <w:szCs w:val="21"/>
              </w:rPr>
            </w:pPr>
            <w:r>
              <w:rPr>
                <w:rFonts w:eastAsiaTheme="minorEastAsia"/>
                <w:szCs w:val="21"/>
              </w:rPr>
              <w:t>硫酸盐</w:t>
            </w:r>
          </w:p>
        </w:tc>
        <w:tc>
          <w:tcPr>
            <w:tcW w:w="1210" w:type="pct"/>
            <w:vAlign w:val="center"/>
          </w:tcPr>
          <w:p w14:paraId="0A937BBC">
            <w:pPr>
              <w:spacing w:line="320" w:lineRule="exact"/>
              <w:jc w:val="center"/>
              <w:rPr>
                <w:rFonts w:eastAsiaTheme="minorEastAsia"/>
                <w:szCs w:val="21"/>
              </w:rPr>
            </w:pPr>
            <w:r>
              <w:rPr>
                <w:rFonts w:eastAsiaTheme="minorEastAsia"/>
                <w:szCs w:val="21"/>
              </w:rPr>
              <w:t>≤250mg/L</w:t>
            </w:r>
          </w:p>
        </w:tc>
        <w:tc>
          <w:tcPr>
            <w:tcW w:w="729" w:type="pct"/>
            <w:vMerge w:val="continue"/>
            <w:vAlign w:val="center"/>
          </w:tcPr>
          <w:p w14:paraId="55983BAB">
            <w:pPr>
              <w:spacing w:line="320" w:lineRule="exact"/>
              <w:jc w:val="center"/>
              <w:rPr>
                <w:rFonts w:eastAsiaTheme="minorEastAsia"/>
                <w:szCs w:val="21"/>
              </w:rPr>
            </w:pPr>
          </w:p>
        </w:tc>
      </w:tr>
      <w:tr w14:paraId="163A6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28C52A75">
            <w:pPr>
              <w:spacing w:line="320" w:lineRule="exact"/>
              <w:jc w:val="center"/>
              <w:rPr>
                <w:rFonts w:eastAsiaTheme="minorEastAsia"/>
                <w:szCs w:val="21"/>
              </w:rPr>
            </w:pPr>
          </w:p>
        </w:tc>
        <w:tc>
          <w:tcPr>
            <w:tcW w:w="645" w:type="pct"/>
            <w:vMerge w:val="continue"/>
            <w:vAlign w:val="center"/>
          </w:tcPr>
          <w:p w14:paraId="7BDE06FA">
            <w:pPr>
              <w:spacing w:line="320" w:lineRule="exact"/>
              <w:jc w:val="center"/>
              <w:rPr>
                <w:rFonts w:eastAsiaTheme="minorEastAsia"/>
                <w:szCs w:val="21"/>
              </w:rPr>
            </w:pPr>
          </w:p>
        </w:tc>
        <w:tc>
          <w:tcPr>
            <w:tcW w:w="1129" w:type="pct"/>
            <w:vAlign w:val="center"/>
          </w:tcPr>
          <w:p w14:paraId="0E82EDA4">
            <w:pPr>
              <w:spacing w:line="320" w:lineRule="exact"/>
              <w:jc w:val="center"/>
              <w:rPr>
                <w:rFonts w:eastAsiaTheme="minorEastAsia"/>
                <w:szCs w:val="21"/>
              </w:rPr>
            </w:pPr>
            <w:r>
              <w:rPr>
                <w:rFonts w:eastAsiaTheme="minorEastAsia"/>
                <w:szCs w:val="21"/>
              </w:rPr>
              <w:t>氯化物</w:t>
            </w:r>
          </w:p>
        </w:tc>
        <w:tc>
          <w:tcPr>
            <w:tcW w:w="1210" w:type="pct"/>
            <w:vAlign w:val="center"/>
          </w:tcPr>
          <w:p w14:paraId="0F78F09C">
            <w:pPr>
              <w:spacing w:line="320" w:lineRule="exact"/>
              <w:jc w:val="center"/>
              <w:rPr>
                <w:rFonts w:eastAsiaTheme="minorEastAsia"/>
                <w:szCs w:val="21"/>
              </w:rPr>
            </w:pPr>
            <w:r>
              <w:rPr>
                <w:rFonts w:eastAsiaTheme="minorEastAsia"/>
                <w:szCs w:val="21"/>
              </w:rPr>
              <w:t>≤250mg/L</w:t>
            </w:r>
          </w:p>
        </w:tc>
        <w:tc>
          <w:tcPr>
            <w:tcW w:w="729" w:type="pct"/>
            <w:vMerge w:val="continue"/>
            <w:vAlign w:val="center"/>
          </w:tcPr>
          <w:p w14:paraId="10B072A3">
            <w:pPr>
              <w:spacing w:line="320" w:lineRule="exact"/>
              <w:jc w:val="center"/>
              <w:rPr>
                <w:rFonts w:eastAsiaTheme="minorEastAsia"/>
                <w:szCs w:val="21"/>
              </w:rPr>
            </w:pPr>
          </w:p>
        </w:tc>
      </w:tr>
      <w:tr w14:paraId="61EE5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351B32EB">
            <w:pPr>
              <w:spacing w:line="320" w:lineRule="exact"/>
              <w:jc w:val="center"/>
              <w:rPr>
                <w:rFonts w:eastAsiaTheme="minorEastAsia"/>
                <w:szCs w:val="21"/>
              </w:rPr>
            </w:pPr>
          </w:p>
        </w:tc>
        <w:tc>
          <w:tcPr>
            <w:tcW w:w="645" w:type="pct"/>
            <w:vMerge w:val="continue"/>
            <w:vAlign w:val="center"/>
          </w:tcPr>
          <w:p w14:paraId="1FD652EB">
            <w:pPr>
              <w:spacing w:line="320" w:lineRule="exact"/>
              <w:jc w:val="center"/>
              <w:rPr>
                <w:rFonts w:eastAsiaTheme="minorEastAsia"/>
                <w:szCs w:val="21"/>
              </w:rPr>
            </w:pPr>
          </w:p>
        </w:tc>
        <w:tc>
          <w:tcPr>
            <w:tcW w:w="1129" w:type="pct"/>
            <w:vAlign w:val="center"/>
          </w:tcPr>
          <w:p w14:paraId="1326E63B">
            <w:pPr>
              <w:spacing w:line="320" w:lineRule="exact"/>
              <w:jc w:val="center"/>
              <w:rPr>
                <w:rFonts w:eastAsiaTheme="minorEastAsia"/>
                <w:szCs w:val="21"/>
              </w:rPr>
            </w:pPr>
            <w:r>
              <w:rPr>
                <w:rFonts w:eastAsiaTheme="minorEastAsia"/>
                <w:szCs w:val="21"/>
              </w:rPr>
              <w:t>总大肠菌群</w:t>
            </w:r>
          </w:p>
        </w:tc>
        <w:tc>
          <w:tcPr>
            <w:tcW w:w="1210" w:type="pct"/>
            <w:vAlign w:val="center"/>
          </w:tcPr>
          <w:p w14:paraId="3F9B3B92">
            <w:pPr>
              <w:spacing w:line="320" w:lineRule="exact"/>
              <w:jc w:val="center"/>
              <w:rPr>
                <w:rFonts w:eastAsiaTheme="minorEastAsia"/>
                <w:szCs w:val="21"/>
              </w:rPr>
            </w:pPr>
            <w:r>
              <w:rPr>
                <w:rFonts w:eastAsiaTheme="minorEastAsia"/>
                <w:szCs w:val="21"/>
              </w:rPr>
              <w:t>≤3.0MPN/100mL</w:t>
            </w:r>
          </w:p>
        </w:tc>
        <w:tc>
          <w:tcPr>
            <w:tcW w:w="729" w:type="pct"/>
            <w:vMerge w:val="continue"/>
            <w:vAlign w:val="center"/>
          </w:tcPr>
          <w:p w14:paraId="0F9B65D2">
            <w:pPr>
              <w:spacing w:line="320" w:lineRule="exact"/>
              <w:jc w:val="center"/>
              <w:rPr>
                <w:rFonts w:eastAsiaTheme="minorEastAsia"/>
                <w:szCs w:val="21"/>
              </w:rPr>
            </w:pPr>
          </w:p>
        </w:tc>
      </w:tr>
      <w:tr w14:paraId="6E69D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287" w:type="pct"/>
            <w:vMerge w:val="continue"/>
            <w:vAlign w:val="center"/>
          </w:tcPr>
          <w:p w14:paraId="66ABDB4C">
            <w:pPr>
              <w:spacing w:line="320" w:lineRule="exact"/>
              <w:jc w:val="center"/>
              <w:rPr>
                <w:rFonts w:eastAsiaTheme="minorEastAsia"/>
                <w:szCs w:val="21"/>
              </w:rPr>
            </w:pPr>
          </w:p>
        </w:tc>
        <w:tc>
          <w:tcPr>
            <w:tcW w:w="645" w:type="pct"/>
            <w:vMerge w:val="continue"/>
            <w:vAlign w:val="center"/>
          </w:tcPr>
          <w:p w14:paraId="3D17A6A1">
            <w:pPr>
              <w:spacing w:line="320" w:lineRule="exact"/>
              <w:jc w:val="center"/>
              <w:rPr>
                <w:rFonts w:eastAsiaTheme="minorEastAsia"/>
                <w:szCs w:val="21"/>
              </w:rPr>
            </w:pPr>
          </w:p>
        </w:tc>
        <w:tc>
          <w:tcPr>
            <w:tcW w:w="1129" w:type="pct"/>
            <w:vAlign w:val="center"/>
          </w:tcPr>
          <w:p w14:paraId="1E5FA3F6">
            <w:pPr>
              <w:spacing w:line="320" w:lineRule="exact"/>
              <w:jc w:val="center"/>
              <w:rPr>
                <w:rFonts w:eastAsiaTheme="minorEastAsia"/>
                <w:szCs w:val="21"/>
              </w:rPr>
            </w:pPr>
            <w:r>
              <w:rPr>
                <w:rFonts w:eastAsiaTheme="minorEastAsia"/>
                <w:szCs w:val="21"/>
              </w:rPr>
              <w:t>菌落总数</w:t>
            </w:r>
          </w:p>
        </w:tc>
        <w:tc>
          <w:tcPr>
            <w:tcW w:w="1210" w:type="pct"/>
            <w:vAlign w:val="center"/>
          </w:tcPr>
          <w:p w14:paraId="7D6E2B61">
            <w:pPr>
              <w:spacing w:line="320" w:lineRule="exact"/>
              <w:jc w:val="center"/>
              <w:rPr>
                <w:rFonts w:eastAsiaTheme="minorEastAsia"/>
                <w:szCs w:val="21"/>
              </w:rPr>
            </w:pPr>
            <w:r>
              <w:rPr>
                <w:rFonts w:eastAsiaTheme="minorEastAsia"/>
                <w:szCs w:val="21"/>
              </w:rPr>
              <w:t>≤100CFU/mL</w:t>
            </w:r>
          </w:p>
        </w:tc>
        <w:tc>
          <w:tcPr>
            <w:tcW w:w="729" w:type="pct"/>
            <w:vMerge w:val="continue"/>
            <w:vAlign w:val="center"/>
          </w:tcPr>
          <w:p w14:paraId="771211A2">
            <w:pPr>
              <w:spacing w:line="320" w:lineRule="exact"/>
              <w:jc w:val="center"/>
              <w:rPr>
                <w:rFonts w:eastAsiaTheme="minorEastAsia"/>
                <w:szCs w:val="21"/>
              </w:rPr>
            </w:pPr>
          </w:p>
        </w:tc>
      </w:tr>
    </w:tbl>
    <w:p w14:paraId="109DCDC2">
      <w:pPr>
        <w:spacing w:line="360" w:lineRule="auto"/>
        <w:ind w:firstLine="482" w:firstLineChars="200"/>
        <w:rPr>
          <w:rFonts w:eastAsiaTheme="minorEastAsia"/>
          <w:b/>
          <w:bCs/>
          <w:kern w:val="0"/>
          <w:sz w:val="24"/>
          <w:szCs w:val="22"/>
        </w:rPr>
      </w:pPr>
      <w:r>
        <w:rPr>
          <w:rFonts w:eastAsiaTheme="minorEastAsia"/>
          <w:b/>
          <w:bCs/>
          <w:kern w:val="0"/>
          <w:sz w:val="24"/>
          <w:szCs w:val="22"/>
        </w:rPr>
        <w:t>（4）土壤环境质量标准</w:t>
      </w:r>
    </w:p>
    <w:p w14:paraId="41A74AB5">
      <w:pPr>
        <w:autoSpaceDE w:val="0"/>
        <w:autoSpaceDN w:val="0"/>
        <w:spacing w:line="360" w:lineRule="auto"/>
        <w:ind w:firstLine="480"/>
        <w:rPr>
          <w:rFonts w:eastAsiaTheme="minorEastAsia"/>
          <w:kern w:val="0"/>
          <w:sz w:val="24"/>
          <w:szCs w:val="20"/>
        </w:rPr>
      </w:pPr>
      <w:r>
        <w:rPr>
          <w:rFonts w:hint="eastAsia" w:eastAsiaTheme="minorEastAsia"/>
          <w:sz w:val="24"/>
        </w:rPr>
        <w:t>规划区域</w:t>
      </w:r>
      <w:r>
        <w:rPr>
          <w:rFonts w:hint="eastAsia" w:eastAsiaTheme="minorEastAsia"/>
          <w:kern w:val="0"/>
          <w:sz w:val="24"/>
          <w:szCs w:val="20"/>
        </w:rPr>
        <w:t>建设用地满足《土壤环境质量  建设用地土壤污染风险管控标准（试行）》（GB36600-2018）筛选值第二类用地标准；农用地满足《土壤环境质量  农用地土壤污染风险管控标准（试行）》（GB15618-2018）风险筛选值标准</w:t>
      </w:r>
      <w:r>
        <w:rPr>
          <w:rFonts w:eastAsiaTheme="minorEastAsia"/>
          <w:kern w:val="0"/>
          <w:sz w:val="24"/>
          <w:szCs w:val="20"/>
        </w:rPr>
        <w:t>。</w:t>
      </w:r>
    </w:p>
    <w:p w14:paraId="18402232">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4</w:t>
      </w:r>
      <w:r>
        <w:rPr>
          <w:rFonts w:eastAsiaTheme="minorEastAsia"/>
          <w:b/>
          <w:snapToGrid w:val="0"/>
          <w:kern w:val="18"/>
          <w:szCs w:val="21"/>
        </w:rPr>
        <w:t xml:space="preserve">  《土壤环境质量  建设用地土壤污染风险管控标准》  单位：mg/kg</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18"/>
        <w:gridCol w:w="4310"/>
      </w:tblGrid>
      <w:tr w14:paraId="72A0C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473" w:type="pct"/>
            <w:tcBorders>
              <w:tl2br w:val="nil"/>
              <w:tr2bl w:val="nil"/>
            </w:tcBorders>
            <w:vAlign w:val="center"/>
          </w:tcPr>
          <w:p w14:paraId="1AFC9B69">
            <w:pPr>
              <w:jc w:val="center"/>
              <w:rPr>
                <w:rFonts w:eastAsiaTheme="minorEastAsia"/>
                <w:b/>
                <w:szCs w:val="21"/>
              </w:rPr>
            </w:pPr>
            <w:r>
              <w:rPr>
                <w:rFonts w:eastAsiaTheme="minorEastAsia"/>
                <w:b/>
                <w:szCs w:val="21"/>
              </w:rPr>
              <w:t>项目</w:t>
            </w:r>
          </w:p>
        </w:tc>
        <w:tc>
          <w:tcPr>
            <w:tcW w:w="2527" w:type="pct"/>
            <w:tcBorders>
              <w:tl2br w:val="nil"/>
              <w:tr2bl w:val="nil"/>
            </w:tcBorders>
            <w:vAlign w:val="center"/>
          </w:tcPr>
          <w:p w14:paraId="0E1B267F">
            <w:pPr>
              <w:jc w:val="center"/>
              <w:rPr>
                <w:rFonts w:eastAsiaTheme="minorEastAsia"/>
                <w:b/>
                <w:szCs w:val="21"/>
              </w:rPr>
            </w:pPr>
            <w:r>
              <w:rPr>
                <w:rFonts w:eastAsiaTheme="minorEastAsia"/>
                <w:b/>
                <w:szCs w:val="21"/>
              </w:rPr>
              <w:t>筛选值第二类用地</w:t>
            </w:r>
          </w:p>
        </w:tc>
      </w:tr>
      <w:tr w14:paraId="305BAF1B">
        <w:tblPrEx>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30C2FD30">
            <w:pPr>
              <w:jc w:val="center"/>
              <w:rPr>
                <w:rFonts w:eastAsiaTheme="minorEastAsia"/>
                <w:szCs w:val="21"/>
              </w:rPr>
            </w:pPr>
            <w:r>
              <w:rPr>
                <w:rFonts w:eastAsiaTheme="minorEastAsia"/>
                <w:szCs w:val="21"/>
              </w:rPr>
              <w:t>砷</w:t>
            </w:r>
          </w:p>
        </w:tc>
        <w:tc>
          <w:tcPr>
            <w:tcW w:w="2527" w:type="pct"/>
            <w:tcBorders>
              <w:tl2br w:val="nil"/>
              <w:tr2bl w:val="nil"/>
            </w:tcBorders>
            <w:vAlign w:val="center"/>
          </w:tcPr>
          <w:p w14:paraId="07F9D52B">
            <w:pPr>
              <w:jc w:val="center"/>
              <w:rPr>
                <w:rFonts w:eastAsiaTheme="minorEastAsia"/>
                <w:szCs w:val="21"/>
              </w:rPr>
            </w:pPr>
            <w:r>
              <w:rPr>
                <w:rFonts w:eastAsiaTheme="minorEastAsia"/>
                <w:szCs w:val="21"/>
              </w:rPr>
              <w:t>60</w:t>
            </w:r>
          </w:p>
        </w:tc>
      </w:tr>
      <w:tr w14:paraId="77AC3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67A7F65">
            <w:pPr>
              <w:jc w:val="center"/>
              <w:rPr>
                <w:rFonts w:eastAsiaTheme="minorEastAsia"/>
                <w:szCs w:val="21"/>
              </w:rPr>
            </w:pPr>
            <w:r>
              <w:rPr>
                <w:rFonts w:eastAsiaTheme="minorEastAsia"/>
                <w:szCs w:val="21"/>
              </w:rPr>
              <w:t>镉</w:t>
            </w:r>
          </w:p>
        </w:tc>
        <w:tc>
          <w:tcPr>
            <w:tcW w:w="2527" w:type="pct"/>
            <w:tcBorders>
              <w:tl2br w:val="nil"/>
              <w:tr2bl w:val="nil"/>
            </w:tcBorders>
            <w:vAlign w:val="center"/>
          </w:tcPr>
          <w:p w14:paraId="4FBC2256">
            <w:pPr>
              <w:jc w:val="center"/>
              <w:rPr>
                <w:rFonts w:eastAsiaTheme="minorEastAsia"/>
                <w:szCs w:val="21"/>
              </w:rPr>
            </w:pPr>
            <w:r>
              <w:rPr>
                <w:rFonts w:eastAsiaTheme="minorEastAsia"/>
                <w:szCs w:val="21"/>
              </w:rPr>
              <w:t>65</w:t>
            </w:r>
          </w:p>
        </w:tc>
      </w:tr>
      <w:tr w14:paraId="27EAD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284B1396">
            <w:pPr>
              <w:jc w:val="center"/>
              <w:rPr>
                <w:rFonts w:eastAsiaTheme="minorEastAsia"/>
                <w:szCs w:val="21"/>
              </w:rPr>
            </w:pPr>
            <w:r>
              <w:rPr>
                <w:rFonts w:eastAsiaTheme="minorEastAsia"/>
                <w:szCs w:val="21"/>
              </w:rPr>
              <w:t>六价铬</w:t>
            </w:r>
          </w:p>
        </w:tc>
        <w:tc>
          <w:tcPr>
            <w:tcW w:w="2527" w:type="pct"/>
            <w:tcBorders>
              <w:tl2br w:val="nil"/>
              <w:tr2bl w:val="nil"/>
            </w:tcBorders>
            <w:vAlign w:val="center"/>
          </w:tcPr>
          <w:p w14:paraId="30B5EBD1">
            <w:pPr>
              <w:jc w:val="center"/>
              <w:rPr>
                <w:rFonts w:eastAsiaTheme="minorEastAsia"/>
                <w:szCs w:val="21"/>
              </w:rPr>
            </w:pPr>
            <w:r>
              <w:rPr>
                <w:rFonts w:eastAsiaTheme="minorEastAsia"/>
                <w:szCs w:val="21"/>
              </w:rPr>
              <w:t>5.7</w:t>
            </w:r>
          </w:p>
        </w:tc>
      </w:tr>
      <w:tr w14:paraId="70715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DF58ABD">
            <w:pPr>
              <w:jc w:val="center"/>
              <w:rPr>
                <w:rFonts w:eastAsiaTheme="minorEastAsia"/>
                <w:szCs w:val="21"/>
              </w:rPr>
            </w:pPr>
            <w:r>
              <w:rPr>
                <w:rFonts w:eastAsiaTheme="minorEastAsia"/>
                <w:szCs w:val="21"/>
              </w:rPr>
              <w:t>铜</w:t>
            </w:r>
          </w:p>
        </w:tc>
        <w:tc>
          <w:tcPr>
            <w:tcW w:w="2527" w:type="pct"/>
            <w:tcBorders>
              <w:tl2br w:val="nil"/>
              <w:tr2bl w:val="nil"/>
            </w:tcBorders>
            <w:vAlign w:val="center"/>
          </w:tcPr>
          <w:p w14:paraId="071256C6">
            <w:pPr>
              <w:jc w:val="center"/>
              <w:rPr>
                <w:rFonts w:eastAsiaTheme="minorEastAsia"/>
                <w:szCs w:val="21"/>
              </w:rPr>
            </w:pPr>
            <w:r>
              <w:rPr>
                <w:rFonts w:eastAsiaTheme="minorEastAsia"/>
                <w:szCs w:val="21"/>
              </w:rPr>
              <w:t>18000</w:t>
            </w:r>
          </w:p>
        </w:tc>
      </w:tr>
      <w:tr w14:paraId="0F761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675DC90">
            <w:pPr>
              <w:jc w:val="center"/>
              <w:rPr>
                <w:rFonts w:eastAsiaTheme="minorEastAsia"/>
                <w:szCs w:val="21"/>
              </w:rPr>
            </w:pPr>
            <w:r>
              <w:rPr>
                <w:rFonts w:eastAsiaTheme="minorEastAsia"/>
                <w:szCs w:val="21"/>
              </w:rPr>
              <w:t>铅</w:t>
            </w:r>
          </w:p>
        </w:tc>
        <w:tc>
          <w:tcPr>
            <w:tcW w:w="2527" w:type="pct"/>
            <w:tcBorders>
              <w:tl2br w:val="nil"/>
              <w:tr2bl w:val="nil"/>
            </w:tcBorders>
            <w:vAlign w:val="center"/>
          </w:tcPr>
          <w:p w14:paraId="085CE684">
            <w:pPr>
              <w:jc w:val="center"/>
              <w:rPr>
                <w:rFonts w:eastAsiaTheme="minorEastAsia"/>
                <w:szCs w:val="21"/>
              </w:rPr>
            </w:pPr>
            <w:r>
              <w:rPr>
                <w:rFonts w:eastAsiaTheme="minorEastAsia"/>
                <w:szCs w:val="21"/>
              </w:rPr>
              <w:t>800</w:t>
            </w:r>
          </w:p>
        </w:tc>
      </w:tr>
      <w:tr w14:paraId="1B1CE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93E1E49">
            <w:pPr>
              <w:jc w:val="center"/>
              <w:rPr>
                <w:rFonts w:eastAsiaTheme="minorEastAsia"/>
                <w:szCs w:val="21"/>
              </w:rPr>
            </w:pPr>
            <w:r>
              <w:rPr>
                <w:rFonts w:eastAsiaTheme="minorEastAsia"/>
                <w:szCs w:val="21"/>
              </w:rPr>
              <w:t>汞</w:t>
            </w:r>
          </w:p>
        </w:tc>
        <w:tc>
          <w:tcPr>
            <w:tcW w:w="2527" w:type="pct"/>
            <w:tcBorders>
              <w:tl2br w:val="nil"/>
              <w:tr2bl w:val="nil"/>
            </w:tcBorders>
            <w:vAlign w:val="center"/>
          </w:tcPr>
          <w:p w14:paraId="261D3035">
            <w:pPr>
              <w:jc w:val="center"/>
              <w:rPr>
                <w:rFonts w:eastAsiaTheme="minorEastAsia"/>
                <w:szCs w:val="21"/>
              </w:rPr>
            </w:pPr>
            <w:r>
              <w:rPr>
                <w:rFonts w:eastAsiaTheme="minorEastAsia"/>
                <w:szCs w:val="21"/>
              </w:rPr>
              <w:t>38</w:t>
            </w:r>
          </w:p>
        </w:tc>
      </w:tr>
      <w:tr w14:paraId="54906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188A025">
            <w:pPr>
              <w:jc w:val="center"/>
              <w:rPr>
                <w:rFonts w:eastAsiaTheme="minorEastAsia"/>
                <w:szCs w:val="21"/>
              </w:rPr>
            </w:pPr>
            <w:r>
              <w:rPr>
                <w:rFonts w:eastAsiaTheme="minorEastAsia"/>
                <w:szCs w:val="21"/>
              </w:rPr>
              <w:t>镍</w:t>
            </w:r>
          </w:p>
        </w:tc>
        <w:tc>
          <w:tcPr>
            <w:tcW w:w="2527" w:type="pct"/>
            <w:tcBorders>
              <w:tl2br w:val="nil"/>
              <w:tr2bl w:val="nil"/>
            </w:tcBorders>
            <w:vAlign w:val="center"/>
          </w:tcPr>
          <w:p w14:paraId="38E7EA8B">
            <w:pPr>
              <w:jc w:val="center"/>
              <w:rPr>
                <w:rFonts w:eastAsiaTheme="minorEastAsia"/>
                <w:szCs w:val="21"/>
              </w:rPr>
            </w:pPr>
            <w:r>
              <w:rPr>
                <w:rFonts w:eastAsiaTheme="minorEastAsia"/>
                <w:szCs w:val="21"/>
              </w:rPr>
              <w:t>900</w:t>
            </w:r>
          </w:p>
        </w:tc>
      </w:tr>
      <w:tr w14:paraId="46035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154D9E99">
            <w:pPr>
              <w:jc w:val="center"/>
              <w:rPr>
                <w:rFonts w:eastAsiaTheme="minorEastAsia"/>
                <w:szCs w:val="21"/>
              </w:rPr>
            </w:pPr>
            <w:r>
              <w:rPr>
                <w:rFonts w:eastAsiaTheme="minorEastAsia"/>
                <w:szCs w:val="21"/>
              </w:rPr>
              <w:t>四氯化碳</w:t>
            </w:r>
          </w:p>
        </w:tc>
        <w:tc>
          <w:tcPr>
            <w:tcW w:w="2527" w:type="pct"/>
            <w:tcBorders>
              <w:tl2br w:val="nil"/>
              <w:tr2bl w:val="nil"/>
            </w:tcBorders>
            <w:vAlign w:val="center"/>
          </w:tcPr>
          <w:p w14:paraId="3A4C69CB">
            <w:pPr>
              <w:jc w:val="center"/>
              <w:rPr>
                <w:rFonts w:eastAsiaTheme="minorEastAsia"/>
                <w:szCs w:val="21"/>
              </w:rPr>
            </w:pPr>
            <w:r>
              <w:rPr>
                <w:rFonts w:eastAsiaTheme="minorEastAsia"/>
                <w:szCs w:val="21"/>
              </w:rPr>
              <w:t>2.8</w:t>
            </w:r>
          </w:p>
        </w:tc>
      </w:tr>
      <w:tr w14:paraId="67AB2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B9D19B1">
            <w:pPr>
              <w:jc w:val="center"/>
              <w:rPr>
                <w:rFonts w:eastAsiaTheme="minorEastAsia"/>
                <w:szCs w:val="21"/>
              </w:rPr>
            </w:pPr>
            <w:r>
              <w:rPr>
                <w:rFonts w:eastAsiaTheme="minorEastAsia"/>
                <w:szCs w:val="21"/>
              </w:rPr>
              <w:t>氯仿</w:t>
            </w:r>
          </w:p>
        </w:tc>
        <w:tc>
          <w:tcPr>
            <w:tcW w:w="2527" w:type="pct"/>
            <w:tcBorders>
              <w:tl2br w:val="nil"/>
              <w:tr2bl w:val="nil"/>
            </w:tcBorders>
            <w:vAlign w:val="center"/>
          </w:tcPr>
          <w:p w14:paraId="28DC2A8B">
            <w:pPr>
              <w:jc w:val="center"/>
              <w:rPr>
                <w:rFonts w:eastAsiaTheme="minorEastAsia"/>
                <w:szCs w:val="21"/>
              </w:rPr>
            </w:pPr>
            <w:r>
              <w:rPr>
                <w:rFonts w:eastAsiaTheme="minorEastAsia"/>
                <w:szCs w:val="21"/>
              </w:rPr>
              <w:t>0.9</w:t>
            </w:r>
          </w:p>
        </w:tc>
      </w:tr>
      <w:tr w14:paraId="00984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81255A9">
            <w:pPr>
              <w:jc w:val="center"/>
              <w:rPr>
                <w:rFonts w:eastAsiaTheme="minorEastAsia"/>
                <w:szCs w:val="21"/>
              </w:rPr>
            </w:pPr>
            <w:r>
              <w:rPr>
                <w:rFonts w:eastAsiaTheme="minorEastAsia"/>
                <w:szCs w:val="21"/>
              </w:rPr>
              <w:t>氯甲烷</w:t>
            </w:r>
          </w:p>
        </w:tc>
        <w:tc>
          <w:tcPr>
            <w:tcW w:w="2527" w:type="pct"/>
            <w:tcBorders>
              <w:tl2br w:val="nil"/>
              <w:tr2bl w:val="nil"/>
            </w:tcBorders>
            <w:vAlign w:val="center"/>
          </w:tcPr>
          <w:p w14:paraId="354BDA61">
            <w:pPr>
              <w:jc w:val="center"/>
              <w:rPr>
                <w:rFonts w:eastAsiaTheme="minorEastAsia"/>
                <w:szCs w:val="21"/>
              </w:rPr>
            </w:pPr>
            <w:r>
              <w:rPr>
                <w:rFonts w:eastAsiaTheme="minorEastAsia"/>
                <w:szCs w:val="21"/>
              </w:rPr>
              <w:t>37</w:t>
            </w:r>
          </w:p>
        </w:tc>
      </w:tr>
      <w:tr w14:paraId="588CC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44D963E">
            <w:pPr>
              <w:jc w:val="center"/>
              <w:rPr>
                <w:rFonts w:eastAsiaTheme="minorEastAsia"/>
                <w:szCs w:val="21"/>
              </w:rPr>
            </w:pPr>
            <w:r>
              <w:rPr>
                <w:rFonts w:eastAsiaTheme="minorEastAsia"/>
                <w:szCs w:val="21"/>
              </w:rPr>
              <w:t>1,1-二氯乙烷</w:t>
            </w:r>
          </w:p>
        </w:tc>
        <w:tc>
          <w:tcPr>
            <w:tcW w:w="2527" w:type="pct"/>
            <w:tcBorders>
              <w:tl2br w:val="nil"/>
              <w:tr2bl w:val="nil"/>
            </w:tcBorders>
            <w:vAlign w:val="center"/>
          </w:tcPr>
          <w:p w14:paraId="5CEFB009">
            <w:pPr>
              <w:jc w:val="center"/>
              <w:rPr>
                <w:rFonts w:eastAsiaTheme="minorEastAsia"/>
                <w:szCs w:val="21"/>
              </w:rPr>
            </w:pPr>
            <w:r>
              <w:rPr>
                <w:rFonts w:eastAsiaTheme="minorEastAsia"/>
                <w:szCs w:val="21"/>
              </w:rPr>
              <w:t>9</w:t>
            </w:r>
          </w:p>
        </w:tc>
      </w:tr>
      <w:tr w14:paraId="061F0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35DFE3CF">
            <w:pPr>
              <w:jc w:val="center"/>
              <w:rPr>
                <w:rFonts w:eastAsiaTheme="minorEastAsia"/>
                <w:szCs w:val="21"/>
              </w:rPr>
            </w:pPr>
            <w:r>
              <w:rPr>
                <w:rFonts w:eastAsiaTheme="minorEastAsia"/>
                <w:szCs w:val="21"/>
              </w:rPr>
              <w:t>1,2-二氯乙烷</w:t>
            </w:r>
          </w:p>
        </w:tc>
        <w:tc>
          <w:tcPr>
            <w:tcW w:w="2527" w:type="pct"/>
            <w:tcBorders>
              <w:tl2br w:val="nil"/>
              <w:tr2bl w:val="nil"/>
            </w:tcBorders>
            <w:vAlign w:val="center"/>
          </w:tcPr>
          <w:p w14:paraId="11E0F52C">
            <w:pPr>
              <w:jc w:val="center"/>
              <w:rPr>
                <w:rFonts w:eastAsiaTheme="minorEastAsia"/>
                <w:szCs w:val="21"/>
              </w:rPr>
            </w:pPr>
            <w:r>
              <w:rPr>
                <w:rFonts w:eastAsiaTheme="minorEastAsia"/>
                <w:szCs w:val="21"/>
              </w:rPr>
              <w:t>5</w:t>
            </w:r>
          </w:p>
        </w:tc>
      </w:tr>
      <w:tr w14:paraId="232B7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4D7C39B4">
            <w:pPr>
              <w:jc w:val="center"/>
              <w:rPr>
                <w:rFonts w:eastAsiaTheme="minorEastAsia"/>
                <w:szCs w:val="21"/>
              </w:rPr>
            </w:pPr>
            <w:r>
              <w:rPr>
                <w:rFonts w:eastAsiaTheme="minorEastAsia"/>
                <w:szCs w:val="21"/>
              </w:rPr>
              <w:t>1,1-二氯乙烯</w:t>
            </w:r>
          </w:p>
        </w:tc>
        <w:tc>
          <w:tcPr>
            <w:tcW w:w="2527" w:type="pct"/>
            <w:tcBorders>
              <w:tl2br w:val="nil"/>
              <w:tr2bl w:val="nil"/>
            </w:tcBorders>
            <w:vAlign w:val="center"/>
          </w:tcPr>
          <w:p w14:paraId="7DCA1FAA">
            <w:pPr>
              <w:jc w:val="center"/>
              <w:rPr>
                <w:rFonts w:eastAsiaTheme="minorEastAsia"/>
                <w:szCs w:val="21"/>
              </w:rPr>
            </w:pPr>
            <w:r>
              <w:rPr>
                <w:rFonts w:eastAsiaTheme="minorEastAsia"/>
                <w:szCs w:val="21"/>
              </w:rPr>
              <w:t>66</w:t>
            </w:r>
          </w:p>
        </w:tc>
      </w:tr>
      <w:tr w14:paraId="649B1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ED29A0A">
            <w:pPr>
              <w:jc w:val="center"/>
              <w:rPr>
                <w:rFonts w:eastAsiaTheme="minorEastAsia"/>
                <w:szCs w:val="21"/>
              </w:rPr>
            </w:pPr>
            <w:r>
              <w:rPr>
                <w:rFonts w:eastAsiaTheme="minorEastAsia"/>
                <w:szCs w:val="21"/>
              </w:rPr>
              <w:t>顺-1,2-二氯乙烯</w:t>
            </w:r>
          </w:p>
        </w:tc>
        <w:tc>
          <w:tcPr>
            <w:tcW w:w="2527" w:type="pct"/>
            <w:tcBorders>
              <w:tl2br w:val="nil"/>
              <w:tr2bl w:val="nil"/>
            </w:tcBorders>
            <w:vAlign w:val="center"/>
          </w:tcPr>
          <w:p w14:paraId="71ED70F8">
            <w:pPr>
              <w:jc w:val="center"/>
              <w:rPr>
                <w:rFonts w:eastAsiaTheme="minorEastAsia"/>
                <w:szCs w:val="21"/>
              </w:rPr>
            </w:pPr>
            <w:r>
              <w:rPr>
                <w:rFonts w:eastAsiaTheme="minorEastAsia"/>
                <w:szCs w:val="21"/>
              </w:rPr>
              <w:t>596</w:t>
            </w:r>
          </w:p>
        </w:tc>
      </w:tr>
      <w:tr w14:paraId="1EE9C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4D096CC6">
            <w:pPr>
              <w:jc w:val="center"/>
              <w:rPr>
                <w:rFonts w:eastAsiaTheme="minorEastAsia"/>
                <w:szCs w:val="21"/>
              </w:rPr>
            </w:pPr>
            <w:r>
              <w:rPr>
                <w:rFonts w:eastAsiaTheme="minorEastAsia"/>
                <w:szCs w:val="21"/>
              </w:rPr>
              <w:t>反-1,2-二氯乙烯</w:t>
            </w:r>
          </w:p>
        </w:tc>
        <w:tc>
          <w:tcPr>
            <w:tcW w:w="2527" w:type="pct"/>
            <w:tcBorders>
              <w:tl2br w:val="nil"/>
              <w:tr2bl w:val="nil"/>
            </w:tcBorders>
            <w:vAlign w:val="center"/>
          </w:tcPr>
          <w:p w14:paraId="32B5F817">
            <w:pPr>
              <w:jc w:val="center"/>
              <w:rPr>
                <w:rFonts w:eastAsiaTheme="minorEastAsia"/>
                <w:szCs w:val="21"/>
              </w:rPr>
            </w:pPr>
            <w:r>
              <w:rPr>
                <w:rFonts w:eastAsiaTheme="minorEastAsia"/>
                <w:szCs w:val="21"/>
              </w:rPr>
              <w:t>54</w:t>
            </w:r>
          </w:p>
        </w:tc>
      </w:tr>
      <w:tr w14:paraId="6278E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2843C6D">
            <w:pPr>
              <w:jc w:val="center"/>
              <w:rPr>
                <w:rFonts w:eastAsiaTheme="minorEastAsia"/>
                <w:szCs w:val="21"/>
              </w:rPr>
            </w:pPr>
            <w:r>
              <w:rPr>
                <w:rFonts w:eastAsiaTheme="minorEastAsia"/>
                <w:szCs w:val="21"/>
              </w:rPr>
              <w:t>二氯甲烷</w:t>
            </w:r>
          </w:p>
        </w:tc>
        <w:tc>
          <w:tcPr>
            <w:tcW w:w="2527" w:type="pct"/>
            <w:tcBorders>
              <w:tl2br w:val="nil"/>
              <w:tr2bl w:val="nil"/>
            </w:tcBorders>
            <w:vAlign w:val="center"/>
          </w:tcPr>
          <w:p w14:paraId="5FFEB18D">
            <w:pPr>
              <w:jc w:val="center"/>
              <w:rPr>
                <w:rFonts w:eastAsiaTheme="minorEastAsia"/>
                <w:szCs w:val="21"/>
              </w:rPr>
            </w:pPr>
            <w:r>
              <w:rPr>
                <w:rFonts w:eastAsiaTheme="minorEastAsia"/>
                <w:szCs w:val="21"/>
              </w:rPr>
              <w:t>616</w:t>
            </w:r>
          </w:p>
        </w:tc>
      </w:tr>
      <w:tr w14:paraId="41AC3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45D6845">
            <w:pPr>
              <w:jc w:val="center"/>
              <w:rPr>
                <w:rFonts w:eastAsiaTheme="minorEastAsia"/>
                <w:szCs w:val="21"/>
              </w:rPr>
            </w:pPr>
            <w:r>
              <w:rPr>
                <w:rFonts w:eastAsiaTheme="minorEastAsia"/>
                <w:szCs w:val="21"/>
              </w:rPr>
              <w:t>1,1,1,2-四氯乙烷</w:t>
            </w:r>
          </w:p>
        </w:tc>
        <w:tc>
          <w:tcPr>
            <w:tcW w:w="2527" w:type="pct"/>
            <w:tcBorders>
              <w:tl2br w:val="nil"/>
              <w:tr2bl w:val="nil"/>
            </w:tcBorders>
            <w:vAlign w:val="center"/>
          </w:tcPr>
          <w:p w14:paraId="017324D0">
            <w:pPr>
              <w:jc w:val="center"/>
              <w:rPr>
                <w:rFonts w:eastAsiaTheme="minorEastAsia"/>
                <w:szCs w:val="21"/>
              </w:rPr>
            </w:pPr>
            <w:r>
              <w:rPr>
                <w:rFonts w:eastAsiaTheme="minorEastAsia"/>
                <w:szCs w:val="21"/>
              </w:rPr>
              <w:t>10</w:t>
            </w:r>
          </w:p>
        </w:tc>
      </w:tr>
      <w:tr w14:paraId="1AB30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4B28F436">
            <w:pPr>
              <w:jc w:val="center"/>
              <w:rPr>
                <w:rFonts w:eastAsiaTheme="minorEastAsia"/>
                <w:szCs w:val="21"/>
              </w:rPr>
            </w:pPr>
            <w:r>
              <w:rPr>
                <w:rFonts w:eastAsiaTheme="minorEastAsia"/>
                <w:szCs w:val="21"/>
              </w:rPr>
              <w:t>1,1,2,2-四氯乙烷</w:t>
            </w:r>
          </w:p>
        </w:tc>
        <w:tc>
          <w:tcPr>
            <w:tcW w:w="2527" w:type="pct"/>
            <w:tcBorders>
              <w:tl2br w:val="nil"/>
              <w:tr2bl w:val="nil"/>
            </w:tcBorders>
            <w:vAlign w:val="center"/>
          </w:tcPr>
          <w:p w14:paraId="0A84ADE3">
            <w:pPr>
              <w:jc w:val="center"/>
              <w:rPr>
                <w:rFonts w:eastAsiaTheme="minorEastAsia"/>
                <w:szCs w:val="21"/>
              </w:rPr>
            </w:pPr>
            <w:r>
              <w:rPr>
                <w:rFonts w:eastAsiaTheme="minorEastAsia"/>
                <w:szCs w:val="21"/>
              </w:rPr>
              <w:t>6.8</w:t>
            </w:r>
          </w:p>
        </w:tc>
      </w:tr>
      <w:tr w14:paraId="7CA59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A60AE46">
            <w:pPr>
              <w:jc w:val="center"/>
              <w:rPr>
                <w:rFonts w:eastAsiaTheme="minorEastAsia"/>
                <w:szCs w:val="21"/>
              </w:rPr>
            </w:pPr>
            <w:r>
              <w:rPr>
                <w:rFonts w:eastAsiaTheme="minorEastAsia"/>
                <w:szCs w:val="21"/>
              </w:rPr>
              <w:t>四氯乙烯</w:t>
            </w:r>
          </w:p>
        </w:tc>
        <w:tc>
          <w:tcPr>
            <w:tcW w:w="2527" w:type="pct"/>
            <w:tcBorders>
              <w:tl2br w:val="nil"/>
              <w:tr2bl w:val="nil"/>
            </w:tcBorders>
            <w:vAlign w:val="center"/>
          </w:tcPr>
          <w:p w14:paraId="1DFE2BA3">
            <w:pPr>
              <w:jc w:val="center"/>
              <w:rPr>
                <w:rFonts w:eastAsiaTheme="minorEastAsia"/>
                <w:szCs w:val="21"/>
              </w:rPr>
            </w:pPr>
            <w:r>
              <w:rPr>
                <w:rFonts w:eastAsiaTheme="minorEastAsia"/>
                <w:szCs w:val="21"/>
              </w:rPr>
              <w:t>53</w:t>
            </w:r>
          </w:p>
        </w:tc>
      </w:tr>
      <w:tr w14:paraId="5822C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B769F0C">
            <w:pPr>
              <w:jc w:val="center"/>
              <w:rPr>
                <w:rFonts w:eastAsiaTheme="minorEastAsia"/>
                <w:szCs w:val="21"/>
              </w:rPr>
            </w:pPr>
            <w:r>
              <w:rPr>
                <w:rFonts w:eastAsiaTheme="minorEastAsia"/>
                <w:szCs w:val="21"/>
              </w:rPr>
              <w:t>1,2-二氯丙烷</w:t>
            </w:r>
          </w:p>
        </w:tc>
        <w:tc>
          <w:tcPr>
            <w:tcW w:w="2527" w:type="pct"/>
            <w:tcBorders>
              <w:tl2br w:val="nil"/>
              <w:tr2bl w:val="nil"/>
            </w:tcBorders>
            <w:vAlign w:val="center"/>
          </w:tcPr>
          <w:p w14:paraId="6C24340F">
            <w:pPr>
              <w:jc w:val="center"/>
              <w:rPr>
                <w:rFonts w:eastAsiaTheme="minorEastAsia"/>
                <w:szCs w:val="21"/>
              </w:rPr>
            </w:pPr>
            <w:r>
              <w:rPr>
                <w:rFonts w:eastAsiaTheme="minorEastAsia"/>
                <w:szCs w:val="21"/>
              </w:rPr>
              <w:t>5</w:t>
            </w:r>
          </w:p>
        </w:tc>
      </w:tr>
      <w:tr w14:paraId="6AAFA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374066E">
            <w:pPr>
              <w:jc w:val="center"/>
              <w:rPr>
                <w:rFonts w:eastAsiaTheme="minorEastAsia"/>
                <w:szCs w:val="21"/>
              </w:rPr>
            </w:pPr>
            <w:r>
              <w:rPr>
                <w:rFonts w:eastAsiaTheme="minorEastAsia"/>
                <w:szCs w:val="21"/>
              </w:rPr>
              <w:t>1,1,1-三氯乙烷</w:t>
            </w:r>
          </w:p>
        </w:tc>
        <w:tc>
          <w:tcPr>
            <w:tcW w:w="2527" w:type="pct"/>
            <w:tcBorders>
              <w:tl2br w:val="nil"/>
              <w:tr2bl w:val="nil"/>
            </w:tcBorders>
            <w:vAlign w:val="center"/>
          </w:tcPr>
          <w:p w14:paraId="23452977">
            <w:pPr>
              <w:jc w:val="center"/>
              <w:rPr>
                <w:rFonts w:eastAsiaTheme="minorEastAsia"/>
                <w:szCs w:val="21"/>
              </w:rPr>
            </w:pPr>
            <w:r>
              <w:rPr>
                <w:rFonts w:eastAsiaTheme="minorEastAsia"/>
                <w:szCs w:val="21"/>
              </w:rPr>
              <w:t>840</w:t>
            </w:r>
          </w:p>
        </w:tc>
      </w:tr>
      <w:tr w14:paraId="51FCA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CCB81BD">
            <w:pPr>
              <w:jc w:val="center"/>
              <w:rPr>
                <w:rFonts w:eastAsiaTheme="minorEastAsia"/>
                <w:szCs w:val="21"/>
              </w:rPr>
            </w:pPr>
            <w:r>
              <w:rPr>
                <w:rFonts w:eastAsiaTheme="minorEastAsia"/>
                <w:szCs w:val="21"/>
              </w:rPr>
              <w:t>1,1,2-三氯乙烷</w:t>
            </w:r>
          </w:p>
        </w:tc>
        <w:tc>
          <w:tcPr>
            <w:tcW w:w="2527" w:type="pct"/>
            <w:tcBorders>
              <w:tl2br w:val="nil"/>
              <w:tr2bl w:val="nil"/>
            </w:tcBorders>
            <w:vAlign w:val="center"/>
          </w:tcPr>
          <w:p w14:paraId="1ED1CD9F">
            <w:pPr>
              <w:jc w:val="center"/>
              <w:rPr>
                <w:rFonts w:eastAsiaTheme="minorEastAsia"/>
                <w:szCs w:val="21"/>
              </w:rPr>
            </w:pPr>
            <w:r>
              <w:rPr>
                <w:rFonts w:eastAsiaTheme="minorEastAsia"/>
                <w:szCs w:val="21"/>
              </w:rPr>
              <w:t>2.8</w:t>
            </w:r>
          </w:p>
        </w:tc>
      </w:tr>
      <w:tr w14:paraId="6A0C46B5">
        <w:tblPrEx>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25BCA5BE">
            <w:pPr>
              <w:jc w:val="center"/>
              <w:rPr>
                <w:rFonts w:eastAsiaTheme="minorEastAsia"/>
                <w:szCs w:val="21"/>
              </w:rPr>
            </w:pPr>
            <w:r>
              <w:rPr>
                <w:rFonts w:eastAsiaTheme="minorEastAsia"/>
                <w:szCs w:val="21"/>
              </w:rPr>
              <w:t>三氯乙烯</w:t>
            </w:r>
          </w:p>
        </w:tc>
        <w:tc>
          <w:tcPr>
            <w:tcW w:w="2527" w:type="pct"/>
            <w:tcBorders>
              <w:tl2br w:val="nil"/>
              <w:tr2bl w:val="nil"/>
            </w:tcBorders>
            <w:vAlign w:val="center"/>
          </w:tcPr>
          <w:p w14:paraId="20D34515">
            <w:pPr>
              <w:jc w:val="center"/>
              <w:rPr>
                <w:rFonts w:eastAsiaTheme="minorEastAsia"/>
                <w:szCs w:val="21"/>
              </w:rPr>
            </w:pPr>
            <w:r>
              <w:rPr>
                <w:rFonts w:eastAsiaTheme="minorEastAsia"/>
                <w:szCs w:val="21"/>
              </w:rPr>
              <w:t>2.8</w:t>
            </w:r>
          </w:p>
        </w:tc>
      </w:tr>
      <w:tr w14:paraId="5DD53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23707E82">
            <w:pPr>
              <w:jc w:val="center"/>
              <w:rPr>
                <w:rFonts w:eastAsiaTheme="minorEastAsia"/>
                <w:szCs w:val="21"/>
              </w:rPr>
            </w:pPr>
            <w:r>
              <w:rPr>
                <w:rFonts w:eastAsiaTheme="minorEastAsia"/>
                <w:szCs w:val="21"/>
              </w:rPr>
              <w:t>1,2,3-三氯丙烷</w:t>
            </w:r>
          </w:p>
        </w:tc>
        <w:tc>
          <w:tcPr>
            <w:tcW w:w="2527" w:type="pct"/>
            <w:tcBorders>
              <w:tl2br w:val="nil"/>
              <w:tr2bl w:val="nil"/>
            </w:tcBorders>
            <w:vAlign w:val="center"/>
          </w:tcPr>
          <w:p w14:paraId="6040D89E">
            <w:pPr>
              <w:jc w:val="center"/>
              <w:rPr>
                <w:rFonts w:eastAsiaTheme="minorEastAsia"/>
                <w:szCs w:val="21"/>
              </w:rPr>
            </w:pPr>
            <w:r>
              <w:rPr>
                <w:rFonts w:eastAsiaTheme="minorEastAsia"/>
                <w:szCs w:val="21"/>
              </w:rPr>
              <w:t>0.5</w:t>
            </w:r>
          </w:p>
        </w:tc>
      </w:tr>
      <w:tr w14:paraId="26A24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17368947">
            <w:pPr>
              <w:jc w:val="center"/>
              <w:rPr>
                <w:rFonts w:eastAsiaTheme="minorEastAsia"/>
                <w:szCs w:val="21"/>
              </w:rPr>
            </w:pPr>
            <w:r>
              <w:rPr>
                <w:rFonts w:eastAsiaTheme="minorEastAsia"/>
                <w:szCs w:val="21"/>
              </w:rPr>
              <w:t>氯乙烯</w:t>
            </w:r>
          </w:p>
        </w:tc>
        <w:tc>
          <w:tcPr>
            <w:tcW w:w="2527" w:type="pct"/>
            <w:tcBorders>
              <w:tl2br w:val="nil"/>
              <w:tr2bl w:val="nil"/>
            </w:tcBorders>
            <w:vAlign w:val="center"/>
          </w:tcPr>
          <w:p w14:paraId="62CA873A">
            <w:pPr>
              <w:jc w:val="center"/>
              <w:rPr>
                <w:rFonts w:eastAsiaTheme="minorEastAsia"/>
                <w:szCs w:val="21"/>
              </w:rPr>
            </w:pPr>
            <w:r>
              <w:rPr>
                <w:rFonts w:eastAsiaTheme="minorEastAsia"/>
                <w:szCs w:val="21"/>
              </w:rPr>
              <w:t>0.43</w:t>
            </w:r>
          </w:p>
        </w:tc>
      </w:tr>
      <w:tr w14:paraId="7FD8B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DB562BF">
            <w:pPr>
              <w:jc w:val="center"/>
              <w:rPr>
                <w:rFonts w:eastAsiaTheme="minorEastAsia"/>
                <w:szCs w:val="21"/>
              </w:rPr>
            </w:pPr>
            <w:r>
              <w:rPr>
                <w:rFonts w:eastAsiaTheme="minorEastAsia"/>
                <w:szCs w:val="21"/>
              </w:rPr>
              <w:t>苯</w:t>
            </w:r>
          </w:p>
        </w:tc>
        <w:tc>
          <w:tcPr>
            <w:tcW w:w="2527" w:type="pct"/>
            <w:tcBorders>
              <w:tl2br w:val="nil"/>
              <w:tr2bl w:val="nil"/>
            </w:tcBorders>
            <w:vAlign w:val="center"/>
          </w:tcPr>
          <w:p w14:paraId="1942F2B6">
            <w:pPr>
              <w:jc w:val="center"/>
              <w:rPr>
                <w:rFonts w:eastAsiaTheme="minorEastAsia"/>
                <w:szCs w:val="21"/>
              </w:rPr>
            </w:pPr>
            <w:r>
              <w:rPr>
                <w:rFonts w:eastAsiaTheme="minorEastAsia"/>
                <w:szCs w:val="21"/>
              </w:rPr>
              <w:t>4</w:t>
            </w:r>
          </w:p>
        </w:tc>
      </w:tr>
      <w:tr w14:paraId="58382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282C9659">
            <w:pPr>
              <w:jc w:val="center"/>
              <w:rPr>
                <w:rFonts w:eastAsiaTheme="minorEastAsia"/>
                <w:szCs w:val="21"/>
              </w:rPr>
            </w:pPr>
            <w:r>
              <w:rPr>
                <w:rFonts w:eastAsiaTheme="minorEastAsia"/>
                <w:szCs w:val="21"/>
              </w:rPr>
              <w:t>氯苯</w:t>
            </w:r>
          </w:p>
        </w:tc>
        <w:tc>
          <w:tcPr>
            <w:tcW w:w="2527" w:type="pct"/>
            <w:tcBorders>
              <w:tl2br w:val="nil"/>
              <w:tr2bl w:val="nil"/>
            </w:tcBorders>
            <w:vAlign w:val="center"/>
          </w:tcPr>
          <w:p w14:paraId="2EBA9F8C">
            <w:pPr>
              <w:jc w:val="center"/>
              <w:rPr>
                <w:rFonts w:eastAsiaTheme="minorEastAsia"/>
                <w:szCs w:val="21"/>
              </w:rPr>
            </w:pPr>
            <w:r>
              <w:rPr>
                <w:rFonts w:eastAsiaTheme="minorEastAsia"/>
                <w:szCs w:val="21"/>
              </w:rPr>
              <w:t>270</w:t>
            </w:r>
          </w:p>
        </w:tc>
      </w:tr>
      <w:tr w14:paraId="1AB1A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DB0DB4F">
            <w:pPr>
              <w:jc w:val="center"/>
              <w:rPr>
                <w:rFonts w:eastAsiaTheme="minorEastAsia"/>
                <w:szCs w:val="21"/>
              </w:rPr>
            </w:pPr>
            <w:r>
              <w:rPr>
                <w:rFonts w:eastAsiaTheme="minorEastAsia"/>
                <w:szCs w:val="21"/>
              </w:rPr>
              <w:t>1,2,-二氯苯</w:t>
            </w:r>
          </w:p>
        </w:tc>
        <w:tc>
          <w:tcPr>
            <w:tcW w:w="2527" w:type="pct"/>
            <w:tcBorders>
              <w:tl2br w:val="nil"/>
              <w:tr2bl w:val="nil"/>
            </w:tcBorders>
            <w:vAlign w:val="center"/>
          </w:tcPr>
          <w:p w14:paraId="42524BCD">
            <w:pPr>
              <w:jc w:val="center"/>
              <w:rPr>
                <w:rFonts w:eastAsiaTheme="minorEastAsia"/>
                <w:szCs w:val="21"/>
              </w:rPr>
            </w:pPr>
            <w:r>
              <w:rPr>
                <w:rFonts w:eastAsiaTheme="minorEastAsia"/>
                <w:szCs w:val="21"/>
              </w:rPr>
              <w:t>560</w:t>
            </w:r>
          </w:p>
        </w:tc>
      </w:tr>
      <w:tr w14:paraId="06118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F84A0BE">
            <w:pPr>
              <w:jc w:val="center"/>
              <w:rPr>
                <w:rFonts w:eastAsiaTheme="minorEastAsia"/>
                <w:szCs w:val="21"/>
              </w:rPr>
            </w:pPr>
            <w:r>
              <w:rPr>
                <w:rFonts w:eastAsiaTheme="minorEastAsia"/>
                <w:szCs w:val="21"/>
              </w:rPr>
              <w:t>1,4-二氯苯</w:t>
            </w:r>
          </w:p>
        </w:tc>
        <w:tc>
          <w:tcPr>
            <w:tcW w:w="2527" w:type="pct"/>
            <w:tcBorders>
              <w:tl2br w:val="nil"/>
              <w:tr2bl w:val="nil"/>
            </w:tcBorders>
            <w:vAlign w:val="center"/>
          </w:tcPr>
          <w:p w14:paraId="78585DAA">
            <w:pPr>
              <w:jc w:val="center"/>
              <w:rPr>
                <w:rFonts w:eastAsiaTheme="minorEastAsia"/>
                <w:szCs w:val="21"/>
              </w:rPr>
            </w:pPr>
            <w:r>
              <w:rPr>
                <w:rFonts w:eastAsiaTheme="minorEastAsia"/>
                <w:szCs w:val="21"/>
              </w:rPr>
              <w:t>20</w:t>
            </w:r>
          </w:p>
        </w:tc>
      </w:tr>
      <w:tr w14:paraId="5CBE8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1AD3CDE3">
            <w:pPr>
              <w:jc w:val="center"/>
              <w:rPr>
                <w:rFonts w:eastAsiaTheme="minorEastAsia"/>
                <w:szCs w:val="21"/>
              </w:rPr>
            </w:pPr>
            <w:r>
              <w:rPr>
                <w:rFonts w:eastAsiaTheme="minorEastAsia"/>
                <w:szCs w:val="21"/>
              </w:rPr>
              <w:t>乙苯</w:t>
            </w:r>
          </w:p>
        </w:tc>
        <w:tc>
          <w:tcPr>
            <w:tcW w:w="2527" w:type="pct"/>
            <w:tcBorders>
              <w:tl2br w:val="nil"/>
              <w:tr2bl w:val="nil"/>
            </w:tcBorders>
            <w:vAlign w:val="center"/>
          </w:tcPr>
          <w:p w14:paraId="00FF1951">
            <w:pPr>
              <w:jc w:val="center"/>
              <w:rPr>
                <w:rFonts w:eastAsiaTheme="minorEastAsia"/>
                <w:szCs w:val="21"/>
              </w:rPr>
            </w:pPr>
            <w:r>
              <w:rPr>
                <w:rFonts w:eastAsiaTheme="minorEastAsia"/>
                <w:szCs w:val="21"/>
              </w:rPr>
              <w:t>28</w:t>
            </w:r>
          </w:p>
        </w:tc>
      </w:tr>
      <w:tr w14:paraId="556EC0C2">
        <w:tblPrEx>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7826F22">
            <w:pPr>
              <w:jc w:val="center"/>
              <w:rPr>
                <w:rFonts w:eastAsiaTheme="minorEastAsia"/>
                <w:szCs w:val="21"/>
              </w:rPr>
            </w:pPr>
            <w:r>
              <w:rPr>
                <w:rFonts w:eastAsiaTheme="minorEastAsia"/>
                <w:szCs w:val="21"/>
              </w:rPr>
              <w:t>苯乙烯</w:t>
            </w:r>
          </w:p>
        </w:tc>
        <w:tc>
          <w:tcPr>
            <w:tcW w:w="2527" w:type="pct"/>
            <w:tcBorders>
              <w:tl2br w:val="nil"/>
              <w:tr2bl w:val="nil"/>
            </w:tcBorders>
            <w:vAlign w:val="center"/>
          </w:tcPr>
          <w:p w14:paraId="66BE933B">
            <w:pPr>
              <w:jc w:val="center"/>
              <w:rPr>
                <w:rFonts w:eastAsiaTheme="minorEastAsia"/>
                <w:szCs w:val="21"/>
              </w:rPr>
            </w:pPr>
            <w:r>
              <w:rPr>
                <w:rFonts w:eastAsiaTheme="minorEastAsia"/>
                <w:szCs w:val="21"/>
              </w:rPr>
              <w:t>1290</w:t>
            </w:r>
          </w:p>
        </w:tc>
      </w:tr>
      <w:tr w14:paraId="66D04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5D43B50">
            <w:pPr>
              <w:jc w:val="center"/>
              <w:rPr>
                <w:rFonts w:eastAsiaTheme="minorEastAsia"/>
                <w:szCs w:val="21"/>
              </w:rPr>
            </w:pPr>
            <w:r>
              <w:rPr>
                <w:rFonts w:eastAsiaTheme="minorEastAsia"/>
                <w:szCs w:val="21"/>
              </w:rPr>
              <w:t>甲苯</w:t>
            </w:r>
          </w:p>
        </w:tc>
        <w:tc>
          <w:tcPr>
            <w:tcW w:w="2527" w:type="pct"/>
            <w:tcBorders>
              <w:tl2br w:val="nil"/>
              <w:tr2bl w:val="nil"/>
            </w:tcBorders>
            <w:vAlign w:val="center"/>
          </w:tcPr>
          <w:p w14:paraId="2D9CB231">
            <w:pPr>
              <w:jc w:val="center"/>
              <w:rPr>
                <w:rFonts w:eastAsiaTheme="minorEastAsia"/>
                <w:szCs w:val="21"/>
              </w:rPr>
            </w:pPr>
            <w:r>
              <w:rPr>
                <w:rFonts w:eastAsiaTheme="minorEastAsia"/>
                <w:szCs w:val="21"/>
              </w:rPr>
              <w:t>1200</w:t>
            </w:r>
          </w:p>
        </w:tc>
      </w:tr>
      <w:tr w14:paraId="5894E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425FB52">
            <w:pPr>
              <w:jc w:val="center"/>
              <w:rPr>
                <w:rFonts w:eastAsiaTheme="minorEastAsia"/>
                <w:szCs w:val="21"/>
              </w:rPr>
            </w:pPr>
            <w:r>
              <w:rPr>
                <w:rFonts w:eastAsiaTheme="minorEastAsia"/>
                <w:szCs w:val="21"/>
              </w:rPr>
              <w:t>间二甲苯+对二甲苯</w:t>
            </w:r>
          </w:p>
        </w:tc>
        <w:tc>
          <w:tcPr>
            <w:tcW w:w="2527" w:type="pct"/>
            <w:tcBorders>
              <w:tl2br w:val="nil"/>
              <w:tr2bl w:val="nil"/>
            </w:tcBorders>
            <w:vAlign w:val="center"/>
          </w:tcPr>
          <w:p w14:paraId="4AE33785">
            <w:pPr>
              <w:jc w:val="center"/>
              <w:rPr>
                <w:rFonts w:eastAsiaTheme="minorEastAsia"/>
                <w:szCs w:val="21"/>
              </w:rPr>
            </w:pPr>
            <w:r>
              <w:rPr>
                <w:rFonts w:eastAsiaTheme="minorEastAsia"/>
                <w:szCs w:val="21"/>
              </w:rPr>
              <w:t>570</w:t>
            </w:r>
          </w:p>
        </w:tc>
      </w:tr>
      <w:tr w14:paraId="34B1F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1D126C7B">
            <w:pPr>
              <w:jc w:val="center"/>
              <w:rPr>
                <w:rFonts w:eastAsiaTheme="minorEastAsia"/>
                <w:szCs w:val="21"/>
              </w:rPr>
            </w:pPr>
            <w:r>
              <w:rPr>
                <w:rFonts w:eastAsiaTheme="minorEastAsia"/>
                <w:szCs w:val="21"/>
              </w:rPr>
              <w:t>邻二甲苯</w:t>
            </w:r>
          </w:p>
        </w:tc>
        <w:tc>
          <w:tcPr>
            <w:tcW w:w="2527" w:type="pct"/>
            <w:tcBorders>
              <w:tl2br w:val="nil"/>
              <w:tr2bl w:val="nil"/>
            </w:tcBorders>
            <w:vAlign w:val="center"/>
          </w:tcPr>
          <w:p w14:paraId="12782C6A">
            <w:pPr>
              <w:jc w:val="center"/>
              <w:rPr>
                <w:rFonts w:eastAsiaTheme="minorEastAsia"/>
                <w:szCs w:val="21"/>
              </w:rPr>
            </w:pPr>
            <w:r>
              <w:rPr>
                <w:rFonts w:eastAsiaTheme="minorEastAsia"/>
                <w:szCs w:val="21"/>
              </w:rPr>
              <w:t>640</w:t>
            </w:r>
          </w:p>
        </w:tc>
      </w:tr>
      <w:tr w14:paraId="511C4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16D7FA99">
            <w:pPr>
              <w:jc w:val="center"/>
              <w:rPr>
                <w:rFonts w:eastAsiaTheme="minorEastAsia"/>
                <w:szCs w:val="21"/>
              </w:rPr>
            </w:pPr>
            <w:r>
              <w:rPr>
                <w:rFonts w:eastAsiaTheme="minorEastAsia"/>
                <w:szCs w:val="21"/>
              </w:rPr>
              <w:t>硝基苯</w:t>
            </w:r>
          </w:p>
        </w:tc>
        <w:tc>
          <w:tcPr>
            <w:tcW w:w="2527" w:type="pct"/>
            <w:tcBorders>
              <w:tl2br w:val="nil"/>
              <w:tr2bl w:val="nil"/>
            </w:tcBorders>
            <w:vAlign w:val="center"/>
          </w:tcPr>
          <w:p w14:paraId="77F12809">
            <w:pPr>
              <w:jc w:val="center"/>
              <w:rPr>
                <w:rFonts w:eastAsiaTheme="minorEastAsia"/>
                <w:szCs w:val="21"/>
              </w:rPr>
            </w:pPr>
            <w:r>
              <w:rPr>
                <w:rFonts w:eastAsiaTheme="minorEastAsia"/>
                <w:szCs w:val="21"/>
              </w:rPr>
              <w:t>76</w:t>
            </w:r>
          </w:p>
        </w:tc>
      </w:tr>
      <w:tr w14:paraId="20575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24AF2B0">
            <w:pPr>
              <w:jc w:val="center"/>
              <w:rPr>
                <w:rFonts w:eastAsiaTheme="minorEastAsia"/>
                <w:szCs w:val="21"/>
              </w:rPr>
            </w:pPr>
            <w:r>
              <w:rPr>
                <w:rFonts w:eastAsiaTheme="minorEastAsia"/>
                <w:szCs w:val="21"/>
              </w:rPr>
              <w:t>苯胺</w:t>
            </w:r>
          </w:p>
        </w:tc>
        <w:tc>
          <w:tcPr>
            <w:tcW w:w="2527" w:type="pct"/>
            <w:tcBorders>
              <w:tl2br w:val="nil"/>
              <w:tr2bl w:val="nil"/>
            </w:tcBorders>
            <w:vAlign w:val="center"/>
          </w:tcPr>
          <w:p w14:paraId="082D7376">
            <w:pPr>
              <w:jc w:val="center"/>
              <w:rPr>
                <w:rFonts w:eastAsiaTheme="minorEastAsia"/>
                <w:szCs w:val="21"/>
              </w:rPr>
            </w:pPr>
            <w:r>
              <w:rPr>
                <w:rFonts w:eastAsiaTheme="minorEastAsia"/>
                <w:szCs w:val="21"/>
              </w:rPr>
              <w:t>260</w:t>
            </w:r>
          </w:p>
        </w:tc>
      </w:tr>
      <w:tr w14:paraId="75AFA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5510BDE2">
            <w:pPr>
              <w:jc w:val="center"/>
              <w:rPr>
                <w:rFonts w:eastAsiaTheme="minorEastAsia"/>
                <w:szCs w:val="21"/>
              </w:rPr>
            </w:pPr>
            <w:r>
              <w:rPr>
                <w:rFonts w:eastAsiaTheme="minorEastAsia"/>
                <w:szCs w:val="21"/>
              </w:rPr>
              <w:t>2-氯酚</w:t>
            </w:r>
          </w:p>
        </w:tc>
        <w:tc>
          <w:tcPr>
            <w:tcW w:w="2527" w:type="pct"/>
            <w:tcBorders>
              <w:tl2br w:val="nil"/>
              <w:tr2bl w:val="nil"/>
            </w:tcBorders>
            <w:vAlign w:val="center"/>
          </w:tcPr>
          <w:p w14:paraId="5243A126">
            <w:pPr>
              <w:jc w:val="center"/>
              <w:rPr>
                <w:rFonts w:eastAsiaTheme="minorEastAsia"/>
                <w:szCs w:val="21"/>
              </w:rPr>
            </w:pPr>
            <w:r>
              <w:rPr>
                <w:rFonts w:eastAsiaTheme="minorEastAsia"/>
                <w:szCs w:val="21"/>
              </w:rPr>
              <w:t>2256</w:t>
            </w:r>
          </w:p>
        </w:tc>
      </w:tr>
      <w:tr w14:paraId="07A7C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9C884C4">
            <w:pPr>
              <w:jc w:val="center"/>
              <w:rPr>
                <w:rFonts w:eastAsiaTheme="minorEastAsia"/>
                <w:szCs w:val="21"/>
              </w:rPr>
            </w:pPr>
            <w:r>
              <w:rPr>
                <w:rFonts w:eastAsiaTheme="minorEastAsia"/>
                <w:szCs w:val="21"/>
              </w:rPr>
              <w:t>苯并[a]蒽</w:t>
            </w:r>
          </w:p>
        </w:tc>
        <w:tc>
          <w:tcPr>
            <w:tcW w:w="2527" w:type="pct"/>
            <w:tcBorders>
              <w:tl2br w:val="nil"/>
              <w:tr2bl w:val="nil"/>
            </w:tcBorders>
            <w:vAlign w:val="center"/>
          </w:tcPr>
          <w:p w14:paraId="76B8FFAD">
            <w:pPr>
              <w:jc w:val="center"/>
              <w:rPr>
                <w:rFonts w:eastAsiaTheme="minorEastAsia"/>
                <w:szCs w:val="21"/>
              </w:rPr>
            </w:pPr>
            <w:r>
              <w:rPr>
                <w:rFonts w:eastAsiaTheme="minorEastAsia"/>
                <w:szCs w:val="21"/>
              </w:rPr>
              <w:t>15</w:t>
            </w:r>
          </w:p>
        </w:tc>
      </w:tr>
      <w:tr w14:paraId="682A0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DF99FB9">
            <w:pPr>
              <w:jc w:val="center"/>
              <w:rPr>
                <w:rFonts w:eastAsiaTheme="minorEastAsia"/>
                <w:szCs w:val="21"/>
              </w:rPr>
            </w:pPr>
            <w:r>
              <w:rPr>
                <w:rFonts w:eastAsiaTheme="minorEastAsia"/>
                <w:szCs w:val="21"/>
              </w:rPr>
              <w:t>苯并[a]芘</w:t>
            </w:r>
          </w:p>
        </w:tc>
        <w:tc>
          <w:tcPr>
            <w:tcW w:w="2527" w:type="pct"/>
            <w:tcBorders>
              <w:tl2br w:val="nil"/>
              <w:tr2bl w:val="nil"/>
            </w:tcBorders>
            <w:vAlign w:val="center"/>
          </w:tcPr>
          <w:p w14:paraId="29599E14">
            <w:pPr>
              <w:jc w:val="center"/>
              <w:rPr>
                <w:rFonts w:eastAsiaTheme="minorEastAsia"/>
                <w:szCs w:val="21"/>
              </w:rPr>
            </w:pPr>
            <w:r>
              <w:rPr>
                <w:rFonts w:eastAsiaTheme="minorEastAsia"/>
                <w:szCs w:val="21"/>
              </w:rPr>
              <w:t>1.5</w:t>
            </w:r>
          </w:p>
        </w:tc>
      </w:tr>
      <w:tr w14:paraId="13C68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8456FF8">
            <w:pPr>
              <w:jc w:val="center"/>
              <w:rPr>
                <w:rFonts w:eastAsiaTheme="minorEastAsia"/>
                <w:szCs w:val="21"/>
              </w:rPr>
            </w:pPr>
            <w:r>
              <w:rPr>
                <w:rFonts w:eastAsiaTheme="minorEastAsia"/>
                <w:szCs w:val="21"/>
              </w:rPr>
              <w:t>苯并[b]荧蒽</w:t>
            </w:r>
          </w:p>
        </w:tc>
        <w:tc>
          <w:tcPr>
            <w:tcW w:w="2527" w:type="pct"/>
            <w:tcBorders>
              <w:tl2br w:val="nil"/>
              <w:tr2bl w:val="nil"/>
            </w:tcBorders>
            <w:vAlign w:val="center"/>
          </w:tcPr>
          <w:p w14:paraId="107E67C5">
            <w:pPr>
              <w:jc w:val="center"/>
              <w:rPr>
                <w:rFonts w:eastAsiaTheme="minorEastAsia"/>
                <w:szCs w:val="21"/>
              </w:rPr>
            </w:pPr>
            <w:r>
              <w:rPr>
                <w:rFonts w:eastAsiaTheme="minorEastAsia"/>
                <w:szCs w:val="21"/>
              </w:rPr>
              <w:t>15</w:t>
            </w:r>
          </w:p>
        </w:tc>
      </w:tr>
      <w:tr w14:paraId="01769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2E910F5">
            <w:pPr>
              <w:jc w:val="center"/>
              <w:rPr>
                <w:rFonts w:eastAsiaTheme="minorEastAsia"/>
                <w:szCs w:val="21"/>
              </w:rPr>
            </w:pPr>
            <w:r>
              <w:rPr>
                <w:rFonts w:eastAsiaTheme="minorEastAsia"/>
                <w:szCs w:val="21"/>
              </w:rPr>
              <w:t>苯并[k]荧蒽</w:t>
            </w:r>
          </w:p>
        </w:tc>
        <w:tc>
          <w:tcPr>
            <w:tcW w:w="2527" w:type="pct"/>
            <w:tcBorders>
              <w:tl2br w:val="nil"/>
              <w:tr2bl w:val="nil"/>
            </w:tcBorders>
            <w:vAlign w:val="center"/>
          </w:tcPr>
          <w:p w14:paraId="61EB3039">
            <w:pPr>
              <w:jc w:val="center"/>
              <w:rPr>
                <w:rFonts w:eastAsiaTheme="minorEastAsia"/>
                <w:szCs w:val="21"/>
              </w:rPr>
            </w:pPr>
            <w:r>
              <w:rPr>
                <w:rFonts w:eastAsiaTheme="minorEastAsia"/>
                <w:szCs w:val="21"/>
              </w:rPr>
              <w:t>151</w:t>
            </w:r>
          </w:p>
        </w:tc>
      </w:tr>
      <w:tr w14:paraId="0F73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4F6F954C">
            <w:pPr>
              <w:jc w:val="center"/>
              <w:rPr>
                <w:rFonts w:eastAsiaTheme="minorEastAsia"/>
                <w:szCs w:val="21"/>
              </w:rPr>
            </w:pPr>
            <w:r>
              <w:rPr>
                <w:rFonts w:eastAsiaTheme="minorEastAsia"/>
                <w:szCs w:val="21"/>
              </w:rPr>
              <w:t>䓛</w:t>
            </w:r>
          </w:p>
        </w:tc>
        <w:tc>
          <w:tcPr>
            <w:tcW w:w="2527" w:type="pct"/>
            <w:tcBorders>
              <w:tl2br w:val="nil"/>
              <w:tr2bl w:val="nil"/>
            </w:tcBorders>
            <w:vAlign w:val="center"/>
          </w:tcPr>
          <w:p w14:paraId="2F6A95D6">
            <w:pPr>
              <w:jc w:val="center"/>
              <w:rPr>
                <w:rFonts w:eastAsiaTheme="minorEastAsia"/>
                <w:szCs w:val="21"/>
              </w:rPr>
            </w:pPr>
            <w:r>
              <w:rPr>
                <w:rFonts w:eastAsiaTheme="minorEastAsia"/>
                <w:szCs w:val="21"/>
              </w:rPr>
              <w:t>1293</w:t>
            </w:r>
          </w:p>
        </w:tc>
      </w:tr>
      <w:tr w14:paraId="793D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0F05C777">
            <w:pPr>
              <w:jc w:val="center"/>
              <w:rPr>
                <w:rFonts w:eastAsiaTheme="minorEastAsia"/>
                <w:szCs w:val="21"/>
              </w:rPr>
            </w:pPr>
            <w:r>
              <w:rPr>
                <w:rFonts w:eastAsiaTheme="minorEastAsia"/>
                <w:szCs w:val="21"/>
              </w:rPr>
              <w:t>二苯并[a，b]蒽</w:t>
            </w:r>
          </w:p>
        </w:tc>
        <w:tc>
          <w:tcPr>
            <w:tcW w:w="2527" w:type="pct"/>
            <w:tcBorders>
              <w:tl2br w:val="nil"/>
              <w:tr2bl w:val="nil"/>
            </w:tcBorders>
            <w:vAlign w:val="center"/>
          </w:tcPr>
          <w:p w14:paraId="6E723204">
            <w:pPr>
              <w:jc w:val="center"/>
              <w:rPr>
                <w:rFonts w:eastAsiaTheme="minorEastAsia"/>
                <w:szCs w:val="21"/>
              </w:rPr>
            </w:pPr>
            <w:r>
              <w:rPr>
                <w:rFonts w:eastAsiaTheme="minorEastAsia"/>
                <w:szCs w:val="21"/>
              </w:rPr>
              <w:t>1.5</w:t>
            </w:r>
          </w:p>
        </w:tc>
      </w:tr>
      <w:tr w14:paraId="7AA9E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7A88C0E1">
            <w:pPr>
              <w:jc w:val="center"/>
              <w:rPr>
                <w:rFonts w:eastAsiaTheme="minorEastAsia"/>
                <w:szCs w:val="21"/>
              </w:rPr>
            </w:pPr>
            <w:r>
              <w:rPr>
                <w:rFonts w:eastAsiaTheme="minorEastAsia"/>
                <w:szCs w:val="21"/>
              </w:rPr>
              <w:t>茚并[1,2,3-cd]芘</w:t>
            </w:r>
          </w:p>
        </w:tc>
        <w:tc>
          <w:tcPr>
            <w:tcW w:w="2527" w:type="pct"/>
            <w:tcBorders>
              <w:tl2br w:val="nil"/>
              <w:tr2bl w:val="nil"/>
            </w:tcBorders>
            <w:vAlign w:val="center"/>
          </w:tcPr>
          <w:p w14:paraId="7B9D741B">
            <w:pPr>
              <w:jc w:val="center"/>
              <w:rPr>
                <w:rFonts w:eastAsiaTheme="minorEastAsia"/>
                <w:szCs w:val="21"/>
              </w:rPr>
            </w:pPr>
            <w:r>
              <w:rPr>
                <w:rFonts w:eastAsiaTheme="minorEastAsia"/>
                <w:szCs w:val="21"/>
              </w:rPr>
              <w:t>15</w:t>
            </w:r>
          </w:p>
        </w:tc>
      </w:tr>
      <w:tr w14:paraId="387F4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73" w:type="pct"/>
            <w:tcBorders>
              <w:tl2br w:val="nil"/>
              <w:tr2bl w:val="nil"/>
            </w:tcBorders>
            <w:vAlign w:val="center"/>
          </w:tcPr>
          <w:p w14:paraId="69C5529D">
            <w:pPr>
              <w:jc w:val="center"/>
              <w:rPr>
                <w:rFonts w:eastAsiaTheme="minorEastAsia"/>
                <w:szCs w:val="21"/>
              </w:rPr>
            </w:pPr>
            <w:r>
              <w:rPr>
                <w:rFonts w:eastAsiaTheme="minorEastAsia"/>
                <w:szCs w:val="21"/>
              </w:rPr>
              <w:t>萘</w:t>
            </w:r>
          </w:p>
        </w:tc>
        <w:tc>
          <w:tcPr>
            <w:tcW w:w="2527" w:type="pct"/>
            <w:tcBorders>
              <w:tl2br w:val="nil"/>
              <w:tr2bl w:val="nil"/>
            </w:tcBorders>
            <w:vAlign w:val="center"/>
          </w:tcPr>
          <w:p w14:paraId="72A9EA09">
            <w:pPr>
              <w:jc w:val="center"/>
              <w:rPr>
                <w:rFonts w:eastAsiaTheme="minorEastAsia"/>
                <w:szCs w:val="21"/>
              </w:rPr>
            </w:pPr>
            <w:r>
              <w:rPr>
                <w:rFonts w:eastAsiaTheme="minorEastAsia"/>
                <w:szCs w:val="21"/>
              </w:rPr>
              <w:t>70</w:t>
            </w:r>
          </w:p>
        </w:tc>
      </w:tr>
    </w:tbl>
    <w:p w14:paraId="3A60FC47">
      <w:pPr>
        <w:spacing w:line="360" w:lineRule="auto"/>
        <w:ind w:firstLine="422"/>
        <w:jc w:val="center"/>
        <w:rPr>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5</w:t>
      </w:r>
      <w:r>
        <w:rPr>
          <w:rFonts w:hint="eastAsia"/>
          <w:b/>
          <w:snapToGrid w:val="0"/>
          <w:kern w:val="18"/>
          <w:szCs w:val="21"/>
        </w:rPr>
        <w:t xml:space="preserve">  《土壤环境质量  农用地土壤污染风险管控标准（试行）》单位：mg/kg</w:t>
      </w:r>
    </w:p>
    <w:tbl>
      <w:tblPr>
        <w:tblStyle w:val="88"/>
        <w:tblW w:w="84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709"/>
        <w:gridCol w:w="992"/>
        <w:gridCol w:w="1418"/>
        <w:gridCol w:w="1701"/>
        <w:gridCol w:w="1701"/>
        <w:gridCol w:w="1276"/>
      </w:tblGrid>
      <w:tr w14:paraId="022AA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8" w:hRule="atLeast"/>
        </w:trPr>
        <w:tc>
          <w:tcPr>
            <w:tcW w:w="675" w:type="dxa"/>
            <w:vMerge w:val="restart"/>
            <w:shd w:val="clear" w:color="auto" w:fill="auto"/>
            <w:vAlign w:val="center"/>
          </w:tcPr>
          <w:p w14:paraId="073CBA4C">
            <w:pPr>
              <w:spacing w:line="320" w:lineRule="exact"/>
              <w:jc w:val="center"/>
              <w:rPr>
                <w:szCs w:val="21"/>
              </w:rPr>
            </w:pPr>
            <w:r>
              <w:rPr>
                <w:rFonts w:hint="eastAsia"/>
                <w:szCs w:val="21"/>
              </w:rPr>
              <w:t>序号</w:t>
            </w:r>
          </w:p>
        </w:tc>
        <w:tc>
          <w:tcPr>
            <w:tcW w:w="1701" w:type="dxa"/>
            <w:gridSpan w:val="2"/>
            <w:vMerge w:val="restart"/>
            <w:shd w:val="clear" w:color="auto" w:fill="auto"/>
            <w:vAlign w:val="center"/>
          </w:tcPr>
          <w:p w14:paraId="02C44634">
            <w:pPr>
              <w:spacing w:line="320" w:lineRule="exact"/>
              <w:jc w:val="center"/>
              <w:rPr>
                <w:szCs w:val="21"/>
              </w:rPr>
            </w:pPr>
            <w:r>
              <w:rPr>
                <w:rFonts w:hint="eastAsia"/>
                <w:szCs w:val="21"/>
              </w:rPr>
              <w:t>污染物项目</w:t>
            </w:r>
          </w:p>
        </w:tc>
        <w:tc>
          <w:tcPr>
            <w:tcW w:w="6096" w:type="dxa"/>
            <w:gridSpan w:val="4"/>
            <w:shd w:val="clear" w:color="auto" w:fill="auto"/>
            <w:vAlign w:val="center"/>
          </w:tcPr>
          <w:p w14:paraId="32B52751">
            <w:pPr>
              <w:spacing w:line="320" w:lineRule="exact"/>
              <w:jc w:val="center"/>
              <w:rPr>
                <w:szCs w:val="21"/>
              </w:rPr>
            </w:pPr>
            <w:r>
              <w:rPr>
                <w:szCs w:val="21"/>
              </w:rPr>
              <w:t>风险筛选值</w:t>
            </w:r>
          </w:p>
        </w:tc>
      </w:tr>
      <w:tr w14:paraId="27FBD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 w:hRule="atLeast"/>
        </w:trPr>
        <w:tc>
          <w:tcPr>
            <w:tcW w:w="675" w:type="dxa"/>
            <w:vMerge w:val="continue"/>
            <w:shd w:val="clear" w:color="auto" w:fill="auto"/>
            <w:vAlign w:val="center"/>
          </w:tcPr>
          <w:p w14:paraId="0E95C674">
            <w:pPr>
              <w:spacing w:line="320" w:lineRule="exact"/>
              <w:jc w:val="center"/>
              <w:rPr>
                <w:szCs w:val="21"/>
              </w:rPr>
            </w:pPr>
          </w:p>
        </w:tc>
        <w:tc>
          <w:tcPr>
            <w:tcW w:w="1701" w:type="dxa"/>
            <w:gridSpan w:val="2"/>
            <w:vMerge w:val="continue"/>
            <w:shd w:val="clear" w:color="auto" w:fill="auto"/>
            <w:vAlign w:val="center"/>
          </w:tcPr>
          <w:p w14:paraId="066DAE1E">
            <w:pPr>
              <w:spacing w:line="320" w:lineRule="exact"/>
              <w:jc w:val="center"/>
              <w:rPr>
                <w:szCs w:val="21"/>
              </w:rPr>
            </w:pPr>
          </w:p>
        </w:tc>
        <w:tc>
          <w:tcPr>
            <w:tcW w:w="1418" w:type="dxa"/>
            <w:shd w:val="clear" w:color="auto" w:fill="auto"/>
            <w:vAlign w:val="center"/>
          </w:tcPr>
          <w:p w14:paraId="127B79AD">
            <w:pPr>
              <w:spacing w:line="320" w:lineRule="exact"/>
              <w:jc w:val="center"/>
              <w:rPr>
                <w:szCs w:val="21"/>
              </w:rPr>
            </w:pPr>
            <w:r>
              <w:rPr>
                <w:rFonts w:hint="eastAsia"/>
                <w:szCs w:val="21"/>
              </w:rPr>
              <w:t>p</w:t>
            </w:r>
            <w:r>
              <w:rPr>
                <w:szCs w:val="21"/>
              </w:rPr>
              <w:t>H≤5.5</w:t>
            </w:r>
          </w:p>
        </w:tc>
        <w:tc>
          <w:tcPr>
            <w:tcW w:w="1701" w:type="dxa"/>
            <w:shd w:val="clear" w:color="auto" w:fill="auto"/>
            <w:vAlign w:val="center"/>
          </w:tcPr>
          <w:p w14:paraId="5D447D7E">
            <w:pPr>
              <w:spacing w:line="320" w:lineRule="exact"/>
              <w:jc w:val="center"/>
              <w:rPr>
                <w:szCs w:val="21"/>
              </w:rPr>
            </w:pPr>
            <w:r>
              <w:rPr>
                <w:rFonts w:hint="eastAsia"/>
                <w:szCs w:val="21"/>
              </w:rPr>
              <w:t>5</w:t>
            </w:r>
            <w:r>
              <w:rPr>
                <w:szCs w:val="21"/>
              </w:rPr>
              <w:t>.5＜</w:t>
            </w:r>
            <w:r>
              <w:rPr>
                <w:rFonts w:hint="eastAsia"/>
                <w:szCs w:val="21"/>
              </w:rPr>
              <w:t>p</w:t>
            </w:r>
            <w:r>
              <w:rPr>
                <w:szCs w:val="21"/>
              </w:rPr>
              <w:t>H≤6.5</w:t>
            </w:r>
          </w:p>
        </w:tc>
        <w:tc>
          <w:tcPr>
            <w:tcW w:w="1701" w:type="dxa"/>
            <w:shd w:val="clear" w:color="auto" w:fill="auto"/>
            <w:vAlign w:val="center"/>
          </w:tcPr>
          <w:p w14:paraId="062CFA16">
            <w:pPr>
              <w:spacing w:line="320" w:lineRule="exact"/>
              <w:jc w:val="center"/>
              <w:rPr>
                <w:szCs w:val="21"/>
              </w:rPr>
            </w:pPr>
            <w:r>
              <w:rPr>
                <w:szCs w:val="21"/>
              </w:rPr>
              <w:t>6.5＜</w:t>
            </w:r>
            <w:r>
              <w:rPr>
                <w:rFonts w:hint="eastAsia"/>
                <w:szCs w:val="21"/>
              </w:rPr>
              <w:t>p</w:t>
            </w:r>
            <w:r>
              <w:rPr>
                <w:szCs w:val="21"/>
              </w:rPr>
              <w:t>H≤7.5</w:t>
            </w:r>
          </w:p>
        </w:tc>
        <w:tc>
          <w:tcPr>
            <w:tcW w:w="1276" w:type="dxa"/>
            <w:shd w:val="clear" w:color="auto" w:fill="auto"/>
            <w:vAlign w:val="center"/>
          </w:tcPr>
          <w:p w14:paraId="581061AF">
            <w:pPr>
              <w:spacing w:line="320" w:lineRule="exact"/>
              <w:jc w:val="center"/>
              <w:rPr>
                <w:szCs w:val="21"/>
              </w:rPr>
            </w:pPr>
            <w:r>
              <w:rPr>
                <w:rFonts w:hint="eastAsia"/>
                <w:szCs w:val="21"/>
              </w:rPr>
              <w:t>p</w:t>
            </w:r>
            <w:r>
              <w:rPr>
                <w:szCs w:val="21"/>
              </w:rPr>
              <w:t>H</w:t>
            </w:r>
            <w:r>
              <w:rPr>
                <w:rFonts w:hint="eastAsia"/>
                <w:szCs w:val="21"/>
              </w:rPr>
              <w:t>＞7</w:t>
            </w:r>
            <w:r>
              <w:rPr>
                <w:szCs w:val="21"/>
              </w:rPr>
              <w:t>.5</w:t>
            </w:r>
          </w:p>
        </w:tc>
      </w:tr>
      <w:tr w14:paraId="3A91B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096581B6">
            <w:pPr>
              <w:spacing w:line="320" w:lineRule="exact"/>
              <w:jc w:val="center"/>
              <w:rPr>
                <w:szCs w:val="21"/>
              </w:rPr>
            </w:pPr>
            <w:r>
              <w:rPr>
                <w:rFonts w:hint="eastAsia"/>
                <w:szCs w:val="21"/>
              </w:rPr>
              <w:t>1</w:t>
            </w:r>
          </w:p>
        </w:tc>
        <w:tc>
          <w:tcPr>
            <w:tcW w:w="709" w:type="dxa"/>
            <w:vMerge w:val="restart"/>
            <w:shd w:val="clear" w:color="auto" w:fill="auto"/>
            <w:vAlign w:val="center"/>
          </w:tcPr>
          <w:p w14:paraId="6C73D0FA">
            <w:pPr>
              <w:spacing w:line="320" w:lineRule="exact"/>
              <w:jc w:val="center"/>
              <w:rPr>
                <w:szCs w:val="21"/>
              </w:rPr>
            </w:pPr>
            <w:r>
              <w:rPr>
                <w:rFonts w:hint="eastAsia"/>
                <w:szCs w:val="21"/>
              </w:rPr>
              <w:t>镉</w:t>
            </w:r>
          </w:p>
        </w:tc>
        <w:tc>
          <w:tcPr>
            <w:tcW w:w="992" w:type="dxa"/>
            <w:shd w:val="clear" w:color="auto" w:fill="auto"/>
            <w:vAlign w:val="center"/>
          </w:tcPr>
          <w:p w14:paraId="5E8A9CD2">
            <w:pPr>
              <w:spacing w:line="320" w:lineRule="exact"/>
              <w:jc w:val="center"/>
              <w:rPr>
                <w:szCs w:val="21"/>
              </w:rPr>
            </w:pPr>
            <w:r>
              <w:rPr>
                <w:rFonts w:hint="eastAsia"/>
                <w:szCs w:val="21"/>
              </w:rPr>
              <w:t>水田</w:t>
            </w:r>
          </w:p>
        </w:tc>
        <w:tc>
          <w:tcPr>
            <w:tcW w:w="1418" w:type="dxa"/>
            <w:shd w:val="clear" w:color="auto" w:fill="auto"/>
            <w:vAlign w:val="center"/>
          </w:tcPr>
          <w:p w14:paraId="0A406AEF">
            <w:pPr>
              <w:spacing w:line="320" w:lineRule="exact"/>
              <w:jc w:val="center"/>
              <w:rPr>
                <w:szCs w:val="21"/>
              </w:rPr>
            </w:pPr>
            <w:r>
              <w:rPr>
                <w:rFonts w:hint="eastAsia"/>
                <w:szCs w:val="21"/>
              </w:rPr>
              <w:t>0</w:t>
            </w:r>
            <w:r>
              <w:rPr>
                <w:szCs w:val="21"/>
              </w:rPr>
              <w:t>.3</w:t>
            </w:r>
          </w:p>
        </w:tc>
        <w:tc>
          <w:tcPr>
            <w:tcW w:w="1701" w:type="dxa"/>
            <w:shd w:val="clear" w:color="auto" w:fill="auto"/>
            <w:vAlign w:val="center"/>
          </w:tcPr>
          <w:p w14:paraId="7CE6444A">
            <w:pPr>
              <w:spacing w:line="320" w:lineRule="exact"/>
              <w:jc w:val="center"/>
              <w:rPr>
                <w:szCs w:val="21"/>
              </w:rPr>
            </w:pPr>
            <w:r>
              <w:rPr>
                <w:rFonts w:hint="eastAsia"/>
                <w:szCs w:val="21"/>
              </w:rPr>
              <w:t>0</w:t>
            </w:r>
            <w:r>
              <w:rPr>
                <w:szCs w:val="21"/>
              </w:rPr>
              <w:t>.4</w:t>
            </w:r>
          </w:p>
        </w:tc>
        <w:tc>
          <w:tcPr>
            <w:tcW w:w="1701" w:type="dxa"/>
            <w:shd w:val="clear" w:color="auto" w:fill="auto"/>
            <w:vAlign w:val="center"/>
          </w:tcPr>
          <w:p w14:paraId="6A38136B">
            <w:pPr>
              <w:spacing w:line="320" w:lineRule="exact"/>
              <w:jc w:val="center"/>
              <w:rPr>
                <w:szCs w:val="21"/>
              </w:rPr>
            </w:pPr>
            <w:r>
              <w:rPr>
                <w:rFonts w:hint="eastAsia"/>
                <w:szCs w:val="21"/>
              </w:rPr>
              <w:t>0</w:t>
            </w:r>
            <w:r>
              <w:rPr>
                <w:szCs w:val="21"/>
              </w:rPr>
              <w:t>.6</w:t>
            </w:r>
          </w:p>
        </w:tc>
        <w:tc>
          <w:tcPr>
            <w:tcW w:w="1276" w:type="dxa"/>
            <w:shd w:val="clear" w:color="auto" w:fill="auto"/>
            <w:vAlign w:val="center"/>
          </w:tcPr>
          <w:p w14:paraId="422EACD4">
            <w:pPr>
              <w:spacing w:line="320" w:lineRule="exact"/>
              <w:jc w:val="center"/>
              <w:rPr>
                <w:szCs w:val="21"/>
              </w:rPr>
            </w:pPr>
            <w:r>
              <w:rPr>
                <w:rFonts w:hint="eastAsia"/>
                <w:szCs w:val="21"/>
              </w:rPr>
              <w:t>0</w:t>
            </w:r>
            <w:r>
              <w:rPr>
                <w:szCs w:val="21"/>
              </w:rPr>
              <w:t>.8</w:t>
            </w:r>
          </w:p>
        </w:tc>
      </w:tr>
      <w:tr w14:paraId="2D8D6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090F0C06">
            <w:pPr>
              <w:spacing w:line="320" w:lineRule="exact"/>
              <w:jc w:val="center"/>
              <w:rPr>
                <w:szCs w:val="21"/>
              </w:rPr>
            </w:pPr>
          </w:p>
        </w:tc>
        <w:tc>
          <w:tcPr>
            <w:tcW w:w="709" w:type="dxa"/>
            <w:vMerge w:val="continue"/>
            <w:shd w:val="clear" w:color="auto" w:fill="auto"/>
            <w:vAlign w:val="center"/>
          </w:tcPr>
          <w:p w14:paraId="383EEAAB">
            <w:pPr>
              <w:spacing w:line="320" w:lineRule="exact"/>
              <w:jc w:val="center"/>
              <w:rPr>
                <w:szCs w:val="21"/>
              </w:rPr>
            </w:pPr>
          </w:p>
        </w:tc>
        <w:tc>
          <w:tcPr>
            <w:tcW w:w="992" w:type="dxa"/>
            <w:shd w:val="clear" w:color="auto" w:fill="auto"/>
            <w:vAlign w:val="center"/>
          </w:tcPr>
          <w:p w14:paraId="2F559302">
            <w:pPr>
              <w:spacing w:line="320" w:lineRule="exact"/>
              <w:jc w:val="center"/>
              <w:rPr>
                <w:szCs w:val="21"/>
              </w:rPr>
            </w:pPr>
            <w:r>
              <w:rPr>
                <w:szCs w:val="21"/>
              </w:rPr>
              <w:t>其他</w:t>
            </w:r>
          </w:p>
        </w:tc>
        <w:tc>
          <w:tcPr>
            <w:tcW w:w="1418" w:type="dxa"/>
            <w:shd w:val="clear" w:color="auto" w:fill="auto"/>
            <w:vAlign w:val="center"/>
          </w:tcPr>
          <w:p w14:paraId="611739A0">
            <w:pPr>
              <w:spacing w:line="320" w:lineRule="exact"/>
              <w:jc w:val="center"/>
              <w:rPr>
                <w:szCs w:val="21"/>
              </w:rPr>
            </w:pPr>
            <w:r>
              <w:rPr>
                <w:rFonts w:hint="eastAsia"/>
                <w:szCs w:val="21"/>
              </w:rPr>
              <w:t>0</w:t>
            </w:r>
            <w:r>
              <w:rPr>
                <w:szCs w:val="21"/>
              </w:rPr>
              <w:t>.3</w:t>
            </w:r>
          </w:p>
        </w:tc>
        <w:tc>
          <w:tcPr>
            <w:tcW w:w="1701" w:type="dxa"/>
            <w:shd w:val="clear" w:color="auto" w:fill="auto"/>
            <w:vAlign w:val="center"/>
          </w:tcPr>
          <w:p w14:paraId="72D804E8">
            <w:pPr>
              <w:spacing w:line="320" w:lineRule="exact"/>
              <w:jc w:val="center"/>
              <w:rPr>
                <w:szCs w:val="21"/>
              </w:rPr>
            </w:pPr>
            <w:r>
              <w:rPr>
                <w:rFonts w:hint="eastAsia"/>
                <w:szCs w:val="21"/>
              </w:rPr>
              <w:t>0</w:t>
            </w:r>
            <w:r>
              <w:rPr>
                <w:szCs w:val="21"/>
              </w:rPr>
              <w:t>.3</w:t>
            </w:r>
          </w:p>
        </w:tc>
        <w:tc>
          <w:tcPr>
            <w:tcW w:w="1701" w:type="dxa"/>
            <w:shd w:val="clear" w:color="auto" w:fill="auto"/>
            <w:vAlign w:val="center"/>
          </w:tcPr>
          <w:p w14:paraId="48290CD1">
            <w:pPr>
              <w:spacing w:line="320" w:lineRule="exact"/>
              <w:jc w:val="center"/>
              <w:rPr>
                <w:szCs w:val="21"/>
              </w:rPr>
            </w:pPr>
            <w:r>
              <w:rPr>
                <w:rFonts w:hint="eastAsia"/>
                <w:szCs w:val="21"/>
              </w:rPr>
              <w:t>0</w:t>
            </w:r>
            <w:r>
              <w:rPr>
                <w:szCs w:val="21"/>
              </w:rPr>
              <w:t>.3</w:t>
            </w:r>
          </w:p>
        </w:tc>
        <w:tc>
          <w:tcPr>
            <w:tcW w:w="1276" w:type="dxa"/>
            <w:shd w:val="clear" w:color="auto" w:fill="auto"/>
            <w:vAlign w:val="center"/>
          </w:tcPr>
          <w:p w14:paraId="2C8001ED">
            <w:pPr>
              <w:spacing w:line="320" w:lineRule="exact"/>
              <w:jc w:val="center"/>
              <w:rPr>
                <w:szCs w:val="21"/>
              </w:rPr>
            </w:pPr>
            <w:r>
              <w:rPr>
                <w:rFonts w:hint="eastAsia"/>
                <w:szCs w:val="21"/>
              </w:rPr>
              <w:t>0</w:t>
            </w:r>
            <w:r>
              <w:rPr>
                <w:szCs w:val="21"/>
              </w:rPr>
              <w:t>.6</w:t>
            </w:r>
          </w:p>
        </w:tc>
      </w:tr>
      <w:tr w14:paraId="70DE4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3F8DB0B1">
            <w:pPr>
              <w:spacing w:line="320" w:lineRule="exact"/>
              <w:jc w:val="center"/>
              <w:rPr>
                <w:szCs w:val="21"/>
              </w:rPr>
            </w:pPr>
            <w:r>
              <w:rPr>
                <w:rFonts w:hint="eastAsia"/>
                <w:szCs w:val="21"/>
              </w:rPr>
              <w:t>2</w:t>
            </w:r>
          </w:p>
        </w:tc>
        <w:tc>
          <w:tcPr>
            <w:tcW w:w="709" w:type="dxa"/>
            <w:vMerge w:val="restart"/>
            <w:shd w:val="clear" w:color="auto" w:fill="auto"/>
            <w:vAlign w:val="center"/>
          </w:tcPr>
          <w:p w14:paraId="67B9CAD2">
            <w:pPr>
              <w:spacing w:line="320" w:lineRule="exact"/>
              <w:jc w:val="center"/>
              <w:rPr>
                <w:szCs w:val="21"/>
              </w:rPr>
            </w:pPr>
            <w:r>
              <w:rPr>
                <w:rFonts w:hint="eastAsia"/>
                <w:szCs w:val="21"/>
              </w:rPr>
              <w:t>汞</w:t>
            </w:r>
          </w:p>
        </w:tc>
        <w:tc>
          <w:tcPr>
            <w:tcW w:w="992" w:type="dxa"/>
            <w:shd w:val="clear" w:color="auto" w:fill="auto"/>
            <w:vAlign w:val="center"/>
          </w:tcPr>
          <w:p w14:paraId="214A98AD">
            <w:pPr>
              <w:spacing w:line="320" w:lineRule="exact"/>
              <w:jc w:val="center"/>
              <w:rPr>
                <w:szCs w:val="21"/>
              </w:rPr>
            </w:pPr>
            <w:r>
              <w:rPr>
                <w:rFonts w:hint="eastAsia"/>
                <w:szCs w:val="21"/>
              </w:rPr>
              <w:t>水田</w:t>
            </w:r>
          </w:p>
        </w:tc>
        <w:tc>
          <w:tcPr>
            <w:tcW w:w="1418" w:type="dxa"/>
            <w:shd w:val="clear" w:color="auto" w:fill="auto"/>
            <w:vAlign w:val="center"/>
          </w:tcPr>
          <w:p w14:paraId="3B4E2C2C">
            <w:pPr>
              <w:spacing w:line="320" w:lineRule="exact"/>
              <w:jc w:val="center"/>
              <w:rPr>
                <w:szCs w:val="21"/>
              </w:rPr>
            </w:pPr>
            <w:r>
              <w:rPr>
                <w:rFonts w:hint="eastAsia"/>
                <w:szCs w:val="21"/>
              </w:rPr>
              <w:t>0</w:t>
            </w:r>
            <w:r>
              <w:rPr>
                <w:szCs w:val="21"/>
              </w:rPr>
              <w:t>.5</w:t>
            </w:r>
          </w:p>
        </w:tc>
        <w:tc>
          <w:tcPr>
            <w:tcW w:w="1701" w:type="dxa"/>
            <w:shd w:val="clear" w:color="auto" w:fill="auto"/>
            <w:vAlign w:val="center"/>
          </w:tcPr>
          <w:p w14:paraId="1165C4A3">
            <w:pPr>
              <w:spacing w:line="320" w:lineRule="exact"/>
              <w:jc w:val="center"/>
              <w:rPr>
                <w:szCs w:val="21"/>
              </w:rPr>
            </w:pPr>
            <w:r>
              <w:rPr>
                <w:rFonts w:hint="eastAsia"/>
                <w:szCs w:val="21"/>
              </w:rPr>
              <w:t>0</w:t>
            </w:r>
            <w:r>
              <w:rPr>
                <w:szCs w:val="21"/>
              </w:rPr>
              <w:t>.5</w:t>
            </w:r>
          </w:p>
        </w:tc>
        <w:tc>
          <w:tcPr>
            <w:tcW w:w="1701" w:type="dxa"/>
            <w:shd w:val="clear" w:color="auto" w:fill="auto"/>
            <w:vAlign w:val="center"/>
          </w:tcPr>
          <w:p w14:paraId="7CF9CFCF">
            <w:pPr>
              <w:spacing w:line="320" w:lineRule="exact"/>
              <w:jc w:val="center"/>
              <w:rPr>
                <w:szCs w:val="21"/>
              </w:rPr>
            </w:pPr>
            <w:r>
              <w:rPr>
                <w:rFonts w:hint="eastAsia"/>
                <w:szCs w:val="21"/>
              </w:rPr>
              <w:t>0</w:t>
            </w:r>
            <w:r>
              <w:rPr>
                <w:szCs w:val="21"/>
              </w:rPr>
              <w:t>.6</w:t>
            </w:r>
          </w:p>
        </w:tc>
        <w:tc>
          <w:tcPr>
            <w:tcW w:w="1276" w:type="dxa"/>
            <w:shd w:val="clear" w:color="auto" w:fill="auto"/>
            <w:vAlign w:val="center"/>
          </w:tcPr>
          <w:p w14:paraId="0DCF24FC">
            <w:pPr>
              <w:spacing w:line="320" w:lineRule="exact"/>
              <w:jc w:val="center"/>
              <w:rPr>
                <w:szCs w:val="21"/>
              </w:rPr>
            </w:pPr>
            <w:r>
              <w:rPr>
                <w:rFonts w:hint="eastAsia"/>
                <w:szCs w:val="21"/>
              </w:rPr>
              <w:t>1</w:t>
            </w:r>
            <w:r>
              <w:rPr>
                <w:szCs w:val="21"/>
              </w:rPr>
              <w:t>.0</w:t>
            </w:r>
          </w:p>
        </w:tc>
      </w:tr>
      <w:tr w14:paraId="46250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47CDF872">
            <w:pPr>
              <w:spacing w:line="320" w:lineRule="exact"/>
              <w:jc w:val="center"/>
              <w:rPr>
                <w:szCs w:val="21"/>
              </w:rPr>
            </w:pPr>
          </w:p>
        </w:tc>
        <w:tc>
          <w:tcPr>
            <w:tcW w:w="709" w:type="dxa"/>
            <w:vMerge w:val="continue"/>
            <w:shd w:val="clear" w:color="auto" w:fill="auto"/>
            <w:vAlign w:val="center"/>
          </w:tcPr>
          <w:p w14:paraId="2CE75822">
            <w:pPr>
              <w:spacing w:line="320" w:lineRule="exact"/>
              <w:jc w:val="center"/>
              <w:rPr>
                <w:szCs w:val="21"/>
              </w:rPr>
            </w:pPr>
          </w:p>
        </w:tc>
        <w:tc>
          <w:tcPr>
            <w:tcW w:w="992" w:type="dxa"/>
            <w:shd w:val="clear" w:color="auto" w:fill="auto"/>
            <w:vAlign w:val="center"/>
          </w:tcPr>
          <w:p w14:paraId="536F69CE">
            <w:pPr>
              <w:spacing w:line="320" w:lineRule="exact"/>
              <w:jc w:val="center"/>
              <w:rPr>
                <w:szCs w:val="21"/>
              </w:rPr>
            </w:pPr>
            <w:r>
              <w:rPr>
                <w:szCs w:val="21"/>
              </w:rPr>
              <w:t>其他</w:t>
            </w:r>
          </w:p>
        </w:tc>
        <w:tc>
          <w:tcPr>
            <w:tcW w:w="1418" w:type="dxa"/>
            <w:shd w:val="clear" w:color="auto" w:fill="auto"/>
            <w:vAlign w:val="center"/>
          </w:tcPr>
          <w:p w14:paraId="2CF6A6D2">
            <w:pPr>
              <w:spacing w:line="320" w:lineRule="exact"/>
              <w:jc w:val="center"/>
              <w:rPr>
                <w:szCs w:val="21"/>
              </w:rPr>
            </w:pPr>
            <w:r>
              <w:rPr>
                <w:rFonts w:hint="eastAsia"/>
                <w:szCs w:val="21"/>
              </w:rPr>
              <w:t>1</w:t>
            </w:r>
            <w:r>
              <w:rPr>
                <w:szCs w:val="21"/>
              </w:rPr>
              <w:t>.3</w:t>
            </w:r>
          </w:p>
        </w:tc>
        <w:tc>
          <w:tcPr>
            <w:tcW w:w="1701" w:type="dxa"/>
            <w:shd w:val="clear" w:color="auto" w:fill="auto"/>
            <w:vAlign w:val="center"/>
          </w:tcPr>
          <w:p w14:paraId="164294A6">
            <w:pPr>
              <w:spacing w:line="320" w:lineRule="exact"/>
              <w:jc w:val="center"/>
              <w:rPr>
                <w:szCs w:val="21"/>
              </w:rPr>
            </w:pPr>
            <w:r>
              <w:rPr>
                <w:rFonts w:hint="eastAsia"/>
                <w:szCs w:val="21"/>
              </w:rPr>
              <w:t>1</w:t>
            </w:r>
            <w:r>
              <w:rPr>
                <w:szCs w:val="21"/>
              </w:rPr>
              <w:t>.8</w:t>
            </w:r>
          </w:p>
        </w:tc>
        <w:tc>
          <w:tcPr>
            <w:tcW w:w="1701" w:type="dxa"/>
            <w:shd w:val="clear" w:color="auto" w:fill="auto"/>
            <w:vAlign w:val="center"/>
          </w:tcPr>
          <w:p w14:paraId="4DA362EF">
            <w:pPr>
              <w:spacing w:line="320" w:lineRule="exact"/>
              <w:jc w:val="center"/>
              <w:rPr>
                <w:szCs w:val="21"/>
              </w:rPr>
            </w:pPr>
            <w:r>
              <w:rPr>
                <w:rFonts w:hint="eastAsia"/>
                <w:szCs w:val="21"/>
              </w:rPr>
              <w:t>2</w:t>
            </w:r>
            <w:r>
              <w:rPr>
                <w:szCs w:val="21"/>
              </w:rPr>
              <w:t>.4</w:t>
            </w:r>
          </w:p>
        </w:tc>
        <w:tc>
          <w:tcPr>
            <w:tcW w:w="1276" w:type="dxa"/>
            <w:shd w:val="clear" w:color="auto" w:fill="auto"/>
            <w:vAlign w:val="center"/>
          </w:tcPr>
          <w:p w14:paraId="331DE358">
            <w:pPr>
              <w:spacing w:line="320" w:lineRule="exact"/>
              <w:jc w:val="center"/>
              <w:rPr>
                <w:szCs w:val="21"/>
              </w:rPr>
            </w:pPr>
            <w:r>
              <w:rPr>
                <w:rFonts w:hint="eastAsia"/>
                <w:szCs w:val="21"/>
              </w:rPr>
              <w:t>3</w:t>
            </w:r>
            <w:r>
              <w:rPr>
                <w:szCs w:val="21"/>
              </w:rPr>
              <w:t>.4</w:t>
            </w:r>
          </w:p>
        </w:tc>
      </w:tr>
      <w:tr w14:paraId="171BE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1A28D769">
            <w:pPr>
              <w:spacing w:line="320" w:lineRule="exact"/>
              <w:jc w:val="center"/>
              <w:rPr>
                <w:szCs w:val="21"/>
              </w:rPr>
            </w:pPr>
            <w:r>
              <w:rPr>
                <w:rFonts w:hint="eastAsia"/>
                <w:szCs w:val="21"/>
              </w:rPr>
              <w:t>3</w:t>
            </w:r>
          </w:p>
        </w:tc>
        <w:tc>
          <w:tcPr>
            <w:tcW w:w="709" w:type="dxa"/>
            <w:vMerge w:val="restart"/>
            <w:shd w:val="clear" w:color="auto" w:fill="auto"/>
            <w:vAlign w:val="center"/>
          </w:tcPr>
          <w:p w14:paraId="066C107E">
            <w:pPr>
              <w:spacing w:line="320" w:lineRule="exact"/>
              <w:jc w:val="center"/>
              <w:rPr>
                <w:szCs w:val="21"/>
              </w:rPr>
            </w:pPr>
            <w:r>
              <w:rPr>
                <w:rFonts w:hint="eastAsia"/>
                <w:szCs w:val="21"/>
              </w:rPr>
              <w:t>砷</w:t>
            </w:r>
          </w:p>
        </w:tc>
        <w:tc>
          <w:tcPr>
            <w:tcW w:w="992" w:type="dxa"/>
            <w:shd w:val="clear" w:color="auto" w:fill="auto"/>
            <w:vAlign w:val="center"/>
          </w:tcPr>
          <w:p w14:paraId="20A76B26">
            <w:pPr>
              <w:spacing w:line="320" w:lineRule="exact"/>
              <w:jc w:val="center"/>
              <w:rPr>
                <w:szCs w:val="21"/>
              </w:rPr>
            </w:pPr>
            <w:r>
              <w:rPr>
                <w:rFonts w:hint="eastAsia"/>
                <w:szCs w:val="21"/>
              </w:rPr>
              <w:t>水田</w:t>
            </w:r>
          </w:p>
        </w:tc>
        <w:tc>
          <w:tcPr>
            <w:tcW w:w="1418" w:type="dxa"/>
            <w:shd w:val="clear" w:color="auto" w:fill="auto"/>
            <w:vAlign w:val="center"/>
          </w:tcPr>
          <w:p w14:paraId="40F140CB">
            <w:pPr>
              <w:spacing w:line="320" w:lineRule="exact"/>
              <w:jc w:val="center"/>
              <w:rPr>
                <w:szCs w:val="21"/>
              </w:rPr>
            </w:pPr>
            <w:r>
              <w:rPr>
                <w:rFonts w:hint="eastAsia"/>
                <w:szCs w:val="21"/>
              </w:rPr>
              <w:t>3</w:t>
            </w:r>
            <w:r>
              <w:rPr>
                <w:szCs w:val="21"/>
              </w:rPr>
              <w:t>0</w:t>
            </w:r>
          </w:p>
        </w:tc>
        <w:tc>
          <w:tcPr>
            <w:tcW w:w="1701" w:type="dxa"/>
            <w:shd w:val="clear" w:color="auto" w:fill="auto"/>
            <w:vAlign w:val="center"/>
          </w:tcPr>
          <w:p w14:paraId="75242820">
            <w:pPr>
              <w:spacing w:line="320" w:lineRule="exact"/>
              <w:jc w:val="center"/>
              <w:rPr>
                <w:szCs w:val="21"/>
              </w:rPr>
            </w:pPr>
            <w:r>
              <w:rPr>
                <w:rFonts w:hint="eastAsia"/>
                <w:szCs w:val="21"/>
              </w:rPr>
              <w:t>3</w:t>
            </w:r>
            <w:r>
              <w:rPr>
                <w:szCs w:val="21"/>
              </w:rPr>
              <w:t>0</w:t>
            </w:r>
          </w:p>
        </w:tc>
        <w:tc>
          <w:tcPr>
            <w:tcW w:w="1701" w:type="dxa"/>
            <w:shd w:val="clear" w:color="auto" w:fill="auto"/>
            <w:vAlign w:val="center"/>
          </w:tcPr>
          <w:p w14:paraId="31262E23">
            <w:pPr>
              <w:spacing w:line="320" w:lineRule="exact"/>
              <w:jc w:val="center"/>
              <w:rPr>
                <w:szCs w:val="21"/>
              </w:rPr>
            </w:pPr>
            <w:r>
              <w:rPr>
                <w:rFonts w:hint="eastAsia"/>
                <w:szCs w:val="21"/>
              </w:rPr>
              <w:t>2</w:t>
            </w:r>
            <w:r>
              <w:rPr>
                <w:szCs w:val="21"/>
              </w:rPr>
              <w:t>5</w:t>
            </w:r>
          </w:p>
        </w:tc>
        <w:tc>
          <w:tcPr>
            <w:tcW w:w="1276" w:type="dxa"/>
            <w:shd w:val="clear" w:color="auto" w:fill="auto"/>
            <w:vAlign w:val="center"/>
          </w:tcPr>
          <w:p w14:paraId="7A09AA5D">
            <w:pPr>
              <w:spacing w:line="320" w:lineRule="exact"/>
              <w:jc w:val="center"/>
              <w:rPr>
                <w:szCs w:val="21"/>
              </w:rPr>
            </w:pPr>
            <w:r>
              <w:rPr>
                <w:rFonts w:hint="eastAsia"/>
                <w:szCs w:val="21"/>
              </w:rPr>
              <w:t>2</w:t>
            </w:r>
            <w:r>
              <w:rPr>
                <w:szCs w:val="21"/>
              </w:rPr>
              <w:t>0</w:t>
            </w:r>
          </w:p>
        </w:tc>
      </w:tr>
      <w:tr w14:paraId="65CC5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6984269C">
            <w:pPr>
              <w:spacing w:line="320" w:lineRule="exact"/>
              <w:jc w:val="center"/>
              <w:rPr>
                <w:szCs w:val="21"/>
              </w:rPr>
            </w:pPr>
          </w:p>
        </w:tc>
        <w:tc>
          <w:tcPr>
            <w:tcW w:w="709" w:type="dxa"/>
            <w:vMerge w:val="continue"/>
            <w:shd w:val="clear" w:color="auto" w:fill="auto"/>
            <w:vAlign w:val="center"/>
          </w:tcPr>
          <w:p w14:paraId="22D6CCFD">
            <w:pPr>
              <w:spacing w:line="320" w:lineRule="exact"/>
              <w:jc w:val="center"/>
              <w:rPr>
                <w:szCs w:val="21"/>
              </w:rPr>
            </w:pPr>
          </w:p>
        </w:tc>
        <w:tc>
          <w:tcPr>
            <w:tcW w:w="992" w:type="dxa"/>
            <w:shd w:val="clear" w:color="auto" w:fill="auto"/>
            <w:vAlign w:val="center"/>
          </w:tcPr>
          <w:p w14:paraId="432EEB39">
            <w:pPr>
              <w:spacing w:line="320" w:lineRule="exact"/>
              <w:jc w:val="center"/>
              <w:rPr>
                <w:szCs w:val="21"/>
              </w:rPr>
            </w:pPr>
            <w:r>
              <w:rPr>
                <w:szCs w:val="21"/>
              </w:rPr>
              <w:t>其他</w:t>
            </w:r>
          </w:p>
        </w:tc>
        <w:tc>
          <w:tcPr>
            <w:tcW w:w="1418" w:type="dxa"/>
            <w:shd w:val="clear" w:color="auto" w:fill="auto"/>
            <w:vAlign w:val="center"/>
          </w:tcPr>
          <w:p w14:paraId="157D80E4">
            <w:pPr>
              <w:spacing w:line="320" w:lineRule="exact"/>
              <w:jc w:val="center"/>
              <w:rPr>
                <w:szCs w:val="21"/>
              </w:rPr>
            </w:pPr>
            <w:r>
              <w:rPr>
                <w:rFonts w:hint="eastAsia"/>
                <w:szCs w:val="21"/>
              </w:rPr>
              <w:t>4</w:t>
            </w:r>
            <w:r>
              <w:rPr>
                <w:szCs w:val="21"/>
              </w:rPr>
              <w:t>0</w:t>
            </w:r>
          </w:p>
        </w:tc>
        <w:tc>
          <w:tcPr>
            <w:tcW w:w="1701" w:type="dxa"/>
            <w:shd w:val="clear" w:color="auto" w:fill="auto"/>
            <w:vAlign w:val="center"/>
          </w:tcPr>
          <w:p w14:paraId="31A41762">
            <w:pPr>
              <w:spacing w:line="320" w:lineRule="exact"/>
              <w:jc w:val="center"/>
              <w:rPr>
                <w:szCs w:val="21"/>
              </w:rPr>
            </w:pPr>
            <w:r>
              <w:rPr>
                <w:rFonts w:hint="eastAsia"/>
                <w:szCs w:val="21"/>
              </w:rPr>
              <w:t>4</w:t>
            </w:r>
            <w:r>
              <w:rPr>
                <w:szCs w:val="21"/>
              </w:rPr>
              <w:t>0</w:t>
            </w:r>
          </w:p>
        </w:tc>
        <w:tc>
          <w:tcPr>
            <w:tcW w:w="1701" w:type="dxa"/>
            <w:shd w:val="clear" w:color="auto" w:fill="auto"/>
            <w:vAlign w:val="center"/>
          </w:tcPr>
          <w:p w14:paraId="5C60EB91">
            <w:pPr>
              <w:spacing w:line="320" w:lineRule="exact"/>
              <w:jc w:val="center"/>
              <w:rPr>
                <w:szCs w:val="21"/>
              </w:rPr>
            </w:pPr>
            <w:r>
              <w:rPr>
                <w:rFonts w:hint="eastAsia"/>
                <w:szCs w:val="21"/>
              </w:rPr>
              <w:t>3</w:t>
            </w:r>
            <w:r>
              <w:rPr>
                <w:szCs w:val="21"/>
              </w:rPr>
              <w:t>0</w:t>
            </w:r>
          </w:p>
        </w:tc>
        <w:tc>
          <w:tcPr>
            <w:tcW w:w="1276" w:type="dxa"/>
            <w:shd w:val="clear" w:color="auto" w:fill="auto"/>
            <w:vAlign w:val="center"/>
          </w:tcPr>
          <w:p w14:paraId="234962E6">
            <w:pPr>
              <w:spacing w:line="320" w:lineRule="exact"/>
              <w:jc w:val="center"/>
              <w:rPr>
                <w:szCs w:val="21"/>
              </w:rPr>
            </w:pPr>
            <w:r>
              <w:rPr>
                <w:rFonts w:hint="eastAsia"/>
                <w:szCs w:val="21"/>
              </w:rPr>
              <w:t>2</w:t>
            </w:r>
            <w:r>
              <w:rPr>
                <w:szCs w:val="21"/>
              </w:rPr>
              <w:t>5</w:t>
            </w:r>
          </w:p>
        </w:tc>
      </w:tr>
      <w:tr w14:paraId="6C828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6BD8209C">
            <w:pPr>
              <w:spacing w:line="320" w:lineRule="exact"/>
              <w:jc w:val="center"/>
              <w:rPr>
                <w:szCs w:val="21"/>
              </w:rPr>
            </w:pPr>
            <w:r>
              <w:rPr>
                <w:rFonts w:hint="eastAsia"/>
                <w:szCs w:val="21"/>
              </w:rPr>
              <w:t>4</w:t>
            </w:r>
          </w:p>
        </w:tc>
        <w:tc>
          <w:tcPr>
            <w:tcW w:w="709" w:type="dxa"/>
            <w:vMerge w:val="restart"/>
            <w:shd w:val="clear" w:color="auto" w:fill="auto"/>
            <w:vAlign w:val="center"/>
          </w:tcPr>
          <w:p w14:paraId="0A6F6A59">
            <w:pPr>
              <w:spacing w:line="320" w:lineRule="exact"/>
              <w:jc w:val="center"/>
              <w:rPr>
                <w:szCs w:val="21"/>
              </w:rPr>
            </w:pPr>
            <w:r>
              <w:rPr>
                <w:rFonts w:hint="eastAsia"/>
                <w:szCs w:val="21"/>
              </w:rPr>
              <w:t>铅</w:t>
            </w:r>
          </w:p>
        </w:tc>
        <w:tc>
          <w:tcPr>
            <w:tcW w:w="992" w:type="dxa"/>
            <w:shd w:val="clear" w:color="auto" w:fill="auto"/>
            <w:vAlign w:val="center"/>
          </w:tcPr>
          <w:p w14:paraId="7B0C15EB">
            <w:pPr>
              <w:spacing w:line="320" w:lineRule="exact"/>
              <w:jc w:val="center"/>
              <w:rPr>
                <w:szCs w:val="21"/>
              </w:rPr>
            </w:pPr>
            <w:r>
              <w:rPr>
                <w:rFonts w:hint="eastAsia"/>
                <w:szCs w:val="21"/>
              </w:rPr>
              <w:t>水田</w:t>
            </w:r>
          </w:p>
        </w:tc>
        <w:tc>
          <w:tcPr>
            <w:tcW w:w="1418" w:type="dxa"/>
            <w:shd w:val="clear" w:color="auto" w:fill="auto"/>
            <w:vAlign w:val="center"/>
          </w:tcPr>
          <w:p w14:paraId="3E45C6E7">
            <w:pPr>
              <w:spacing w:line="320" w:lineRule="exact"/>
              <w:jc w:val="center"/>
              <w:rPr>
                <w:szCs w:val="21"/>
              </w:rPr>
            </w:pPr>
            <w:r>
              <w:rPr>
                <w:rFonts w:hint="eastAsia"/>
                <w:szCs w:val="21"/>
              </w:rPr>
              <w:t>8</w:t>
            </w:r>
            <w:r>
              <w:rPr>
                <w:szCs w:val="21"/>
              </w:rPr>
              <w:t>0</w:t>
            </w:r>
          </w:p>
        </w:tc>
        <w:tc>
          <w:tcPr>
            <w:tcW w:w="1701" w:type="dxa"/>
            <w:shd w:val="clear" w:color="auto" w:fill="auto"/>
            <w:vAlign w:val="center"/>
          </w:tcPr>
          <w:p w14:paraId="15F4EC64">
            <w:pPr>
              <w:spacing w:line="320" w:lineRule="exact"/>
              <w:jc w:val="center"/>
              <w:rPr>
                <w:szCs w:val="21"/>
              </w:rPr>
            </w:pPr>
            <w:r>
              <w:rPr>
                <w:rFonts w:hint="eastAsia"/>
                <w:szCs w:val="21"/>
              </w:rPr>
              <w:t>1</w:t>
            </w:r>
            <w:r>
              <w:rPr>
                <w:szCs w:val="21"/>
              </w:rPr>
              <w:t>00</w:t>
            </w:r>
          </w:p>
        </w:tc>
        <w:tc>
          <w:tcPr>
            <w:tcW w:w="1701" w:type="dxa"/>
            <w:shd w:val="clear" w:color="auto" w:fill="auto"/>
            <w:vAlign w:val="center"/>
          </w:tcPr>
          <w:p w14:paraId="1A99F0FC">
            <w:pPr>
              <w:spacing w:line="320" w:lineRule="exact"/>
              <w:jc w:val="center"/>
              <w:rPr>
                <w:szCs w:val="21"/>
              </w:rPr>
            </w:pPr>
            <w:r>
              <w:rPr>
                <w:rFonts w:hint="eastAsia"/>
                <w:szCs w:val="21"/>
              </w:rPr>
              <w:t>1</w:t>
            </w:r>
            <w:r>
              <w:rPr>
                <w:szCs w:val="21"/>
              </w:rPr>
              <w:t>40</w:t>
            </w:r>
          </w:p>
        </w:tc>
        <w:tc>
          <w:tcPr>
            <w:tcW w:w="1276" w:type="dxa"/>
            <w:shd w:val="clear" w:color="auto" w:fill="auto"/>
            <w:vAlign w:val="center"/>
          </w:tcPr>
          <w:p w14:paraId="4B883076">
            <w:pPr>
              <w:spacing w:line="320" w:lineRule="exact"/>
              <w:jc w:val="center"/>
              <w:rPr>
                <w:szCs w:val="21"/>
              </w:rPr>
            </w:pPr>
            <w:r>
              <w:rPr>
                <w:rFonts w:hint="eastAsia"/>
                <w:szCs w:val="21"/>
              </w:rPr>
              <w:t>2</w:t>
            </w:r>
            <w:r>
              <w:rPr>
                <w:szCs w:val="21"/>
              </w:rPr>
              <w:t>40</w:t>
            </w:r>
          </w:p>
        </w:tc>
      </w:tr>
      <w:tr w14:paraId="62679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0227B856">
            <w:pPr>
              <w:spacing w:line="320" w:lineRule="exact"/>
              <w:jc w:val="center"/>
              <w:rPr>
                <w:szCs w:val="21"/>
              </w:rPr>
            </w:pPr>
          </w:p>
        </w:tc>
        <w:tc>
          <w:tcPr>
            <w:tcW w:w="709" w:type="dxa"/>
            <w:vMerge w:val="continue"/>
            <w:shd w:val="clear" w:color="auto" w:fill="auto"/>
            <w:vAlign w:val="center"/>
          </w:tcPr>
          <w:p w14:paraId="5F7F5C64">
            <w:pPr>
              <w:spacing w:line="320" w:lineRule="exact"/>
              <w:jc w:val="center"/>
              <w:rPr>
                <w:szCs w:val="21"/>
              </w:rPr>
            </w:pPr>
          </w:p>
        </w:tc>
        <w:tc>
          <w:tcPr>
            <w:tcW w:w="992" w:type="dxa"/>
            <w:shd w:val="clear" w:color="auto" w:fill="auto"/>
            <w:vAlign w:val="center"/>
          </w:tcPr>
          <w:p w14:paraId="35A03773">
            <w:pPr>
              <w:spacing w:line="320" w:lineRule="exact"/>
              <w:jc w:val="center"/>
              <w:rPr>
                <w:szCs w:val="21"/>
              </w:rPr>
            </w:pPr>
            <w:r>
              <w:rPr>
                <w:szCs w:val="21"/>
              </w:rPr>
              <w:t>其他</w:t>
            </w:r>
          </w:p>
        </w:tc>
        <w:tc>
          <w:tcPr>
            <w:tcW w:w="1418" w:type="dxa"/>
            <w:shd w:val="clear" w:color="auto" w:fill="auto"/>
            <w:vAlign w:val="center"/>
          </w:tcPr>
          <w:p w14:paraId="5BCC122F">
            <w:pPr>
              <w:spacing w:line="320" w:lineRule="exact"/>
              <w:jc w:val="center"/>
              <w:rPr>
                <w:szCs w:val="21"/>
              </w:rPr>
            </w:pPr>
            <w:r>
              <w:rPr>
                <w:rFonts w:hint="eastAsia"/>
                <w:szCs w:val="21"/>
              </w:rPr>
              <w:t>7</w:t>
            </w:r>
            <w:r>
              <w:rPr>
                <w:szCs w:val="21"/>
              </w:rPr>
              <w:t>0</w:t>
            </w:r>
          </w:p>
        </w:tc>
        <w:tc>
          <w:tcPr>
            <w:tcW w:w="1701" w:type="dxa"/>
            <w:shd w:val="clear" w:color="auto" w:fill="auto"/>
            <w:vAlign w:val="center"/>
          </w:tcPr>
          <w:p w14:paraId="5F5BB384">
            <w:pPr>
              <w:spacing w:line="320" w:lineRule="exact"/>
              <w:jc w:val="center"/>
              <w:rPr>
                <w:szCs w:val="21"/>
              </w:rPr>
            </w:pPr>
            <w:r>
              <w:rPr>
                <w:rFonts w:hint="eastAsia"/>
                <w:szCs w:val="21"/>
              </w:rPr>
              <w:t>9</w:t>
            </w:r>
            <w:r>
              <w:rPr>
                <w:szCs w:val="21"/>
              </w:rPr>
              <w:t>0</w:t>
            </w:r>
          </w:p>
        </w:tc>
        <w:tc>
          <w:tcPr>
            <w:tcW w:w="1701" w:type="dxa"/>
            <w:shd w:val="clear" w:color="auto" w:fill="auto"/>
            <w:vAlign w:val="center"/>
          </w:tcPr>
          <w:p w14:paraId="373FC737">
            <w:pPr>
              <w:spacing w:line="320" w:lineRule="exact"/>
              <w:jc w:val="center"/>
              <w:rPr>
                <w:szCs w:val="21"/>
              </w:rPr>
            </w:pPr>
            <w:r>
              <w:rPr>
                <w:rFonts w:hint="eastAsia"/>
                <w:szCs w:val="21"/>
              </w:rPr>
              <w:t>1</w:t>
            </w:r>
            <w:r>
              <w:rPr>
                <w:szCs w:val="21"/>
              </w:rPr>
              <w:t>20</w:t>
            </w:r>
          </w:p>
        </w:tc>
        <w:tc>
          <w:tcPr>
            <w:tcW w:w="1276" w:type="dxa"/>
            <w:shd w:val="clear" w:color="auto" w:fill="auto"/>
            <w:vAlign w:val="center"/>
          </w:tcPr>
          <w:p w14:paraId="2BC2396B">
            <w:pPr>
              <w:spacing w:line="320" w:lineRule="exact"/>
              <w:jc w:val="center"/>
              <w:rPr>
                <w:szCs w:val="21"/>
              </w:rPr>
            </w:pPr>
            <w:r>
              <w:rPr>
                <w:rFonts w:hint="eastAsia"/>
                <w:szCs w:val="21"/>
              </w:rPr>
              <w:t>1</w:t>
            </w:r>
            <w:r>
              <w:rPr>
                <w:szCs w:val="21"/>
              </w:rPr>
              <w:t>70</w:t>
            </w:r>
          </w:p>
        </w:tc>
      </w:tr>
      <w:tr w14:paraId="247D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60C847E1">
            <w:pPr>
              <w:spacing w:line="320" w:lineRule="exact"/>
              <w:jc w:val="center"/>
              <w:rPr>
                <w:szCs w:val="21"/>
              </w:rPr>
            </w:pPr>
            <w:r>
              <w:rPr>
                <w:rFonts w:hint="eastAsia"/>
                <w:szCs w:val="21"/>
              </w:rPr>
              <w:t>5</w:t>
            </w:r>
          </w:p>
        </w:tc>
        <w:tc>
          <w:tcPr>
            <w:tcW w:w="709" w:type="dxa"/>
            <w:vMerge w:val="restart"/>
            <w:shd w:val="clear" w:color="auto" w:fill="auto"/>
            <w:vAlign w:val="center"/>
          </w:tcPr>
          <w:p w14:paraId="5F370A46">
            <w:pPr>
              <w:spacing w:line="320" w:lineRule="exact"/>
              <w:jc w:val="center"/>
              <w:rPr>
                <w:szCs w:val="21"/>
              </w:rPr>
            </w:pPr>
            <w:r>
              <w:rPr>
                <w:rFonts w:hint="eastAsia"/>
                <w:szCs w:val="21"/>
              </w:rPr>
              <w:t>铬</w:t>
            </w:r>
          </w:p>
        </w:tc>
        <w:tc>
          <w:tcPr>
            <w:tcW w:w="992" w:type="dxa"/>
            <w:shd w:val="clear" w:color="auto" w:fill="auto"/>
            <w:vAlign w:val="center"/>
          </w:tcPr>
          <w:p w14:paraId="1A533DFD">
            <w:pPr>
              <w:spacing w:line="320" w:lineRule="exact"/>
              <w:jc w:val="center"/>
              <w:rPr>
                <w:szCs w:val="21"/>
              </w:rPr>
            </w:pPr>
            <w:r>
              <w:rPr>
                <w:rFonts w:hint="eastAsia"/>
                <w:szCs w:val="21"/>
              </w:rPr>
              <w:t>水田</w:t>
            </w:r>
          </w:p>
        </w:tc>
        <w:tc>
          <w:tcPr>
            <w:tcW w:w="1418" w:type="dxa"/>
            <w:shd w:val="clear" w:color="auto" w:fill="auto"/>
            <w:vAlign w:val="center"/>
          </w:tcPr>
          <w:p w14:paraId="4836BCDF">
            <w:pPr>
              <w:spacing w:line="320" w:lineRule="exact"/>
              <w:jc w:val="center"/>
              <w:rPr>
                <w:szCs w:val="21"/>
              </w:rPr>
            </w:pPr>
            <w:r>
              <w:rPr>
                <w:rFonts w:hint="eastAsia"/>
                <w:szCs w:val="21"/>
              </w:rPr>
              <w:t>2</w:t>
            </w:r>
            <w:r>
              <w:rPr>
                <w:szCs w:val="21"/>
              </w:rPr>
              <w:t>50</w:t>
            </w:r>
          </w:p>
        </w:tc>
        <w:tc>
          <w:tcPr>
            <w:tcW w:w="1701" w:type="dxa"/>
            <w:shd w:val="clear" w:color="auto" w:fill="auto"/>
            <w:vAlign w:val="center"/>
          </w:tcPr>
          <w:p w14:paraId="733428A4">
            <w:pPr>
              <w:spacing w:line="320" w:lineRule="exact"/>
              <w:jc w:val="center"/>
              <w:rPr>
                <w:szCs w:val="21"/>
              </w:rPr>
            </w:pPr>
            <w:r>
              <w:rPr>
                <w:rFonts w:hint="eastAsia"/>
                <w:szCs w:val="21"/>
              </w:rPr>
              <w:t>2</w:t>
            </w:r>
            <w:r>
              <w:rPr>
                <w:szCs w:val="21"/>
              </w:rPr>
              <w:t>50</w:t>
            </w:r>
          </w:p>
        </w:tc>
        <w:tc>
          <w:tcPr>
            <w:tcW w:w="1701" w:type="dxa"/>
            <w:shd w:val="clear" w:color="auto" w:fill="auto"/>
            <w:vAlign w:val="center"/>
          </w:tcPr>
          <w:p w14:paraId="41F7AE3D">
            <w:pPr>
              <w:spacing w:line="320" w:lineRule="exact"/>
              <w:jc w:val="center"/>
              <w:rPr>
                <w:szCs w:val="21"/>
              </w:rPr>
            </w:pPr>
            <w:r>
              <w:rPr>
                <w:rFonts w:hint="eastAsia"/>
                <w:szCs w:val="21"/>
              </w:rPr>
              <w:t>3</w:t>
            </w:r>
            <w:r>
              <w:rPr>
                <w:szCs w:val="21"/>
              </w:rPr>
              <w:t>00</w:t>
            </w:r>
          </w:p>
        </w:tc>
        <w:tc>
          <w:tcPr>
            <w:tcW w:w="1276" w:type="dxa"/>
            <w:shd w:val="clear" w:color="auto" w:fill="auto"/>
            <w:vAlign w:val="center"/>
          </w:tcPr>
          <w:p w14:paraId="2CFC836A">
            <w:pPr>
              <w:spacing w:line="320" w:lineRule="exact"/>
              <w:jc w:val="center"/>
              <w:rPr>
                <w:szCs w:val="21"/>
              </w:rPr>
            </w:pPr>
            <w:r>
              <w:rPr>
                <w:rFonts w:hint="eastAsia"/>
                <w:szCs w:val="21"/>
              </w:rPr>
              <w:t>3</w:t>
            </w:r>
            <w:r>
              <w:rPr>
                <w:szCs w:val="21"/>
              </w:rPr>
              <w:t>50</w:t>
            </w:r>
          </w:p>
        </w:tc>
      </w:tr>
      <w:tr w14:paraId="75A8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3379D38B">
            <w:pPr>
              <w:spacing w:line="320" w:lineRule="exact"/>
              <w:jc w:val="center"/>
              <w:rPr>
                <w:szCs w:val="21"/>
              </w:rPr>
            </w:pPr>
          </w:p>
        </w:tc>
        <w:tc>
          <w:tcPr>
            <w:tcW w:w="709" w:type="dxa"/>
            <w:vMerge w:val="continue"/>
            <w:shd w:val="clear" w:color="auto" w:fill="auto"/>
            <w:vAlign w:val="center"/>
          </w:tcPr>
          <w:p w14:paraId="30C95B34">
            <w:pPr>
              <w:spacing w:line="320" w:lineRule="exact"/>
              <w:jc w:val="center"/>
              <w:rPr>
                <w:szCs w:val="21"/>
              </w:rPr>
            </w:pPr>
          </w:p>
        </w:tc>
        <w:tc>
          <w:tcPr>
            <w:tcW w:w="992" w:type="dxa"/>
            <w:shd w:val="clear" w:color="auto" w:fill="auto"/>
            <w:vAlign w:val="center"/>
          </w:tcPr>
          <w:p w14:paraId="2DF6C684">
            <w:pPr>
              <w:spacing w:line="320" w:lineRule="exact"/>
              <w:jc w:val="center"/>
              <w:rPr>
                <w:szCs w:val="21"/>
              </w:rPr>
            </w:pPr>
            <w:r>
              <w:rPr>
                <w:szCs w:val="21"/>
              </w:rPr>
              <w:t>其他</w:t>
            </w:r>
          </w:p>
        </w:tc>
        <w:tc>
          <w:tcPr>
            <w:tcW w:w="1418" w:type="dxa"/>
            <w:shd w:val="clear" w:color="auto" w:fill="auto"/>
            <w:vAlign w:val="center"/>
          </w:tcPr>
          <w:p w14:paraId="65B9984C">
            <w:pPr>
              <w:spacing w:line="320" w:lineRule="exact"/>
              <w:jc w:val="center"/>
              <w:rPr>
                <w:szCs w:val="21"/>
              </w:rPr>
            </w:pPr>
            <w:r>
              <w:rPr>
                <w:rFonts w:hint="eastAsia"/>
                <w:szCs w:val="21"/>
              </w:rPr>
              <w:t>1</w:t>
            </w:r>
            <w:r>
              <w:rPr>
                <w:szCs w:val="21"/>
              </w:rPr>
              <w:t>50</w:t>
            </w:r>
          </w:p>
        </w:tc>
        <w:tc>
          <w:tcPr>
            <w:tcW w:w="1701" w:type="dxa"/>
            <w:shd w:val="clear" w:color="auto" w:fill="auto"/>
            <w:vAlign w:val="center"/>
          </w:tcPr>
          <w:p w14:paraId="4596EC73">
            <w:pPr>
              <w:spacing w:line="320" w:lineRule="exact"/>
              <w:jc w:val="center"/>
              <w:rPr>
                <w:szCs w:val="21"/>
              </w:rPr>
            </w:pPr>
            <w:r>
              <w:rPr>
                <w:rFonts w:hint="eastAsia"/>
                <w:szCs w:val="21"/>
              </w:rPr>
              <w:t>1</w:t>
            </w:r>
            <w:r>
              <w:rPr>
                <w:szCs w:val="21"/>
              </w:rPr>
              <w:t>50</w:t>
            </w:r>
          </w:p>
        </w:tc>
        <w:tc>
          <w:tcPr>
            <w:tcW w:w="1701" w:type="dxa"/>
            <w:shd w:val="clear" w:color="auto" w:fill="auto"/>
            <w:vAlign w:val="center"/>
          </w:tcPr>
          <w:p w14:paraId="3C66C6EA">
            <w:pPr>
              <w:spacing w:line="320" w:lineRule="exact"/>
              <w:jc w:val="center"/>
              <w:rPr>
                <w:szCs w:val="21"/>
              </w:rPr>
            </w:pPr>
            <w:r>
              <w:rPr>
                <w:rFonts w:hint="eastAsia"/>
                <w:szCs w:val="21"/>
              </w:rPr>
              <w:t>2</w:t>
            </w:r>
            <w:r>
              <w:rPr>
                <w:szCs w:val="21"/>
              </w:rPr>
              <w:t>00</w:t>
            </w:r>
          </w:p>
        </w:tc>
        <w:tc>
          <w:tcPr>
            <w:tcW w:w="1276" w:type="dxa"/>
            <w:shd w:val="clear" w:color="auto" w:fill="auto"/>
            <w:vAlign w:val="center"/>
          </w:tcPr>
          <w:p w14:paraId="7598E7A1">
            <w:pPr>
              <w:spacing w:line="320" w:lineRule="exact"/>
              <w:jc w:val="center"/>
              <w:rPr>
                <w:szCs w:val="21"/>
              </w:rPr>
            </w:pPr>
            <w:r>
              <w:rPr>
                <w:rFonts w:hint="eastAsia"/>
                <w:szCs w:val="21"/>
              </w:rPr>
              <w:t>2</w:t>
            </w:r>
            <w:r>
              <w:rPr>
                <w:szCs w:val="21"/>
              </w:rPr>
              <w:t>50</w:t>
            </w:r>
          </w:p>
        </w:tc>
      </w:tr>
      <w:tr w14:paraId="51C55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restart"/>
            <w:shd w:val="clear" w:color="auto" w:fill="auto"/>
            <w:vAlign w:val="center"/>
          </w:tcPr>
          <w:p w14:paraId="15AB18A1">
            <w:pPr>
              <w:spacing w:line="320" w:lineRule="exact"/>
              <w:jc w:val="center"/>
              <w:rPr>
                <w:szCs w:val="21"/>
              </w:rPr>
            </w:pPr>
            <w:r>
              <w:rPr>
                <w:rFonts w:hint="eastAsia"/>
                <w:szCs w:val="21"/>
              </w:rPr>
              <w:t>6</w:t>
            </w:r>
          </w:p>
        </w:tc>
        <w:tc>
          <w:tcPr>
            <w:tcW w:w="709" w:type="dxa"/>
            <w:vMerge w:val="restart"/>
            <w:shd w:val="clear" w:color="auto" w:fill="auto"/>
            <w:vAlign w:val="center"/>
          </w:tcPr>
          <w:p w14:paraId="6D171F85">
            <w:pPr>
              <w:spacing w:line="320" w:lineRule="exact"/>
              <w:jc w:val="center"/>
              <w:rPr>
                <w:szCs w:val="21"/>
              </w:rPr>
            </w:pPr>
            <w:r>
              <w:rPr>
                <w:rFonts w:hint="eastAsia"/>
                <w:szCs w:val="21"/>
              </w:rPr>
              <w:t>铜</w:t>
            </w:r>
          </w:p>
        </w:tc>
        <w:tc>
          <w:tcPr>
            <w:tcW w:w="992" w:type="dxa"/>
            <w:shd w:val="clear" w:color="auto" w:fill="auto"/>
            <w:vAlign w:val="center"/>
          </w:tcPr>
          <w:p w14:paraId="75F72202">
            <w:pPr>
              <w:spacing w:line="320" w:lineRule="exact"/>
              <w:jc w:val="center"/>
              <w:rPr>
                <w:szCs w:val="21"/>
              </w:rPr>
            </w:pPr>
            <w:r>
              <w:rPr>
                <w:rFonts w:hint="eastAsia"/>
                <w:szCs w:val="21"/>
              </w:rPr>
              <w:t>水田</w:t>
            </w:r>
          </w:p>
        </w:tc>
        <w:tc>
          <w:tcPr>
            <w:tcW w:w="1418" w:type="dxa"/>
            <w:shd w:val="clear" w:color="auto" w:fill="auto"/>
            <w:vAlign w:val="center"/>
          </w:tcPr>
          <w:p w14:paraId="31F1515D">
            <w:pPr>
              <w:spacing w:line="320" w:lineRule="exact"/>
              <w:jc w:val="center"/>
              <w:rPr>
                <w:szCs w:val="21"/>
              </w:rPr>
            </w:pPr>
            <w:r>
              <w:rPr>
                <w:rFonts w:hint="eastAsia"/>
                <w:szCs w:val="21"/>
              </w:rPr>
              <w:t>1</w:t>
            </w:r>
            <w:r>
              <w:rPr>
                <w:szCs w:val="21"/>
              </w:rPr>
              <w:t>50</w:t>
            </w:r>
          </w:p>
        </w:tc>
        <w:tc>
          <w:tcPr>
            <w:tcW w:w="1701" w:type="dxa"/>
            <w:shd w:val="clear" w:color="auto" w:fill="auto"/>
            <w:vAlign w:val="center"/>
          </w:tcPr>
          <w:p w14:paraId="7CA832E6">
            <w:pPr>
              <w:spacing w:line="320" w:lineRule="exact"/>
              <w:jc w:val="center"/>
              <w:rPr>
                <w:szCs w:val="21"/>
              </w:rPr>
            </w:pPr>
            <w:r>
              <w:rPr>
                <w:rFonts w:hint="eastAsia"/>
                <w:szCs w:val="21"/>
              </w:rPr>
              <w:t>1</w:t>
            </w:r>
            <w:r>
              <w:rPr>
                <w:szCs w:val="21"/>
              </w:rPr>
              <w:t>50</w:t>
            </w:r>
          </w:p>
        </w:tc>
        <w:tc>
          <w:tcPr>
            <w:tcW w:w="1701" w:type="dxa"/>
            <w:shd w:val="clear" w:color="auto" w:fill="auto"/>
            <w:vAlign w:val="center"/>
          </w:tcPr>
          <w:p w14:paraId="5792AC5C">
            <w:pPr>
              <w:spacing w:line="320" w:lineRule="exact"/>
              <w:jc w:val="center"/>
              <w:rPr>
                <w:szCs w:val="21"/>
              </w:rPr>
            </w:pPr>
            <w:r>
              <w:rPr>
                <w:rFonts w:hint="eastAsia"/>
                <w:szCs w:val="21"/>
              </w:rPr>
              <w:t>2</w:t>
            </w:r>
            <w:r>
              <w:rPr>
                <w:szCs w:val="21"/>
              </w:rPr>
              <w:t>00</w:t>
            </w:r>
          </w:p>
        </w:tc>
        <w:tc>
          <w:tcPr>
            <w:tcW w:w="1276" w:type="dxa"/>
            <w:shd w:val="clear" w:color="auto" w:fill="auto"/>
            <w:vAlign w:val="center"/>
          </w:tcPr>
          <w:p w14:paraId="46C73799">
            <w:pPr>
              <w:spacing w:line="320" w:lineRule="exact"/>
              <w:jc w:val="center"/>
              <w:rPr>
                <w:szCs w:val="21"/>
              </w:rPr>
            </w:pPr>
            <w:r>
              <w:rPr>
                <w:rFonts w:hint="eastAsia"/>
                <w:szCs w:val="21"/>
              </w:rPr>
              <w:t>2</w:t>
            </w:r>
            <w:r>
              <w:rPr>
                <w:szCs w:val="21"/>
              </w:rPr>
              <w:t>00</w:t>
            </w:r>
          </w:p>
        </w:tc>
      </w:tr>
      <w:tr w14:paraId="12E12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vMerge w:val="continue"/>
            <w:shd w:val="clear" w:color="auto" w:fill="auto"/>
            <w:vAlign w:val="center"/>
          </w:tcPr>
          <w:p w14:paraId="2B0C4A0C">
            <w:pPr>
              <w:spacing w:line="320" w:lineRule="exact"/>
              <w:jc w:val="center"/>
              <w:rPr>
                <w:szCs w:val="21"/>
              </w:rPr>
            </w:pPr>
          </w:p>
        </w:tc>
        <w:tc>
          <w:tcPr>
            <w:tcW w:w="709" w:type="dxa"/>
            <w:vMerge w:val="continue"/>
            <w:shd w:val="clear" w:color="auto" w:fill="auto"/>
            <w:vAlign w:val="center"/>
          </w:tcPr>
          <w:p w14:paraId="1CCE8338">
            <w:pPr>
              <w:spacing w:line="320" w:lineRule="exact"/>
              <w:jc w:val="center"/>
              <w:rPr>
                <w:szCs w:val="21"/>
              </w:rPr>
            </w:pPr>
          </w:p>
        </w:tc>
        <w:tc>
          <w:tcPr>
            <w:tcW w:w="992" w:type="dxa"/>
            <w:shd w:val="clear" w:color="auto" w:fill="auto"/>
            <w:vAlign w:val="center"/>
          </w:tcPr>
          <w:p w14:paraId="32E04624">
            <w:pPr>
              <w:spacing w:line="320" w:lineRule="exact"/>
              <w:jc w:val="center"/>
              <w:rPr>
                <w:szCs w:val="21"/>
              </w:rPr>
            </w:pPr>
            <w:r>
              <w:rPr>
                <w:szCs w:val="21"/>
              </w:rPr>
              <w:t>其他</w:t>
            </w:r>
          </w:p>
        </w:tc>
        <w:tc>
          <w:tcPr>
            <w:tcW w:w="1418" w:type="dxa"/>
            <w:shd w:val="clear" w:color="auto" w:fill="auto"/>
            <w:vAlign w:val="center"/>
          </w:tcPr>
          <w:p w14:paraId="0501FF17">
            <w:pPr>
              <w:spacing w:line="320" w:lineRule="exact"/>
              <w:jc w:val="center"/>
              <w:rPr>
                <w:szCs w:val="21"/>
              </w:rPr>
            </w:pPr>
            <w:r>
              <w:rPr>
                <w:rFonts w:hint="eastAsia"/>
                <w:szCs w:val="21"/>
              </w:rPr>
              <w:t>2</w:t>
            </w:r>
            <w:r>
              <w:rPr>
                <w:szCs w:val="21"/>
              </w:rPr>
              <w:t>0</w:t>
            </w:r>
          </w:p>
        </w:tc>
        <w:tc>
          <w:tcPr>
            <w:tcW w:w="1701" w:type="dxa"/>
            <w:shd w:val="clear" w:color="auto" w:fill="auto"/>
            <w:vAlign w:val="center"/>
          </w:tcPr>
          <w:p w14:paraId="18EA65A4">
            <w:pPr>
              <w:spacing w:line="320" w:lineRule="exact"/>
              <w:jc w:val="center"/>
              <w:rPr>
                <w:szCs w:val="21"/>
              </w:rPr>
            </w:pPr>
            <w:r>
              <w:rPr>
                <w:rFonts w:hint="eastAsia"/>
                <w:szCs w:val="21"/>
              </w:rPr>
              <w:t>5</w:t>
            </w:r>
            <w:r>
              <w:rPr>
                <w:szCs w:val="21"/>
              </w:rPr>
              <w:t>0</w:t>
            </w:r>
          </w:p>
        </w:tc>
        <w:tc>
          <w:tcPr>
            <w:tcW w:w="1701" w:type="dxa"/>
            <w:shd w:val="clear" w:color="auto" w:fill="auto"/>
            <w:vAlign w:val="center"/>
          </w:tcPr>
          <w:p w14:paraId="5B9AB2F4">
            <w:pPr>
              <w:spacing w:line="320" w:lineRule="exact"/>
              <w:jc w:val="center"/>
              <w:rPr>
                <w:szCs w:val="21"/>
              </w:rPr>
            </w:pPr>
            <w:r>
              <w:rPr>
                <w:rFonts w:hint="eastAsia"/>
                <w:szCs w:val="21"/>
              </w:rPr>
              <w:t>1</w:t>
            </w:r>
            <w:r>
              <w:rPr>
                <w:szCs w:val="21"/>
              </w:rPr>
              <w:t>00</w:t>
            </w:r>
          </w:p>
        </w:tc>
        <w:tc>
          <w:tcPr>
            <w:tcW w:w="1276" w:type="dxa"/>
            <w:shd w:val="clear" w:color="auto" w:fill="auto"/>
            <w:vAlign w:val="center"/>
          </w:tcPr>
          <w:p w14:paraId="3E7D50D1">
            <w:pPr>
              <w:spacing w:line="320" w:lineRule="exact"/>
              <w:jc w:val="center"/>
              <w:rPr>
                <w:szCs w:val="21"/>
              </w:rPr>
            </w:pPr>
            <w:r>
              <w:rPr>
                <w:rFonts w:hint="eastAsia"/>
                <w:szCs w:val="21"/>
              </w:rPr>
              <w:t>1</w:t>
            </w:r>
            <w:r>
              <w:rPr>
                <w:szCs w:val="21"/>
              </w:rPr>
              <w:t>00</w:t>
            </w:r>
          </w:p>
        </w:tc>
      </w:tr>
      <w:tr w14:paraId="14FE7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shd w:val="clear" w:color="auto" w:fill="auto"/>
            <w:vAlign w:val="center"/>
          </w:tcPr>
          <w:p w14:paraId="1E5791AD">
            <w:pPr>
              <w:spacing w:line="320" w:lineRule="exact"/>
              <w:jc w:val="center"/>
              <w:rPr>
                <w:szCs w:val="21"/>
              </w:rPr>
            </w:pPr>
            <w:r>
              <w:rPr>
                <w:rFonts w:hint="eastAsia"/>
                <w:szCs w:val="21"/>
              </w:rPr>
              <w:t>7</w:t>
            </w:r>
          </w:p>
        </w:tc>
        <w:tc>
          <w:tcPr>
            <w:tcW w:w="1701" w:type="dxa"/>
            <w:gridSpan w:val="2"/>
            <w:shd w:val="clear" w:color="auto" w:fill="auto"/>
            <w:vAlign w:val="center"/>
          </w:tcPr>
          <w:p w14:paraId="143F8530">
            <w:pPr>
              <w:spacing w:line="320" w:lineRule="exact"/>
              <w:jc w:val="center"/>
              <w:rPr>
                <w:szCs w:val="21"/>
              </w:rPr>
            </w:pPr>
            <w:r>
              <w:rPr>
                <w:rFonts w:hint="eastAsia"/>
                <w:szCs w:val="21"/>
              </w:rPr>
              <w:t>镍</w:t>
            </w:r>
          </w:p>
        </w:tc>
        <w:tc>
          <w:tcPr>
            <w:tcW w:w="1418" w:type="dxa"/>
            <w:shd w:val="clear" w:color="auto" w:fill="auto"/>
            <w:vAlign w:val="center"/>
          </w:tcPr>
          <w:p w14:paraId="379B8B5A">
            <w:pPr>
              <w:spacing w:line="320" w:lineRule="exact"/>
              <w:jc w:val="center"/>
              <w:rPr>
                <w:szCs w:val="21"/>
              </w:rPr>
            </w:pPr>
            <w:r>
              <w:rPr>
                <w:rFonts w:hint="eastAsia"/>
                <w:szCs w:val="21"/>
              </w:rPr>
              <w:t>6</w:t>
            </w:r>
            <w:r>
              <w:rPr>
                <w:szCs w:val="21"/>
              </w:rPr>
              <w:t>0</w:t>
            </w:r>
          </w:p>
        </w:tc>
        <w:tc>
          <w:tcPr>
            <w:tcW w:w="1701" w:type="dxa"/>
            <w:shd w:val="clear" w:color="auto" w:fill="auto"/>
            <w:vAlign w:val="center"/>
          </w:tcPr>
          <w:p w14:paraId="7072B738">
            <w:pPr>
              <w:spacing w:line="320" w:lineRule="exact"/>
              <w:jc w:val="center"/>
              <w:rPr>
                <w:szCs w:val="21"/>
              </w:rPr>
            </w:pPr>
            <w:r>
              <w:rPr>
                <w:rFonts w:hint="eastAsia"/>
                <w:szCs w:val="21"/>
              </w:rPr>
              <w:t>7</w:t>
            </w:r>
            <w:r>
              <w:rPr>
                <w:szCs w:val="21"/>
              </w:rPr>
              <w:t>0</w:t>
            </w:r>
          </w:p>
        </w:tc>
        <w:tc>
          <w:tcPr>
            <w:tcW w:w="1701" w:type="dxa"/>
            <w:shd w:val="clear" w:color="auto" w:fill="auto"/>
            <w:vAlign w:val="center"/>
          </w:tcPr>
          <w:p w14:paraId="3588EFBE">
            <w:pPr>
              <w:spacing w:line="320" w:lineRule="exact"/>
              <w:jc w:val="center"/>
              <w:rPr>
                <w:szCs w:val="21"/>
              </w:rPr>
            </w:pPr>
            <w:r>
              <w:rPr>
                <w:rFonts w:hint="eastAsia"/>
                <w:szCs w:val="21"/>
              </w:rPr>
              <w:t>1</w:t>
            </w:r>
            <w:r>
              <w:rPr>
                <w:szCs w:val="21"/>
              </w:rPr>
              <w:t>00</w:t>
            </w:r>
          </w:p>
        </w:tc>
        <w:tc>
          <w:tcPr>
            <w:tcW w:w="1276" w:type="dxa"/>
            <w:shd w:val="clear" w:color="auto" w:fill="auto"/>
            <w:vAlign w:val="center"/>
          </w:tcPr>
          <w:p w14:paraId="72342C15">
            <w:pPr>
              <w:spacing w:line="320" w:lineRule="exact"/>
              <w:jc w:val="center"/>
              <w:rPr>
                <w:szCs w:val="21"/>
              </w:rPr>
            </w:pPr>
            <w:r>
              <w:rPr>
                <w:rFonts w:hint="eastAsia"/>
                <w:szCs w:val="21"/>
              </w:rPr>
              <w:t>1</w:t>
            </w:r>
            <w:r>
              <w:rPr>
                <w:szCs w:val="21"/>
              </w:rPr>
              <w:t>90</w:t>
            </w:r>
          </w:p>
        </w:tc>
      </w:tr>
      <w:tr w14:paraId="3255E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shd w:val="clear" w:color="auto" w:fill="auto"/>
            <w:vAlign w:val="center"/>
          </w:tcPr>
          <w:p w14:paraId="76447D90">
            <w:pPr>
              <w:spacing w:line="320" w:lineRule="exact"/>
              <w:jc w:val="center"/>
              <w:rPr>
                <w:szCs w:val="21"/>
              </w:rPr>
            </w:pPr>
            <w:r>
              <w:rPr>
                <w:rFonts w:hint="eastAsia"/>
                <w:szCs w:val="21"/>
              </w:rPr>
              <w:t>8</w:t>
            </w:r>
          </w:p>
        </w:tc>
        <w:tc>
          <w:tcPr>
            <w:tcW w:w="1701" w:type="dxa"/>
            <w:gridSpan w:val="2"/>
            <w:shd w:val="clear" w:color="auto" w:fill="auto"/>
            <w:vAlign w:val="center"/>
          </w:tcPr>
          <w:p w14:paraId="6D8E92D1">
            <w:pPr>
              <w:spacing w:line="320" w:lineRule="exact"/>
              <w:jc w:val="center"/>
              <w:rPr>
                <w:szCs w:val="21"/>
              </w:rPr>
            </w:pPr>
            <w:r>
              <w:rPr>
                <w:rFonts w:hint="eastAsia"/>
                <w:szCs w:val="21"/>
              </w:rPr>
              <w:t>锌</w:t>
            </w:r>
          </w:p>
        </w:tc>
        <w:tc>
          <w:tcPr>
            <w:tcW w:w="1418" w:type="dxa"/>
            <w:shd w:val="clear" w:color="auto" w:fill="auto"/>
            <w:vAlign w:val="center"/>
          </w:tcPr>
          <w:p w14:paraId="3C9AFDF2">
            <w:pPr>
              <w:spacing w:line="320" w:lineRule="exact"/>
              <w:jc w:val="center"/>
              <w:rPr>
                <w:szCs w:val="21"/>
              </w:rPr>
            </w:pPr>
            <w:r>
              <w:rPr>
                <w:rFonts w:hint="eastAsia"/>
                <w:szCs w:val="21"/>
              </w:rPr>
              <w:t>2</w:t>
            </w:r>
            <w:r>
              <w:rPr>
                <w:szCs w:val="21"/>
              </w:rPr>
              <w:t>00</w:t>
            </w:r>
          </w:p>
        </w:tc>
        <w:tc>
          <w:tcPr>
            <w:tcW w:w="1701" w:type="dxa"/>
            <w:shd w:val="clear" w:color="auto" w:fill="auto"/>
            <w:vAlign w:val="center"/>
          </w:tcPr>
          <w:p w14:paraId="380B4BC6">
            <w:pPr>
              <w:spacing w:line="320" w:lineRule="exact"/>
              <w:jc w:val="center"/>
              <w:rPr>
                <w:szCs w:val="21"/>
              </w:rPr>
            </w:pPr>
            <w:r>
              <w:rPr>
                <w:rFonts w:hint="eastAsia"/>
                <w:szCs w:val="21"/>
              </w:rPr>
              <w:t>2</w:t>
            </w:r>
            <w:r>
              <w:rPr>
                <w:szCs w:val="21"/>
              </w:rPr>
              <w:t>00</w:t>
            </w:r>
          </w:p>
        </w:tc>
        <w:tc>
          <w:tcPr>
            <w:tcW w:w="1701" w:type="dxa"/>
            <w:shd w:val="clear" w:color="auto" w:fill="auto"/>
            <w:vAlign w:val="center"/>
          </w:tcPr>
          <w:p w14:paraId="42BF3D29">
            <w:pPr>
              <w:spacing w:line="320" w:lineRule="exact"/>
              <w:jc w:val="center"/>
              <w:rPr>
                <w:szCs w:val="21"/>
              </w:rPr>
            </w:pPr>
            <w:r>
              <w:rPr>
                <w:rFonts w:hint="eastAsia"/>
                <w:szCs w:val="21"/>
              </w:rPr>
              <w:t>2</w:t>
            </w:r>
            <w:r>
              <w:rPr>
                <w:szCs w:val="21"/>
              </w:rPr>
              <w:t>50</w:t>
            </w:r>
          </w:p>
        </w:tc>
        <w:tc>
          <w:tcPr>
            <w:tcW w:w="1276" w:type="dxa"/>
            <w:shd w:val="clear" w:color="auto" w:fill="auto"/>
            <w:vAlign w:val="center"/>
          </w:tcPr>
          <w:p w14:paraId="08DB4C0B">
            <w:pPr>
              <w:spacing w:line="320" w:lineRule="exact"/>
              <w:jc w:val="center"/>
              <w:rPr>
                <w:szCs w:val="21"/>
              </w:rPr>
            </w:pPr>
            <w:r>
              <w:rPr>
                <w:rFonts w:hint="eastAsia"/>
                <w:szCs w:val="21"/>
              </w:rPr>
              <w:t>3</w:t>
            </w:r>
            <w:r>
              <w:rPr>
                <w:szCs w:val="21"/>
              </w:rPr>
              <w:t>00</w:t>
            </w:r>
          </w:p>
        </w:tc>
      </w:tr>
      <w:tr w14:paraId="27F81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shd w:val="clear" w:color="auto" w:fill="auto"/>
            <w:vAlign w:val="center"/>
          </w:tcPr>
          <w:p w14:paraId="27416F68">
            <w:pPr>
              <w:spacing w:line="320" w:lineRule="exact"/>
              <w:jc w:val="center"/>
              <w:rPr>
                <w:szCs w:val="21"/>
              </w:rPr>
            </w:pPr>
            <w:r>
              <w:rPr>
                <w:rFonts w:hint="eastAsia"/>
                <w:szCs w:val="21"/>
              </w:rPr>
              <w:t>9</w:t>
            </w:r>
          </w:p>
        </w:tc>
        <w:tc>
          <w:tcPr>
            <w:tcW w:w="1701" w:type="dxa"/>
            <w:gridSpan w:val="2"/>
            <w:shd w:val="clear" w:color="auto" w:fill="auto"/>
            <w:vAlign w:val="center"/>
          </w:tcPr>
          <w:p w14:paraId="0BC70D3D">
            <w:pPr>
              <w:spacing w:line="320" w:lineRule="exact"/>
              <w:jc w:val="center"/>
              <w:rPr>
                <w:szCs w:val="21"/>
              </w:rPr>
            </w:pPr>
            <w:r>
              <w:rPr>
                <w:rFonts w:hint="eastAsia"/>
                <w:szCs w:val="21"/>
              </w:rPr>
              <w:t>六六六总量</w:t>
            </w:r>
          </w:p>
        </w:tc>
        <w:tc>
          <w:tcPr>
            <w:tcW w:w="6096" w:type="dxa"/>
            <w:gridSpan w:val="4"/>
            <w:shd w:val="clear" w:color="auto" w:fill="auto"/>
            <w:vAlign w:val="center"/>
          </w:tcPr>
          <w:p w14:paraId="1358B902">
            <w:pPr>
              <w:spacing w:line="320" w:lineRule="exact"/>
              <w:jc w:val="center"/>
              <w:rPr>
                <w:szCs w:val="21"/>
              </w:rPr>
            </w:pPr>
            <w:r>
              <w:rPr>
                <w:rFonts w:hint="eastAsia"/>
                <w:szCs w:val="21"/>
              </w:rPr>
              <w:t>0</w:t>
            </w:r>
            <w:r>
              <w:rPr>
                <w:szCs w:val="21"/>
              </w:rPr>
              <w:t>.10</w:t>
            </w:r>
          </w:p>
        </w:tc>
      </w:tr>
      <w:tr w14:paraId="6A5F6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shd w:val="clear" w:color="auto" w:fill="auto"/>
            <w:vAlign w:val="center"/>
          </w:tcPr>
          <w:p w14:paraId="3B1AE4A9">
            <w:pPr>
              <w:spacing w:line="320" w:lineRule="exact"/>
              <w:jc w:val="center"/>
              <w:rPr>
                <w:szCs w:val="21"/>
              </w:rPr>
            </w:pPr>
            <w:r>
              <w:rPr>
                <w:rFonts w:hint="eastAsia"/>
                <w:szCs w:val="21"/>
              </w:rPr>
              <w:t>1</w:t>
            </w:r>
            <w:r>
              <w:rPr>
                <w:szCs w:val="21"/>
              </w:rPr>
              <w:t>0</w:t>
            </w:r>
          </w:p>
        </w:tc>
        <w:tc>
          <w:tcPr>
            <w:tcW w:w="1701" w:type="dxa"/>
            <w:gridSpan w:val="2"/>
            <w:shd w:val="clear" w:color="auto" w:fill="auto"/>
            <w:vAlign w:val="center"/>
          </w:tcPr>
          <w:p w14:paraId="763FE5F9">
            <w:pPr>
              <w:spacing w:line="320" w:lineRule="exact"/>
              <w:jc w:val="center"/>
              <w:rPr>
                <w:szCs w:val="21"/>
              </w:rPr>
            </w:pPr>
            <w:r>
              <w:rPr>
                <w:rFonts w:hint="eastAsia"/>
                <w:szCs w:val="21"/>
              </w:rPr>
              <w:t>滴滴涕总量</w:t>
            </w:r>
          </w:p>
        </w:tc>
        <w:tc>
          <w:tcPr>
            <w:tcW w:w="6096" w:type="dxa"/>
            <w:gridSpan w:val="4"/>
            <w:shd w:val="clear" w:color="auto" w:fill="auto"/>
            <w:vAlign w:val="center"/>
          </w:tcPr>
          <w:p w14:paraId="4C4A9D49">
            <w:pPr>
              <w:spacing w:line="320" w:lineRule="exact"/>
              <w:jc w:val="center"/>
              <w:rPr>
                <w:szCs w:val="21"/>
              </w:rPr>
            </w:pPr>
            <w:r>
              <w:rPr>
                <w:rFonts w:hint="eastAsia"/>
                <w:szCs w:val="21"/>
              </w:rPr>
              <w:t>0</w:t>
            </w:r>
            <w:r>
              <w:rPr>
                <w:szCs w:val="21"/>
              </w:rPr>
              <w:t>.10</w:t>
            </w:r>
          </w:p>
        </w:tc>
      </w:tr>
      <w:tr w14:paraId="5F087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75" w:type="dxa"/>
            <w:shd w:val="clear" w:color="auto" w:fill="auto"/>
            <w:vAlign w:val="center"/>
          </w:tcPr>
          <w:p w14:paraId="7B9FD2D8">
            <w:pPr>
              <w:spacing w:line="320" w:lineRule="exact"/>
              <w:jc w:val="center"/>
              <w:rPr>
                <w:szCs w:val="21"/>
              </w:rPr>
            </w:pPr>
            <w:r>
              <w:rPr>
                <w:rFonts w:hint="eastAsia"/>
                <w:szCs w:val="21"/>
              </w:rPr>
              <w:t>1</w:t>
            </w:r>
            <w:r>
              <w:rPr>
                <w:szCs w:val="21"/>
              </w:rPr>
              <w:t>1</w:t>
            </w:r>
          </w:p>
        </w:tc>
        <w:tc>
          <w:tcPr>
            <w:tcW w:w="1701" w:type="dxa"/>
            <w:gridSpan w:val="2"/>
            <w:shd w:val="clear" w:color="auto" w:fill="auto"/>
            <w:vAlign w:val="center"/>
          </w:tcPr>
          <w:p w14:paraId="16BF78E8">
            <w:pPr>
              <w:spacing w:line="320" w:lineRule="exact"/>
              <w:jc w:val="center"/>
              <w:rPr>
                <w:szCs w:val="21"/>
              </w:rPr>
            </w:pPr>
            <w:r>
              <w:rPr>
                <w:rFonts w:hint="eastAsia"/>
                <w:szCs w:val="21"/>
              </w:rPr>
              <w:t>苯并[</w:t>
            </w:r>
            <w:r>
              <w:rPr>
                <w:szCs w:val="21"/>
              </w:rPr>
              <w:t>a]</w:t>
            </w:r>
            <w:r>
              <w:rPr>
                <w:rFonts w:hint="eastAsia"/>
                <w:szCs w:val="21"/>
              </w:rPr>
              <w:t>芘</w:t>
            </w:r>
          </w:p>
        </w:tc>
        <w:tc>
          <w:tcPr>
            <w:tcW w:w="6096" w:type="dxa"/>
            <w:gridSpan w:val="4"/>
            <w:shd w:val="clear" w:color="auto" w:fill="auto"/>
            <w:vAlign w:val="center"/>
          </w:tcPr>
          <w:p w14:paraId="2AB555C8">
            <w:pPr>
              <w:spacing w:line="320" w:lineRule="exact"/>
              <w:jc w:val="center"/>
              <w:rPr>
                <w:szCs w:val="21"/>
              </w:rPr>
            </w:pPr>
            <w:r>
              <w:rPr>
                <w:rFonts w:hint="eastAsia"/>
                <w:szCs w:val="21"/>
              </w:rPr>
              <w:t>0</w:t>
            </w:r>
            <w:r>
              <w:rPr>
                <w:szCs w:val="21"/>
              </w:rPr>
              <w:t>.55</w:t>
            </w:r>
          </w:p>
        </w:tc>
      </w:tr>
    </w:tbl>
    <w:p w14:paraId="479AF09F">
      <w:pPr>
        <w:spacing w:line="360" w:lineRule="auto"/>
        <w:ind w:firstLine="482" w:firstLineChars="200"/>
        <w:rPr>
          <w:rFonts w:eastAsiaTheme="minorEastAsia"/>
          <w:b/>
          <w:sz w:val="24"/>
        </w:rPr>
      </w:pPr>
      <w:r>
        <w:rPr>
          <w:rFonts w:eastAsiaTheme="minorEastAsia"/>
          <w:b/>
          <w:sz w:val="24"/>
        </w:rPr>
        <w:t>（5）声环境质量标准</w:t>
      </w:r>
    </w:p>
    <w:p w14:paraId="6571B685">
      <w:pPr>
        <w:spacing w:line="360" w:lineRule="auto"/>
        <w:ind w:firstLine="480" w:firstLineChars="200"/>
        <w:rPr>
          <w:rFonts w:eastAsiaTheme="minorEastAsia"/>
          <w:sz w:val="24"/>
        </w:rPr>
      </w:pPr>
      <w:r>
        <w:rPr>
          <w:rFonts w:hint="eastAsia" w:eastAsiaTheme="minorEastAsia"/>
          <w:sz w:val="24"/>
        </w:rPr>
        <w:t>本规划实施各区域及周边区域内居民住宅、医疗卫生、教育、科研设计、行政办公为主要功能区域适用《声环境质量标准》(GB3096-2008）1类标准；居住、商业、工业混杂区适用《声环境质量标准》(GB3096-2008）2类标准；工业区适用《声环境质量标准》(GB3096-2008）3类标准；区域主干路和次干路两侧区域适用《声环境质量标准》(GB3096-2008）4类标准。</w:t>
      </w:r>
      <w:r>
        <w:rPr>
          <w:rFonts w:eastAsiaTheme="minorEastAsia"/>
          <w:sz w:val="24"/>
        </w:rPr>
        <w:t>具体限值见下表。</w:t>
      </w:r>
    </w:p>
    <w:p w14:paraId="306B74BD">
      <w:pPr>
        <w:spacing w:line="360" w:lineRule="auto"/>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1.6.2</w:t>
      </w:r>
      <w:r>
        <w:rPr>
          <w:rFonts w:eastAsiaTheme="minorEastAsia"/>
          <w:b/>
          <w:snapToGrid w:val="0"/>
          <w:kern w:val="18"/>
          <w:szCs w:val="21"/>
        </w:rPr>
        <w:t>-</w:t>
      </w:r>
      <w:r>
        <w:rPr>
          <w:rFonts w:hint="eastAsia" w:eastAsiaTheme="minorEastAsia"/>
          <w:b/>
          <w:snapToGrid w:val="0"/>
          <w:kern w:val="18"/>
          <w:szCs w:val="21"/>
        </w:rPr>
        <w:t>6</w:t>
      </w:r>
      <w:r>
        <w:rPr>
          <w:rFonts w:eastAsiaTheme="minorEastAsia"/>
          <w:b/>
          <w:snapToGrid w:val="0"/>
          <w:kern w:val="18"/>
          <w:szCs w:val="21"/>
        </w:rPr>
        <w:t xml:space="preserve">  区域环境噪声标准值（dB（A））</w:t>
      </w:r>
    </w:p>
    <w:tbl>
      <w:tblPr>
        <w:tblStyle w:val="8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59"/>
        <w:gridCol w:w="1116"/>
        <w:gridCol w:w="1527"/>
        <w:gridCol w:w="1527"/>
        <w:gridCol w:w="3399"/>
      </w:tblGrid>
      <w:tr w14:paraId="7E3913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2075" w:type="dxa"/>
            <w:gridSpan w:val="2"/>
            <w:vAlign w:val="center"/>
          </w:tcPr>
          <w:p w14:paraId="5D494594">
            <w:pPr>
              <w:spacing w:line="320" w:lineRule="exact"/>
              <w:jc w:val="center"/>
              <w:rPr>
                <w:b/>
                <w:szCs w:val="21"/>
              </w:rPr>
            </w:pPr>
            <w:r>
              <w:rPr>
                <w:b/>
                <w:szCs w:val="21"/>
              </w:rPr>
              <w:t>执行标准</w:t>
            </w:r>
          </w:p>
        </w:tc>
        <w:tc>
          <w:tcPr>
            <w:tcW w:w="1527" w:type="dxa"/>
            <w:vAlign w:val="center"/>
          </w:tcPr>
          <w:p w14:paraId="60BDFA3B">
            <w:pPr>
              <w:spacing w:line="320" w:lineRule="exact"/>
              <w:jc w:val="center"/>
              <w:rPr>
                <w:b/>
                <w:szCs w:val="21"/>
              </w:rPr>
            </w:pPr>
            <w:r>
              <w:rPr>
                <w:b/>
                <w:szCs w:val="21"/>
              </w:rPr>
              <w:t>昼间</w:t>
            </w:r>
          </w:p>
        </w:tc>
        <w:tc>
          <w:tcPr>
            <w:tcW w:w="1527" w:type="dxa"/>
            <w:vAlign w:val="center"/>
          </w:tcPr>
          <w:p w14:paraId="69B58EB4">
            <w:pPr>
              <w:spacing w:line="320" w:lineRule="exact"/>
              <w:jc w:val="center"/>
              <w:rPr>
                <w:b/>
                <w:szCs w:val="21"/>
              </w:rPr>
            </w:pPr>
            <w:r>
              <w:rPr>
                <w:b/>
                <w:szCs w:val="21"/>
              </w:rPr>
              <w:t>夜间</w:t>
            </w:r>
          </w:p>
        </w:tc>
        <w:tc>
          <w:tcPr>
            <w:tcW w:w="3399" w:type="dxa"/>
            <w:vAlign w:val="center"/>
          </w:tcPr>
          <w:p w14:paraId="5438E3BA">
            <w:pPr>
              <w:spacing w:line="320" w:lineRule="exact"/>
              <w:jc w:val="center"/>
              <w:rPr>
                <w:b/>
                <w:szCs w:val="21"/>
              </w:rPr>
            </w:pPr>
            <w:r>
              <w:rPr>
                <w:b/>
                <w:szCs w:val="21"/>
              </w:rPr>
              <w:t>适用范围</w:t>
            </w:r>
          </w:p>
        </w:tc>
      </w:tr>
      <w:tr w14:paraId="491F37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2075" w:type="dxa"/>
            <w:gridSpan w:val="2"/>
            <w:vAlign w:val="center"/>
          </w:tcPr>
          <w:p w14:paraId="4E422B7C">
            <w:pPr>
              <w:spacing w:line="320" w:lineRule="exact"/>
              <w:jc w:val="center"/>
              <w:rPr>
                <w:szCs w:val="21"/>
              </w:rPr>
            </w:pPr>
            <w:r>
              <w:rPr>
                <w:szCs w:val="21"/>
              </w:rPr>
              <w:t>1类</w:t>
            </w:r>
          </w:p>
        </w:tc>
        <w:tc>
          <w:tcPr>
            <w:tcW w:w="1527" w:type="dxa"/>
            <w:vAlign w:val="center"/>
          </w:tcPr>
          <w:p w14:paraId="0E2443A2">
            <w:pPr>
              <w:spacing w:line="320" w:lineRule="exact"/>
              <w:jc w:val="center"/>
              <w:rPr>
                <w:szCs w:val="21"/>
              </w:rPr>
            </w:pPr>
            <w:r>
              <w:rPr>
                <w:szCs w:val="21"/>
              </w:rPr>
              <w:t>55</w:t>
            </w:r>
          </w:p>
        </w:tc>
        <w:tc>
          <w:tcPr>
            <w:tcW w:w="1527" w:type="dxa"/>
            <w:vAlign w:val="center"/>
          </w:tcPr>
          <w:p w14:paraId="7A8F1B49">
            <w:pPr>
              <w:spacing w:line="320" w:lineRule="exact"/>
              <w:jc w:val="center"/>
              <w:rPr>
                <w:szCs w:val="21"/>
              </w:rPr>
            </w:pPr>
            <w:r>
              <w:rPr>
                <w:szCs w:val="21"/>
              </w:rPr>
              <w:t>45</w:t>
            </w:r>
          </w:p>
        </w:tc>
        <w:tc>
          <w:tcPr>
            <w:tcW w:w="3399" w:type="dxa"/>
            <w:vAlign w:val="center"/>
          </w:tcPr>
          <w:p w14:paraId="3B8449B2">
            <w:pPr>
              <w:spacing w:line="320" w:lineRule="exact"/>
              <w:jc w:val="center"/>
              <w:rPr>
                <w:b/>
                <w:szCs w:val="21"/>
              </w:rPr>
            </w:pPr>
            <w:r>
              <w:rPr>
                <w:szCs w:val="21"/>
              </w:rPr>
              <w:t>居民住宅、医疗卫生、教育、科研设计、行政办公为主要功能区域</w:t>
            </w:r>
          </w:p>
        </w:tc>
      </w:tr>
      <w:tr w14:paraId="753C93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2075" w:type="dxa"/>
            <w:gridSpan w:val="2"/>
            <w:vAlign w:val="center"/>
          </w:tcPr>
          <w:p w14:paraId="7B89829D">
            <w:pPr>
              <w:spacing w:line="320" w:lineRule="exact"/>
              <w:jc w:val="center"/>
              <w:rPr>
                <w:szCs w:val="21"/>
              </w:rPr>
            </w:pPr>
            <w:r>
              <w:rPr>
                <w:szCs w:val="21"/>
              </w:rPr>
              <w:t>2类</w:t>
            </w:r>
          </w:p>
        </w:tc>
        <w:tc>
          <w:tcPr>
            <w:tcW w:w="1527" w:type="dxa"/>
            <w:vAlign w:val="center"/>
          </w:tcPr>
          <w:p w14:paraId="33D39FEE">
            <w:pPr>
              <w:spacing w:line="320" w:lineRule="exact"/>
              <w:jc w:val="center"/>
              <w:rPr>
                <w:szCs w:val="21"/>
              </w:rPr>
            </w:pPr>
            <w:r>
              <w:rPr>
                <w:szCs w:val="21"/>
              </w:rPr>
              <w:t>60</w:t>
            </w:r>
          </w:p>
        </w:tc>
        <w:tc>
          <w:tcPr>
            <w:tcW w:w="1527" w:type="dxa"/>
            <w:vAlign w:val="center"/>
          </w:tcPr>
          <w:p w14:paraId="516FBD75">
            <w:pPr>
              <w:spacing w:line="320" w:lineRule="exact"/>
              <w:jc w:val="center"/>
              <w:rPr>
                <w:szCs w:val="21"/>
              </w:rPr>
            </w:pPr>
            <w:r>
              <w:rPr>
                <w:szCs w:val="21"/>
              </w:rPr>
              <w:t>50</w:t>
            </w:r>
          </w:p>
        </w:tc>
        <w:tc>
          <w:tcPr>
            <w:tcW w:w="3399" w:type="dxa"/>
            <w:vAlign w:val="center"/>
          </w:tcPr>
          <w:p w14:paraId="4292D0A7">
            <w:pPr>
              <w:spacing w:line="320" w:lineRule="exact"/>
              <w:jc w:val="center"/>
              <w:rPr>
                <w:szCs w:val="21"/>
              </w:rPr>
            </w:pPr>
            <w:r>
              <w:rPr>
                <w:szCs w:val="21"/>
              </w:rPr>
              <w:t>居住、商业、工业混杂区</w:t>
            </w:r>
          </w:p>
        </w:tc>
      </w:tr>
      <w:tr w14:paraId="31CA06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2075" w:type="dxa"/>
            <w:gridSpan w:val="2"/>
            <w:vAlign w:val="center"/>
          </w:tcPr>
          <w:p w14:paraId="04F97C21">
            <w:pPr>
              <w:spacing w:line="320" w:lineRule="exact"/>
              <w:jc w:val="center"/>
              <w:rPr>
                <w:szCs w:val="21"/>
              </w:rPr>
            </w:pPr>
            <w:r>
              <w:rPr>
                <w:szCs w:val="21"/>
              </w:rPr>
              <w:t>3类</w:t>
            </w:r>
          </w:p>
        </w:tc>
        <w:tc>
          <w:tcPr>
            <w:tcW w:w="1527" w:type="dxa"/>
            <w:vAlign w:val="center"/>
          </w:tcPr>
          <w:p w14:paraId="7B3502AF">
            <w:pPr>
              <w:spacing w:line="320" w:lineRule="exact"/>
              <w:jc w:val="center"/>
              <w:rPr>
                <w:szCs w:val="21"/>
              </w:rPr>
            </w:pPr>
            <w:r>
              <w:rPr>
                <w:szCs w:val="21"/>
              </w:rPr>
              <w:t>65</w:t>
            </w:r>
          </w:p>
        </w:tc>
        <w:tc>
          <w:tcPr>
            <w:tcW w:w="1527" w:type="dxa"/>
            <w:vAlign w:val="center"/>
          </w:tcPr>
          <w:p w14:paraId="14419CDF">
            <w:pPr>
              <w:spacing w:line="320" w:lineRule="exact"/>
              <w:jc w:val="center"/>
              <w:rPr>
                <w:szCs w:val="21"/>
              </w:rPr>
            </w:pPr>
            <w:r>
              <w:rPr>
                <w:szCs w:val="21"/>
              </w:rPr>
              <w:t>55</w:t>
            </w:r>
          </w:p>
        </w:tc>
        <w:tc>
          <w:tcPr>
            <w:tcW w:w="3399" w:type="dxa"/>
            <w:vAlign w:val="center"/>
          </w:tcPr>
          <w:p w14:paraId="62011FA8">
            <w:pPr>
              <w:spacing w:line="320" w:lineRule="exact"/>
              <w:jc w:val="center"/>
              <w:rPr>
                <w:szCs w:val="21"/>
              </w:rPr>
            </w:pPr>
            <w:r>
              <w:rPr>
                <w:szCs w:val="21"/>
              </w:rPr>
              <w:t>工业区</w:t>
            </w:r>
          </w:p>
        </w:tc>
      </w:tr>
      <w:tr w14:paraId="28F32E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959" w:type="dxa"/>
            <w:vMerge w:val="restart"/>
            <w:vAlign w:val="center"/>
          </w:tcPr>
          <w:p w14:paraId="3A602B06">
            <w:pPr>
              <w:spacing w:line="320" w:lineRule="exact"/>
              <w:jc w:val="center"/>
              <w:rPr>
                <w:szCs w:val="21"/>
              </w:rPr>
            </w:pPr>
            <w:r>
              <w:rPr>
                <w:szCs w:val="21"/>
              </w:rPr>
              <w:t>4类</w:t>
            </w:r>
          </w:p>
        </w:tc>
        <w:tc>
          <w:tcPr>
            <w:tcW w:w="1116" w:type="dxa"/>
            <w:vAlign w:val="center"/>
          </w:tcPr>
          <w:p w14:paraId="05522951">
            <w:pPr>
              <w:spacing w:line="320" w:lineRule="exact"/>
              <w:jc w:val="center"/>
              <w:rPr>
                <w:szCs w:val="21"/>
              </w:rPr>
            </w:pPr>
            <w:r>
              <w:rPr>
                <w:szCs w:val="21"/>
              </w:rPr>
              <w:t>4a类</w:t>
            </w:r>
          </w:p>
        </w:tc>
        <w:tc>
          <w:tcPr>
            <w:tcW w:w="1527" w:type="dxa"/>
            <w:vAlign w:val="center"/>
          </w:tcPr>
          <w:p w14:paraId="1E4C16D1">
            <w:pPr>
              <w:spacing w:line="320" w:lineRule="exact"/>
              <w:jc w:val="center"/>
              <w:rPr>
                <w:szCs w:val="21"/>
              </w:rPr>
            </w:pPr>
            <w:r>
              <w:rPr>
                <w:szCs w:val="21"/>
              </w:rPr>
              <w:t>70</w:t>
            </w:r>
          </w:p>
        </w:tc>
        <w:tc>
          <w:tcPr>
            <w:tcW w:w="1527" w:type="dxa"/>
            <w:vAlign w:val="center"/>
          </w:tcPr>
          <w:p w14:paraId="095085F1">
            <w:pPr>
              <w:spacing w:line="320" w:lineRule="exact"/>
              <w:jc w:val="center"/>
              <w:rPr>
                <w:szCs w:val="21"/>
              </w:rPr>
            </w:pPr>
            <w:r>
              <w:rPr>
                <w:szCs w:val="21"/>
              </w:rPr>
              <w:t>55</w:t>
            </w:r>
          </w:p>
        </w:tc>
        <w:tc>
          <w:tcPr>
            <w:tcW w:w="3399" w:type="dxa"/>
            <w:vAlign w:val="center"/>
          </w:tcPr>
          <w:p w14:paraId="35349FDB">
            <w:pPr>
              <w:spacing w:line="320" w:lineRule="exact"/>
              <w:jc w:val="center"/>
              <w:rPr>
                <w:szCs w:val="21"/>
              </w:rPr>
            </w:pPr>
            <w:r>
              <w:rPr>
                <w:szCs w:val="21"/>
              </w:rPr>
              <w:t>园区干线道路区域</w:t>
            </w:r>
          </w:p>
        </w:tc>
      </w:tr>
      <w:tr w14:paraId="3DE093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959" w:type="dxa"/>
            <w:vMerge w:val="continue"/>
            <w:vAlign w:val="center"/>
          </w:tcPr>
          <w:p w14:paraId="66F4DD07">
            <w:pPr>
              <w:spacing w:line="320" w:lineRule="exact"/>
              <w:jc w:val="center"/>
              <w:rPr>
                <w:szCs w:val="21"/>
              </w:rPr>
            </w:pPr>
          </w:p>
        </w:tc>
        <w:tc>
          <w:tcPr>
            <w:tcW w:w="1116" w:type="dxa"/>
            <w:vAlign w:val="center"/>
          </w:tcPr>
          <w:p w14:paraId="1F86CDCE">
            <w:pPr>
              <w:spacing w:line="320" w:lineRule="exact"/>
              <w:jc w:val="center"/>
              <w:rPr>
                <w:szCs w:val="21"/>
              </w:rPr>
            </w:pPr>
            <w:r>
              <w:rPr>
                <w:szCs w:val="21"/>
              </w:rPr>
              <w:t>4b类</w:t>
            </w:r>
          </w:p>
        </w:tc>
        <w:tc>
          <w:tcPr>
            <w:tcW w:w="1527" w:type="dxa"/>
            <w:vAlign w:val="center"/>
          </w:tcPr>
          <w:p w14:paraId="25CC54B3">
            <w:pPr>
              <w:spacing w:line="320" w:lineRule="exact"/>
              <w:jc w:val="center"/>
              <w:rPr>
                <w:szCs w:val="21"/>
              </w:rPr>
            </w:pPr>
            <w:r>
              <w:rPr>
                <w:szCs w:val="21"/>
              </w:rPr>
              <w:t>70</w:t>
            </w:r>
          </w:p>
        </w:tc>
        <w:tc>
          <w:tcPr>
            <w:tcW w:w="1527" w:type="dxa"/>
            <w:vAlign w:val="center"/>
          </w:tcPr>
          <w:p w14:paraId="09A584FC">
            <w:pPr>
              <w:spacing w:line="320" w:lineRule="exact"/>
              <w:jc w:val="center"/>
              <w:rPr>
                <w:szCs w:val="21"/>
              </w:rPr>
            </w:pPr>
            <w:r>
              <w:rPr>
                <w:szCs w:val="21"/>
              </w:rPr>
              <w:t>60</w:t>
            </w:r>
          </w:p>
        </w:tc>
        <w:tc>
          <w:tcPr>
            <w:tcW w:w="3399" w:type="dxa"/>
            <w:vAlign w:val="center"/>
          </w:tcPr>
          <w:p w14:paraId="1389EC70">
            <w:pPr>
              <w:spacing w:line="320" w:lineRule="exact"/>
              <w:jc w:val="center"/>
              <w:rPr>
                <w:szCs w:val="21"/>
              </w:rPr>
            </w:pPr>
            <w:r>
              <w:rPr>
                <w:szCs w:val="21"/>
              </w:rPr>
              <w:t>铁路两侧区域</w:t>
            </w:r>
          </w:p>
        </w:tc>
      </w:tr>
    </w:tbl>
    <w:p w14:paraId="71593388">
      <w:pPr>
        <w:keepNext/>
        <w:keepLines/>
        <w:widowControl/>
        <w:numPr>
          <w:ilvl w:val="2"/>
          <w:numId w:val="1"/>
        </w:numPr>
        <w:spacing w:before="120" w:after="120" w:line="360" w:lineRule="auto"/>
        <w:jc w:val="left"/>
        <w:outlineLvl w:val="2"/>
        <w:rPr>
          <w:rFonts w:eastAsiaTheme="minorEastAsia"/>
          <w:b/>
          <w:bCs/>
          <w:sz w:val="24"/>
        </w:rPr>
      </w:pPr>
      <w:bookmarkStart w:id="70" w:name="_Toc206494913"/>
      <w:r>
        <w:rPr>
          <w:rFonts w:hint="eastAsia" w:eastAsiaTheme="minorEastAsia"/>
          <w:b/>
          <w:bCs/>
          <w:sz w:val="24"/>
        </w:rPr>
        <w:t>污染物排放标准</w:t>
      </w:r>
      <w:bookmarkEnd w:id="70"/>
    </w:p>
    <w:p w14:paraId="6863E91A">
      <w:pPr>
        <w:spacing w:line="360" w:lineRule="auto"/>
        <w:ind w:firstLine="480" w:firstLineChars="200"/>
        <w:contextualSpacing/>
        <w:rPr>
          <w:rFonts w:eastAsiaTheme="minorEastAsia"/>
          <w:sz w:val="24"/>
        </w:rPr>
      </w:pPr>
      <w:r>
        <w:rPr>
          <w:rFonts w:eastAsiaTheme="minorEastAsia"/>
          <w:sz w:val="24"/>
        </w:rPr>
        <w:t>（1）废气污染物排放标准</w:t>
      </w:r>
    </w:p>
    <w:p w14:paraId="665F9B08">
      <w:pPr>
        <w:widowControl/>
        <w:tabs>
          <w:tab w:val="left" w:pos="2610"/>
        </w:tabs>
        <w:spacing w:line="360" w:lineRule="auto"/>
        <w:ind w:firstLine="480" w:firstLineChars="200"/>
        <w:rPr>
          <w:rFonts w:eastAsiaTheme="minorEastAsia"/>
          <w:sz w:val="24"/>
        </w:rPr>
      </w:pPr>
      <w:r>
        <w:rPr>
          <w:rFonts w:hint="eastAsia" w:eastAsiaTheme="minorEastAsia"/>
          <w:sz w:val="24"/>
          <w:szCs w:val="22"/>
        </w:rPr>
        <w:t>园区内石材加工企业排放的颗粒物执行</w:t>
      </w:r>
      <w:r>
        <w:rPr>
          <w:rFonts w:eastAsiaTheme="minorEastAsia"/>
          <w:sz w:val="24"/>
          <w:szCs w:val="22"/>
        </w:rPr>
        <w:t>《大气污染物综合排放标准》（GB16297-1996）表2二级标准及无组织排放监控浓度限值。</w:t>
      </w:r>
      <w:r>
        <w:rPr>
          <w:rFonts w:eastAsiaTheme="minorEastAsia"/>
          <w:sz w:val="24"/>
        </w:rPr>
        <w:t>废气污染物排放标准见下表。</w:t>
      </w:r>
    </w:p>
    <w:p w14:paraId="5972AA19">
      <w:pPr>
        <w:spacing w:line="360" w:lineRule="auto"/>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1.6.3-1</w:t>
      </w:r>
      <w:r>
        <w:rPr>
          <w:rFonts w:eastAsiaTheme="minorEastAsia"/>
          <w:b/>
          <w:snapToGrid w:val="0"/>
          <w:kern w:val="18"/>
          <w:szCs w:val="21"/>
        </w:rPr>
        <w:t xml:space="preserve">  污染物排放标准</w:t>
      </w:r>
    </w:p>
    <w:tbl>
      <w:tblPr>
        <w:tblStyle w:val="88"/>
        <w:tblW w:w="8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54"/>
        <w:gridCol w:w="1526"/>
        <w:gridCol w:w="1275"/>
        <w:gridCol w:w="851"/>
        <w:gridCol w:w="850"/>
        <w:gridCol w:w="1276"/>
      </w:tblGrid>
      <w:tr w14:paraId="1AAA4F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854" w:type="dxa"/>
            <w:vMerge w:val="restart"/>
            <w:vAlign w:val="center"/>
          </w:tcPr>
          <w:p w14:paraId="76BE0F1D">
            <w:pPr>
              <w:spacing w:line="320" w:lineRule="exact"/>
              <w:ind w:left="-53" w:leftChars="-25" w:right="-53" w:rightChars="-25"/>
              <w:jc w:val="center"/>
              <w:rPr>
                <w:rFonts w:eastAsiaTheme="minorEastAsia"/>
                <w:bCs/>
                <w:szCs w:val="21"/>
              </w:rPr>
            </w:pPr>
            <w:r>
              <w:rPr>
                <w:rFonts w:eastAsiaTheme="minorEastAsia"/>
                <w:bCs/>
                <w:szCs w:val="21"/>
              </w:rPr>
              <w:t>排放标准</w:t>
            </w:r>
          </w:p>
        </w:tc>
        <w:tc>
          <w:tcPr>
            <w:tcW w:w="1526" w:type="dxa"/>
            <w:vMerge w:val="restart"/>
            <w:vAlign w:val="center"/>
          </w:tcPr>
          <w:p w14:paraId="705527A0">
            <w:pPr>
              <w:spacing w:line="320" w:lineRule="exact"/>
              <w:ind w:left="-53" w:leftChars="-25" w:right="-53" w:rightChars="-25"/>
              <w:jc w:val="center"/>
              <w:rPr>
                <w:rFonts w:eastAsiaTheme="minorEastAsia"/>
                <w:bCs/>
                <w:szCs w:val="21"/>
              </w:rPr>
            </w:pPr>
            <w:r>
              <w:rPr>
                <w:rFonts w:eastAsiaTheme="minorEastAsia"/>
                <w:bCs/>
                <w:szCs w:val="21"/>
              </w:rPr>
              <w:t>污染因子</w:t>
            </w:r>
          </w:p>
        </w:tc>
        <w:tc>
          <w:tcPr>
            <w:tcW w:w="1275" w:type="dxa"/>
            <w:vMerge w:val="restart"/>
            <w:vAlign w:val="center"/>
          </w:tcPr>
          <w:p w14:paraId="50AB74D8">
            <w:pPr>
              <w:spacing w:line="320" w:lineRule="exact"/>
              <w:ind w:left="-53" w:leftChars="-25" w:right="-53" w:rightChars="-25"/>
              <w:jc w:val="center"/>
              <w:rPr>
                <w:rFonts w:eastAsiaTheme="minorEastAsia"/>
                <w:bCs/>
                <w:szCs w:val="21"/>
              </w:rPr>
            </w:pPr>
            <w:r>
              <w:rPr>
                <w:rFonts w:eastAsiaTheme="minorEastAsia"/>
                <w:bCs/>
                <w:szCs w:val="21"/>
              </w:rPr>
              <w:t>最高允许排放浓度（mg/m³）</w:t>
            </w:r>
          </w:p>
        </w:tc>
        <w:tc>
          <w:tcPr>
            <w:tcW w:w="1701" w:type="dxa"/>
            <w:gridSpan w:val="2"/>
            <w:vAlign w:val="center"/>
          </w:tcPr>
          <w:p w14:paraId="5D518E90">
            <w:pPr>
              <w:spacing w:line="320" w:lineRule="exact"/>
              <w:ind w:left="-53" w:leftChars="-25" w:right="-53" w:rightChars="-25"/>
              <w:jc w:val="center"/>
              <w:rPr>
                <w:rFonts w:eastAsiaTheme="minorEastAsia"/>
                <w:bCs/>
                <w:szCs w:val="21"/>
              </w:rPr>
            </w:pPr>
            <w:r>
              <w:rPr>
                <w:rFonts w:eastAsiaTheme="minorEastAsia"/>
                <w:bCs/>
                <w:szCs w:val="21"/>
              </w:rPr>
              <w:t>最高允许排放速率（kg/h）</w:t>
            </w:r>
          </w:p>
        </w:tc>
        <w:tc>
          <w:tcPr>
            <w:tcW w:w="1276" w:type="dxa"/>
            <w:vMerge w:val="restart"/>
            <w:vAlign w:val="center"/>
          </w:tcPr>
          <w:p w14:paraId="75312F6A">
            <w:pPr>
              <w:spacing w:line="320" w:lineRule="exact"/>
              <w:ind w:left="-53" w:leftChars="-25" w:right="-53" w:rightChars="-25"/>
              <w:jc w:val="center"/>
              <w:rPr>
                <w:rFonts w:eastAsiaTheme="minorEastAsia"/>
                <w:bCs/>
                <w:szCs w:val="21"/>
              </w:rPr>
            </w:pPr>
            <w:r>
              <w:rPr>
                <w:rFonts w:hint="eastAsia" w:eastAsiaTheme="minorEastAsia"/>
                <w:bCs/>
                <w:szCs w:val="21"/>
              </w:rPr>
              <w:t>周界外</w:t>
            </w:r>
            <w:r>
              <w:rPr>
                <w:rFonts w:eastAsiaTheme="minorEastAsia"/>
                <w:bCs/>
                <w:szCs w:val="21"/>
              </w:rPr>
              <w:t>浓度最高点（mg/m³）</w:t>
            </w:r>
          </w:p>
        </w:tc>
      </w:tr>
      <w:tr w14:paraId="67794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854" w:type="dxa"/>
            <w:vMerge w:val="continue"/>
            <w:vAlign w:val="center"/>
          </w:tcPr>
          <w:p w14:paraId="4086F0B8">
            <w:pPr>
              <w:spacing w:line="320" w:lineRule="exact"/>
              <w:ind w:left="-53" w:leftChars="-25" w:right="-53" w:rightChars="-25"/>
              <w:jc w:val="center"/>
              <w:rPr>
                <w:rFonts w:eastAsiaTheme="minorEastAsia"/>
                <w:bCs/>
                <w:szCs w:val="21"/>
              </w:rPr>
            </w:pPr>
          </w:p>
        </w:tc>
        <w:tc>
          <w:tcPr>
            <w:tcW w:w="1526" w:type="dxa"/>
            <w:vMerge w:val="continue"/>
            <w:vAlign w:val="center"/>
          </w:tcPr>
          <w:p w14:paraId="4063962D">
            <w:pPr>
              <w:spacing w:line="320" w:lineRule="exact"/>
              <w:ind w:left="-53" w:leftChars="-25" w:right="-53" w:rightChars="-25"/>
              <w:jc w:val="center"/>
              <w:rPr>
                <w:rFonts w:eastAsiaTheme="minorEastAsia"/>
                <w:bCs/>
                <w:szCs w:val="21"/>
              </w:rPr>
            </w:pPr>
          </w:p>
        </w:tc>
        <w:tc>
          <w:tcPr>
            <w:tcW w:w="1275" w:type="dxa"/>
            <w:vMerge w:val="continue"/>
            <w:vAlign w:val="center"/>
          </w:tcPr>
          <w:p w14:paraId="40635923">
            <w:pPr>
              <w:spacing w:line="320" w:lineRule="exact"/>
              <w:ind w:left="-53" w:leftChars="-25" w:right="-53" w:rightChars="-25"/>
              <w:jc w:val="center"/>
              <w:rPr>
                <w:rFonts w:eastAsiaTheme="minorEastAsia"/>
                <w:bCs/>
                <w:szCs w:val="21"/>
              </w:rPr>
            </w:pPr>
          </w:p>
        </w:tc>
        <w:tc>
          <w:tcPr>
            <w:tcW w:w="851" w:type="dxa"/>
            <w:vAlign w:val="center"/>
          </w:tcPr>
          <w:p w14:paraId="698FFC19">
            <w:pPr>
              <w:spacing w:line="320" w:lineRule="exact"/>
              <w:ind w:left="-53" w:leftChars="-25" w:right="-53" w:rightChars="-25"/>
              <w:jc w:val="center"/>
              <w:rPr>
                <w:rFonts w:eastAsiaTheme="minorEastAsia"/>
                <w:bCs/>
                <w:szCs w:val="21"/>
              </w:rPr>
            </w:pPr>
            <w:r>
              <w:rPr>
                <w:rFonts w:eastAsiaTheme="minorEastAsia"/>
                <w:bCs/>
                <w:szCs w:val="21"/>
              </w:rPr>
              <w:t>排气筒（m）</w:t>
            </w:r>
          </w:p>
        </w:tc>
        <w:tc>
          <w:tcPr>
            <w:tcW w:w="850" w:type="dxa"/>
            <w:vAlign w:val="center"/>
          </w:tcPr>
          <w:p w14:paraId="468F9C45">
            <w:pPr>
              <w:spacing w:line="320" w:lineRule="exact"/>
              <w:ind w:left="-53" w:leftChars="-25" w:right="-53" w:rightChars="-25"/>
              <w:jc w:val="center"/>
              <w:rPr>
                <w:rFonts w:eastAsiaTheme="minorEastAsia"/>
                <w:bCs/>
                <w:szCs w:val="21"/>
              </w:rPr>
            </w:pPr>
            <w:r>
              <w:rPr>
                <w:rFonts w:eastAsiaTheme="minorEastAsia"/>
                <w:bCs/>
                <w:szCs w:val="21"/>
              </w:rPr>
              <w:t>二级</w:t>
            </w:r>
          </w:p>
        </w:tc>
        <w:tc>
          <w:tcPr>
            <w:tcW w:w="1276" w:type="dxa"/>
            <w:vMerge w:val="continue"/>
            <w:vAlign w:val="center"/>
          </w:tcPr>
          <w:p w14:paraId="3ED33C42">
            <w:pPr>
              <w:spacing w:line="320" w:lineRule="exact"/>
              <w:ind w:left="-53" w:leftChars="-25" w:right="-53" w:rightChars="-25"/>
              <w:jc w:val="center"/>
              <w:rPr>
                <w:rFonts w:eastAsiaTheme="minorEastAsia"/>
                <w:bCs/>
                <w:szCs w:val="21"/>
              </w:rPr>
            </w:pPr>
          </w:p>
        </w:tc>
      </w:tr>
      <w:tr w14:paraId="667AA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854" w:type="dxa"/>
            <w:vAlign w:val="center"/>
          </w:tcPr>
          <w:p w14:paraId="7B599551">
            <w:pPr>
              <w:spacing w:line="320" w:lineRule="exact"/>
              <w:ind w:left="-53" w:leftChars="-25" w:right="-53" w:rightChars="-25"/>
              <w:jc w:val="center"/>
              <w:rPr>
                <w:rFonts w:eastAsiaTheme="minorEastAsia"/>
                <w:bCs/>
                <w:szCs w:val="21"/>
              </w:rPr>
            </w:pPr>
            <w:r>
              <w:rPr>
                <w:rFonts w:eastAsiaTheme="minorEastAsia"/>
                <w:szCs w:val="21"/>
              </w:rPr>
              <w:t>《大气污染物综合排放标准》（GB16297-1996）</w:t>
            </w:r>
          </w:p>
        </w:tc>
        <w:tc>
          <w:tcPr>
            <w:tcW w:w="1526" w:type="dxa"/>
            <w:vAlign w:val="center"/>
          </w:tcPr>
          <w:p w14:paraId="37AEA14C">
            <w:pPr>
              <w:spacing w:line="320" w:lineRule="exact"/>
              <w:ind w:left="-53" w:leftChars="-25" w:right="-53" w:rightChars="-25"/>
              <w:jc w:val="center"/>
              <w:rPr>
                <w:rFonts w:eastAsiaTheme="minorEastAsia"/>
                <w:kern w:val="0"/>
                <w:szCs w:val="21"/>
              </w:rPr>
            </w:pPr>
            <w:r>
              <w:rPr>
                <w:rFonts w:eastAsiaTheme="minorEastAsia"/>
                <w:bCs/>
                <w:szCs w:val="21"/>
              </w:rPr>
              <w:t>颗粒物</w:t>
            </w:r>
          </w:p>
        </w:tc>
        <w:tc>
          <w:tcPr>
            <w:tcW w:w="1275" w:type="dxa"/>
            <w:vAlign w:val="center"/>
          </w:tcPr>
          <w:p w14:paraId="5E1D5E35">
            <w:pPr>
              <w:spacing w:line="320" w:lineRule="exact"/>
              <w:ind w:left="-53" w:leftChars="-25" w:right="-53" w:rightChars="-25"/>
              <w:jc w:val="center"/>
              <w:rPr>
                <w:rFonts w:eastAsiaTheme="minorEastAsia"/>
                <w:bCs/>
                <w:szCs w:val="21"/>
              </w:rPr>
            </w:pPr>
            <w:r>
              <w:rPr>
                <w:rFonts w:hint="eastAsia" w:eastAsiaTheme="minorEastAsia"/>
                <w:bCs/>
                <w:szCs w:val="21"/>
              </w:rPr>
              <w:t>120</w:t>
            </w:r>
          </w:p>
        </w:tc>
        <w:tc>
          <w:tcPr>
            <w:tcW w:w="851" w:type="dxa"/>
            <w:vAlign w:val="center"/>
          </w:tcPr>
          <w:p w14:paraId="5E03E06E">
            <w:pPr>
              <w:spacing w:line="320" w:lineRule="exact"/>
              <w:ind w:left="-53" w:leftChars="-25" w:right="-53" w:rightChars="-25"/>
              <w:jc w:val="center"/>
              <w:rPr>
                <w:rFonts w:eastAsiaTheme="minorEastAsia"/>
                <w:bCs/>
                <w:szCs w:val="21"/>
              </w:rPr>
            </w:pPr>
            <w:r>
              <w:rPr>
                <w:rFonts w:hint="eastAsia" w:eastAsiaTheme="minorEastAsia"/>
                <w:bCs/>
                <w:szCs w:val="21"/>
              </w:rPr>
              <w:t>15</w:t>
            </w:r>
          </w:p>
        </w:tc>
        <w:tc>
          <w:tcPr>
            <w:tcW w:w="850" w:type="dxa"/>
            <w:vAlign w:val="center"/>
          </w:tcPr>
          <w:p w14:paraId="42A6696C">
            <w:pPr>
              <w:spacing w:line="320" w:lineRule="exact"/>
              <w:ind w:left="-53" w:leftChars="-25" w:right="-53" w:rightChars="-25"/>
              <w:jc w:val="center"/>
              <w:rPr>
                <w:rFonts w:eastAsiaTheme="minorEastAsia"/>
                <w:bCs/>
                <w:szCs w:val="21"/>
              </w:rPr>
            </w:pPr>
            <w:r>
              <w:rPr>
                <w:rFonts w:hint="eastAsia" w:eastAsiaTheme="minorEastAsia"/>
                <w:bCs/>
                <w:szCs w:val="21"/>
              </w:rPr>
              <w:t>3.5</w:t>
            </w:r>
          </w:p>
        </w:tc>
        <w:tc>
          <w:tcPr>
            <w:tcW w:w="1276" w:type="dxa"/>
            <w:vAlign w:val="center"/>
          </w:tcPr>
          <w:p w14:paraId="6FAF85D6">
            <w:pPr>
              <w:spacing w:line="320" w:lineRule="exact"/>
              <w:ind w:left="-53" w:leftChars="-25" w:right="-53" w:rightChars="-25"/>
              <w:jc w:val="center"/>
              <w:rPr>
                <w:rFonts w:eastAsiaTheme="minorEastAsia"/>
                <w:bCs/>
                <w:szCs w:val="21"/>
              </w:rPr>
            </w:pPr>
            <w:r>
              <w:rPr>
                <w:rFonts w:hint="eastAsia" w:eastAsiaTheme="minorEastAsia"/>
                <w:bCs/>
                <w:szCs w:val="21"/>
              </w:rPr>
              <w:t>1.0</w:t>
            </w:r>
          </w:p>
        </w:tc>
      </w:tr>
    </w:tbl>
    <w:p w14:paraId="22F0FB01">
      <w:pPr>
        <w:spacing w:line="360" w:lineRule="auto"/>
        <w:ind w:firstLine="482" w:firstLineChars="200"/>
        <w:rPr>
          <w:rFonts w:eastAsiaTheme="minorEastAsia"/>
          <w:b/>
          <w:sz w:val="24"/>
        </w:rPr>
      </w:pPr>
      <w:r>
        <w:rPr>
          <w:rFonts w:eastAsiaTheme="minorEastAsia"/>
          <w:b/>
          <w:sz w:val="24"/>
        </w:rPr>
        <w:t>（2）废水污染物排放标准</w:t>
      </w:r>
    </w:p>
    <w:p w14:paraId="43089EEC">
      <w:pPr>
        <w:spacing w:line="360" w:lineRule="auto"/>
        <w:ind w:firstLine="480" w:firstLineChars="200"/>
        <w:rPr>
          <w:rFonts w:eastAsiaTheme="minorEastAsia"/>
          <w:sz w:val="24"/>
        </w:rPr>
      </w:pPr>
      <w:r>
        <w:rPr>
          <w:rFonts w:hint="eastAsia" w:eastAsiaTheme="minorEastAsia"/>
          <w:sz w:val="24"/>
          <w:szCs w:val="22"/>
        </w:rPr>
        <w:t>园区企业</w:t>
      </w:r>
      <w:r>
        <w:rPr>
          <w:rFonts w:eastAsiaTheme="minorEastAsia"/>
          <w:sz w:val="24"/>
        </w:rPr>
        <w:t>生产废水</w:t>
      </w:r>
      <w:r>
        <w:rPr>
          <w:rFonts w:hint="eastAsia" w:eastAsiaTheme="minorEastAsia"/>
          <w:sz w:val="24"/>
        </w:rPr>
        <w:t>（含初期雨水）经处理后回用，不外排。生活污水</w:t>
      </w:r>
      <w:r>
        <w:rPr>
          <w:rFonts w:hint="eastAsia"/>
          <w:sz w:val="24"/>
        </w:rPr>
        <w:t>排入各乡镇污水处理厂进一步处理</w:t>
      </w:r>
      <w:r>
        <w:rPr>
          <w:rFonts w:hint="eastAsia"/>
          <w:sz w:val="24"/>
          <w:szCs w:val="22"/>
        </w:rPr>
        <w:t>，尾水排入周边水体。生活污水执行《污水综合排放标准》（GB8978-1996）三级标准</w:t>
      </w:r>
      <w:r>
        <w:rPr>
          <w:rFonts w:hint="eastAsia"/>
          <w:sz w:val="24"/>
        </w:rPr>
        <w:t>要求</w:t>
      </w:r>
      <w:r>
        <w:rPr>
          <w:rFonts w:hint="eastAsia" w:eastAsiaTheme="minorEastAsia"/>
          <w:sz w:val="24"/>
        </w:rPr>
        <w:t>。</w:t>
      </w:r>
    </w:p>
    <w:p w14:paraId="7B92655F">
      <w:pPr>
        <w:spacing w:line="360" w:lineRule="auto"/>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1.6.3-2</w:t>
      </w:r>
      <w:r>
        <w:rPr>
          <w:rFonts w:eastAsiaTheme="minorEastAsia"/>
          <w:b/>
          <w:snapToGrid w:val="0"/>
          <w:kern w:val="18"/>
          <w:szCs w:val="21"/>
        </w:rPr>
        <w:t xml:space="preserve">  </w:t>
      </w:r>
      <w:r>
        <w:rPr>
          <w:rFonts w:hint="eastAsia" w:eastAsiaTheme="minorEastAsia"/>
          <w:b/>
          <w:snapToGrid w:val="0"/>
          <w:kern w:val="18"/>
          <w:szCs w:val="21"/>
        </w:rPr>
        <w:t xml:space="preserve">  </w:t>
      </w:r>
      <w:r>
        <w:rPr>
          <w:rFonts w:eastAsiaTheme="minorEastAsia"/>
          <w:b/>
          <w:snapToGrid w:val="0"/>
          <w:kern w:val="18"/>
          <w:szCs w:val="21"/>
        </w:rPr>
        <w:t>废水排放标准</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41"/>
        <w:gridCol w:w="2119"/>
        <w:gridCol w:w="1276"/>
        <w:gridCol w:w="1285"/>
        <w:gridCol w:w="1607"/>
      </w:tblGrid>
      <w:tr w14:paraId="29C82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tcBorders>
              <w:bottom w:val="single" w:color="auto" w:sz="4" w:space="0"/>
            </w:tcBorders>
            <w:vAlign w:val="center"/>
          </w:tcPr>
          <w:p w14:paraId="4DBC518E">
            <w:pPr>
              <w:spacing w:line="320" w:lineRule="exact"/>
              <w:jc w:val="center"/>
              <w:rPr>
                <w:rFonts w:eastAsiaTheme="minorEastAsia"/>
                <w:bCs/>
                <w:szCs w:val="20"/>
              </w:rPr>
            </w:pPr>
            <w:r>
              <w:rPr>
                <w:rFonts w:eastAsiaTheme="minorEastAsia"/>
                <w:bCs/>
                <w:szCs w:val="20"/>
              </w:rPr>
              <w:t>排放标准</w:t>
            </w:r>
          </w:p>
        </w:tc>
        <w:tc>
          <w:tcPr>
            <w:tcW w:w="1242" w:type="pct"/>
            <w:vAlign w:val="center"/>
          </w:tcPr>
          <w:p w14:paraId="4ACB114B">
            <w:pPr>
              <w:spacing w:line="320" w:lineRule="exact"/>
              <w:jc w:val="center"/>
              <w:rPr>
                <w:rFonts w:eastAsiaTheme="minorEastAsia"/>
                <w:bCs/>
                <w:szCs w:val="20"/>
              </w:rPr>
            </w:pPr>
            <w:r>
              <w:rPr>
                <w:rFonts w:eastAsiaTheme="minorEastAsia"/>
                <w:bCs/>
                <w:szCs w:val="20"/>
              </w:rPr>
              <w:t>污染因子</w:t>
            </w:r>
          </w:p>
        </w:tc>
        <w:tc>
          <w:tcPr>
            <w:tcW w:w="748" w:type="pct"/>
            <w:vAlign w:val="center"/>
          </w:tcPr>
          <w:p w14:paraId="12032624">
            <w:pPr>
              <w:spacing w:line="320" w:lineRule="exact"/>
              <w:jc w:val="center"/>
              <w:rPr>
                <w:rFonts w:eastAsiaTheme="minorEastAsia"/>
                <w:bCs/>
                <w:szCs w:val="20"/>
              </w:rPr>
            </w:pPr>
            <w:r>
              <w:rPr>
                <w:rFonts w:eastAsiaTheme="minorEastAsia"/>
                <w:bCs/>
                <w:szCs w:val="20"/>
              </w:rPr>
              <w:t>单位</w:t>
            </w:r>
          </w:p>
        </w:tc>
        <w:tc>
          <w:tcPr>
            <w:tcW w:w="753" w:type="pct"/>
            <w:vAlign w:val="center"/>
          </w:tcPr>
          <w:p w14:paraId="354E49DD">
            <w:pPr>
              <w:spacing w:line="320" w:lineRule="exact"/>
              <w:jc w:val="center"/>
              <w:rPr>
                <w:rFonts w:eastAsiaTheme="minorEastAsia"/>
                <w:bCs/>
                <w:szCs w:val="20"/>
              </w:rPr>
            </w:pPr>
            <w:r>
              <w:rPr>
                <w:rFonts w:eastAsiaTheme="minorEastAsia"/>
                <w:bCs/>
                <w:szCs w:val="20"/>
              </w:rPr>
              <w:t>排放值</w:t>
            </w:r>
          </w:p>
        </w:tc>
        <w:tc>
          <w:tcPr>
            <w:tcW w:w="942" w:type="pct"/>
            <w:vAlign w:val="center"/>
          </w:tcPr>
          <w:p w14:paraId="1001EB9C">
            <w:pPr>
              <w:spacing w:line="320" w:lineRule="exact"/>
              <w:jc w:val="center"/>
              <w:rPr>
                <w:rFonts w:eastAsiaTheme="minorEastAsia"/>
                <w:bCs/>
                <w:szCs w:val="20"/>
              </w:rPr>
            </w:pPr>
            <w:r>
              <w:rPr>
                <w:rFonts w:eastAsiaTheme="minorEastAsia"/>
                <w:bCs/>
                <w:szCs w:val="20"/>
              </w:rPr>
              <w:t>污染源</w:t>
            </w:r>
          </w:p>
        </w:tc>
      </w:tr>
      <w:tr w14:paraId="1F553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restart"/>
            <w:vAlign w:val="center"/>
          </w:tcPr>
          <w:p w14:paraId="5C104F85">
            <w:pPr>
              <w:spacing w:line="320" w:lineRule="exact"/>
              <w:jc w:val="center"/>
              <w:rPr>
                <w:rFonts w:eastAsiaTheme="minorEastAsia"/>
                <w:bCs/>
                <w:szCs w:val="20"/>
              </w:rPr>
            </w:pPr>
            <w:r>
              <w:rPr>
                <w:rFonts w:hint="eastAsia" w:eastAsiaTheme="minorEastAsia"/>
                <w:kern w:val="24"/>
                <w:szCs w:val="21"/>
              </w:rPr>
              <w:t>《污水综合排放标准》（GB8978-1996）三级标准</w:t>
            </w:r>
          </w:p>
        </w:tc>
        <w:tc>
          <w:tcPr>
            <w:tcW w:w="1242" w:type="pct"/>
            <w:vAlign w:val="center"/>
          </w:tcPr>
          <w:p w14:paraId="6EA53438">
            <w:pPr>
              <w:spacing w:line="320" w:lineRule="exact"/>
              <w:jc w:val="center"/>
              <w:rPr>
                <w:rFonts w:eastAsiaTheme="minorEastAsia"/>
                <w:bCs/>
                <w:szCs w:val="20"/>
              </w:rPr>
            </w:pPr>
            <w:r>
              <w:rPr>
                <w:rFonts w:eastAsiaTheme="minorEastAsia"/>
                <w:bCs/>
                <w:szCs w:val="20"/>
              </w:rPr>
              <w:t>pH</w:t>
            </w:r>
          </w:p>
        </w:tc>
        <w:tc>
          <w:tcPr>
            <w:tcW w:w="748" w:type="pct"/>
            <w:vAlign w:val="center"/>
          </w:tcPr>
          <w:p w14:paraId="5380E9D5">
            <w:pPr>
              <w:spacing w:line="320" w:lineRule="exact"/>
              <w:jc w:val="center"/>
              <w:rPr>
                <w:rFonts w:eastAsiaTheme="minorEastAsia"/>
                <w:bCs/>
                <w:szCs w:val="20"/>
              </w:rPr>
            </w:pPr>
            <w:r>
              <w:rPr>
                <w:rFonts w:eastAsiaTheme="minorEastAsia"/>
                <w:bCs/>
                <w:szCs w:val="20"/>
              </w:rPr>
              <w:t>无量纲</w:t>
            </w:r>
          </w:p>
        </w:tc>
        <w:tc>
          <w:tcPr>
            <w:tcW w:w="753" w:type="pct"/>
            <w:tcBorders>
              <w:top w:val="single" w:color="auto" w:sz="4" w:space="0"/>
            </w:tcBorders>
            <w:shd w:val="clear" w:color="auto" w:fill="auto"/>
            <w:vAlign w:val="center"/>
          </w:tcPr>
          <w:p w14:paraId="5867E6C3">
            <w:pPr>
              <w:spacing w:line="320" w:lineRule="exact"/>
              <w:jc w:val="center"/>
              <w:rPr>
                <w:rFonts w:eastAsiaTheme="minorEastAsia"/>
                <w:bCs/>
                <w:szCs w:val="20"/>
              </w:rPr>
            </w:pPr>
            <w:r>
              <w:rPr>
                <w:rFonts w:hint="eastAsia" w:eastAsiaTheme="minorEastAsia"/>
                <w:bCs/>
                <w:szCs w:val="20"/>
              </w:rPr>
              <w:t>6~9</w:t>
            </w:r>
          </w:p>
        </w:tc>
        <w:tc>
          <w:tcPr>
            <w:tcW w:w="942" w:type="pct"/>
            <w:vMerge w:val="restart"/>
            <w:tcBorders>
              <w:top w:val="single" w:color="auto" w:sz="4" w:space="0"/>
            </w:tcBorders>
            <w:vAlign w:val="center"/>
          </w:tcPr>
          <w:p w14:paraId="7459365B">
            <w:pPr>
              <w:spacing w:line="320" w:lineRule="exact"/>
              <w:jc w:val="center"/>
              <w:rPr>
                <w:rFonts w:eastAsiaTheme="minorEastAsia"/>
                <w:bCs/>
                <w:szCs w:val="20"/>
              </w:rPr>
            </w:pPr>
            <w:r>
              <w:rPr>
                <w:rFonts w:eastAsiaTheme="minorEastAsia"/>
                <w:bCs/>
                <w:szCs w:val="20"/>
              </w:rPr>
              <w:t>生活污水总排口</w:t>
            </w:r>
          </w:p>
        </w:tc>
      </w:tr>
      <w:tr w14:paraId="6B012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5FCAEC9B">
            <w:pPr>
              <w:spacing w:line="320" w:lineRule="exact"/>
              <w:jc w:val="center"/>
              <w:rPr>
                <w:rFonts w:eastAsiaTheme="minorEastAsia"/>
                <w:kern w:val="24"/>
                <w:szCs w:val="21"/>
              </w:rPr>
            </w:pPr>
          </w:p>
        </w:tc>
        <w:tc>
          <w:tcPr>
            <w:tcW w:w="1242" w:type="pct"/>
            <w:vAlign w:val="center"/>
          </w:tcPr>
          <w:p w14:paraId="664FF320">
            <w:pPr>
              <w:spacing w:line="320" w:lineRule="exact"/>
              <w:jc w:val="center"/>
              <w:rPr>
                <w:rFonts w:eastAsiaTheme="minorEastAsia"/>
                <w:bCs/>
                <w:szCs w:val="20"/>
              </w:rPr>
            </w:pPr>
            <w:r>
              <w:rPr>
                <w:rFonts w:eastAsiaTheme="minorEastAsia"/>
                <w:bCs/>
                <w:szCs w:val="20"/>
              </w:rPr>
              <w:t>COD</w:t>
            </w:r>
          </w:p>
        </w:tc>
        <w:tc>
          <w:tcPr>
            <w:tcW w:w="748" w:type="pct"/>
            <w:vAlign w:val="center"/>
          </w:tcPr>
          <w:p w14:paraId="71C6D7EC">
            <w:pPr>
              <w:spacing w:line="320" w:lineRule="exact"/>
              <w:jc w:val="center"/>
              <w:rPr>
                <w:rFonts w:eastAsiaTheme="minorEastAsia"/>
                <w:bCs/>
                <w:szCs w:val="20"/>
              </w:rPr>
            </w:pPr>
            <w:r>
              <w:rPr>
                <w:rFonts w:eastAsiaTheme="minorEastAsia"/>
                <w:bCs/>
                <w:szCs w:val="20"/>
              </w:rPr>
              <w:t>mg/L</w:t>
            </w:r>
          </w:p>
        </w:tc>
        <w:tc>
          <w:tcPr>
            <w:tcW w:w="753" w:type="pct"/>
            <w:tcBorders>
              <w:top w:val="single" w:color="auto" w:sz="4" w:space="0"/>
            </w:tcBorders>
            <w:shd w:val="clear" w:color="auto" w:fill="auto"/>
            <w:vAlign w:val="center"/>
          </w:tcPr>
          <w:p w14:paraId="5A4284D3">
            <w:pPr>
              <w:spacing w:line="320" w:lineRule="exact"/>
              <w:jc w:val="center"/>
              <w:rPr>
                <w:rFonts w:eastAsiaTheme="minorEastAsia"/>
                <w:bCs/>
                <w:szCs w:val="20"/>
              </w:rPr>
            </w:pPr>
            <w:r>
              <w:rPr>
                <w:rFonts w:hint="eastAsia" w:eastAsiaTheme="minorEastAsia"/>
                <w:bCs/>
                <w:szCs w:val="20"/>
              </w:rPr>
              <w:t>500</w:t>
            </w:r>
          </w:p>
        </w:tc>
        <w:tc>
          <w:tcPr>
            <w:tcW w:w="942" w:type="pct"/>
            <w:vMerge w:val="continue"/>
            <w:tcBorders>
              <w:top w:val="single" w:color="auto" w:sz="4" w:space="0"/>
            </w:tcBorders>
            <w:vAlign w:val="center"/>
          </w:tcPr>
          <w:p w14:paraId="6CF1440B">
            <w:pPr>
              <w:spacing w:line="320" w:lineRule="exact"/>
              <w:jc w:val="center"/>
              <w:rPr>
                <w:rFonts w:eastAsiaTheme="minorEastAsia"/>
                <w:bCs/>
                <w:szCs w:val="20"/>
              </w:rPr>
            </w:pPr>
          </w:p>
        </w:tc>
      </w:tr>
      <w:tr w14:paraId="33EA8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6C342CF1">
            <w:pPr>
              <w:spacing w:line="320" w:lineRule="exact"/>
              <w:jc w:val="center"/>
              <w:rPr>
                <w:rFonts w:eastAsiaTheme="minorEastAsia"/>
                <w:kern w:val="24"/>
                <w:szCs w:val="21"/>
              </w:rPr>
            </w:pPr>
          </w:p>
        </w:tc>
        <w:tc>
          <w:tcPr>
            <w:tcW w:w="1242" w:type="pct"/>
            <w:vAlign w:val="center"/>
          </w:tcPr>
          <w:p w14:paraId="13B6D273">
            <w:pPr>
              <w:spacing w:line="320" w:lineRule="exact"/>
              <w:jc w:val="center"/>
              <w:rPr>
                <w:rFonts w:eastAsiaTheme="minorEastAsia"/>
                <w:bCs/>
                <w:szCs w:val="20"/>
              </w:rPr>
            </w:pPr>
            <w:r>
              <w:rPr>
                <w:rFonts w:eastAsiaTheme="minorEastAsia"/>
                <w:szCs w:val="21"/>
              </w:rPr>
              <w:t>BOD</w:t>
            </w:r>
            <w:r>
              <w:rPr>
                <w:rFonts w:eastAsiaTheme="minorEastAsia"/>
                <w:szCs w:val="21"/>
                <w:vertAlign w:val="subscript"/>
              </w:rPr>
              <w:t>5</w:t>
            </w:r>
          </w:p>
        </w:tc>
        <w:tc>
          <w:tcPr>
            <w:tcW w:w="748" w:type="pct"/>
            <w:vAlign w:val="center"/>
          </w:tcPr>
          <w:p w14:paraId="2904B714">
            <w:pPr>
              <w:spacing w:line="320" w:lineRule="exact"/>
              <w:jc w:val="center"/>
              <w:rPr>
                <w:rFonts w:eastAsiaTheme="minorEastAsia"/>
                <w:bCs/>
                <w:szCs w:val="20"/>
              </w:rPr>
            </w:pPr>
            <w:r>
              <w:rPr>
                <w:rFonts w:eastAsiaTheme="minorEastAsia"/>
                <w:bCs/>
                <w:szCs w:val="20"/>
              </w:rPr>
              <w:t>mg/L</w:t>
            </w:r>
          </w:p>
        </w:tc>
        <w:tc>
          <w:tcPr>
            <w:tcW w:w="753" w:type="pct"/>
            <w:shd w:val="clear" w:color="auto" w:fill="auto"/>
            <w:vAlign w:val="center"/>
          </w:tcPr>
          <w:p w14:paraId="3B7DFB06">
            <w:pPr>
              <w:spacing w:line="320" w:lineRule="exact"/>
              <w:jc w:val="center"/>
              <w:rPr>
                <w:rFonts w:eastAsiaTheme="minorEastAsia"/>
                <w:bCs/>
                <w:szCs w:val="20"/>
              </w:rPr>
            </w:pPr>
            <w:r>
              <w:rPr>
                <w:rFonts w:hint="eastAsia" w:eastAsiaTheme="minorEastAsia"/>
                <w:bCs/>
                <w:szCs w:val="20"/>
              </w:rPr>
              <w:t>300</w:t>
            </w:r>
          </w:p>
        </w:tc>
        <w:tc>
          <w:tcPr>
            <w:tcW w:w="942" w:type="pct"/>
            <w:vMerge w:val="continue"/>
            <w:vAlign w:val="center"/>
          </w:tcPr>
          <w:p w14:paraId="78D51A04">
            <w:pPr>
              <w:spacing w:line="320" w:lineRule="exact"/>
              <w:jc w:val="center"/>
              <w:rPr>
                <w:rFonts w:eastAsiaTheme="minorEastAsia"/>
                <w:bCs/>
                <w:szCs w:val="20"/>
              </w:rPr>
            </w:pPr>
          </w:p>
        </w:tc>
      </w:tr>
      <w:tr w14:paraId="3ECD6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2002CB43">
            <w:pPr>
              <w:widowControl/>
              <w:spacing w:line="320" w:lineRule="exact"/>
              <w:jc w:val="center"/>
              <w:rPr>
                <w:rFonts w:eastAsiaTheme="minorEastAsia"/>
                <w:bCs/>
                <w:szCs w:val="20"/>
              </w:rPr>
            </w:pPr>
          </w:p>
        </w:tc>
        <w:tc>
          <w:tcPr>
            <w:tcW w:w="1242" w:type="pct"/>
            <w:vAlign w:val="center"/>
          </w:tcPr>
          <w:p w14:paraId="229A82AC">
            <w:pPr>
              <w:spacing w:line="320" w:lineRule="exact"/>
              <w:jc w:val="center"/>
              <w:rPr>
                <w:rFonts w:eastAsiaTheme="minorEastAsia"/>
                <w:bCs/>
                <w:szCs w:val="20"/>
              </w:rPr>
            </w:pPr>
            <w:r>
              <w:rPr>
                <w:rFonts w:eastAsiaTheme="minorEastAsia"/>
                <w:bCs/>
                <w:szCs w:val="20"/>
              </w:rPr>
              <w:t>悬浮物（SS）</w:t>
            </w:r>
          </w:p>
        </w:tc>
        <w:tc>
          <w:tcPr>
            <w:tcW w:w="748" w:type="pct"/>
            <w:vAlign w:val="center"/>
          </w:tcPr>
          <w:p w14:paraId="62F3814C">
            <w:pPr>
              <w:spacing w:line="320" w:lineRule="exact"/>
              <w:jc w:val="center"/>
              <w:rPr>
                <w:rFonts w:eastAsiaTheme="minorEastAsia"/>
                <w:bCs/>
                <w:szCs w:val="20"/>
              </w:rPr>
            </w:pPr>
            <w:r>
              <w:rPr>
                <w:rFonts w:eastAsiaTheme="minorEastAsia"/>
                <w:bCs/>
                <w:szCs w:val="20"/>
              </w:rPr>
              <w:t>mg/L</w:t>
            </w:r>
          </w:p>
        </w:tc>
        <w:tc>
          <w:tcPr>
            <w:tcW w:w="753" w:type="pct"/>
            <w:shd w:val="clear" w:color="auto" w:fill="auto"/>
            <w:vAlign w:val="center"/>
          </w:tcPr>
          <w:p w14:paraId="48E85DE7">
            <w:pPr>
              <w:spacing w:line="320" w:lineRule="exact"/>
              <w:jc w:val="center"/>
              <w:rPr>
                <w:rFonts w:eastAsiaTheme="minorEastAsia"/>
                <w:bCs/>
                <w:szCs w:val="20"/>
              </w:rPr>
            </w:pPr>
            <w:r>
              <w:rPr>
                <w:rFonts w:hint="eastAsia" w:eastAsiaTheme="minorEastAsia"/>
                <w:bCs/>
                <w:szCs w:val="20"/>
              </w:rPr>
              <w:t>400</w:t>
            </w:r>
          </w:p>
        </w:tc>
        <w:tc>
          <w:tcPr>
            <w:tcW w:w="942" w:type="pct"/>
            <w:vMerge w:val="continue"/>
            <w:vAlign w:val="center"/>
          </w:tcPr>
          <w:p w14:paraId="4FDCD2B3">
            <w:pPr>
              <w:widowControl/>
              <w:spacing w:line="320" w:lineRule="exact"/>
              <w:jc w:val="center"/>
              <w:rPr>
                <w:rFonts w:eastAsiaTheme="minorEastAsia"/>
                <w:bCs/>
                <w:szCs w:val="20"/>
              </w:rPr>
            </w:pPr>
          </w:p>
        </w:tc>
      </w:tr>
      <w:tr w14:paraId="34574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3F4C0D66">
            <w:pPr>
              <w:widowControl/>
              <w:spacing w:line="320" w:lineRule="exact"/>
              <w:jc w:val="center"/>
              <w:rPr>
                <w:rFonts w:eastAsiaTheme="minorEastAsia"/>
                <w:bCs/>
                <w:szCs w:val="20"/>
              </w:rPr>
            </w:pPr>
          </w:p>
        </w:tc>
        <w:tc>
          <w:tcPr>
            <w:tcW w:w="1242" w:type="pct"/>
            <w:vAlign w:val="center"/>
          </w:tcPr>
          <w:p w14:paraId="09DAC9E3">
            <w:pPr>
              <w:spacing w:line="320" w:lineRule="exact"/>
              <w:jc w:val="center"/>
              <w:rPr>
                <w:rFonts w:eastAsiaTheme="minorEastAsia"/>
                <w:bCs/>
                <w:szCs w:val="20"/>
              </w:rPr>
            </w:pPr>
            <w:r>
              <w:rPr>
                <w:rFonts w:eastAsiaTheme="minorEastAsia"/>
                <w:bCs/>
                <w:szCs w:val="20"/>
              </w:rPr>
              <w:t>NH</w:t>
            </w:r>
            <w:r>
              <w:rPr>
                <w:rFonts w:eastAsiaTheme="minorEastAsia"/>
                <w:bCs/>
                <w:szCs w:val="20"/>
                <w:vertAlign w:val="subscript"/>
              </w:rPr>
              <w:t>3</w:t>
            </w:r>
            <w:r>
              <w:rPr>
                <w:rFonts w:eastAsiaTheme="minorEastAsia"/>
                <w:bCs/>
                <w:szCs w:val="20"/>
              </w:rPr>
              <w:t>-N</w:t>
            </w:r>
          </w:p>
        </w:tc>
        <w:tc>
          <w:tcPr>
            <w:tcW w:w="748" w:type="pct"/>
            <w:vAlign w:val="center"/>
          </w:tcPr>
          <w:p w14:paraId="048F4159">
            <w:pPr>
              <w:spacing w:line="320" w:lineRule="exact"/>
              <w:jc w:val="center"/>
              <w:rPr>
                <w:rFonts w:eastAsiaTheme="minorEastAsia"/>
                <w:bCs/>
                <w:szCs w:val="20"/>
              </w:rPr>
            </w:pPr>
            <w:r>
              <w:rPr>
                <w:rFonts w:eastAsiaTheme="minorEastAsia"/>
                <w:bCs/>
                <w:szCs w:val="20"/>
              </w:rPr>
              <w:t>mg/L</w:t>
            </w:r>
          </w:p>
        </w:tc>
        <w:tc>
          <w:tcPr>
            <w:tcW w:w="753" w:type="pct"/>
            <w:shd w:val="clear" w:color="auto" w:fill="auto"/>
            <w:vAlign w:val="center"/>
          </w:tcPr>
          <w:p w14:paraId="049966F5">
            <w:pPr>
              <w:spacing w:line="320" w:lineRule="exact"/>
              <w:jc w:val="center"/>
              <w:rPr>
                <w:rFonts w:eastAsiaTheme="minorEastAsia"/>
                <w:bCs/>
                <w:szCs w:val="20"/>
              </w:rPr>
            </w:pPr>
            <w:r>
              <w:rPr>
                <w:rFonts w:eastAsiaTheme="minorEastAsia"/>
                <w:bCs/>
                <w:szCs w:val="20"/>
              </w:rPr>
              <w:t>—</w:t>
            </w:r>
          </w:p>
        </w:tc>
        <w:tc>
          <w:tcPr>
            <w:tcW w:w="942" w:type="pct"/>
            <w:vMerge w:val="continue"/>
            <w:vAlign w:val="center"/>
          </w:tcPr>
          <w:p w14:paraId="3D9417B5">
            <w:pPr>
              <w:widowControl/>
              <w:spacing w:line="320" w:lineRule="exact"/>
              <w:jc w:val="center"/>
              <w:rPr>
                <w:rFonts w:eastAsiaTheme="minorEastAsia"/>
                <w:bCs/>
                <w:szCs w:val="20"/>
              </w:rPr>
            </w:pPr>
          </w:p>
        </w:tc>
      </w:tr>
      <w:tr w14:paraId="475CB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3052526B">
            <w:pPr>
              <w:widowControl/>
              <w:spacing w:line="320" w:lineRule="exact"/>
              <w:jc w:val="center"/>
              <w:rPr>
                <w:rFonts w:eastAsiaTheme="minorEastAsia"/>
                <w:bCs/>
                <w:szCs w:val="20"/>
              </w:rPr>
            </w:pPr>
          </w:p>
        </w:tc>
        <w:tc>
          <w:tcPr>
            <w:tcW w:w="1242" w:type="pct"/>
            <w:vAlign w:val="center"/>
          </w:tcPr>
          <w:p w14:paraId="0575CDD2">
            <w:pPr>
              <w:spacing w:line="320" w:lineRule="exact"/>
              <w:jc w:val="center"/>
              <w:rPr>
                <w:rFonts w:eastAsiaTheme="minorEastAsia"/>
                <w:bCs/>
                <w:szCs w:val="20"/>
              </w:rPr>
            </w:pPr>
            <w:r>
              <w:rPr>
                <w:rFonts w:hint="eastAsia" w:eastAsiaTheme="minorEastAsia"/>
                <w:bCs/>
                <w:szCs w:val="20"/>
              </w:rPr>
              <w:t>TP</w:t>
            </w:r>
          </w:p>
        </w:tc>
        <w:tc>
          <w:tcPr>
            <w:tcW w:w="748" w:type="pct"/>
            <w:vAlign w:val="center"/>
          </w:tcPr>
          <w:p w14:paraId="7D45DABF">
            <w:pPr>
              <w:spacing w:line="320" w:lineRule="exact"/>
              <w:jc w:val="center"/>
              <w:rPr>
                <w:rFonts w:eastAsiaTheme="minorEastAsia"/>
                <w:bCs/>
                <w:szCs w:val="20"/>
              </w:rPr>
            </w:pPr>
            <w:r>
              <w:rPr>
                <w:rFonts w:eastAsiaTheme="minorEastAsia"/>
                <w:bCs/>
                <w:szCs w:val="20"/>
              </w:rPr>
              <w:t>mg/L</w:t>
            </w:r>
          </w:p>
        </w:tc>
        <w:tc>
          <w:tcPr>
            <w:tcW w:w="753" w:type="pct"/>
            <w:shd w:val="clear" w:color="auto" w:fill="auto"/>
            <w:vAlign w:val="center"/>
          </w:tcPr>
          <w:p w14:paraId="290F5955">
            <w:pPr>
              <w:spacing w:line="320" w:lineRule="exact"/>
              <w:jc w:val="center"/>
              <w:rPr>
                <w:rFonts w:eastAsiaTheme="minorEastAsia"/>
                <w:bCs/>
                <w:szCs w:val="20"/>
              </w:rPr>
            </w:pPr>
            <w:r>
              <w:rPr>
                <w:rFonts w:eastAsiaTheme="minorEastAsia"/>
                <w:bCs/>
                <w:szCs w:val="20"/>
              </w:rPr>
              <w:t>—</w:t>
            </w:r>
          </w:p>
        </w:tc>
        <w:tc>
          <w:tcPr>
            <w:tcW w:w="942" w:type="pct"/>
            <w:vMerge w:val="continue"/>
            <w:vAlign w:val="center"/>
          </w:tcPr>
          <w:p w14:paraId="5EDE3B8D">
            <w:pPr>
              <w:widowControl/>
              <w:spacing w:line="320" w:lineRule="exact"/>
              <w:jc w:val="center"/>
              <w:rPr>
                <w:rFonts w:eastAsiaTheme="minorEastAsia"/>
                <w:bCs/>
                <w:szCs w:val="20"/>
              </w:rPr>
            </w:pPr>
          </w:p>
        </w:tc>
      </w:tr>
      <w:tr w14:paraId="5E17F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314" w:type="pct"/>
            <w:vMerge w:val="continue"/>
            <w:vAlign w:val="center"/>
          </w:tcPr>
          <w:p w14:paraId="550D2DDF">
            <w:pPr>
              <w:widowControl/>
              <w:spacing w:line="320" w:lineRule="exact"/>
              <w:jc w:val="center"/>
              <w:rPr>
                <w:rFonts w:eastAsiaTheme="minorEastAsia"/>
                <w:bCs/>
                <w:szCs w:val="20"/>
              </w:rPr>
            </w:pPr>
          </w:p>
        </w:tc>
        <w:tc>
          <w:tcPr>
            <w:tcW w:w="1242" w:type="pct"/>
            <w:vAlign w:val="center"/>
          </w:tcPr>
          <w:p w14:paraId="3EF40270">
            <w:pPr>
              <w:spacing w:line="320" w:lineRule="exact"/>
              <w:jc w:val="center"/>
              <w:rPr>
                <w:rFonts w:eastAsiaTheme="minorEastAsia"/>
                <w:bCs/>
                <w:szCs w:val="20"/>
              </w:rPr>
            </w:pPr>
            <w:r>
              <w:rPr>
                <w:rFonts w:hint="eastAsia" w:eastAsiaTheme="minorEastAsia"/>
                <w:bCs/>
                <w:szCs w:val="20"/>
              </w:rPr>
              <w:t>动植物油</w:t>
            </w:r>
          </w:p>
        </w:tc>
        <w:tc>
          <w:tcPr>
            <w:tcW w:w="748" w:type="pct"/>
            <w:vAlign w:val="center"/>
          </w:tcPr>
          <w:p w14:paraId="428A1E6A">
            <w:pPr>
              <w:spacing w:line="320" w:lineRule="exact"/>
              <w:jc w:val="center"/>
              <w:rPr>
                <w:rFonts w:eastAsiaTheme="minorEastAsia"/>
                <w:bCs/>
                <w:szCs w:val="20"/>
              </w:rPr>
            </w:pPr>
            <w:r>
              <w:rPr>
                <w:rFonts w:eastAsiaTheme="minorEastAsia"/>
                <w:bCs/>
                <w:szCs w:val="20"/>
              </w:rPr>
              <w:t>mg/L</w:t>
            </w:r>
          </w:p>
        </w:tc>
        <w:tc>
          <w:tcPr>
            <w:tcW w:w="753" w:type="pct"/>
            <w:shd w:val="clear" w:color="auto" w:fill="auto"/>
            <w:vAlign w:val="center"/>
          </w:tcPr>
          <w:p w14:paraId="19BD7FC6">
            <w:pPr>
              <w:spacing w:line="320" w:lineRule="exact"/>
              <w:jc w:val="center"/>
              <w:rPr>
                <w:rFonts w:eastAsiaTheme="minorEastAsia"/>
                <w:bCs/>
                <w:szCs w:val="20"/>
              </w:rPr>
            </w:pPr>
            <w:r>
              <w:rPr>
                <w:rFonts w:hint="eastAsia" w:eastAsiaTheme="minorEastAsia"/>
                <w:bCs/>
                <w:szCs w:val="20"/>
              </w:rPr>
              <w:t>100</w:t>
            </w:r>
          </w:p>
        </w:tc>
        <w:tc>
          <w:tcPr>
            <w:tcW w:w="942" w:type="pct"/>
            <w:vMerge w:val="continue"/>
            <w:vAlign w:val="center"/>
          </w:tcPr>
          <w:p w14:paraId="5A4FB8DF">
            <w:pPr>
              <w:widowControl/>
              <w:spacing w:line="320" w:lineRule="exact"/>
              <w:jc w:val="center"/>
              <w:rPr>
                <w:rFonts w:eastAsiaTheme="minorEastAsia"/>
                <w:bCs/>
                <w:szCs w:val="20"/>
              </w:rPr>
            </w:pPr>
          </w:p>
        </w:tc>
      </w:tr>
    </w:tbl>
    <w:p w14:paraId="6E7E4D56">
      <w:pPr>
        <w:spacing w:line="360" w:lineRule="auto"/>
        <w:ind w:firstLine="480" w:firstLineChars="200"/>
        <w:rPr>
          <w:rFonts w:eastAsiaTheme="minorEastAsia"/>
          <w:sz w:val="24"/>
        </w:rPr>
      </w:pPr>
      <w:r>
        <w:rPr>
          <w:rFonts w:eastAsiaTheme="minorEastAsia"/>
          <w:sz w:val="24"/>
        </w:rPr>
        <w:t>污水处理厂出水均执行《城镇污水处理厂污染物排放标准》（GB18918-2002）一级A标准。</w:t>
      </w:r>
    </w:p>
    <w:p w14:paraId="58B45A0F">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1.6.3-3</w:t>
      </w:r>
      <w:r>
        <w:rPr>
          <w:rFonts w:eastAsiaTheme="minorEastAsia"/>
          <w:b/>
          <w:snapToGrid w:val="0"/>
          <w:kern w:val="18"/>
          <w:szCs w:val="21"/>
        </w:rPr>
        <w:t xml:space="preserve">  污水处理厂排放标准</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3"/>
        <w:gridCol w:w="1559"/>
        <w:gridCol w:w="1559"/>
        <w:gridCol w:w="1779"/>
        <w:gridCol w:w="1538"/>
      </w:tblGrid>
      <w:tr w14:paraId="1125A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Align w:val="center"/>
          </w:tcPr>
          <w:p w14:paraId="271E881E">
            <w:pPr>
              <w:spacing w:line="320" w:lineRule="exact"/>
              <w:jc w:val="center"/>
              <w:rPr>
                <w:rFonts w:eastAsiaTheme="minorEastAsia"/>
                <w:bCs/>
                <w:szCs w:val="20"/>
              </w:rPr>
            </w:pPr>
            <w:r>
              <w:rPr>
                <w:rFonts w:eastAsiaTheme="minorEastAsia"/>
                <w:bCs/>
                <w:szCs w:val="20"/>
              </w:rPr>
              <w:t>排放标准</w:t>
            </w:r>
          </w:p>
        </w:tc>
        <w:tc>
          <w:tcPr>
            <w:tcW w:w="914" w:type="pct"/>
            <w:vAlign w:val="center"/>
          </w:tcPr>
          <w:p w14:paraId="01B2D7EA">
            <w:pPr>
              <w:spacing w:line="320" w:lineRule="exact"/>
              <w:jc w:val="center"/>
              <w:rPr>
                <w:rFonts w:eastAsiaTheme="minorEastAsia"/>
                <w:bCs/>
                <w:szCs w:val="20"/>
              </w:rPr>
            </w:pPr>
            <w:r>
              <w:rPr>
                <w:rFonts w:eastAsiaTheme="minorEastAsia"/>
                <w:bCs/>
                <w:szCs w:val="20"/>
              </w:rPr>
              <w:t>污染因子</w:t>
            </w:r>
          </w:p>
        </w:tc>
        <w:tc>
          <w:tcPr>
            <w:tcW w:w="914" w:type="pct"/>
            <w:vAlign w:val="center"/>
          </w:tcPr>
          <w:p w14:paraId="398F829C">
            <w:pPr>
              <w:spacing w:line="320" w:lineRule="exact"/>
              <w:jc w:val="center"/>
              <w:rPr>
                <w:rFonts w:eastAsiaTheme="minorEastAsia"/>
                <w:bCs/>
                <w:szCs w:val="20"/>
              </w:rPr>
            </w:pPr>
            <w:r>
              <w:rPr>
                <w:rFonts w:eastAsiaTheme="minorEastAsia"/>
                <w:bCs/>
                <w:szCs w:val="20"/>
              </w:rPr>
              <w:t>单位</w:t>
            </w:r>
          </w:p>
        </w:tc>
        <w:tc>
          <w:tcPr>
            <w:tcW w:w="1043" w:type="pct"/>
            <w:vAlign w:val="center"/>
          </w:tcPr>
          <w:p w14:paraId="02387B05">
            <w:pPr>
              <w:spacing w:line="320" w:lineRule="exact"/>
              <w:jc w:val="center"/>
              <w:rPr>
                <w:rFonts w:eastAsiaTheme="minorEastAsia"/>
                <w:bCs/>
                <w:szCs w:val="20"/>
              </w:rPr>
            </w:pPr>
            <w:r>
              <w:rPr>
                <w:rFonts w:eastAsiaTheme="minorEastAsia"/>
                <w:bCs/>
                <w:szCs w:val="20"/>
              </w:rPr>
              <w:t>排放值</w:t>
            </w:r>
          </w:p>
        </w:tc>
        <w:tc>
          <w:tcPr>
            <w:tcW w:w="902" w:type="pct"/>
            <w:vAlign w:val="center"/>
          </w:tcPr>
          <w:p w14:paraId="438EB74E">
            <w:pPr>
              <w:spacing w:line="320" w:lineRule="exact"/>
              <w:jc w:val="center"/>
              <w:rPr>
                <w:rFonts w:eastAsiaTheme="minorEastAsia"/>
                <w:bCs/>
                <w:szCs w:val="20"/>
              </w:rPr>
            </w:pPr>
            <w:r>
              <w:rPr>
                <w:rFonts w:eastAsiaTheme="minorEastAsia"/>
                <w:bCs/>
                <w:szCs w:val="20"/>
              </w:rPr>
              <w:t>对象</w:t>
            </w:r>
          </w:p>
        </w:tc>
      </w:tr>
      <w:tr w14:paraId="054B0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restart"/>
            <w:vAlign w:val="center"/>
          </w:tcPr>
          <w:p w14:paraId="3CE1B00E">
            <w:pPr>
              <w:spacing w:line="320" w:lineRule="exact"/>
              <w:jc w:val="center"/>
              <w:rPr>
                <w:rFonts w:eastAsiaTheme="minorEastAsia"/>
                <w:bCs/>
                <w:szCs w:val="20"/>
              </w:rPr>
            </w:pPr>
            <w:r>
              <w:rPr>
                <w:rFonts w:eastAsiaTheme="minorEastAsia"/>
                <w:bCs/>
                <w:szCs w:val="20"/>
              </w:rPr>
              <w:t>《城镇污水处理厂污染物排放标准》（GB18918-2002）一级A标准</w:t>
            </w:r>
          </w:p>
        </w:tc>
        <w:tc>
          <w:tcPr>
            <w:tcW w:w="914" w:type="pct"/>
            <w:vAlign w:val="center"/>
          </w:tcPr>
          <w:p w14:paraId="280411F9">
            <w:pPr>
              <w:spacing w:line="320" w:lineRule="exact"/>
              <w:jc w:val="center"/>
              <w:rPr>
                <w:rFonts w:eastAsiaTheme="minorEastAsia"/>
                <w:bCs/>
                <w:szCs w:val="20"/>
              </w:rPr>
            </w:pPr>
            <w:r>
              <w:rPr>
                <w:rFonts w:eastAsiaTheme="minorEastAsia"/>
                <w:bCs/>
                <w:szCs w:val="20"/>
              </w:rPr>
              <w:t>pH</w:t>
            </w:r>
          </w:p>
        </w:tc>
        <w:tc>
          <w:tcPr>
            <w:tcW w:w="914" w:type="pct"/>
            <w:vAlign w:val="center"/>
          </w:tcPr>
          <w:p w14:paraId="497A7A74">
            <w:pPr>
              <w:spacing w:line="320" w:lineRule="exact"/>
              <w:jc w:val="center"/>
              <w:rPr>
                <w:rFonts w:eastAsiaTheme="minorEastAsia"/>
                <w:bCs/>
                <w:szCs w:val="20"/>
              </w:rPr>
            </w:pPr>
            <w:r>
              <w:rPr>
                <w:rFonts w:hint="eastAsia" w:eastAsiaTheme="minorEastAsia"/>
                <w:bCs/>
                <w:szCs w:val="20"/>
              </w:rPr>
              <w:t>无量纲</w:t>
            </w:r>
          </w:p>
        </w:tc>
        <w:tc>
          <w:tcPr>
            <w:tcW w:w="1043" w:type="pct"/>
            <w:vAlign w:val="center"/>
          </w:tcPr>
          <w:p w14:paraId="21B7E045">
            <w:pPr>
              <w:spacing w:line="320" w:lineRule="exact"/>
              <w:jc w:val="center"/>
              <w:rPr>
                <w:rFonts w:eastAsiaTheme="minorEastAsia"/>
                <w:bCs/>
                <w:szCs w:val="20"/>
              </w:rPr>
            </w:pPr>
            <w:r>
              <w:rPr>
                <w:rFonts w:eastAsiaTheme="minorEastAsia"/>
                <w:bCs/>
                <w:szCs w:val="20"/>
              </w:rPr>
              <w:t>6～9</w:t>
            </w:r>
          </w:p>
        </w:tc>
        <w:tc>
          <w:tcPr>
            <w:tcW w:w="902" w:type="pct"/>
            <w:vMerge w:val="restart"/>
            <w:vAlign w:val="center"/>
          </w:tcPr>
          <w:p w14:paraId="7CBDBC82">
            <w:pPr>
              <w:spacing w:line="320" w:lineRule="exact"/>
              <w:jc w:val="center"/>
              <w:rPr>
                <w:rFonts w:eastAsiaTheme="minorEastAsia"/>
                <w:bCs/>
                <w:szCs w:val="20"/>
              </w:rPr>
            </w:pPr>
            <w:r>
              <w:rPr>
                <w:rFonts w:eastAsiaTheme="minorEastAsia"/>
                <w:bCs/>
                <w:szCs w:val="20"/>
              </w:rPr>
              <w:t>污水处理厂出水</w:t>
            </w:r>
          </w:p>
        </w:tc>
      </w:tr>
      <w:tr w14:paraId="72A57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751E0C99">
            <w:pPr>
              <w:spacing w:line="320" w:lineRule="exact"/>
              <w:jc w:val="center"/>
              <w:rPr>
                <w:rFonts w:eastAsiaTheme="minorEastAsia"/>
                <w:bCs/>
                <w:szCs w:val="20"/>
              </w:rPr>
            </w:pPr>
          </w:p>
        </w:tc>
        <w:tc>
          <w:tcPr>
            <w:tcW w:w="914" w:type="pct"/>
            <w:vAlign w:val="center"/>
          </w:tcPr>
          <w:p w14:paraId="1BDDD10F">
            <w:pPr>
              <w:spacing w:line="320" w:lineRule="exact"/>
              <w:jc w:val="center"/>
              <w:rPr>
                <w:rFonts w:eastAsiaTheme="minorEastAsia"/>
                <w:bCs/>
                <w:szCs w:val="20"/>
              </w:rPr>
            </w:pPr>
            <w:r>
              <w:rPr>
                <w:rFonts w:eastAsiaTheme="minorEastAsia"/>
                <w:bCs/>
                <w:szCs w:val="20"/>
              </w:rPr>
              <w:t>COD</w:t>
            </w:r>
          </w:p>
        </w:tc>
        <w:tc>
          <w:tcPr>
            <w:tcW w:w="914" w:type="pct"/>
            <w:vAlign w:val="center"/>
          </w:tcPr>
          <w:p w14:paraId="6EC788C4">
            <w:pPr>
              <w:spacing w:line="320" w:lineRule="exact"/>
              <w:jc w:val="center"/>
              <w:rPr>
                <w:rFonts w:eastAsiaTheme="minorEastAsia"/>
                <w:bCs/>
                <w:szCs w:val="20"/>
              </w:rPr>
            </w:pPr>
            <w:r>
              <w:rPr>
                <w:rFonts w:eastAsiaTheme="minorEastAsia"/>
                <w:bCs/>
                <w:szCs w:val="20"/>
              </w:rPr>
              <w:t>mg/L</w:t>
            </w:r>
          </w:p>
        </w:tc>
        <w:tc>
          <w:tcPr>
            <w:tcW w:w="1043" w:type="pct"/>
            <w:vAlign w:val="center"/>
          </w:tcPr>
          <w:p w14:paraId="52575892">
            <w:pPr>
              <w:spacing w:line="320" w:lineRule="exact"/>
              <w:jc w:val="center"/>
              <w:rPr>
                <w:rFonts w:eastAsiaTheme="minorEastAsia"/>
                <w:bCs/>
                <w:szCs w:val="20"/>
              </w:rPr>
            </w:pPr>
            <w:r>
              <w:rPr>
                <w:rFonts w:eastAsiaTheme="minorEastAsia"/>
                <w:bCs/>
                <w:szCs w:val="20"/>
              </w:rPr>
              <w:t>50</w:t>
            </w:r>
          </w:p>
        </w:tc>
        <w:tc>
          <w:tcPr>
            <w:tcW w:w="902" w:type="pct"/>
            <w:vMerge w:val="continue"/>
            <w:vAlign w:val="center"/>
          </w:tcPr>
          <w:p w14:paraId="00FF0646">
            <w:pPr>
              <w:spacing w:line="320" w:lineRule="exact"/>
              <w:jc w:val="center"/>
              <w:rPr>
                <w:rFonts w:eastAsiaTheme="minorEastAsia"/>
                <w:bCs/>
                <w:szCs w:val="20"/>
              </w:rPr>
            </w:pPr>
          </w:p>
        </w:tc>
      </w:tr>
      <w:tr w14:paraId="102C1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18CAEB3E">
            <w:pPr>
              <w:spacing w:line="320" w:lineRule="exact"/>
              <w:jc w:val="center"/>
              <w:rPr>
                <w:rFonts w:eastAsiaTheme="minorEastAsia"/>
                <w:bCs/>
                <w:szCs w:val="20"/>
              </w:rPr>
            </w:pPr>
          </w:p>
        </w:tc>
        <w:tc>
          <w:tcPr>
            <w:tcW w:w="914" w:type="pct"/>
            <w:vAlign w:val="center"/>
          </w:tcPr>
          <w:p w14:paraId="474C29B4">
            <w:pPr>
              <w:spacing w:line="320" w:lineRule="exact"/>
              <w:jc w:val="center"/>
              <w:rPr>
                <w:rFonts w:eastAsiaTheme="minorEastAsia"/>
                <w:bCs/>
                <w:szCs w:val="20"/>
              </w:rPr>
            </w:pPr>
            <w:r>
              <w:rPr>
                <w:rFonts w:eastAsiaTheme="minorEastAsia"/>
                <w:bCs/>
                <w:szCs w:val="20"/>
              </w:rPr>
              <w:t>BOD</w:t>
            </w:r>
            <w:r>
              <w:rPr>
                <w:rFonts w:eastAsiaTheme="minorEastAsia"/>
                <w:bCs/>
                <w:szCs w:val="20"/>
                <w:vertAlign w:val="subscript"/>
              </w:rPr>
              <w:t>5</w:t>
            </w:r>
          </w:p>
        </w:tc>
        <w:tc>
          <w:tcPr>
            <w:tcW w:w="914" w:type="pct"/>
            <w:vAlign w:val="center"/>
          </w:tcPr>
          <w:p w14:paraId="79C54EAB">
            <w:pPr>
              <w:spacing w:line="320" w:lineRule="exact"/>
              <w:jc w:val="center"/>
              <w:rPr>
                <w:rFonts w:eastAsiaTheme="minorEastAsia"/>
                <w:bCs/>
                <w:szCs w:val="20"/>
              </w:rPr>
            </w:pPr>
            <w:r>
              <w:rPr>
                <w:rFonts w:eastAsiaTheme="minorEastAsia"/>
                <w:bCs/>
                <w:szCs w:val="20"/>
              </w:rPr>
              <w:t>mg/L</w:t>
            </w:r>
          </w:p>
        </w:tc>
        <w:tc>
          <w:tcPr>
            <w:tcW w:w="1043" w:type="pct"/>
            <w:vAlign w:val="center"/>
          </w:tcPr>
          <w:p w14:paraId="4AAB0DBF">
            <w:pPr>
              <w:spacing w:line="320" w:lineRule="exact"/>
              <w:jc w:val="center"/>
              <w:rPr>
                <w:rFonts w:eastAsiaTheme="minorEastAsia"/>
                <w:bCs/>
                <w:szCs w:val="20"/>
              </w:rPr>
            </w:pPr>
            <w:r>
              <w:rPr>
                <w:rFonts w:eastAsiaTheme="minorEastAsia"/>
                <w:bCs/>
                <w:szCs w:val="20"/>
              </w:rPr>
              <w:t>10</w:t>
            </w:r>
          </w:p>
        </w:tc>
        <w:tc>
          <w:tcPr>
            <w:tcW w:w="902" w:type="pct"/>
            <w:vMerge w:val="continue"/>
            <w:vAlign w:val="center"/>
          </w:tcPr>
          <w:p w14:paraId="0C772C88">
            <w:pPr>
              <w:spacing w:line="320" w:lineRule="exact"/>
              <w:jc w:val="center"/>
              <w:rPr>
                <w:rFonts w:eastAsiaTheme="minorEastAsia"/>
                <w:bCs/>
                <w:szCs w:val="20"/>
              </w:rPr>
            </w:pPr>
          </w:p>
        </w:tc>
      </w:tr>
      <w:tr w14:paraId="69F1D4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59049F77">
            <w:pPr>
              <w:spacing w:line="320" w:lineRule="exact"/>
              <w:jc w:val="center"/>
              <w:rPr>
                <w:rFonts w:eastAsiaTheme="minorEastAsia"/>
                <w:bCs/>
                <w:szCs w:val="20"/>
              </w:rPr>
            </w:pPr>
          </w:p>
        </w:tc>
        <w:tc>
          <w:tcPr>
            <w:tcW w:w="914" w:type="pct"/>
            <w:vAlign w:val="center"/>
          </w:tcPr>
          <w:p w14:paraId="7652A759">
            <w:pPr>
              <w:spacing w:line="320" w:lineRule="exact"/>
              <w:jc w:val="center"/>
              <w:rPr>
                <w:rFonts w:eastAsiaTheme="minorEastAsia"/>
                <w:bCs/>
                <w:szCs w:val="20"/>
              </w:rPr>
            </w:pPr>
            <w:r>
              <w:rPr>
                <w:rFonts w:eastAsiaTheme="minorEastAsia"/>
                <w:bCs/>
                <w:szCs w:val="20"/>
              </w:rPr>
              <w:t>SS</w:t>
            </w:r>
          </w:p>
        </w:tc>
        <w:tc>
          <w:tcPr>
            <w:tcW w:w="914" w:type="pct"/>
            <w:vAlign w:val="center"/>
          </w:tcPr>
          <w:p w14:paraId="2F15A497">
            <w:pPr>
              <w:spacing w:line="320" w:lineRule="exact"/>
              <w:jc w:val="center"/>
              <w:rPr>
                <w:rFonts w:eastAsiaTheme="minorEastAsia"/>
                <w:bCs/>
                <w:szCs w:val="20"/>
              </w:rPr>
            </w:pPr>
            <w:r>
              <w:rPr>
                <w:rFonts w:eastAsiaTheme="minorEastAsia"/>
                <w:bCs/>
                <w:szCs w:val="20"/>
              </w:rPr>
              <w:t>mg/L</w:t>
            </w:r>
          </w:p>
        </w:tc>
        <w:tc>
          <w:tcPr>
            <w:tcW w:w="1043" w:type="pct"/>
            <w:vAlign w:val="center"/>
          </w:tcPr>
          <w:p w14:paraId="7EC96525">
            <w:pPr>
              <w:spacing w:line="320" w:lineRule="exact"/>
              <w:jc w:val="center"/>
              <w:rPr>
                <w:rFonts w:eastAsiaTheme="minorEastAsia"/>
                <w:bCs/>
                <w:szCs w:val="20"/>
              </w:rPr>
            </w:pPr>
            <w:r>
              <w:rPr>
                <w:rFonts w:eastAsiaTheme="minorEastAsia"/>
                <w:bCs/>
                <w:szCs w:val="20"/>
              </w:rPr>
              <w:t>10</w:t>
            </w:r>
          </w:p>
        </w:tc>
        <w:tc>
          <w:tcPr>
            <w:tcW w:w="902" w:type="pct"/>
            <w:vMerge w:val="continue"/>
            <w:vAlign w:val="center"/>
          </w:tcPr>
          <w:p w14:paraId="1184D9D3">
            <w:pPr>
              <w:spacing w:line="320" w:lineRule="exact"/>
              <w:jc w:val="center"/>
              <w:rPr>
                <w:rFonts w:eastAsiaTheme="minorEastAsia"/>
                <w:bCs/>
                <w:szCs w:val="20"/>
              </w:rPr>
            </w:pPr>
          </w:p>
        </w:tc>
      </w:tr>
      <w:tr w14:paraId="532EE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68FE954D">
            <w:pPr>
              <w:spacing w:line="320" w:lineRule="exact"/>
              <w:jc w:val="center"/>
              <w:rPr>
                <w:rFonts w:eastAsiaTheme="minorEastAsia"/>
                <w:bCs/>
                <w:szCs w:val="20"/>
              </w:rPr>
            </w:pPr>
          </w:p>
        </w:tc>
        <w:tc>
          <w:tcPr>
            <w:tcW w:w="914" w:type="pct"/>
            <w:vAlign w:val="center"/>
          </w:tcPr>
          <w:p w14:paraId="265C6325">
            <w:pPr>
              <w:spacing w:line="320" w:lineRule="exact"/>
              <w:jc w:val="center"/>
              <w:rPr>
                <w:rFonts w:eastAsiaTheme="minorEastAsia"/>
                <w:bCs/>
                <w:szCs w:val="20"/>
              </w:rPr>
            </w:pPr>
            <w:r>
              <w:rPr>
                <w:rFonts w:eastAsiaTheme="minorEastAsia"/>
                <w:bCs/>
                <w:szCs w:val="20"/>
              </w:rPr>
              <w:t>氨氮</w:t>
            </w:r>
          </w:p>
        </w:tc>
        <w:tc>
          <w:tcPr>
            <w:tcW w:w="914" w:type="pct"/>
            <w:vAlign w:val="center"/>
          </w:tcPr>
          <w:p w14:paraId="19ECC978">
            <w:pPr>
              <w:spacing w:line="320" w:lineRule="exact"/>
              <w:jc w:val="center"/>
              <w:rPr>
                <w:rFonts w:eastAsiaTheme="minorEastAsia"/>
                <w:bCs/>
                <w:szCs w:val="20"/>
              </w:rPr>
            </w:pPr>
            <w:r>
              <w:rPr>
                <w:rFonts w:eastAsiaTheme="minorEastAsia"/>
                <w:bCs/>
                <w:szCs w:val="20"/>
              </w:rPr>
              <w:t>mg/L</w:t>
            </w:r>
          </w:p>
        </w:tc>
        <w:tc>
          <w:tcPr>
            <w:tcW w:w="1043" w:type="pct"/>
            <w:vAlign w:val="center"/>
          </w:tcPr>
          <w:p w14:paraId="3AF68094">
            <w:pPr>
              <w:spacing w:line="320" w:lineRule="exact"/>
              <w:jc w:val="center"/>
              <w:rPr>
                <w:rFonts w:eastAsiaTheme="minorEastAsia"/>
                <w:bCs/>
                <w:szCs w:val="20"/>
              </w:rPr>
            </w:pPr>
            <w:r>
              <w:rPr>
                <w:rFonts w:eastAsiaTheme="minorEastAsia"/>
                <w:bCs/>
                <w:szCs w:val="20"/>
              </w:rPr>
              <w:t>5</w:t>
            </w:r>
          </w:p>
        </w:tc>
        <w:tc>
          <w:tcPr>
            <w:tcW w:w="902" w:type="pct"/>
            <w:vMerge w:val="continue"/>
            <w:vAlign w:val="center"/>
          </w:tcPr>
          <w:p w14:paraId="3924CA45">
            <w:pPr>
              <w:spacing w:line="320" w:lineRule="exact"/>
              <w:jc w:val="center"/>
              <w:rPr>
                <w:rFonts w:eastAsiaTheme="minorEastAsia"/>
                <w:bCs/>
                <w:szCs w:val="20"/>
              </w:rPr>
            </w:pPr>
          </w:p>
        </w:tc>
      </w:tr>
      <w:tr w14:paraId="02DA5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79926C50">
            <w:pPr>
              <w:spacing w:line="320" w:lineRule="exact"/>
              <w:jc w:val="center"/>
              <w:rPr>
                <w:rFonts w:eastAsiaTheme="minorEastAsia"/>
                <w:bCs/>
                <w:szCs w:val="20"/>
              </w:rPr>
            </w:pPr>
          </w:p>
        </w:tc>
        <w:tc>
          <w:tcPr>
            <w:tcW w:w="914" w:type="pct"/>
            <w:vAlign w:val="center"/>
          </w:tcPr>
          <w:p w14:paraId="08CC53CD">
            <w:pPr>
              <w:spacing w:line="320" w:lineRule="exact"/>
              <w:jc w:val="center"/>
              <w:rPr>
                <w:rFonts w:eastAsiaTheme="minorEastAsia"/>
                <w:bCs/>
                <w:szCs w:val="20"/>
              </w:rPr>
            </w:pPr>
            <w:r>
              <w:rPr>
                <w:rFonts w:eastAsiaTheme="minorEastAsia"/>
                <w:bCs/>
                <w:szCs w:val="20"/>
              </w:rPr>
              <w:t>TN</w:t>
            </w:r>
          </w:p>
        </w:tc>
        <w:tc>
          <w:tcPr>
            <w:tcW w:w="914" w:type="pct"/>
            <w:vAlign w:val="center"/>
          </w:tcPr>
          <w:p w14:paraId="5E5B7F38">
            <w:pPr>
              <w:spacing w:line="320" w:lineRule="exact"/>
              <w:jc w:val="center"/>
              <w:rPr>
                <w:rFonts w:eastAsiaTheme="minorEastAsia"/>
                <w:bCs/>
                <w:szCs w:val="20"/>
              </w:rPr>
            </w:pPr>
            <w:r>
              <w:rPr>
                <w:rFonts w:eastAsiaTheme="minorEastAsia"/>
                <w:bCs/>
                <w:szCs w:val="20"/>
              </w:rPr>
              <w:t>mg/L</w:t>
            </w:r>
          </w:p>
        </w:tc>
        <w:tc>
          <w:tcPr>
            <w:tcW w:w="1043" w:type="pct"/>
            <w:vAlign w:val="center"/>
          </w:tcPr>
          <w:p w14:paraId="576E07EE">
            <w:pPr>
              <w:spacing w:line="320" w:lineRule="exact"/>
              <w:jc w:val="center"/>
              <w:rPr>
                <w:rFonts w:eastAsiaTheme="minorEastAsia"/>
                <w:bCs/>
                <w:szCs w:val="20"/>
              </w:rPr>
            </w:pPr>
            <w:r>
              <w:rPr>
                <w:rFonts w:hint="eastAsia" w:eastAsiaTheme="minorEastAsia"/>
                <w:bCs/>
                <w:szCs w:val="20"/>
              </w:rPr>
              <w:t>15</w:t>
            </w:r>
          </w:p>
        </w:tc>
        <w:tc>
          <w:tcPr>
            <w:tcW w:w="902" w:type="pct"/>
            <w:vMerge w:val="continue"/>
            <w:vAlign w:val="center"/>
          </w:tcPr>
          <w:p w14:paraId="15304596">
            <w:pPr>
              <w:spacing w:line="320" w:lineRule="exact"/>
              <w:jc w:val="center"/>
              <w:rPr>
                <w:rFonts w:eastAsiaTheme="minorEastAsia"/>
                <w:bCs/>
                <w:szCs w:val="20"/>
              </w:rPr>
            </w:pPr>
          </w:p>
        </w:tc>
      </w:tr>
      <w:tr w14:paraId="5AF82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1048A738">
            <w:pPr>
              <w:spacing w:line="320" w:lineRule="exact"/>
              <w:jc w:val="center"/>
              <w:rPr>
                <w:rFonts w:eastAsiaTheme="minorEastAsia"/>
                <w:bCs/>
                <w:szCs w:val="20"/>
              </w:rPr>
            </w:pPr>
          </w:p>
        </w:tc>
        <w:tc>
          <w:tcPr>
            <w:tcW w:w="914" w:type="pct"/>
            <w:vAlign w:val="center"/>
          </w:tcPr>
          <w:p w14:paraId="6839CB29">
            <w:pPr>
              <w:widowControl/>
              <w:spacing w:line="320" w:lineRule="exact"/>
              <w:jc w:val="center"/>
              <w:rPr>
                <w:rFonts w:eastAsiaTheme="minorEastAsia"/>
                <w:kern w:val="0"/>
                <w:szCs w:val="21"/>
              </w:rPr>
            </w:pPr>
            <w:r>
              <w:rPr>
                <w:rFonts w:eastAsiaTheme="minorEastAsia"/>
                <w:kern w:val="0"/>
                <w:szCs w:val="21"/>
              </w:rPr>
              <w:t>TP</w:t>
            </w:r>
          </w:p>
        </w:tc>
        <w:tc>
          <w:tcPr>
            <w:tcW w:w="914" w:type="pct"/>
            <w:vAlign w:val="center"/>
          </w:tcPr>
          <w:p w14:paraId="672B7508">
            <w:pPr>
              <w:spacing w:line="320" w:lineRule="exact"/>
              <w:jc w:val="center"/>
              <w:rPr>
                <w:rFonts w:eastAsiaTheme="minorEastAsia"/>
                <w:bCs/>
                <w:szCs w:val="20"/>
              </w:rPr>
            </w:pPr>
            <w:r>
              <w:rPr>
                <w:rFonts w:eastAsiaTheme="minorEastAsia"/>
                <w:bCs/>
                <w:szCs w:val="20"/>
              </w:rPr>
              <w:t>mg/L</w:t>
            </w:r>
          </w:p>
        </w:tc>
        <w:tc>
          <w:tcPr>
            <w:tcW w:w="1043" w:type="pct"/>
            <w:vAlign w:val="center"/>
          </w:tcPr>
          <w:p w14:paraId="76FE043F">
            <w:pPr>
              <w:spacing w:line="320" w:lineRule="exact"/>
              <w:jc w:val="center"/>
              <w:rPr>
                <w:rFonts w:eastAsiaTheme="minorEastAsia"/>
                <w:bCs/>
                <w:szCs w:val="20"/>
              </w:rPr>
            </w:pPr>
            <w:r>
              <w:rPr>
                <w:rFonts w:hint="eastAsia" w:eastAsiaTheme="minorEastAsia"/>
                <w:bCs/>
                <w:szCs w:val="20"/>
              </w:rPr>
              <w:t>0.5</w:t>
            </w:r>
          </w:p>
        </w:tc>
        <w:tc>
          <w:tcPr>
            <w:tcW w:w="902" w:type="pct"/>
            <w:vMerge w:val="continue"/>
            <w:vAlign w:val="center"/>
          </w:tcPr>
          <w:p w14:paraId="25D5884A">
            <w:pPr>
              <w:spacing w:line="320" w:lineRule="exact"/>
              <w:jc w:val="center"/>
              <w:rPr>
                <w:rFonts w:eastAsiaTheme="minorEastAsia"/>
                <w:bCs/>
                <w:szCs w:val="20"/>
              </w:rPr>
            </w:pPr>
          </w:p>
        </w:tc>
      </w:tr>
      <w:tr w14:paraId="41CE6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7" w:type="pct"/>
            <w:vMerge w:val="continue"/>
            <w:vAlign w:val="center"/>
          </w:tcPr>
          <w:p w14:paraId="202F72A0">
            <w:pPr>
              <w:spacing w:line="320" w:lineRule="exact"/>
              <w:jc w:val="center"/>
              <w:rPr>
                <w:rFonts w:eastAsiaTheme="minorEastAsia"/>
                <w:bCs/>
                <w:szCs w:val="20"/>
              </w:rPr>
            </w:pPr>
          </w:p>
        </w:tc>
        <w:tc>
          <w:tcPr>
            <w:tcW w:w="914" w:type="pct"/>
            <w:vAlign w:val="center"/>
          </w:tcPr>
          <w:p w14:paraId="1135D91F">
            <w:pPr>
              <w:spacing w:line="320" w:lineRule="exact"/>
              <w:jc w:val="center"/>
              <w:rPr>
                <w:rFonts w:eastAsiaTheme="minorEastAsia"/>
                <w:bCs/>
                <w:szCs w:val="20"/>
              </w:rPr>
            </w:pPr>
            <w:r>
              <w:rPr>
                <w:rFonts w:hint="eastAsia" w:eastAsiaTheme="minorEastAsia"/>
                <w:bCs/>
                <w:szCs w:val="20"/>
              </w:rPr>
              <w:t>动植物油</w:t>
            </w:r>
          </w:p>
        </w:tc>
        <w:tc>
          <w:tcPr>
            <w:tcW w:w="914" w:type="pct"/>
            <w:vAlign w:val="center"/>
          </w:tcPr>
          <w:p w14:paraId="55E9CCC9">
            <w:pPr>
              <w:spacing w:line="320" w:lineRule="exact"/>
              <w:jc w:val="center"/>
              <w:rPr>
                <w:rFonts w:eastAsiaTheme="minorEastAsia"/>
                <w:bCs/>
                <w:szCs w:val="20"/>
              </w:rPr>
            </w:pPr>
            <w:r>
              <w:rPr>
                <w:rFonts w:eastAsiaTheme="minorEastAsia"/>
                <w:bCs/>
                <w:szCs w:val="20"/>
              </w:rPr>
              <w:t>mg/L</w:t>
            </w:r>
          </w:p>
        </w:tc>
        <w:tc>
          <w:tcPr>
            <w:tcW w:w="1043" w:type="pct"/>
            <w:vAlign w:val="center"/>
          </w:tcPr>
          <w:p w14:paraId="57E16B0D">
            <w:pPr>
              <w:spacing w:line="320" w:lineRule="exact"/>
              <w:jc w:val="center"/>
              <w:rPr>
                <w:rFonts w:eastAsiaTheme="minorEastAsia"/>
                <w:bCs/>
                <w:szCs w:val="20"/>
              </w:rPr>
            </w:pPr>
            <w:r>
              <w:rPr>
                <w:rFonts w:hint="eastAsia" w:eastAsiaTheme="minorEastAsia"/>
                <w:bCs/>
                <w:szCs w:val="20"/>
              </w:rPr>
              <w:t>1</w:t>
            </w:r>
          </w:p>
        </w:tc>
        <w:tc>
          <w:tcPr>
            <w:tcW w:w="902" w:type="pct"/>
            <w:vMerge w:val="continue"/>
            <w:vAlign w:val="center"/>
          </w:tcPr>
          <w:p w14:paraId="09489455">
            <w:pPr>
              <w:spacing w:line="320" w:lineRule="exact"/>
              <w:jc w:val="center"/>
              <w:rPr>
                <w:rFonts w:eastAsiaTheme="minorEastAsia"/>
                <w:bCs/>
                <w:szCs w:val="20"/>
              </w:rPr>
            </w:pPr>
          </w:p>
        </w:tc>
      </w:tr>
    </w:tbl>
    <w:p w14:paraId="48E27120">
      <w:pPr>
        <w:spacing w:line="360" w:lineRule="auto"/>
        <w:ind w:firstLine="482" w:firstLineChars="200"/>
        <w:rPr>
          <w:rFonts w:eastAsiaTheme="minorEastAsia"/>
          <w:b/>
          <w:sz w:val="24"/>
        </w:rPr>
      </w:pPr>
      <w:r>
        <w:rPr>
          <w:rFonts w:eastAsiaTheme="minorEastAsia"/>
          <w:b/>
          <w:sz w:val="24"/>
        </w:rPr>
        <w:t>（3）噪声排放标准</w:t>
      </w:r>
    </w:p>
    <w:p w14:paraId="72FD07CC">
      <w:pPr>
        <w:spacing w:line="360" w:lineRule="auto"/>
        <w:ind w:firstLine="480" w:firstLineChars="200"/>
        <w:rPr>
          <w:rFonts w:eastAsiaTheme="minorEastAsia"/>
          <w:sz w:val="24"/>
        </w:rPr>
      </w:pPr>
      <w:r>
        <w:rPr>
          <w:rFonts w:hint="eastAsia" w:eastAsiaTheme="minorEastAsia"/>
          <w:sz w:val="24"/>
        </w:rPr>
        <w:t>工业区</w:t>
      </w:r>
      <w:r>
        <w:rPr>
          <w:rFonts w:eastAsiaTheme="minorEastAsia"/>
          <w:sz w:val="24"/>
        </w:rPr>
        <w:t>施工期噪声排放执行《建筑施工场界环境噪声排放标准》（GB12523-2011）；运行期</w:t>
      </w:r>
      <w:r>
        <w:rPr>
          <w:rFonts w:hint="eastAsia" w:eastAsiaTheme="minorEastAsia"/>
          <w:sz w:val="24"/>
        </w:rPr>
        <w:t>工业区</w:t>
      </w:r>
      <w:r>
        <w:rPr>
          <w:rFonts w:eastAsiaTheme="minorEastAsia"/>
          <w:sz w:val="24"/>
        </w:rPr>
        <w:t>噪声排放执行《工业企业厂界环境噪声排放标准》（GB12348-2008）中3类标准，</w:t>
      </w:r>
      <w:r>
        <w:rPr>
          <w:rFonts w:hint="eastAsia" w:eastAsiaTheme="minorEastAsia"/>
          <w:sz w:val="24"/>
        </w:rPr>
        <w:t>区域城市中的道路主干路和次干路交通干线边界线外一定距离内</w:t>
      </w:r>
      <w:r>
        <w:rPr>
          <w:rFonts w:eastAsiaTheme="minorEastAsia"/>
          <w:sz w:val="24"/>
        </w:rPr>
        <w:t>噪声排放执行《工业企业厂界环境噪声排放标准》（GB12348-2008）中</w:t>
      </w:r>
      <w:r>
        <w:rPr>
          <w:rFonts w:hint="eastAsia" w:eastAsiaTheme="minorEastAsia"/>
          <w:sz w:val="24"/>
        </w:rPr>
        <w:t>4类</w:t>
      </w:r>
      <w:r>
        <w:rPr>
          <w:rFonts w:eastAsiaTheme="minorEastAsia"/>
          <w:sz w:val="24"/>
        </w:rPr>
        <w:t>标准，其他区域执行《工业企业厂界环境噪声排放标准》（GB12348-2008）中</w:t>
      </w:r>
      <w:r>
        <w:rPr>
          <w:rFonts w:hint="eastAsia" w:eastAsiaTheme="minorEastAsia"/>
          <w:sz w:val="24"/>
        </w:rPr>
        <w:t>2类</w:t>
      </w:r>
      <w:r>
        <w:rPr>
          <w:rFonts w:eastAsiaTheme="minorEastAsia"/>
          <w:sz w:val="24"/>
        </w:rPr>
        <w:t>标准</w:t>
      </w:r>
      <w:r>
        <w:rPr>
          <w:rFonts w:hint="eastAsia" w:eastAsiaTheme="minorEastAsia"/>
          <w:sz w:val="24"/>
        </w:rPr>
        <w:t>。</w:t>
      </w:r>
      <w:r>
        <w:rPr>
          <w:rFonts w:eastAsiaTheme="minorEastAsia"/>
          <w:sz w:val="24"/>
        </w:rPr>
        <w:t>具体噪声限值见下表。</w:t>
      </w:r>
    </w:p>
    <w:p w14:paraId="4D7D8945">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1.6.3-4</w:t>
      </w:r>
      <w:r>
        <w:rPr>
          <w:rFonts w:eastAsiaTheme="minorEastAsia"/>
          <w:b/>
          <w:snapToGrid w:val="0"/>
          <w:kern w:val="18"/>
          <w:szCs w:val="21"/>
        </w:rPr>
        <w:t xml:space="preserve">  噪声污染控制标准值[dB（A）]</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960"/>
        <w:gridCol w:w="1538"/>
        <w:gridCol w:w="849"/>
        <w:gridCol w:w="851"/>
        <w:gridCol w:w="1756"/>
      </w:tblGrid>
      <w:tr w14:paraId="65A2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Align w:val="center"/>
          </w:tcPr>
          <w:p w14:paraId="1AA8F24D">
            <w:pPr>
              <w:adjustRightInd w:val="0"/>
              <w:snapToGrid w:val="0"/>
              <w:spacing w:line="320" w:lineRule="exact"/>
              <w:jc w:val="center"/>
              <w:textAlignment w:val="baseline"/>
              <w:rPr>
                <w:rFonts w:eastAsiaTheme="minorEastAsia"/>
                <w:bCs/>
                <w:szCs w:val="20"/>
              </w:rPr>
            </w:pPr>
            <w:r>
              <w:rPr>
                <w:rFonts w:eastAsiaTheme="minorEastAsia"/>
                <w:bCs/>
                <w:szCs w:val="20"/>
              </w:rPr>
              <w:t>标准号</w:t>
            </w:r>
          </w:p>
        </w:tc>
        <w:tc>
          <w:tcPr>
            <w:tcW w:w="1149" w:type="pct"/>
            <w:vAlign w:val="center"/>
          </w:tcPr>
          <w:p w14:paraId="4C6B8FFF">
            <w:pPr>
              <w:adjustRightInd w:val="0"/>
              <w:snapToGrid w:val="0"/>
              <w:spacing w:line="320" w:lineRule="exact"/>
              <w:jc w:val="center"/>
              <w:textAlignment w:val="baseline"/>
              <w:rPr>
                <w:rFonts w:eastAsiaTheme="minorEastAsia"/>
                <w:bCs/>
                <w:szCs w:val="20"/>
              </w:rPr>
            </w:pPr>
            <w:r>
              <w:rPr>
                <w:rFonts w:eastAsiaTheme="minorEastAsia"/>
                <w:bCs/>
                <w:szCs w:val="20"/>
              </w:rPr>
              <w:t>控制标准</w:t>
            </w:r>
          </w:p>
        </w:tc>
        <w:tc>
          <w:tcPr>
            <w:tcW w:w="902" w:type="pct"/>
            <w:vAlign w:val="center"/>
          </w:tcPr>
          <w:p w14:paraId="37388134">
            <w:pPr>
              <w:adjustRightInd w:val="0"/>
              <w:snapToGrid w:val="0"/>
              <w:spacing w:line="320" w:lineRule="exact"/>
              <w:jc w:val="center"/>
              <w:textAlignment w:val="baseline"/>
              <w:rPr>
                <w:rFonts w:eastAsiaTheme="minorEastAsia"/>
                <w:bCs/>
                <w:szCs w:val="20"/>
              </w:rPr>
            </w:pPr>
            <w:r>
              <w:rPr>
                <w:rFonts w:eastAsiaTheme="minorEastAsia"/>
                <w:bCs/>
                <w:szCs w:val="20"/>
              </w:rPr>
              <w:t>控制对象</w:t>
            </w:r>
          </w:p>
        </w:tc>
        <w:tc>
          <w:tcPr>
            <w:tcW w:w="498" w:type="pct"/>
            <w:vAlign w:val="center"/>
          </w:tcPr>
          <w:p w14:paraId="72C175FE">
            <w:pPr>
              <w:adjustRightInd w:val="0"/>
              <w:snapToGrid w:val="0"/>
              <w:spacing w:line="320" w:lineRule="exact"/>
              <w:jc w:val="center"/>
              <w:textAlignment w:val="baseline"/>
              <w:rPr>
                <w:rFonts w:eastAsiaTheme="minorEastAsia"/>
                <w:bCs/>
                <w:szCs w:val="20"/>
              </w:rPr>
            </w:pPr>
            <w:r>
              <w:rPr>
                <w:rFonts w:eastAsiaTheme="minorEastAsia"/>
                <w:bCs/>
                <w:szCs w:val="20"/>
              </w:rPr>
              <w:t>昼间</w:t>
            </w:r>
          </w:p>
        </w:tc>
        <w:tc>
          <w:tcPr>
            <w:tcW w:w="499" w:type="pct"/>
            <w:vAlign w:val="center"/>
          </w:tcPr>
          <w:p w14:paraId="68B03753">
            <w:pPr>
              <w:adjustRightInd w:val="0"/>
              <w:snapToGrid w:val="0"/>
              <w:spacing w:line="320" w:lineRule="exact"/>
              <w:jc w:val="center"/>
              <w:textAlignment w:val="baseline"/>
              <w:rPr>
                <w:rFonts w:eastAsiaTheme="minorEastAsia"/>
                <w:bCs/>
                <w:szCs w:val="20"/>
              </w:rPr>
            </w:pPr>
            <w:r>
              <w:rPr>
                <w:rFonts w:eastAsiaTheme="minorEastAsia"/>
                <w:bCs/>
                <w:szCs w:val="20"/>
              </w:rPr>
              <w:t>夜间</w:t>
            </w:r>
          </w:p>
        </w:tc>
        <w:tc>
          <w:tcPr>
            <w:tcW w:w="1030" w:type="pct"/>
            <w:vAlign w:val="center"/>
          </w:tcPr>
          <w:p w14:paraId="491DECB2">
            <w:pPr>
              <w:adjustRightInd w:val="0"/>
              <w:snapToGrid w:val="0"/>
              <w:spacing w:line="320" w:lineRule="exact"/>
              <w:jc w:val="center"/>
              <w:textAlignment w:val="baseline"/>
              <w:rPr>
                <w:rFonts w:eastAsiaTheme="minorEastAsia"/>
                <w:bCs/>
                <w:szCs w:val="20"/>
              </w:rPr>
            </w:pPr>
            <w:r>
              <w:rPr>
                <w:rFonts w:eastAsiaTheme="minorEastAsia"/>
                <w:bCs/>
                <w:szCs w:val="20"/>
              </w:rPr>
              <w:t>控制级类别</w:t>
            </w:r>
          </w:p>
        </w:tc>
      </w:tr>
      <w:tr w14:paraId="6F628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Align w:val="center"/>
          </w:tcPr>
          <w:p w14:paraId="72F81B39">
            <w:pPr>
              <w:adjustRightInd w:val="0"/>
              <w:snapToGrid w:val="0"/>
              <w:spacing w:line="320" w:lineRule="exact"/>
              <w:jc w:val="center"/>
              <w:textAlignment w:val="baseline"/>
              <w:rPr>
                <w:rFonts w:eastAsiaTheme="minorEastAsia"/>
                <w:bCs/>
                <w:szCs w:val="20"/>
              </w:rPr>
            </w:pPr>
            <w:r>
              <w:rPr>
                <w:rFonts w:eastAsiaTheme="minorEastAsia"/>
                <w:bCs/>
                <w:szCs w:val="20"/>
              </w:rPr>
              <w:t>GB12523-2011</w:t>
            </w:r>
          </w:p>
        </w:tc>
        <w:tc>
          <w:tcPr>
            <w:tcW w:w="1149" w:type="pct"/>
            <w:vAlign w:val="center"/>
          </w:tcPr>
          <w:p w14:paraId="28B9284B">
            <w:pPr>
              <w:adjustRightInd w:val="0"/>
              <w:snapToGrid w:val="0"/>
              <w:spacing w:line="320" w:lineRule="exact"/>
              <w:jc w:val="center"/>
              <w:textAlignment w:val="baseline"/>
              <w:rPr>
                <w:rFonts w:eastAsiaTheme="minorEastAsia"/>
                <w:bCs/>
                <w:szCs w:val="20"/>
              </w:rPr>
            </w:pPr>
            <w:r>
              <w:rPr>
                <w:rFonts w:eastAsiaTheme="minorEastAsia"/>
                <w:bCs/>
                <w:szCs w:val="20"/>
              </w:rPr>
              <w:t>建筑施工场界环境噪声排放标准</w:t>
            </w:r>
          </w:p>
        </w:tc>
        <w:tc>
          <w:tcPr>
            <w:tcW w:w="902" w:type="pct"/>
            <w:vAlign w:val="center"/>
          </w:tcPr>
          <w:p w14:paraId="27E47FB2">
            <w:pPr>
              <w:adjustRightInd w:val="0"/>
              <w:snapToGrid w:val="0"/>
              <w:spacing w:line="320" w:lineRule="exact"/>
              <w:jc w:val="center"/>
              <w:textAlignment w:val="baseline"/>
              <w:rPr>
                <w:rFonts w:eastAsiaTheme="minorEastAsia"/>
                <w:bCs/>
                <w:szCs w:val="20"/>
              </w:rPr>
            </w:pPr>
            <w:r>
              <w:rPr>
                <w:rFonts w:eastAsiaTheme="minorEastAsia"/>
                <w:bCs/>
                <w:szCs w:val="20"/>
              </w:rPr>
              <w:t>施工场界噪声</w:t>
            </w:r>
          </w:p>
        </w:tc>
        <w:tc>
          <w:tcPr>
            <w:tcW w:w="498" w:type="pct"/>
            <w:vAlign w:val="center"/>
          </w:tcPr>
          <w:p w14:paraId="24CB402A">
            <w:pPr>
              <w:adjustRightInd w:val="0"/>
              <w:snapToGrid w:val="0"/>
              <w:spacing w:line="320" w:lineRule="exact"/>
              <w:jc w:val="center"/>
              <w:textAlignment w:val="baseline"/>
              <w:rPr>
                <w:rFonts w:eastAsiaTheme="minorEastAsia"/>
                <w:bCs/>
                <w:szCs w:val="20"/>
              </w:rPr>
            </w:pPr>
            <w:r>
              <w:rPr>
                <w:rFonts w:eastAsiaTheme="minorEastAsia"/>
                <w:bCs/>
                <w:szCs w:val="20"/>
              </w:rPr>
              <w:t>70</w:t>
            </w:r>
          </w:p>
        </w:tc>
        <w:tc>
          <w:tcPr>
            <w:tcW w:w="499" w:type="pct"/>
            <w:vAlign w:val="center"/>
          </w:tcPr>
          <w:p w14:paraId="74448100">
            <w:pPr>
              <w:adjustRightInd w:val="0"/>
              <w:snapToGrid w:val="0"/>
              <w:spacing w:line="320" w:lineRule="exact"/>
              <w:jc w:val="center"/>
              <w:textAlignment w:val="baseline"/>
              <w:rPr>
                <w:rFonts w:eastAsiaTheme="minorEastAsia"/>
                <w:bCs/>
                <w:szCs w:val="20"/>
              </w:rPr>
            </w:pPr>
            <w:r>
              <w:rPr>
                <w:rFonts w:eastAsiaTheme="minorEastAsia"/>
                <w:bCs/>
                <w:szCs w:val="20"/>
              </w:rPr>
              <w:t>55</w:t>
            </w:r>
          </w:p>
        </w:tc>
        <w:tc>
          <w:tcPr>
            <w:tcW w:w="1030" w:type="pct"/>
            <w:vAlign w:val="center"/>
          </w:tcPr>
          <w:p w14:paraId="434106EA">
            <w:pPr>
              <w:adjustRightInd w:val="0"/>
              <w:snapToGrid w:val="0"/>
              <w:spacing w:line="320" w:lineRule="exact"/>
              <w:jc w:val="center"/>
              <w:textAlignment w:val="baseline"/>
              <w:rPr>
                <w:rFonts w:eastAsiaTheme="minorEastAsia"/>
                <w:bCs/>
                <w:szCs w:val="20"/>
              </w:rPr>
            </w:pPr>
            <w:r>
              <w:rPr>
                <w:rFonts w:eastAsiaTheme="minorEastAsia"/>
                <w:bCs/>
                <w:szCs w:val="20"/>
              </w:rPr>
              <w:t>夜间各种打桩机禁止施工</w:t>
            </w:r>
          </w:p>
        </w:tc>
      </w:tr>
      <w:tr w14:paraId="4E7E0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restart"/>
            <w:vAlign w:val="center"/>
          </w:tcPr>
          <w:p w14:paraId="3F1EEC7E">
            <w:pPr>
              <w:adjustRightInd w:val="0"/>
              <w:snapToGrid w:val="0"/>
              <w:spacing w:line="320" w:lineRule="exact"/>
              <w:jc w:val="center"/>
              <w:textAlignment w:val="baseline"/>
              <w:rPr>
                <w:rFonts w:eastAsiaTheme="minorEastAsia"/>
                <w:bCs/>
                <w:szCs w:val="20"/>
              </w:rPr>
            </w:pPr>
            <w:r>
              <w:rPr>
                <w:rFonts w:eastAsiaTheme="minorEastAsia"/>
                <w:bCs/>
                <w:szCs w:val="20"/>
              </w:rPr>
              <w:t>GB12348-2008</w:t>
            </w:r>
          </w:p>
        </w:tc>
        <w:tc>
          <w:tcPr>
            <w:tcW w:w="1149" w:type="pct"/>
            <w:vMerge w:val="restart"/>
            <w:vAlign w:val="center"/>
          </w:tcPr>
          <w:p w14:paraId="3BA3A0F6">
            <w:pPr>
              <w:adjustRightInd w:val="0"/>
              <w:snapToGrid w:val="0"/>
              <w:spacing w:line="320" w:lineRule="exact"/>
              <w:jc w:val="center"/>
              <w:textAlignment w:val="baseline"/>
              <w:rPr>
                <w:rFonts w:eastAsiaTheme="minorEastAsia"/>
                <w:bCs/>
                <w:szCs w:val="20"/>
              </w:rPr>
            </w:pPr>
            <w:r>
              <w:rPr>
                <w:rFonts w:eastAsiaTheme="minorEastAsia"/>
                <w:bCs/>
                <w:szCs w:val="20"/>
              </w:rPr>
              <w:t>工业企业厂界环境噪声排放标准</w:t>
            </w:r>
          </w:p>
        </w:tc>
        <w:tc>
          <w:tcPr>
            <w:tcW w:w="902" w:type="pct"/>
            <w:vAlign w:val="center"/>
          </w:tcPr>
          <w:p w14:paraId="35606533">
            <w:pPr>
              <w:adjustRightInd w:val="0"/>
              <w:snapToGrid w:val="0"/>
              <w:spacing w:line="320" w:lineRule="exact"/>
              <w:jc w:val="center"/>
              <w:textAlignment w:val="baseline"/>
              <w:rPr>
                <w:rFonts w:eastAsiaTheme="minorEastAsia"/>
                <w:bCs/>
                <w:szCs w:val="20"/>
              </w:rPr>
            </w:pPr>
            <w:r>
              <w:rPr>
                <w:rFonts w:eastAsiaTheme="minorEastAsia"/>
                <w:bCs/>
                <w:szCs w:val="20"/>
              </w:rPr>
              <w:t>厂界噪声</w:t>
            </w:r>
          </w:p>
        </w:tc>
        <w:tc>
          <w:tcPr>
            <w:tcW w:w="498" w:type="pct"/>
            <w:vAlign w:val="center"/>
          </w:tcPr>
          <w:p w14:paraId="3DA489FB">
            <w:pPr>
              <w:adjustRightInd w:val="0"/>
              <w:snapToGrid w:val="0"/>
              <w:spacing w:line="320" w:lineRule="exact"/>
              <w:jc w:val="center"/>
              <w:textAlignment w:val="baseline"/>
              <w:rPr>
                <w:rFonts w:eastAsiaTheme="minorEastAsia"/>
                <w:bCs/>
                <w:szCs w:val="20"/>
              </w:rPr>
            </w:pPr>
            <w:r>
              <w:rPr>
                <w:rFonts w:eastAsiaTheme="minorEastAsia"/>
                <w:bCs/>
                <w:szCs w:val="20"/>
              </w:rPr>
              <w:t>65</w:t>
            </w:r>
          </w:p>
        </w:tc>
        <w:tc>
          <w:tcPr>
            <w:tcW w:w="499" w:type="pct"/>
            <w:vAlign w:val="center"/>
          </w:tcPr>
          <w:p w14:paraId="336311B5">
            <w:pPr>
              <w:adjustRightInd w:val="0"/>
              <w:snapToGrid w:val="0"/>
              <w:spacing w:line="320" w:lineRule="exact"/>
              <w:jc w:val="center"/>
              <w:textAlignment w:val="baseline"/>
              <w:rPr>
                <w:rFonts w:eastAsiaTheme="minorEastAsia"/>
                <w:bCs/>
                <w:szCs w:val="20"/>
              </w:rPr>
            </w:pPr>
            <w:r>
              <w:rPr>
                <w:rFonts w:eastAsiaTheme="minorEastAsia"/>
                <w:bCs/>
                <w:szCs w:val="20"/>
              </w:rPr>
              <w:t>55</w:t>
            </w:r>
          </w:p>
        </w:tc>
        <w:tc>
          <w:tcPr>
            <w:tcW w:w="1030" w:type="pct"/>
            <w:vAlign w:val="center"/>
          </w:tcPr>
          <w:p w14:paraId="64F1BB83">
            <w:pPr>
              <w:adjustRightInd w:val="0"/>
              <w:snapToGrid w:val="0"/>
              <w:spacing w:line="320" w:lineRule="exact"/>
              <w:jc w:val="center"/>
              <w:textAlignment w:val="baseline"/>
              <w:rPr>
                <w:rFonts w:eastAsiaTheme="minorEastAsia"/>
                <w:bCs/>
                <w:szCs w:val="20"/>
              </w:rPr>
            </w:pPr>
            <w:r>
              <w:rPr>
                <w:rFonts w:eastAsiaTheme="minorEastAsia"/>
                <w:bCs/>
                <w:szCs w:val="20"/>
              </w:rPr>
              <w:t>3类</w:t>
            </w:r>
          </w:p>
        </w:tc>
      </w:tr>
      <w:tr w14:paraId="5D380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vAlign w:val="center"/>
          </w:tcPr>
          <w:p w14:paraId="654E531C">
            <w:pPr>
              <w:adjustRightInd w:val="0"/>
              <w:snapToGrid w:val="0"/>
              <w:spacing w:line="320" w:lineRule="exact"/>
              <w:jc w:val="center"/>
              <w:textAlignment w:val="baseline"/>
              <w:rPr>
                <w:rFonts w:eastAsiaTheme="minorEastAsia"/>
                <w:bCs/>
                <w:szCs w:val="20"/>
              </w:rPr>
            </w:pPr>
          </w:p>
        </w:tc>
        <w:tc>
          <w:tcPr>
            <w:tcW w:w="1149" w:type="pct"/>
            <w:vMerge w:val="continue"/>
            <w:vAlign w:val="center"/>
          </w:tcPr>
          <w:p w14:paraId="50323B43">
            <w:pPr>
              <w:adjustRightInd w:val="0"/>
              <w:snapToGrid w:val="0"/>
              <w:spacing w:line="320" w:lineRule="exact"/>
              <w:jc w:val="center"/>
              <w:textAlignment w:val="baseline"/>
              <w:rPr>
                <w:rFonts w:eastAsiaTheme="minorEastAsia"/>
                <w:bCs/>
                <w:szCs w:val="20"/>
              </w:rPr>
            </w:pPr>
          </w:p>
        </w:tc>
        <w:tc>
          <w:tcPr>
            <w:tcW w:w="902" w:type="pct"/>
            <w:vAlign w:val="center"/>
          </w:tcPr>
          <w:p w14:paraId="139DE962">
            <w:pPr>
              <w:adjustRightInd w:val="0"/>
              <w:snapToGrid w:val="0"/>
              <w:spacing w:line="320" w:lineRule="exact"/>
              <w:jc w:val="center"/>
              <w:textAlignment w:val="baseline"/>
              <w:rPr>
                <w:rFonts w:eastAsiaTheme="minorEastAsia"/>
                <w:bCs/>
                <w:szCs w:val="20"/>
              </w:rPr>
            </w:pPr>
            <w:r>
              <w:rPr>
                <w:rFonts w:eastAsiaTheme="minorEastAsia"/>
                <w:bCs/>
                <w:szCs w:val="20"/>
              </w:rPr>
              <w:t>社会生活噪声</w:t>
            </w:r>
          </w:p>
        </w:tc>
        <w:tc>
          <w:tcPr>
            <w:tcW w:w="498" w:type="pct"/>
            <w:vAlign w:val="center"/>
          </w:tcPr>
          <w:p w14:paraId="3ABE05A9">
            <w:pPr>
              <w:adjustRightInd w:val="0"/>
              <w:snapToGrid w:val="0"/>
              <w:spacing w:line="320" w:lineRule="exact"/>
              <w:jc w:val="center"/>
              <w:textAlignment w:val="baseline"/>
              <w:rPr>
                <w:rFonts w:eastAsiaTheme="minorEastAsia"/>
                <w:bCs/>
                <w:szCs w:val="20"/>
              </w:rPr>
            </w:pPr>
            <w:r>
              <w:rPr>
                <w:rFonts w:hint="eastAsia" w:eastAsiaTheme="minorEastAsia"/>
                <w:bCs/>
                <w:szCs w:val="20"/>
              </w:rPr>
              <w:t>60</w:t>
            </w:r>
          </w:p>
        </w:tc>
        <w:tc>
          <w:tcPr>
            <w:tcW w:w="499" w:type="pct"/>
            <w:vAlign w:val="center"/>
          </w:tcPr>
          <w:p w14:paraId="26FAFD11">
            <w:pPr>
              <w:adjustRightInd w:val="0"/>
              <w:snapToGrid w:val="0"/>
              <w:spacing w:line="320" w:lineRule="exact"/>
              <w:jc w:val="center"/>
              <w:textAlignment w:val="baseline"/>
              <w:rPr>
                <w:rFonts w:eastAsiaTheme="minorEastAsia"/>
                <w:bCs/>
                <w:szCs w:val="20"/>
              </w:rPr>
            </w:pPr>
            <w:r>
              <w:rPr>
                <w:rFonts w:hint="eastAsia" w:eastAsiaTheme="minorEastAsia"/>
                <w:bCs/>
                <w:szCs w:val="20"/>
              </w:rPr>
              <w:t>50</w:t>
            </w:r>
          </w:p>
        </w:tc>
        <w:tc>
          <w:tcPr>
            <w:tcW w:w="1030" w:type="pct"/>
            <w:vAlign w:val="center"/>
          </w:tcPr>
          <w:p w14:paraId="36C24EF1">
            <w:pPr>
              <w:adjustRightInd w:val="0"/>
              <w:snapToGrid w:val="0"/>
              <w:spacing w:line="320" w:lineRule="exact"/>
              <w:jc w:val="center"/>
              <w:textAlignment w:val="baseline"/>
              <w:rPr>
                <w:rFonts w:eastAsiaTheme="minorEastAsia"/>
                <w:bCs/>
                <w:szCs w:val="20"/>
              </w:rPr>
            </w:pPr>
            <w:r>
              <w:rPr>
                <w:rFonts w:hint="eastAsia" w:eastAsiaTheme="minorEastAsia"/>
                <w:bCs/>
                <w:szCs w:val="20"/>
              </w:rPr>
              <w:t>2类</w:t>
            </w:r>
          </w:p>
        </w:tc>
      </w:tr>
      <w:tr w14:paraId="4D9E5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vAlign w:val="center"/>
          </w:tcPr>
          <w:p w14:paraId="71AC5173">
            <w:pPr>
              <w:adjustRightInd w:val="0"/>
              <w:snapToGrid w:val="0"/>
              <w:spacing w:line="320" w:lineRule="exact"/>
              <w:jc w:val="center"/>
              <w:textAlignment w:val="baseline"/>
              <w:rPr>
                <w:rFonts w:eastAsiaTheme="minorEastAsia"/>
                <w:bCs/>
                <w:szCs w:val="20"/>
              </w:rPr>
            </w:pPr>
          </w:p>
        </w:tc>
        <w:tc>
          <w:tcPr>
            <w:tcW w:w="1149" w:type="pct"/>
            <w:vMerge w:val="continue"/>
            <w:vAlign w:val="center"/>
          </w:tcPr>
          <w:p w14:paraId="4F0C8CA4">
            <w:pPr>
              <w:adjustRightInd w:val="0"/>
              <w:snapToGrid w:val="0"/>
              <w:spacing w:line="320" w:lineRule="exact"/>
              <w:jc w:val="center"/>
              <w:textAlignment w:val="baseline"/>
              <w:rPr>
                <w:rFonts w:eastAsiaTheme="minorEastAsia"/>
                <w:bCs/>
                <w:szCs w:val="20"/>
              </w:rPr>
            </w:pPr>
          </w:p>
        </w:tc>
        <w:tc>
          <w:tcPr>
            <w:tcW w:w="902" w:type="pct"/>
            <w:vAlign w:val="center"/>
          </w:tcPr>
          <w:p w14:paraId="406E6651">
            <w:pPr>
              <w:adjustRightInd w:val="0"/>
              <w:snapToGrid w:val="0"/>
              <w:spacing w:line="320" w:lineRule="exact"/>
              <w:jc w:val="center"/>
              <w:textAlignment w:val="baseline"/>
              <w:rPr>
                <w:rFonts w:eastAsiaTheme="minorEastAsia"/>
                <w:bCs/>
                <w:szCs w:val="20"/>
              </w:rPr>
            </w:pPr>
            <w:r>
              <w:rPr>
                <w:rFonts w:eastAsiaTheme="minorEastAsia"/>
                <w:bCs/>
                <w:szCs w:val="20"/>
              </w:rPr>
              <w:t>交通噪声</w:t>
            </w:r>
          </w:p>
        </w:tc>
        <w:tc>
          <w:tcPr>
            <w:tcW w:w="498" w:type="pct"/>
            <w:vAlign w:val="center"/>
          </w:tcPr>
          <w:p w14:paraId="57C88274">
            <w:pPr>
              <w:adjustRightInd w:val="0"/>
              <w:snapToGrid w:val="0"/>
              <w:spacing w:line="320" w:lineRule="exact"/>
              <w:jc w:val="center"/>
              <w:textAlignment w:val="baseline"/>
              <w:rPr>
                <w:rFonts w:eastAsiaTheme="minorEastAsia"/>
                <w:bCs/>
                <w:szCs w:val="20"/>
              </w:rPr>
            </w:pPr>
            <w:r>
              <w:rPr>
                <w:rFonts w:hint="eastAsia" w:eastAsiaTheme="minorEastAsia"/>
                <w:bCs/>
                <w:szCs w:val="20"/>
              </w:rPr>
              <w:t>70</w:t>
            </w:r>
          </w:p>
        </w:tc>
        <w:tc>
          <w:tcPr>
            <w:tcW w:w="499" w:type="pct"/>
            <w:vAlign w:val="center"/>
          </w:tcPr>
          <w:p w14:paraId="719643CF">
            <w:pPr>
              <w:adjustRightInd w:val="0"/>
              <w:snapToGrid w:val="0"/>
              <w:spacing w:line="320" w:lineRule="exact"/>
              <w:jc w:val="center"/>
              <w:textAlignment w:val="baseline"/>
              <w:rPr>
                <w:rFonts w:eastAsiaTheme="minorEastAsia"/>
                <w:bCs/>
                <w:szCs w:val="20"/>
              </w:rPr>
            </w:pPr>
            <w:r>
              <w:rPr>
                <w:rFonts w:hint="eastAsia" w:eastAsiaTheme="minorEastAsia"/>
                <w:bCs/>
                <w:szCs w:val="20"/>
              </w:rPr>
              <w:t>55</w:t>
            </w:r>
          </w:p>
        </w:tc>
        <w:tc>
          <w:tcPr>
            <w:tcW w:w="1030" w:type="pct"/>
            <w:vAlign w:val="center"/>
          </w:tcPr>
          <w:p w14:paraId="78338C0D">
            <w:pPr>
              <w:adjustRightInd w:val="0"/>
              <w:snapToGrid w:val="0"/>
              <w:spacing w:line="320" w:lineRule="exact"/>
              <w:jc w:val="center"/>
              <w:textAlignment w:val="baseline"/>
              <w:rPr>
                <w:rFonts w:eastAsiaTheme="minorEastAsia"/>
                <w:bCs/>
                <w:szCs w:val="20"/>
              </w:rPr>
            </w:pPr>
            <w:r>
              <w:rPr>
                <w:rFonts w:hint="eastAsia" w:eastAsiaTheme="minorEastAsia"/>
                <w:bCs/>
                <w:szCs w:val="20"/>
              </w:rPr>
              <w:t>4类</w:t>
            </w:r>
          </w:p>
        </w:tc>
      </w:tr>
    </w:tbl>
    <w:p w14:paraId="728B5943">
      <w:pPr>
        <w:spacing w:line="360" w:lineRule="auto"/>
        <w:ind w:firstLine="482" w:firstLineChars="200"/>
        <w:rPr>
          <w:rFonts w:eastAsiaTheme="minorEastAsia"/>
          <w:b/>
          <w:sz w:val="24"/>
        </w:rPr>
      </w:pPr>
      <w:r>
        <w:rPr>
          <w:rFonts w:eastAsiaTheme="minorEastAsia"/>
          <w:b/>
          <w:sz w:val="24"/>
        </w:rPr>
        <w:t>（4）固废</w:t>
      </w:r>
    </w:p>
    <w:p w14:paraId="355FE017">
      <w:pPr>
        <w:spacing w:line="360" w:lineRule="auto"/>
        <w:ind w:firstLine="480" w:firstLineChars="200"/>
        <w:rPr>
          <w:rFonts w:eastAsiaTheme="minorEastAsia"/>
          <w:sz w:val="24"/>
        </w:rPr>
      </w:pPr>
      <w:r>
        <w:rPr>
          <w:rFonts w:eastAsiaTheme="minorEastAsia"/>
          <w:sz w:val="24"/>
        </w:rPr>
        <w:t>一般固体废物执行《一般工业固体废物贮存和填埋污染控制标准》（GB18599-2020），危险固废执行《危险废物贮存污染控制标准》（GB18597-2023）。</w:t>
      </w:r>
    </w:p>
    <w:p w14:paraId="22BA89D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71" w:name="_Toc206494914"/>
      <w:r>
        <w:rPr>
          <w:rFonts w:hint="eastAsia" w:eastAsiaTheme="minorEastAsia"/>
          <w:b/>
          <w:bCs/>
          <w:sz w:val="30"/>
          <w:szCs w:val="28"/>
        </w:rPr>
        <w:t>评价技术路线</w:t>
      </w:r>
      <w:bookmarkEnd w:id="71"/>
    </w:p>
    <w:p w14:paraId="2FA2F146">
      <w:pPr>
        <w:spacing w:line="360" w:lineRule="auto"/>
        <w:ind w:firstLine="480" w:firstLineChars="200"/>
        <w:rPr>
          <w:rFonts w:eastAsiaTheme="minorEastAsia"/>
          <w:sz w:val="24"/>
        </w:rPr>
      </w:pPr>
      <w:r>
        <w:rPr>
          <w:rFonts w:hint="eastAsia" w:eastAsiaTheme="minorEastAsia"/>
          <w:sz w:val="24"/>
        </w:rPr>
        <w:t>评价技术路线见下图。</w:t>
      </w:r>
    </w:p>
    <w:p w14:paraId="40C14179">
      <w:pPr>
        <w:spacing w:line="360" w:lineRule="auto"/>
        <w:jc w:val="center"/>
        <w:rPr>
          <w:rFonts w:eastAsiaTheme="minorEastAsia"/>
          <w:sz w:val="24"/>
        </w:rPr>
      </w:pPr>
      <w:r>
        <w:drawing>
          <wp:inline distT="0" distB="0" distL="0" distR="0">
            <wp:extent cx="5278120" cy="56572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8120" cy="5657759"/>
                    </a:xfrm>
                    <a:prstGeom prst="rect">
                      <a:avLst/>
                    </a:prstGeom>
                    <a:noFill/>
                    <a:ln>
                      <a:noFill/>
                    </a:ln>
                  </pic:spPr>
                </pic:pic>
              </a:graphicData>
            </a:graphic>
          </wp:inline>
        </w:drawing>
      </w:r>
    </w:p>
    <w:p w14:paraId="78B526ED">
      <w:pPr>
        <w:spacing w:line="360" w:lineRule="auto"/>
        <w:ind w:firstLine="422"/>
        <w:jc w:val="center"/>
        <w:rPr>
          <w:rFonts w:eastAsiaTheme="minorEastAsia"/>
          <w:b/>
          <w:snapToGrid w:val="0"/>
          <w:kern w:val="18"/>
          <w:szCs w:val="21"/>
        </w:rPr>
      </w:pPr>
      <w:r>
        <w:rPr>
          <w:rFonts w:hint="eastAsia" w:eastAsiaTheme="minorEastAsia"/>
          <w:b/>
          <w:snapToGrid w:val="0"/>
          <w:kern w:val="18"/>
          <w:szCs w:val="21"/>
        </w:rPr>
        <w:t>图1.7-1   规划环评技术路线示意图</w:t>
      </w:r>
    </w:p>
    <w:p w14:paraId="76DA149E">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72" w:name="_Toc206494915"/>
      <w:r>
        <w:rPr>
          <w:rFonts w:hint="eastAsia" w:eastAsiaTheme="minorEastAsia"/>
          <w:b/>
          <w:bCs/>
          <w:sz w:val="30"/>
          <w:szCs w:val="28"/>
        </w:rPr>
        <w:t>主要环境保护目标</w:t>
      </w:r>
      <w:bookmarkEnd w:id="72"/>
    </w:p>
    <w:p w14:paraId="5405BB7A">
      <w:pPr>
        <w:spacing w:line="360" w:lineRule="auto"/>
        <w:ind w:firstLine="480" w:firstLineChars="200"/>
        <w:rPr>
          <w:rFonts w:eastAsiaTheme="minorEastAsia"/>
          <w:sz w:val="24"/>
        </w:rPr>
      </w:pPr>
      <w:r>
        <w:rPr>
          <w:rFonts w:hint="eastAsia" w:eastAsiaTheme="minorEastAsia"/>
          <w:sz w:val="24"/>
        </w:rPr>
        <w:t>根据当地生态环境部门对该区域环境功能的划分，评价范围内主要环境保护目标如下。</w:t>
      </w:r>
    </w:p>
    <w:p w14:paraId="3EDB5B9D">
      <w:pPr>
        <w:spacing w:line="360" w:lineRule="auto"/>
        <w:ind w:firstLine="480" w:firstLineChars="200"/>
        <w:rPr>
          <w:rFonts w:eastAsiaTheme="minorEastAsia"/>
          <w:sz w:val="24"/>
        </w:rPr>
      </w:pPr>
      <w:r>
        <w:rPr>
          <w:rFonts w:hint="eastAsia" w:eastAsiaTheme="minorEastAsia"/>
          <w:sz w:val="24"/>
        </w:rPr>
        <w:t>（1）环境空气</w:t>
      </w:r>
    </w:p>
    <w:p w14:paraId="2EC3A51D">
      <w:pPr>
        <w:spacing w:line="360" w:lineRule="auto"/>
        <w:ind w:firstLine="480" w:firstLineChars="200"/>
        <w:rPr>
          <w:rFonts w:eastAsiaTheme="minorEastAsia"/>
          <w:sz w:val="24"/>
        </w:rPr>
      </w:pPr>
      <w:r>
        <w:rPr>
          <w:rFonts w:hint="eastAsia" w:eastAsiaTheme="minorEastAsia"/>
          <w:sz w:val="24"/>
        </w:rPr>
        <w:t>规划区域所在地属环境空气质量功能区的二类区，规划园区及周围环境空气质量应符合《环境空气质量标准》（GB3095-2012）及其修改单中二级标准。</w:t>
      </w:r>
    </w:p>
    <w:p w14:paraId="66C77768">
      <w:pPr>
        <w:spacing w:line="360" w:lineRule="auto"/>
        <w:ind w:firstLine="480" w:firstLineChars="200"/>
        <w:rPr>
          <w:rFonts w:eastAsiaTheme="minorEastAsia"/>
          <w:sz w:val="24"/>
        </w:rPr>
      </w:pPr>
      <w:r>
        <w:rPr>
          <w:rFonts w:hint="eastAsia" w:eastAsiaTheme="minorEastAsia"/>
          <w:sz w:val="24"/>
        </w:rPr>
        <w:t>（2）地表水</w:t>
      </w:r>
    </w:p>
    <w:p w14:paraId="10FC0553">
      <w:pPr>
        <w:spacing w:line="360" w:lineRule="auto"/>
        <w:ind w:firstLine="480" w:firstLineChars="200"/>
        <w:rPr>
          <w:rFonts w:eastAsiaTheme="minorEastAsia"/>
          <w:sz w:val="24"/>
        </w:rPr>
      </w:pPr>
      <w:r>
        <w:rPr>
          <w:rFonts w:hint="eastAsia" w:eastAsiaTheme="minorEastAsia"/>
          <w:sz w:val="24"/>
        </w:rPr>
        <w:t>规划区域地表水体主要为游河、漂水、厥水河、溠水、吴山水库等，所在区域地表水环境功能区划为III类区，水质应满足《地表水环境质量标准》（GB3838-2002）中III类标准。</w:t>
      </w:r>
    </w:p>
    <w:p w14:paraId="334E6318">
      <w:pPr>
        <w:spacing w:line="360" w:lineRule="auto"/>
        <w:ind w:firstLine="480" w:firstLineChars="200"/>
        <w:rPr>
          <w:rFonts w:eastAsiaTheme="minorEastAsia"/>
          <w:sz w:val="24"/>
        </w:rPr>
      </w:pPr>
      <w:r>
        <w:rPr>
          <w:rFonts w:hint="eastAsia" w:eastAsiaTheme="minorEastAsia"/>
          <w:sz w:val="24"/>
        </w:rPr>
        <w:t>（3）声环境</w:t>
      </w:r>
    </w:p>
    <w:p w14:paraId="5AEC0AD8">
      <w:pPr>
        <w:spacing w:line="360" w:lineRule="auto"/>
        <w:ind w:firstLine="480" w:firstLineChars="200"/>
        <w:rPr>
          <w:rFonts w:eastAsiaTheme="minorEastAsia"/>
          <w:sz w:val="24"/>
        </w:rPr>
      </w:pPr>
      <w:r>
        <w:rPr>
          <w:rFonts w:hint="eastAsia" w:eastAsiaTheme="minorEastAsia"/>
          <w:sz w:val="24"/>
        </w:rPr>
        <w:t>评价区域内民住宅、医疗卫生、教育、科研设计、行政办公等为主要功能区域声环境应满足</w:t>
      </w:r>
      <w:r>
        <w:rPr>
          <w:rFonts w:eastAsiaTheme="minorEastAsia"/>
          <w:sz w:val="24"/>
        </w:rPr>
        <w:t>《声环境质量标准》（GB3096-2008）</w:t>
      </w:r>
      <w:r>
        <w:rPr>
          <w:rFonts w:hint="eastAsia" w:eastAsiaTheme="minorEastAsia"/>
          <w:sz w:val="24"/>
        </w:rPr>
        <w:t>1类标准，居住、商业、工业混杂区域声环境应满足</w:t>
      </w:r>
      <w:r>
        <w:rPr>
          <w:rFonts w:eastAsiaTheme="minorEastAsia"/>
          <w:sz w:val="24"/>
        </w:rPr>
        <w:t>《声环境质量标准》（GB3096-2008）</w:t>
      </w:r>
      <w:r>
        <w:rPr>
          <w:rFonts w:hint="eastAsia" w:eastAsiaTheme="minorEastAsia"/>
          <w:sz w:val="24"/>
        </w:rPr>
        <w:t>2类标准，工业区声环境应满足</w:t>
      </w:r>
      <w:r>
        <w:rPr>
          <w:rFonts w:eastAsiaTheme="minorEastAsia"/>
          <w:sz w:val="24"/>
        </w:rPr>
        <w:t>《声环境质量标准》（GB3096-2008）</w:t>
      </w:r>
      <w:r>
        <w:rPr>
          <w:rFonts w:hint="eastAsia" w:eastAsiaTheme="minorEastAsia"/>
          <w:sz w:val="24"/>
        </w:rPr>
        <w:t>3类标准，区域城市中的道路主干路和次干路交通干线边界线外一定距离内应满足</w:t>
      </w:r>
      <w:r>
        <w:rPr>
          <w:rFonts w:eastAsiaTheme="minorEastAsia"/>
          <w:sz w:val="24"/>
        </w:rPr>
        <w:t>《声环境质量标准》（GB3096-2008）</w:t>
      </w:r>
      <w:r>
        <w:rPr>
          <w:rFonts w:hint="eastAsia" w:eastAsiaTheme="minorEastAsia"/>
          <w:sz w:val="24"/>
        </w:rPr>
        <w:t>4a类标准。</w:t>
      </w:r>
    </w:p>
    <w:p w14:paraId="711D0FA4">
      <w:pPr>
        <w:spacing w:line="360" w:lineRule="auto"/>
        <w:ind w:firstLine="480" w:firstLineChars="200"/>
        <w:rPr>
          <w:rFonts w:eastAsiaTheme="minorEastAsia"/>
          <w:sz w:val="24"/>
        </w:rPr>
      </w:pPr>
      <w:r>
        <w:rPr>
          <w:rFonts w:hint="eastAsia" w:eastAsiaTheme="minorEastAsia"/>
          <w:sz w:val="24"/>
        </w:rPr>
        <w:t>（4）固体废物</w:t>
      </w:r>
    </w:p>
    <w:p w14:paraId="48EE47C2">
      <w:pPr>
        <w:spacing w:line="360" w:lineRule="auto"/>
        <w:ind w:firstLine="480" w:firstLineChars="200"/>
        <w:rPr>
          <w:rFonts w:eastAsiaTheme="minorEastAsia"/>
          <w:sz w:val="24"/>
        </w:rPr>
      </w:pPr>
      <w:r>
        <w:rPr>
          <w:rFonts w:hint="eastAsia" w:eastAsiaTheme="minorEastAsia"/>
          <w:sz w:val="24"/>
        </w:rPr>
        <w:t>加快城市生活垃圾源头减量体系和分类收集与无害化处置系统的建设，提高城市生活垃圾无害化处理水平，至规划期末，生活垃圾无害化处理率达100%。</w:t>
      </w:r>
    </w:p>
    <w:p w14:paraId="0F8A4F1D">
      <w:pPr>
        <w:spacing w:line="360" w:lineRule="auto"/>
        <w:ind w:firstLine="480" w:firstLineChars="200"/>
        <w:rPr>
          <w:rFonts w:eastAsiaTheme="minorEastAsia"/>
          <w:sz w:val="24"/>
        </w:rPr>
      </w:pPr>
      <w:r>
        <w:rPr>
          <w:rFonts w:hint="eastAsia" w:eastAsiaTheme="minorEastAsia"/>
          <w:sz w:val="24"/>
        </w:rPr>
        <w:t>推进工业固体废弃物的综合回收利用，实现固体废弃物的无害化、减量化和资源化。工业危险废物处置率达到100%。</w:t>
      </w:r>
    </w:p>
    <w:p w14:paraId="73A0C2FF">
      <w:pPr>
        <w:spacing w:line="360" w:lineRule="auto"/>
        <w:ind w:firstLine="480" w:firstLineChars="200"/>
        <w:rPr>
          <w:rFonts w:eastAsiaTheme="minorEastAsia"/>
          <w:sz w:val="24"/>
        </w:rPr>
      </w:pPr>
      <w:r>
        <w:rPr>
          <w:rFonts w:hint="eastAsia" w:eastAsiaTheme="minorEastAsia"/>
          <w:sz w:val="24"/>
        </w:rPr>
        <w:t>（5）土壤环境</w:t>
      </w:r>
    </w:p>
    <w:p w14:paraId="1E4E3C74">
      <w:pPr>
        <w:spacing w:line="360" w:lineRule="auto"/>
        <w:ind w:firstLine="480" w:firstLineChars="200"/>
        <w:rPr>
          <w:rFonts w:eastAsiaTheme="minorEastAsia"/>
          <w:sz w:val="24"/>
        </w:rPr>
      </w:pPr>
      <w:r>
        <w:rPr>
          <w:rFonts w:hint="eastAsia" w:eastAsiaTheme="minorEastAsia"/>
          <w:sz w:val="24"/>
        </w:rPr>
        <w:t>保护评价区域的土壤环境质量基本不受园区开发活动影响，土壤环境质量应符合相应的环境质量标准要求。</w:t>
      </w:r>
    </w:p>
    <w:p w14:paraId="04DCD24A">
      <w:pPr>
        <w:spacing w:line="360" w:lineRule="auto"/>
        <w:ind w:firstLine="480" w:firstLineChars="200"/>
        <w:rPr>
          <w:rFonts w:eastAsiaTheme="minorEastAsia"/>
          <w:sz w:val="24"/>
        </w:rPr>
      </w:pPr>
      <w:r>
        <w:rPr>
          <w:rFonts w:hint="eastAsia" w:eastAsiaTheme="minorEastAsia"/>
          <w:sz w:val="24"/>
        </w:rPr>
        <w:t>（6）地下水</w:t>
      </w:r>
    </w:p>
    <w:p w14:paraId="7A0A83CE">
      <w:pPr>
        <w:spacing w:line="360" w:lineRule="auto"/>
        <w:ind w:firstLine="480" w:firstLineChars="200"/>
        <w:rPr>
          <w:rFonts w:eastAsiaTheme="minorEastAsia"/>
          <w:sz w:val="24"/>
        </w:rPr>
      </w:pPr>
      <w:r>
        <w:rPr>
          <w:sz w:val="24"/>
        </w:rPr>
        <w:t>地下水环境保护目标主要为农村分散式饮用水井、地下水潜水含水层，地下水保护目标使其满足《地下水质量标准》（GB/T14848-2017）Ⅲ类标准。</w:t>
      </w:r>
    </w:p>
    <w:p w14:paraId="6DAB1427">
      <w:pPr>
        <w:spacing w:line="360" w:lineRule="auto"/>
        <w:ind w:firstLine="480" w:firstLineChars="200"/>
        <w:rPr>
          <w:rFonts w:eastAsiaTheme="minorEastAsia"/>
          <w:sz w:val="24"/>
        </w:rPr>
      </w:pPr>
      <w:r>
        <w:rPr>
          <w:rFonts w:hint="eastAsia" w:eastAsiaTheme="minorEastAsia"/>
          <w:sz w:val="24"/>
        </w:rPr>
        <w:t>（7）生态环境</w:t>
      </w:r>
    </w:p>
    <w:p w14:paraId="4760C259">
      <w:pPr>
        <w:spacing w:line="360" w:lineRule="auto"/>
        <w:ind w:firstLine="480" w:firstLineChars="200"/>
        <w:rPr>
          <w:rFonts w:eastAsiaTheme="minorEastAsia"/>
          <w:sz w:val="24"/>
        </w:rPr>
      </w:pPr>
      <w:r>
        <w:rPr>
          <w:rFonts w:hint="eastAsia" w:eastAsiaTheme="minorEastAsia"/>
          <w:sz w:val="24"/>
        </w:rPr>
        <w:t>评价区域内无自然保护区、世界文化和自然遗产地、饮用水水源保护区、森林公园、地质公园、水产种质资源保护区等，无重要湿地、天然渔场、珍稀濒危(或地方特有)野生动植物天然集中分布区。</w:t>
      </w:r>
    </w:p>
    <w:p w14:paraId="630E1829">
      <w:pPr>
        <w:spacing w:line="360" w:lineRule="auto"/>
        <w:ind w:firstLine="480" w:firstLineChars="200"/>
        <w:rPr>
          <w:rFonts w:eastAsiaTheme="minorEastAsia"/>
          <w:sz w:val="24"/>
        </w:rPr>
      </w:pPr>
      <w:r>
        <w:rPr>
          <w:rFonts w:hint="eastAsia" w:eastAsiaTheme="minorEastAsia"/>
          <w:sz w:val="24"/>
        </w:rPr>
        <w:t>评价区域环境敏感区主要为现状居民区，规划范围外涉及以居住、医疗卫生、文化教育、科研、行政办公等为主要功能的区域、水体、基本农田等。评价区环境保护目标详见下表所示。</w:t>
      </w:r>
    </w:p>
    <w:p w14:paraId="35199A0D">
      <w:pPr>
        <w:spacing w:line="360" w:lineRule="auto"/>
        <w:ind w:firstLine="422"/>
        <w:jc w:val="center"/>
        <w:rPr>
          <w:rFonts w:eastAsiaTheme="minorEastAsia"/>
          <w:b/>
          <w:snapToGrid w:val="0"/>
          <w:kern w:val="18"/>
          <w:szCs w:val="21"/>
        </w:rPr>
      </w:pPr>
      <w:r>
        <w:rPr>
          <w:rFonts w:hint="eastAsia" w:eastAsiaTheme="minorEastAsia"/>
          <w:b/>
          <w:snapToGrid w:val="0"/>
          <w:kern w:val="18"/>
          <w:szCs w:val="21"/>
        </w:rPr>
        <w:t>表1.8-1  评价区域主要环境空气、声环境及地表水保护目标一览表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1"/>
        <w:gridCol w:w="875"/>
        <w:gridCol w:w="1417"/>
        <w:gridCol w:w="1056"/>
        <w:gridCol w:w="1266"/>
        <w:gridCol w:w="1931"/>
        <w:gridCol w:w="1332"/>
      </w:tblGrid>
      <w:tr w14:paraId="4A240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tblHeader/>
          <w:jc w:val="center"/>
        </w:trPr>
        <w:tc>
          <w:tcPr>
            <w:tcW w:w="382" w:type="pct"/>
            <w:vAlign w:val="center"/>
          </w:tcPr>
          <w:p w14:paraId="5F419071">
            <w:pPr>
              <w:jc w:val="center"/>
              <w:rPr>
                <w:b/>
              </w:rPr>
            </w:pPr>
            <w:r>
              <w:rPr>
                <w:b/>
              </w:rPr>
              <w:t>序号</w:t>
            </w:r>
          </w:p>
        </w:tc>
        <w:tc>
          <w:tcPr>
            <w:tcW w:w="513" w:type="pct"/>
            <w:vAlign w:val="center"/>
          </w:tcPr>
          <w:p w14:paraId="4D28B024">
            <w:pPr>
              <w:jc w:val="center"/>
              <w:rPr>
                <w:b/>
              </w:rPr>
            </w:pPr>
            <w:r>
              <w:rPr>
                <w:rFonts w:hint="eastAsia"/>
                <w:b/>
              </w:rPr>
              <w:t>环境要素</w:t>
            </w:r>
          </w:p>
        </w:tc>
        <w:tc>
          <w:tcPr>
            <w:tcW w:w="831" w:type="pct"/>
            <w:vAlign w:val="center"/>
          </w:tcPr>
          <w:p w14:paraId="35D63A5F">
            <w:pPr>
              <w:jc w:val="center"/>
              <w:rPr>
                <w:b/>
              </w:rPr>
            </w:pPr>
            <w:r>
              <w:rPr>
                <w:b/>
              </w:rPr>
              <w:t>保护目标名称</w:t>
            </w:r>
          </w:p>
        </w:tc>
        <w:tc>
          <w:tcPr>
            <w:tcW w:w="619" w:type="pct"/>
            <w:tcBorders>
              <w:right w:val="single" w:color="auto" w:sz="4" w:space="0"/>
            </w:tcBorders>
            <w:vAlign w:val="center"/>
          </w:tcPr>
          <w:p w14:paraId="206E8D36">
            <w:pPr>
              <w:jc w:val="center"/>
              <w:rPr>
                <w:b/>
              </w:rPr>
            </w:pPr>
            <w:r>
              <w:rPr>
                <w:b/>
              </w:rPr>
              <w:t>保护内容</w:t>
            </w:r>
          </w:p>
        </w:tc>
        <w:tc>
          <w:tcPr>
            <w:tcW w:w="742" w:type="pct"/>
            <w:tcBorders>
              <w:right w:val="single" w:color="auto" w:sz="4" w:space="0"/>
            </w:tcBorders>
            <w:vAlign w:val="center"/>
          </w:tcPr>
          <w:p w14:paraId="47B3ED1F">
            <w:pPr>
              <w:jc w:val="center"/>
              <w:rPr>
                <w:b/>
              </w:rPr>
            </w:pPr>
            <w:r>
              <w:rPr>
                <w:rFonts w:hint="eastAsia"/>
                <w:b/>
              </w:rPr>
              <w:t>方位距离</w:t>
            </w:r>
          </w:p>
        </w:tc>
        <w:tc>
          <w:tcPr>
            <w:tcW w:w="1132" w:type="pct"/>
            <w:tcBorders>
              <w:left w:val="single" w:color="auto" w:sz="4" w:space="0"/>
            </w:tcBorders>
            <w:vAlign w:val="center"/>
          </w:tcPr>
          <w:p w14:paraId="0E6B3C56">
            <w:pPr>
              <w:jc w:val="center"/>
              <w:rPr>
                <w:b/>
              </w:rPr>
            </w:pPr>
            <w:r>
              <w:rPr>
                <w:b/>
                <w:bCs/>
                <w:kern w:val="0"/>
                <w:szCs w:val="21"/>
              </w:rPr>
              <w:t>相对</w:t>
            </w:r>
            <w:r>
              <w:rPr>
                <w:rFonts w:hint="eastAsia"/>
                <w:b/>
                <w:bCs/>
                <w:kern w:val="0"/>
                <w:szCs w:val="21"/>
              </w:rPr>
              <w:t>园区</w:t>
            </w:r>
            <w:r>
              <w:rPr>
                <w:b/>
                <w:bCs/>
                <w:kern w:val="0"/>
                <w:szCs w:val="21"/>
              </w:rPr>
              <w:t>距离m</w:t>
            </w:r>
          </w:p>
        </w:tc>
        <w:tc>
          <w:tcPr>
            <w:tcW w:w="781" w:type="pct"/>
            <w:vAlign w:val="center"/>
          </w:tcPr>
          <w:p w14:paraId="69E14B03">
            <w:pPr>
              <w:jc w:val="center"/>
              <w:rPr>
                <w:b/>
              </w:rPr>
            </w:pPr>
            <w:r>
              <w:rPr>
                <w:b/>
              </w:rPr>
              <w:t>保护等级与要求</w:t>
            </w:r>
          </w:p>
        </w:tc>
      </w:tr>
      <w:tr w14:paraId="53180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5000" w:type="pct"/>
            <w:gridSpan w:val="7"/>
            <w:vAlign w:val="center"/>
          </w:tcPr>
          <w:p w14:paraId="54557D69">
            <w:pPr>
              <w:ind w:right="210"/>
              <w:jc w:val="center"/>
              <w:rPr>
                <w:b/>
              </w:rPr>
            </w:pPr>
            <w:r>
              <w:rPr>
                <w:rFonts w:hint="eastAsia"/>
                <w:b/>
              </w:rPr>
              <w:t>一、吴山镇闽商石材产业园区</w:t>
            </w:r>
          </w:p>
        </w:tc>
      </w:tr>
      <w:tr w14:paraId="73CFC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2C87A70">
            <w:pPr>
              <w:jc w:val="center"/>
            </w:pPr>
            <w:r>
              <w:t>1</w:t>
            </w:r>
          </w:p>
        </w:tc>
        <w:tc>
          <w:tcPr>
            <w:tcW w:w="513" w:type="pct"/>
            <w:vMerge w:val="restart"/>
            <w:vAlign w:val="center"/>
          </w:tcPr>
          <w:p w14:paraId="3C85A322">
            <w:pPr>
              <w:jc w:val="center"/>
            </w:pPr>
            <w:r>
              <w:rPr>
                <w:rFonts w:hint="eastAsia"/>
              </w:rPr>
              <w:t>环境空气和声环境</w:t>
            </w:r>
          </w:p>
        </w:tc>
        <w:tc>
          <w:tcPr>
            <w:tcW w:w="831" w:type="pct"/>
            <w:vAlign w:val="center"/>
          </w:tcPr>
          <w:p w14:paraId="002AEBAF">
            <w:pPr>
              <w:spacing w:line="320" w:lineRule="exact"/>
              <w:ind w:left="-53" w:leftChars="-25" w:right="-53" w:rightChars="-25"/>
              <w:jc w:val="center"/>
              <w:rPr>
                <w:szCs w:val="21"/>
              </w:rPr>
            </w:pPr>
            <w:r>
              <w:rPr>
                <w:rFonts w:hint="eastAsia"/>
                <w:szCs w:val="21"/>
              </w:rPr>
              <w:t>陈家塆</w:t>
            </w:r>
          </w:p>
        </w:tc>
        <w:tc>
          <w:tcPr>
            <w:tcW w:w="619" w:type="pct"/>
            <w:tcBorders>
              <w:right w:val="single" w:color="auto" w:sz="4" w:space="0"/>
            </w:tcBorders>
            <w:vAlign w:val="center"/>
          </w:tcPr>
          <w:p w14:paraId="256DF356">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1078F344">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454CB534">
            <w:pPr>
              <w:jc w:val="center"/>
            </w:pPr>
            <w:r>
              <w:rPr>
                <w:rFonts w:hint="eastAsia"/>
              </w:rPr>
              <w:t>0</w:t>
            </w:r>
          </w:p>
        </w:tc>
        <w:tc>
          <w:tcPr>
            <w:tcW w:w="781" w:type="pct"/>
            <w:vMerge w:val="restart"/>
            <w:vAlign w:val="center"/>
          </w:tcPr>
          <w:p w14:paraId="019BBA3D">
            <w:pPr>
              <w:jc w:val="center"/>
            </w:pPr>
            <w:r>
              <w:t>环境空气二级、环境噪声2类</w:t>
            </w:r>
          </w:p>
        </w:tc>
      </w:tr>
      <w:tr w14:paraId="3DEE3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2B6F37D">
            <w:pPr>
              <w:jc w:val="center"/>
            </w:pPr>
            <w:r>
              <w:t>2</w:t>
            </w:r>
          </w:p>
        </w:tc>
        <w:tc>
          <w:tcPr>
            <w:tcW w:w="513" w:type="pct"/>
            <w:vMerge w:val="continue"/>
            <w:vAlign w:val="center"/>
          </w:tcPr>
          <w:p w14:paraId="67149AD0">
            <w:pPr>
              <w:jc w:val="center"/>
            </w:pPr>
          </w:p>
        </w:tc>
        <w:tc>
          <w:tcPr>
            <w:tcW w:w="831" w:type="pct"/>
            <w:vAlign w:val="center"/>
          </w:tcPr>
          <w:p w14:paraId="2E24B224">
            <w:pPr>
              <w:spacing w:line="320" w:lineRule="exact"/>
              <w:ind w:left="-53" w:leftChars="-25" w:right="-53" w:rightChars="-25"/>
              <w:jc w:val="center"/>
              <w:rPr>
                <w:szCs w:val="21"/>
              </w:rPr>
            </w:pPr>
            <w:r>
              <w:rPr>
                <w:rFonts w:hint="eastAsia"/>
                <w:szCs w:val="21"/>
              </w:rPr>
              <w:t>九棵树</w:t>
            </w:r>
          </w:p>
        </w:tc>
        <w:tc>
          <w:tcPr>
            <w:tcW w:w="619" w:type="pct"/>
            <w:tcBorders>
              <w:right w:val="single" w:color="auto" w:sz="4" w:space="0"/>
            </w:tcBorders>
            <w:vAlign w:val="center"/>
          </w:tcPr>
          <w:p w14:paraId="51CB0BC9">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62C4312A">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78177486">
            <w:pPr>
              <w:jc w:val="center"/>
            </w:pPr>
            <w:r>
              <w:rPr>
                <w:rFonts w:hint="eastAsia"/>
              </w:rPr>
              <w:t>0</w:t>
            </w:r>
          </w:p>
        </w:tc>
        <w:tc>
          <w:tcPr>
            <w:tcW w:w="781" w:type="pct"/>
            <w:vMerge w:val="continue"/>
            <w:vAlign w:val="center"/>
          </w:tcPr>
          <w:p w14:paraId="4018B983">
            <w:pPr>
              <w:jc w:val="center"/>
            </w:pPr>
          </w:p>
        </w:tc>
      </w:tr>
      <w:tr w14:paraId="678AD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7EC805C">
            <w:pPr>
              <w:jc w:val="center"/>
            </w:pPr>
            <w:r>
              <w:t>3</w:t>
            </w:r>
          </w:p>
        </w:tc>
        <w:tc>
          <w:tcPr>
            <w:tcW w:w="513" w:type="pct"/>
            <w:vMerge w:val="continue"/>
            <w:vAlign w:val="center"/>
          </w:tcPr>
          <w:p w14:paraId="1D1FB1CA">
            <w:pPr>
              <w:jc w:val="center"/>
            </w:pPr>
          </w:p>
        </w:tc>
        <w:tc>
          <w:tcPr>
            <w:tcW w:w="831" w:type="pct"/>
            <w:vAlign w:val="center"/>
          </w:tcPr>
          <w:p w14:paraId="0281ACB1">
            <w:pPr>
              <w:spacing w:line="320" w:lineRule="exact"/>
              <w:ind w:left="-53" w:leftChars="-25" w:right="-53" w:rightChars="-25"/>
              <w:jc w:val="center"/>
              <w:rPr>
                <w:szCs w:val="21"/>
              </w:rPr>
            </w:pPr>
            <w:r>
              <w:rPr>
                <w:rFonts w:hint="eastAsia"/>
                <w:szCs w:val="21"/>
              </w:rPr>
              <w:t>李家老塆</w:t>
            </w:r>
          </w:p>
        </w:tc>
        <w:tc>
          <w:tcPr>
            <w:tcW w:w="619" w:type="pct"/>
            <w:tcBorders>
              <w:right w:val="single" w:color="auto" w:sz="4" w:space="0"/>
            </w:tcBorders>
            <w:vAlign w:val="center"/>
          </w:tcPr>
          <w:p w14:paraId="393121C1">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180EBD51">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5806242A">
            <w:pPr>
              <w:jc w:val="center"/>
            </w:pPr>
            <w:r>
              <w:rPr>
                <w:rFonts w:hint="eastAsia"/>
              </w:rPr>
              <w:t>0</w:t>
            </w:r>
          </w:p>
        </w:tc>
        <w:tc>
          <w:tcPr>
            <w:tcW w:w="781" w:type="pct"/>
            <w:vMerge w:val="continue"/>
            <w:vAlign w:val="center"/>
          </w:tcPr>
          <w:p w14:paraId="53106788">
            <w:pPr>
              <w:jc w:val="center"/>
            </w:pPr>
          </w:p>
        </w:tc>
      </w:tr>
      <w:tr w14:paraId="62A50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CC7171A">
            <w:pPr>
              <w:jc w:val="center"/>
            </w:pPr>
            <w:r>
              <w:t>4</w:t>
            </w:r>
          </w:p>
        </w:tc>
        <w:tc>
          <w:tcPr>
            <w:tcW w:w="513" w:type="pct"/>
            <w:vMerge w:val="continue"/>
            <w:vAlign w:val="center"/>
          </w:tcPr>
          <w:p w14:paraId="485D12D0">
            <w:pPr>
              <w:jc w:val="center"/>
            </w:pPr>
          </w:p>
        </w:tc>
        <w:tc>
          <w:tcPr>
            <w:tcW w:w="831" w:type="pct"/>
            <w:vAlign w:val="center"/>
          </w:tcPr>
          <w:p w14:paraId="09A1F360">
            <w:pPr>
              <w:jc w:val="center"/>
            </w:pPr>
            <w:r>
              <w:rPr>
                <w:rFonts w:hint="eastAsia"/>
              </w:rPr>
              <w:t>邱河村</w:t>
            </w:r>
          </w:p>
        </w:tc>
        <w:tc>
          <w:tcPr>
            <w:tcW w:w="619" w:type="pct"/>
            <w:tcBorders>
              <w:right w:val="single" w:color="auto" w:sz="4" w:space="0"/>
            </w:tcBorders>
            <w:vAlign w:val="center"/>
          </w:tcPr>
          <w:p w14:paraId="6C0CC9A7">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02529C7F">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0E20000F">
            <w:pPr>
              <w:jc w:val="center"/>
            </w:pPr>
            <w:r>
              <w:rPr>
                <w:rFonts w:hint="eastAsia"/>
              </w:rPr>
              <w:t>0</w:t>
            </w:r>
          </w:p>
        </w:tc>
        <w:tc>
          <w:tcPr>
            <w:tcW w:w="781" w:type="pct"/>
            <w:vMerge w:val="continue"/>
            <w:vAlign w:val="center"/>
          </w:tcPr>
          <w:p w14:paraId="7B925312">
            <w:pPr>
              <w:jc w:val="center"/>
            </w:pPr>
          </w:p>
        </w:tc>
      </w:tr>
      <w:tr w14:paraId="33A6D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3220DCE">
            <w:pPr>
              <w:jc w:val="center"/>
            </w:pPr>
            <w:r>
              <w:rPr>
                <w:rFonts w:hint="eastAsia"/>
              </w:rPr>
              <w:t>5</w:t>
            </w:r>
          </w:p>
        </w:tc>
        <w:tc>
          <w:tcPr>
            <w:tcW w:w="513" w:type="pct"/>
            <w:vMerge w:val="continue"/>
            <w:vAlign w:val="center"/>
          </w:tcPr>
          <w:p w14:paraId="14797547">
            <w:pPr>
              <w:jc w:val="center"/>
            </w:pPr>
          </w:p>
        </w:tc>
        <w:tc>
          <w:tcPr>
            <w:tcW w:w="831" w:type="pct"/>
            <w:vAlign w:val="center"/>
          </w:tcPr>
          <w:p w14:paraId="4D62B6B6">
            <w:pPr>
              <w:spacing w:line="320" w:lineRule="exact"/>
              <w:ind w:left="-53" w:leftChars="-25" w:right="-53" w:rightChars="-25"/>
              <w:jc w:val="center"/>
              <w:rPr>
                <w:szCs w:val="21"/>
              </w:rPr>
            </w:pPr>
            <w:r>
              <w:rPr>
                <w:rFonts w:hint="eastAsia"/>
                <w:szCs w:val="21"/>
              </w:rPr>
              <w:t>窑上</w:t>
            </w:r>
          </w:p>
        </w:tc>
        <w:tc>
          <w:tcPr>
            <w:tcW w:w="619" w:type="pct"/>
            <w:tcBorders>
              <w:right w:val="single" w:color="auto" w:sz="4" w:space="0"/>
            </w:tcBorders>
            <w:vAlign w:val="center"/>
          </w:tcPr>
          <w:p w14:paraId="5254114A">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023D898F">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7D0A6017">
            <w:pPr>
              <w:jc w:val="center"/>
            </w:pPr>
            <w:r>
              <w:rPr>
                <w:rFonts w:hint="eastAsia"/>
              </w:rPr>
              <w:t>0</w:t>
            </w:r>
          </w:p>
        </w:tc>
        <w:tc>
          <w:tcPr>
            <w:tcW w:w="781" w:type="pct"/>
            <w:vMerge w:val="continue"/>
            <w:vAlign w:val="center"/>
          </w:tcPr>
          <w:p w14:paraId="5BA487C6">
            <w:pPr>
              <w:jc w:val="center"/>
            </w:pPr>
          </w:p>
        </w:tc>
      </w:tr>
      <w:tr w14:paraId="47AEC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4C9257A7">
            <w:pPr>
              <w:jc w:val="center"/>
            </w:pPr>
            <w:r>
              <w:rPr>
                <w:rFonts w:hint="eastAsia"/>
              </w:rPr>
              <w:t>6</w:t>
            </w:r>
          </w:p>
        </w:tc>
        <w:tc>
          <w:tcPr>
            <w:tcW w:w="513" w:type="pct"/>
            <w:vMerge w:val="continue"/>
            <w:vAlign w:val="center"/>
          </w:tcPr>
          <w:p w14:paraId="3844F670">
            <w:pPr>
              <w:jc w:val="center"/>
            </w:pPr>
          </w:p>
        </w:tc>
        <w:tc>
          <w:tcPr>
            <w:tcW w:w="831" w:type="pct"/>
            <w:vAlign w:val="center"/>
          </w:tcPr>
          <w:p w14:paraId="52F49AAE">
            <w:pPr>
              <w:spacing w:line="320" w:lineRule="exact"/>
              <w:ind w:left="-53" w:leftChars="-25" w:right="-53" w:rightChars="-25"/>
              <w:jc w:val="center"/>
              <w:rPr>
                <w:szCs w:val="21"/>
              </w:rPr>
            </w:pPr>
            <w:r>
              <w:rPr>
                <w:rFonts w:hint="eastAsia"/>
                <w:szCs w:val="21"/>
              </w:rPr>
              <w:t>大万家塆</w:t>
            </w:r>
          </w:p>
        </w:tc>
        <w:tc>
          <w:tcPr>
            <w:tcW w:w="619" w:type="pct"/>
            <w:tcBorders>
              <w:right w:val="single" w:color="auto" w:sz="4" w:space="0"/>
            </w:tcBorders>
            <w:vAlign w:val="center"/>
          </w:tcPr>
          <w:p w14:paraId="16E6E674">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6AFCFCCB">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0414E54E">
            <w:pPr>
              <w:jc w:val="center"/>
            </w:pPr>
            <w:r>
              <w:rPr>
                <w:rFonts w:hint="eastAsia"/>
              </w:rPr>
              <w:t>0</w:t>
            </w:r>
          </w:p>
        </w:tc>
        <w:tc>
          <w:tcPr>
            <w:tcW w:w="781" w:type="pct"/>
            <w:vMerge w:val="continue"/>
            <w:vAlign w:val="center"/>
          </w:tcPr>
          <w:p w14:paraId="7288D819">
            <w:pPr>
              <w:jc w:val="center"/>
            </w:pPr>
          </w:p>
        </w:tc>
      </w:tr>
      <w:tr w14:paraId="1D901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4A18B3D5">
            <w:pPr>
              <w:jc w:val="center"/>
            </w:pPr>
            <w:r>
              <w:rPr>
                <w:rFonts w:hint="eastAsia"/>
              </w:rPr>
              <w:t>7</w:t>
            </w:r>
          </w:p>
        </w:tc>
        <w:tc>
          <w:tcPr>
            <w:tcW w:w="513" w:type="pct"/>
            <w:vMerge w:val="continue"/>
            <w:vAlign w:val="center"/>
          </w:tcPr>
          <w:p w14:paraId="45E8A33E">
            <w:pPr>
              <w:jc w:val="center"/>
            </w:pPr>
          </w:p>
        </w:tc>
        <w:tc>
          <w:tcPr>
            <w:tcW w:w="831" w:type="pct"/>
            <w:vAlign w:val="center"/>
          </w:tcPr>
          <w:p w14:paraId="73CF51FB">
            <w:pPr>
              <w:spacing w:line="320" w:lineRule="exact"/>
              <w:ind w:left="-53" w:leftChars="-25" w:right="-53" w:rightChars="-25"/>
              <w:jc w:val="center"/>
              <w:rPr>
                <w:szCs w:val="21"/>
              </w:rPr>
            </w:pPr>
            <w:r>
              <w:rPr>
                <w:rFonts w:hint="eastAsia"/>
                <w:szCs w:val="21"/>
              </w:rPr>
              <w:t>姚沟</w:t>
            </w:r>
          </w:p>
        </w:tc>
        <w:tc>
          <w:tcPr>
            <w:tcW w:w="619" w:type="pct"/>
            <w:tcBorders>
              <w:right w:val="single" w:color="auto" w:sz="4" w:space="0"/>
            </w:tcBorders>
            <w:vAlign w:val="center"/>
          </w:tcPr>
          <w:p w14:paraId="3E44A3BF">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485667B5">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2F6D7D08">
            <w:pPr>
              <w:jc w:val="center"/>
            </w:pPr>
            <w:r>
              <w:rPr>
                <w:rFonts w:hint="eastAsia"/>
              </w:rPr>
              <w:t>0</w:t>
            </w:r>
          </w:p>
        </w:tc>
        <w:tc>
          <w:tcPr>
            <w:tcW w:w="781" w:type="pct"/>
            <w:vMerge w:val="continue"/>
            <w:vAlign w:val="center"/>
          </w:tcPr>
          <w:p w14:paraId="595CE7DB">
            <w:pPr>
              <w:jc w:val="center"/>
            </w:pPr>
          </w:p>
        </w:tc>
      </w:tr>
      <w:tr w14:paraId="36259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278BBE9">
            <w:pPr>
              <w:jc w:val="center"/>
            </w:pPr>
            <w:r>
              <w:rPr>
                <w:rFonts w:hint="eastAsia"/>
              </w:rPr>
              <w:t>8</w:t>
            </w:r>
          </w:p>
        </w:tc>
        <w:tc>
          <w:tcPr>
            <w:tcW w:w="513" w:type="pct"/>
            <w:vMerge w:val="continue"/>
            <w:vAlign w:val="center"/>
          </w:tcPr>
          <w:p w14:paraId="69BCA0E3">
            <w:pPr>
              <w:jc w:val="center"/>
            </w:pPr>
          </w:p>
        </w:tc>
        <w:tc>
          <w:tcPr>
            <w:tcW w:w="831" w:type="pct"/>
            <w:vAlign w:val="center"/>
          </w:tcPr>
          <w:p w14:paraId="6002A6E2">
            <w:pPr>
              <w:spacing w:line="320" w:lineRule="exact"/>
              <w:ind w:left="-53" w:leftChars="-25" w:right="-53" w:rightChars="-25"/>
              <w:jc w:val="center"/>
              <w:rPr>
                <w:szCs w:val="21"/>
              </w:rPr>
            </w:pPr>
            <w:r>
              <w:rPr>
                <w:rFonts w:hint="eastAsia"/>
                <w:szCs w:val="21"/>
              </w:rPr>
              <w:t>柯家塆</w:t>
            </w:r>
          </w:p>
        </w:tc>
        <w:tc>
          <w:tcPr>
            <w:tcW w:w="619" w:type="pct"/>
            <w:tcBorders>
              <w:right w:val="single" w:color="auto" w:sz="4" w:space="0"/>
            </w:tcBorders>
            <w:vAlign w:val="center"/>
          </w:tcPr>
          <w:p w14:paraId="0B270DB3">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2A6CF8B5">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563A27A6">
            <w:pPr>
              <w:jc w:val="center"/>
            </w:pPr>
            <w:r>
              <w:rPr>
                <w:rFonts w:hint="eastAsia"/>
              </w:rPr>
              <w:t>0</w:t>
            </w:r>
          </w:p>
        </w:tc>
        <w:tc>
          <w:tcPr>
            <w:tcW w:w="781" w:type="pct"/>
            <w:vMerge w:val="continue"/>
            <w:vAlign w:val="center"/>
          </w:tcPr>
          <w:p w14:paraId="220FB4BF">
            <w:pPr>
              <w:jc w:val="center"/>
            </w:pPr>
          </w:p>
        </w:tc>
      </w:tr>
      <w:tr w14:paraId="0D395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3CA3A4F">
            <w:pPr>
              <w:jc w:val="center"/>
            </w:pPr>
            <w:r>
              <w:rPr>
                <w:rFonts w:hint="eastAsia"/>
              </w:rPr>
              <w:t>9</w:t>
            </w:r>
          </w:p>
        </w:tc>
        <w:tc>
          <w:tcPr>
            <w:tcW w:w="513" w:type="pct"/>
            <w:vMerge w:val="continue"/>
            <w:vAlign w:val="center"/>
          </w:tcPr>
          <w:p w14:paraId="1B338F93">
            <w:pPr>
              <w:jc w:val="center"/>
            </w:pPr>
          </w:p>
        </w:tc>
        <w:tc>
          <w:tcPr>
            <w:tcW w:w="831" w:type="pct"/>
            <w:vAlign w:val="center"/>
          </w:tcPr>
          <w:p w14:paraId="3C8E038E">
            <w:pPr>
              <w:spacing w:line="320" w:lineRule="exact"/>
              <w:ind w:left="-53" w:leftChars="-25" w:right="-53" w:rightChars="-25"/>
              <w:jc w:val="center"/>
              <w:rPr>
                <w:szCs w:val="21"/>
              </w:rPr>
            </w:pPr>
            <w:r>
              <w:rPr>
                <w:rFonts w:hint="eastAsia"/>
                <w:szCs w:val="21"/>
              </w:rPr>
              <w:t>肖家塆</w:t>
            </w:r>
          </w:p>
        </w:tc>
        <w:tc>
          <w:tcPr>
            <w:tcW w:w="619" w:type="pct"/>
            <w:tcBorders>
              <w:right w:val="single" w:color="auto" w:sz="4" w:space="0"/>
            </w:tcBorders>
            <w:vAlign w:val="center"/>
          </w:tcPr>
          <w:p w14:paraId="6FF71D3A">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4B2DB1CC">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2923A090">
            <w:pPr>
              <w:spacing w:line="320" w:lineRule="exact"/>
              <w:ind w:left="-53" w:leftChars="-25" w:right="-53" w:rightChars="-25"/>
              <w:jc w:val="center"/>
              <w:rPr>
                <w:szCs w:val="21"/>
              </w:rPr>
            </w:pPr>
            <w:r>
              <w:rPr>
                <w:rFonts w:hint="eastAsia"/>
                <w:szCs w:val="21"/>
              </w:rPr>
              <w:t>50</w:t>
            </w:r>
          </w:p>
        </w:tc>
        <w:tc>
          <w:tcPr>
            <w:tcW w:w="781" w:type="pct"/>
            <w:vMerge w:val="continue"/>
            <w:vAlign w:val="center"/>
          </w:tcPr>
          <w:p w14:paraId="36B7CD9A">
            <w:pPr>
              <w:jc w:val="center"/>
            </w:pPr>
          </w:p>
        </w:tc>
      </w:tr>
      <w:tr w14:paraId="0EA9C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BDACC25">
            <w:pPr>
              <w:jc w:val="center"/>
            </w:pPr>
            <w:r>
              <w:rPr>
                <w:rFonts w:hint="eastAsia"/>
              </w:rPr>
              <w:t>10</w:t>
            </w:r>
          </w:p>
        </w:tc>
        <w:tc>
          <w:tcPr>
            <w:tcW w:w="513" w:type="pct"/>
            <w:vMerge w:val="continue"/>
            <w:vAlign w:val="center"/>
          </w:tcPr>
          <w:p w14:paraId="25CB148F">
            <w:pPr>
              <w:jc w:val="center"/>
            </w:pPr>
          </w:p>
        </w:tc>
        <w:tc>
          <w:tcPr>
            <w:tcW w:w="831" w:type="pct"/>
            <w:vAlign w:val="center"/>
          </w:tcPr>
          <w:p w14:paraId="0D98EF35">
            <w:pPr>
              <w:spacing w:line="320" w:lineRule="exact"/>
              <w:ind w:left="-53" w:leftChars="-25" w:right="-53" w:rightChars="-25"/>
              <w:jc w:val="center"/>
              <w:rPr>
                <w:szCs w:val="21"/>
              </w:rPr>
            </w:pPr>
            <w:r>
              <w:rPr>
                <w:rFonts w:hint="eastAsia"/>
                <w:szCs w:val="21"/>
              </w:rPr>
              <w:t>邱河村卫生室</w:t>
            </w:r>
          </w:p>
        </w:tc>
        <w:tc>
          <w:tcPr>
            <w:tcW w:w="619" w:type="pct"/>
            <w:tcBorders>
              <w:right w:val="single" w:color="auto" w:sz="4" w:space="0"/>
            </w:tcBorders>
            <w:vAlign w:val="center"/>
          </w:tcPr>
          <w:p w14:paraId="098AB308">
            <w:pPr>
              <w:spacing w:line="320" w:lineRule="exact"/>
              <w:ind w:left="-53" w:leftChars="-25" w:right="-53" w:rightChars="-25"/>
              <w:jc w:val="center"/>
              <w:rPr>
                <w:szCs w:val="21"/>
              </w:rPr>
            </w:pPr>
            <w:r>
              <w:rPr>
                <w:rFonts w:hint="eastAsia"/>
                <w:szCs w:val="21"/>
              </w:rPr>
              <w:t>医院</w:t>
            </w:r>
          </w:p>
        </w:tc>
        <w:tc>
          <w:tcPr>
            <w:tcW w:w="742" w:type="pct"/>
            <w:tcBorders>
              <w:right w:val="single" w:color="auto" w:sz="4" w:space="0"/>
            </w:tcBorders>
            <w:vAlign w:val="center"/>
          </w:tcPr>
          <w:p w14:paraId="7B604E60">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01246ED6">
            <w:pPr>
              <w:spacing w:line="320" w:lineRule="exact"/>
              <w:ind w:left="-53" w:leftChars="-25" w:right="-53" w:rightChars="-25"/>
              <w:jc w:val="center"/>
              <w:rPr>
                <w:szCs w:val="21"/>
              </w:rPr>
            </w:pPr>
            <w:r>
              <w:rPr>
                <w:rFonts w:hint="eastAsia"/>
                <w:szCs w:val="21"/>
              </w:rPr>
              <w:t>266</w:t>
            </w:r>
          </w:p>
        </w:tc>
        <w:tc>
          <w:tcPr>
            <w:tcW w:w="781" w:type="pct"/>
            <w:vMerge w:val="continue"/>
            <w:vAlign w:val="center"/>
          </w:tcPr>
          <w:p w14:paraId="10E8CBA4">
            <w:pPr>
              <w:jc w:val="center"/>
            </w:pPr>
          </w:p>
        </w:tc>
      </w:tr>
      <w:tr w14:paraId="0E7EA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8867E6E">
            <w:pPr>
              <w:jc w:val="center"/>
            </w:pPr>
            <w:r>
              <w:rPr>
                <w:rFonts w:hint="eastAsia"/>
              </w:rPr>
              <w:t>11</w:t>
            </w:r>
          </w:p>
        </w:tc>
        <w:tc>
          <w:tcPr>
            <w:tcW w:w="513" w:type="pct"/>
            <w:vMerge w:val="continue"/>
            <w:vAlign w:val="center"/>
          </w:tcPr>
          <w:p w14:paraId="58826ACE">
            <w:pPr>
              <w:jc w:val="center"/>
            </w:pPr>
          </w:p>
        </w:tc>
        <w:tc>
          <w:tcPr>
            <w:tcW w:w="831" w:type="pct"/>
            <w:vAlign w:val="center"/>
          </w:tcPr>
          <w:p w14:paraId="1B2786EA">
            <w:pPr>
              <w:spacing w:line="320" w:lineRule="exact"/>
              <w:ind w:left="-53" w:leftChars="-25" w:right="-53" w:rightChars="-25"/>
              <w:jc w:val="center"/>
              <w:rPr>
                <w:szCs w:val="21"/>
              </w:rPr>
            </w:pPr>
            <w:r>
              <w:rPr>
                <w:rFonts w:hint="eastAsia"/>
                <w:szCs w:val="21"/>
              </w:rPr>
              <w:t>联华村</w:t>
            </w:r>
          </w:p>
        </w:tc>
        <w:tc>
          <w:tcPr>
            <w:tcW w:w="619" w:type="pct"/>
            <w:tcBorders>
              <w:right w:val="single" w:color="auto" w:sz="4" w:space="0"/>
            </w:tcBorders>
            <w:vAlign w:val="center"/>
          </w:tcPr>
          <w:p w14:paraId="169D7E85">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0829168B">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4A93AF77">
            <w:pPr>
              <w:spacing w:line="320" w:lineRule="exact"/>
              <w:ind w:left="-53" w:leftChars="-25" w:right="-53" w:rightChars="-25"/>
              <w:jc w:val="center"/>
              <w:rPr>
                <w:szCs w:val="21"/>
              </w:rPr>
            </w:pPr>
            <w:r>
              <w:rPr>
                <w:rFonts w:hint="eastAsia"/>
                <w:szCs w:val="21"/>
              </w:rPr>
              <w:t>15</w:t>
            </w:r>
          </w:p>
        </w:tc>
        <w:tc>
          <w:tcPr>
            <w:tcW w:w="781" w:type="pct"/>
            <w:vMerge w:val="continue"/>
            <w:vAlign w:val="center"/>
          </w:tcPr>
          <w:p w14:paraId="53143ED7">
            <w:pPr>
              <w:jc w:val="center"/>
            </w:pPr>
          </w:p>
        </w:tc>
      </w:tr>
      <w:tr w14:paraId="3F288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910B9A5">
            <w:pPr>
              <w:jc w:val="center"/>
            </w:pPr>
            <w:r>
              <w:rPr>
                <w:rFonts w:hint="eastAsia"/>
              </w:rPr>
              <w:t>12</w:t>
            </w:r>
          </w:p>
        </w:tc>
        <w:tc>
          <w:tcPr>
            <w:tcW w:w="513" w:type="pct"/>
            <w:vMerge w:val="continue"/>
            <w:vAlign w:val="center"/>
          </w:tcPr>
          <w:p w14:paraId="0388617C">
            <w:pPr>
              <w:jc w:val="center"/>
            </w:pPr>
          </w:p>
        </w:tc>
        <w:tc>
          <w:tcPr>
            <w:tcW w:w="831" w:type="pct"/>
            <w:vAlign w:val="center"/>
          </w:tcPr>
          <w:p w14:paraId="65DF4BA4">
            <w:pPr>
              <w:spacing w:line="320" w:lineRule="exact"/>
              <w:ind w:left="-53" w:leftChars="-25" w:right="-53" w:rightChars="-25"/>
              <w:jc w:val="center"/>
              <w:rPr>
                <w:szCs w:val="21"/>
              </w:rPr>
            </w:pPr>
            <w:r>
              <w:rPr>
                <w:rFonts w:hint="eastAsia"/>
                <w:szCs w:val="21"/>
              </w:rPr>
              <w:t>吴山镇</w:t>
            </w:r>
          </w:p>
        </w:tc>
        <w:tc>
          <w:tcPr>
            <w:tcW w:w="619" w:type="pct"/>
            <w:tcBorders>
              <w:right w:val="single" w:color="auto" w:sz="4" w:space="0"/>
            </w:tcBorders>
            <w:vAlign w:val="center"/>
          </w:tcPr>
          <w:p w14:paraId="4CA19687">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42087C74">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22C83677">
            <w:pPr>
              <w:spacing w:line="320" w:lineRule="exact"/>
              <w:ind w:left="-53" w:leftChars="-25" w:right="-53" w:rightChars="-25"/>
              <w:jc w:val="center"/>
              <w:rPr>
                <w:szCs w:val="21"/>
              </w:rPr>
            </w:pPr>
            <w:r>
              <w:rPr>
                <w:rFonts w:hint="eastAsia"/>
                <w:szCs w:val="21"/>
              </w:rPr>
              <w:t>774</w:t>
            </w:r>
          </w:p>
        </w:tc>
        <w:tc>
          <w:tcPr>
            <w:tcW w:w="781" w:type="pct"/>
            <w:vMerge w:val="continue"/>
            <w:vAlign w:val="center"/>
          </w:tcPr>
          <w:p w14:paraId="612C4D97">
            <w:pPr>
              <w:jc w:val="center"/>
            </w:pPr>
          </w:p>
        </w:tc>
      </w:tr>
      <w:tr w14:paraId="41F6F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4813103">
            <w:pPr>
              <w:jc w:val="center"/>
            </w:pPr>
            <w:r>
              <w:rPr>
                <w:rFonts w:hint="eastAsia"/>
              </w:rPr>
              <w:t>13</w:t>
            </w:r>
          </w:p>
        </w:tc>
        <w:tc>
          <w:tcPr>
            <w:tcW w:w="513" w:type="pct"/>
            <w:vMerge w:val="continue"/>
            <w:vAlign w:val="center"/>
          </w:tcPr>
          <w:p w14:paraId="1DE28DF0">
            <w:pPr>
              <w:jc w:val="center"/>
            </w:pPr>
          </w:p>
        </w:tc>
        <w:tc>
          <w:tcPr>
            <w:tcW w:w="831" w:type="pct"/>
            <w:vAlign w:val="center"/>
          </w:tcPr>
          <w:p w14:paraId="0D0D3EC6">
            <w:pPr>
              <w:spacing w:line="320" w:lineRule="exact"/>
              <w:ind w:left="-53" w:leftChars="-25" w:right="-53" w:rightChars="-25"/>
              <w:jc w:val="center"/>
              <w:rPr>
                <w:szCs w:val="21"/>
              </w:rPr>
            </w:pPr>
            <w:r>
              <w:rPr>
                <w:rFonts w:hint="eastAsia"/>
                <w:szCs w:val="21"/>
              </w:rPr>
              <w:t>联中村</w:t>
            </w:r>
          </w:p>
        </w:tc>
        <w:tc>
          <w:tcPr>
            <w:tcW w:w="619" w:type="pct"/>
            <w:tcBorders>
              <w:right w:val="single" w:color="auto" w:sz="4" w:space="0"/>
            </w:tcBorders>
            <w:vAlign w:val="center"/>
          </w:tcPr>
          <w:p w14:paraId="60B76435">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7720568B">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70A328F9">
            <w:pPr>
              <w:spacing w:line="320" w:lineRule="exact"/>
              <w:ind w:left="-53" w:leftChars="-25" w:right="-53" w:rightChars="-25"/>
              <w:jc w:val="center"/>
              <w:rPr>
                <w:szCs w:val="21"/>
              </w:rPr>
            </w:pPr>
            <w:r>
              <w:rPr>
                <w:rFonts w:hint="eastAsia"/>
                <w:szCs w:val="21"/>
              </w:rPr>
              <w:t>20</w:t>
            </w:r>
          </w:p>
        </w:tc>
        <w:tc>
          <w:tcPr>
            <w:tcW w:w="781" w:type="pct"/>
            <w:vMerge w:val="continue"/>
            <w:vAlign w:val="center"/>
          </w:tcPr>
          <w:p w14:paraId="327B083C">
            <w:pPr>
              <w:jc w:val="center"/>
            </w:pPr>
          </w:p>
        </w:tc>
      </w:tr>
      <w:tr w14:paraId="0CD47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1355BA3">
            <w:pPr>
              <w:jc w:val="center"/>
            </w:pPr>
            <w:r>
              <w:rPr>
                <w:rFonts w:hint="eastAsia"/>
              </w:rPr>
              <w:t>14</w:t>
            </w:r>
          </w:p>
        </w:tc>
        <w:tc>
          <w:tcPr>
            <w:tcW w:w="513" w:type="pct"/>
            <w:vMerge w:val="continue"/>
            <w:vAlign w:val="center"/>
          </w:tcPr>
          <w:p w14:paraId="22C20A3E">
            <w:pPr>
              <w:jc w:val="center"/>
            </w:pPr>
          </w:p>
        </w:tc>
        <w:tc>
          <w:tcPr>
            <w:tcW w:w="831" w:type="pct"/>
            <w:vAlign w:val="center"/>
          </w:tcPr>
          <w:p w14:paraId="5A513DD0">
            <w:pPr>
              <w:spacing w:line="320" w:lineRule="exact"/>
              <w:ind w:left="-53" w:leftChars="-25" w:right="-53" w:rightChars="-25"/>
              <w:jc w:val="center"/>
              <w:rPr>
                <w:szCs w:val="21"/>
              </w:rPr>
            </w:pPr>
            <w:r>
              <w:rPr>
                <w:rFonts w:hint="eastAsia"/>
                <w:szCs w:val="21"/>
              </w:rPr>
              <w:t>姚家塆</w:t>
            </w:r>
          </w:p>
        </w:tc>
        <w:tc>
          <w:tcPr>
            <w:tcW w:w="619" w:type="pct"/>
            <w:tcBorders>
              <w:right w:val="single" w:color="auto" w:sz="4" w:space="0"/>
            </w:tcBorders>
            <w:vAlign w:val="center"/>
          </w:tcPr>
          <w:p w14:paraId="2B7AF7D7">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0FFA14A8">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366353AA">
            <w:pPr>
              <w:spacing w:line="320" w:lineRule="exact"/>
              <w:ind w:left="-53" w:leftChars="-25" w:right="-53" w:rightChars="-25"/>
              <w:jc w:val="center"/>
              <w:rPr>
                <w:szCs w:val="21"/>
              </w:rPr>
            </w:pPr>
            <w:r>
              <w:rPr>
                <w:rFonts w:hint="eastAsia"/>
                <w:szCs w:val="21"/>
              </w:rPr>
              <w:t>605</w:t>
            </w:r>
          </w:p>
        </w:tc>
        <w:tc>
          <w:tcPr>
            <w:tcW w:w="781" w:type="pct"/>
            <w:vMerge w:val="continue"/>
            <w:vAlign w:val="center"/>
          </w:tcPr>
          <w:p w14:paraId="53A70FEC">
            <w:pPr>
              <w:jc w:val="center"/>
            </w:pPr>
          </w:p>
        </w:tc>
      </w:tr>
      <w:tr w14:paraId="6D423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2E1B345">
            <w:pPr>
              <w:jc w:val="center"/>
            </w:pPr>
            <w:r>
              <w:rPr>
                <w:rFonts w:hint="eastAsia"/>
              </w:rPr>
              <w:t>15</w:t>
            </w:r>
          </w:p>
        </w:tc>
        <w:tc>
          <w:tcPr>
            <w:tcW w:w="513" w:type="pct"/>
            <w:vMerge w:val="continue"/>
            <w:vAlign w:val="center"/>
          </w:tcPr>
          <w:p w14:paraId="0B7BA5BC">
            <w:pPr>
              <w:jc w:val="center"/>
            </w:pPr>
          </w:p>
        </w:tc>
        <w:tc>
          <w:tcPr>
            <w:tcW w:w="831" w:type="pct"/>
            <w:vAlign w:val="center"/>
          </w:tcPr>
          <w:p w14:paraId="783E98CB">
            <w:pPr>
              <w:spacing w:line="320" w:lineRule="exact"/>
              <w:ind w:left="-53" w:leftChars="-25" w:right="-53" w:rightChars="-25"/>
              <w:jc w:val="center"/>
              <w:rPr>
                <w:szCs w:val="21"/>
              </w:rPr>
            </w:pPr>
            <w:r>
              <w:rPr>
                <w:rFonts w:hint="eastAsia"/>
                <w:szCs w:val="21"/>
              </w:rPr>
              <w:t>潘家塆</w:t>
            </w:r>
          </w:p>
        </w:tc>
        <w:tc>
          <w:tcPr>
            <w:tcW w:w="619" w:type="pct"/>
            <w:tcBorders>
              <w:right w:val="single" w:color="auto" w:sz="4" w:space="0"/>
            </w:tcBorders>
            <w:vAlign w:val="center"/>
          </w:tcPr>
          <w:p w14:paraId="0814BA5E">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1C10F970">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366975AF">
            <w:pPr>
              <w:spacing w:line="320" w:lineRule="exact"/>
              <w:ind w:left="-53" w:leftChars="-25" w:right="-53" w:rightChars="-25"/>
              <w:jc w:val="center"/>
              <w:rPr>
                <w:szCs w:val="21"/>
              </w:rPr>
            </w:pPr>
            <w:r>
              <w:rPr>
                <w:rFonts w:hint="eastAsia"/>
                <w:szCs w:val="21"/>
              </w:rPr>
              <w:t>355</w:t>
            </w:r>
          </w:p>
        </w:tc>
        <w:tc>
          <w:tcPr>
            <w:tcW w:w="781" w:type="pct"/>
            <w:vMerge w:val="continue"/>
            <w:vAlign w:val="center"/>
          </w:tcPr>
          <w:p w14:paraId="06E591DD">
            <w:pPr>
              <w:jc w:val="center"/>
            </w:pPr>
          </w:p>
        </w:tc>
      </w:tr>
      <w:tr w14:paraId="050A4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015E91E">
            <w:pPr>
              <w:jc w:val="center"/>
            </w:pPr>
            <w:r>
              <w:rPr>
                <w:rFonts w:hint="eastAsia"/>
              </w:rPr>
              <w:t>16</w:t>
            </w:r>
          </w:p>
        </w:tc>
        <w:tc>
          <w:tcPr>
            <w:tcW w:w="513" w:type="pct"/>
            <w:vMerge w:val="continue"/>
            <w:vAlign w:val="center"/>
          </w:tcPr>
          <w:p w14:paraId="307EF38F">
            <w:pPr>
              <w:jc w:val="center"/>
            </w:pPr>
          </w:p>
        </w:tc>
        <w:tc>
          <w:tcPr>
            <w:tcW w:w="831" w:type="pct"/>
            <w:vAlign w:val="center"/>
          </w:tcPr>
          <w:p w14:paraId="7268BD9B">
            <w:pPr>
              <w:spacing w:line="320" w:lineRule="exact"/>
              <w:ind w:left="-53" w:leftChars="-25" w:right="-53" w:rightChars="-25"/>
              <w:jc w:val="center"/>
              <w:rPr>
                <w:szCs w:val="21"/>
              </w:rPr>
            </w:pPr>
            <w:r>
              <w:rPr>
                <w:rFonts w:hint="eastAsia"/>
                <w:szCs w:val="21"/>
              </w:rPr>
              <w:t>袁家塆</w:t>
            </w:r>
          </w:p>
        </w:tc>
        <w:tc>
          <w:tcPr>
            <w:tcW w:w="619" w:type="pct"/>
            <w:tcBorders>
              <w:right w:val="single" w:color="auto" w:sz="4" w:space="0"/>
            </w:tcBorders>
            <w:vAlign w:val="center"/>
          </w:tcPr>
          <w:p w14:paraId="35545156">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44D0A940">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5BC18BF9">
            <w:pPr>
              <w:spacing w:line="320" w:lineRule="exact"/>
              <w:ind w:left="-53" w:leftChars="-25" w:right="-53" w:rightChars="-25"/>
              <w:jc w:val="center"/>
              <w:rPr>
                <w:szCs w:val="21"/>
              </w:rPr>
            </w:pPr>
            <w:r>
              <w:rPr>
                <w:rFonts w:hint="eastAsia"/>
                <w:szCs w:val="21"/>
              </w:rPr>
              <w:t>23</w:t>
            </w:r>
          </w:p>
        </w:tc>
        <w:tc>
          <w:tcPr>
            <w:tcW w:w="781" w:type="pct"/>
            <w:vMerge w:val="continue"/>
            <w:vAlign w:val="center"/>
          </w:tcPr>
          <w:p w14:paraId="48443008">
            <w:pPr>
              <w:jc w:val="center"/>
            </w:pPr>
          </w:p>
        </w:tc>
      </w:tr>
      <w:tr w14:paraId="3DDBE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6C2CB01">
            <w:pPr>
              <w:jc w:val="center"/>
            </w:pPr>
            <w:r>
              <w:rPr>
                <w:rFonts w:hint="eastAsia"/>
              </w:rPr>
              <w:t>17</w:t>
            </w:r>
          </w:p>
        </w:tc>
        <w:tc>
          <w:tcPr>
            <w:tcW w:w="513" w:type="pct"/>
            <w:vMerge w:val="continue"/>
            <w:vAlign w:val="center"/>
          </w:tcPr>
          <w:p w14:paraId="56C39DA4">
            <w:pPr>
              <w:jc w:val="center"/>
            </w:pPr>
          </w:p>
        </w:tc>
        <w:tc>
          <w:tcPr>
            <w:tcW w:w="831" w:type="pct"/>
            <w:vAlign w:val="center"/>
          </w:tcPr>
          <w:p w14:paraId="4031D1A7">
            <w:pPr>
              <w:spacing w:line="320" w:lineRule="exact"/>
              <w:ind w:left="-53" w:leftChars="-25" w:right="-53" w:rightChars="-25"/>
              <w:jc w:val="center"/>
              <w:rPr>
                <w:szCs w:val="21"/>
              </w:rPr>
            </w:pPr>
            <w:r>
              <w:rPr>
                <w:rFonts w:hint="eastAsia"/>
                <w:szCs w:val="21"/>
              </w:rPr>
              <w:t>何家塆</w:t>
            </w:r>
          </w:p>
        </w:tc>
        <w:tc>
          <w:tcPr>
            <w:tcW w:w="619" w:type="pct"/>
            <w:tcBorders>
              <w:right w:val="single" w:color="auto" w:sz="4" w:space="0"/>
            </w:tcBorders>
            <w:vAlign w:val="center"/>
          </w:tcPr>
          <w:p w14:paraId="09EB9958">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10AAD3FE">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7B5370FC">
            <w:pPr>
              <w:spacing w:line="320" w:lineRule="exact"/>
              <w:ind w:left="-53" w:leftChars="-25" w:right="-53" w:rightChars="-25"/>
              <w:jc w:val="center"/>
              <w:rPr>
                <w:szCs w:val="21"/>
              </w:rPr>
            </w:pPr>
            <w:r>
              <w:rPr>
                <w:rFonts w:hint="eastAsia"/>
                <w:szCs w:val="21"/>
              </w:rPr>
              <w:t>25</w:t>
            </w:r>
          </w:p>
        </w:tc>
        <w:tc>
          <w:tcPr>
            <w:tcW w:w="781" w:type="pct"/>
            <w:vMerge w:val="continue"/>
            <w:vAlign w:val="center"/>
          </w:tcPr>
          <w:p w14:paraId="2D268BF8">
            <w:pPr>
              <w:jc w:val="center"/>
            </w:pPr>
          </w:p>
        </w:tc>
      </w:tr>
      <w:tr w14:paraId="0A271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230309F">
            <w:pPr>
              <w:jc w:val="center"/>
            </w:pPr>
            <w:r>
              <w:rPr>
                <w:rFonts w:hint="eastAsia"/>
              </w:rPr>
              <w:t>18</w:t>
            </w:r>
          </w:p>
        </w:tc>
        <w:tc>
          <w:tcPr>
            <w:tcW w:w="513" w:type="pct"/>
            <w:vMerge w:val="continue"/>
            <w:vAlign w:val="center"/>
          </w:tcPr>
          <w:p w14:paraId="0C2BBD8C">
            <w:pPr>
              <w:jc w:val="center"/>
            </w:pPr>
          </w:p>
        </w:tc>
        <w:tc>
          <w:tcPr>
            <w:tcW w:w="831" w:type="pct"/>
            <w:vAlign w:val="center"/>
          </w:tcPr>
          <w:p w14:paraId="759D0817">
            <w:pPr>
              <w:spacing w:line="320" w:lineRule="exact"/>
              <w:ind w:left="-53" w:leftChars="-25" w:right="-53" w:rightChars="-25"/>
              <w:jc w:val="center"/>
              <w:rPr>
                <w:szCs w:val="21"/>
              </w:rPr>
            </w:pPr>
            <w:r>
              <w:rPr>
                <w:rFonts w:hint="eastAsia"/>
                <w:szCs w:val="21"/>
              </w:rPr>
              <w:t>冯家岗</w:t>
            </w:r>
          </w:p>
        </w:tc>
        <w:tc>
          <w:tcPr>
            <w:tcW w:w="619" w:type="pct"/>
            <w:tcBorders>
              <w:right w:val="single" w:color="auto" w:sz="4" w:space="0"/>
            </w:tcBorders>
            <w:vAlign w:val="center"/>
          </w:tcPr>
          <w:p w14:paraId="0FD63086">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6F68188F">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79FCBCB4">
            <w:pPr>
              <w:spacing w:line="320" w:lineRule="exact"/>
              <w:ind w:left="-53" w:leftChars="-25" w:right="-53" w:rightChars="-25"/>
              <w:jc w:val="center"/>
              <w:rPr>
                <w:szCs w:val="21"/>
              </w:rPr>
            </w:pPr>
            <w:r>
              <w:rPr>
                <w:rFonts w:hint="eastAsia"/>
                <w:szCs w:val="21"/>
              </w:rPr>
              <w:t>572</w:t>
            </w:r>
          </w:p>
        </w:tc>
        <w:tc>
          <w:tcPr>
            <w:tcW w:w="781" w:type="pct"/>
            <w:vMerge w:val="continue"/>
            <w:vAlign w:val="center"/>
          </w:tcPr>
          <w:p w14:paraId="78BD65AD">
            <w:pPr>
              <w:jc w:val="center"/>
            </w:pPr>
          </w:p>
        </w:tc>
      </w:tr>
      <w:tr w14:paraId="374F0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A97F7E7">
            <w:pPr>
              <w:jc w:val="center"/>
            </w:pPr>
            <w:r>
              <w:rPr>
                <w:rFonts w:hint="eastAsia"/>
              </w:rPr>
              <w:t>19</w:t>
            </w:r>
          </w:p>
        </w:tc>
        <w:tc>
          <w:tcPr>
            <w:tcW w:w="513" w:type="pct"/>
            <w:vMerge w:val="continue"/>
            <w:vAlign w:val="center"/>
          </w:tcPr>
          <w:p w14:paraId="0A80B15A">
            <w:pPr>
              <w:jc w:val="center"/>
            </w:pPr>
          </w:p>
        </w:tc>
        <w:tc>
          <w:tcPr>
            <w:tcW w:w="831" w:type="pct"/>
            <w:vAlign w:val="center"/>
          </w:tcPr>
          <w:p w14:paraId="0D5563C7">
            <w:pPr>
              <w:spacing w:line="320" w:lineRule="exact"/>
              <w:ind w:left="-53" w:leftChars="-25" w:right="-53" w:rightChars="-25"/>
              <w:jc w:val="center"/>
              <w:rPr>
                <w:szCs w:val="21"/>
              </w:rPr>
            </w:pPr>
            <w:r>
              <w:rPr>
                <w:rFonts w:hint="eastAsia"/>
                <w:szCs w:val="21"/>
              </w:rPr>
              <w:t>汪家新集</w:t>
            </w:r>
          </w:p>
        </w:tc>
        <w:tc>
          <w:tcPr>
            <w:tcW w:w="619" w:type="pct"/>
            <w:tcBorders>
              <w:right w:val="single" w:color="auto" w:sz="4" w:space="0"/>
            </w:tcBorders>
            <w:vAlign w:val="center"/>
          </w:tcPr>
          <w:p w14:paraId="7510BFFA">
            <w:pPr>
              <w:spacing w:line="320" w:lineRule="exact"/>
              <w:ind w:left="-53" w:leftChars="-25" w:right="-53" w:rightChars="-25"/>
              <w:jc w:val="center"/>
              <w:rPr>
                <w:szCs w:val="21"/>
              </w:rPr>
            </w:pPr>
            <w:r>
              <w:rPr>
                <w:rFonts w:hint="eastAsia"/>
                <w:szCs w:val="21"/>
              </w:rPr>
              <w:t>居民</w:t>
            </w:r>
          </w:p>
        </w:tc>
        <w:tc>
          <w:tcPr>
            <w:tcW w:w="742" w:type="pct"/>
            <w:tcBorders>
              <w:right w:val="single" w:color="auto" w:sz="4" w:space="0"/>
            </w:tcBorders>
            <w:vAlign w:val="center"/>
          </w:tcPr>
          <w:p w14:paraId="7C256662">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70F51CB7">
            <w:pPr>
              <w:spacing w:line="320" w:lineRule="exact"/>
              <w:ind w:left="-53" w:leftChars="-25" w:right="-53" w:rightChars="-25"/>
              <w:jc w:val="center"/>
              <w:rPr>
                <w:szCs w:val="21"/>
              </w:rPr>
            </w:pPr>
            <w:r>
              <w:rPr>
                <w:rFonts w:hint="eastAsia"/>
                <w:szCs w:val="21"/>
              </w:rPr>
              <w:t>188</w:t>
            </w:r>
          </w:p>
        </w:tc>
        <w:tc>
          <w:tcPr>
            <w:tcW w:w="781" w:type="pct"/>
            <w:vMerge w:val="continue"/>
            <w:vAlign w:val="center"/>
          </w:tcPr>
          <w:p w14:paraId="4D9CD6F1">
            <w:pPr>
              <w:jc w:val="center"/>
            </w:pPr>
          </w:p>
        </w:tc>
      </w:tr>
      <w:tr w14:paraId="08EB4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772842D">
            <w:pPr>
              <w:jc w:val="center"/>
            </w:pPr>
            <w:r>
              <w:rPr>
                <w:rFonts w:hint="eastAsia"/>
              </w:rPr>
              <w:t>20</w:t>
            </w:r>
          </w:p>
        </w:tc>
        <w:tc>
          <w:tcPr>
            <w:tcW w:w="513" w:type="pct"/>
            <w:vMerge w:val="continue"/>
            <w:vAlign w:val="center"/>
          </w:tcPr>
          <w:p w14:paraId="3188BA6F">
            <w:pPr>
              <w:jc w:val="center"/>
            </w:pPr>
          </w:p>
        </w:tc>
        <w:tc>
          <w:tcPr>
            <w:tcW w:w="831" w:type="pct"/>
            <w:vAlign w:val="center"/>
          </w:tcPr>
          <w:p w14:paraId="006D93B7">
            <w:pPr>
              <w:jc w:val="center"/>
            </w:pPr>
            <w:r>
              <w:rPr>
                <w:rFonts w:hint="eastAsia"/>
              </w:rPr>
              <w:t>吴山镇中心学校</w:t>
            </w:r>
          </w:p>
        </w:tc>
        <w:tc>
          <w:tcPr>
            <w:tcW w:w="619" w:type="pct"/>
            <w:tcBorders>
              <w:right w:val="single" w:color="auto" w:sz="4" w:space="0"/>
            </w:tcBorders>
            <w:vAlign w:val="center"/>
          </w:tcPr>
          <w:p w14:paraId="7C7D20DC">
            <w:pPr>
              <w:jc w:val="center"/>
            </w:pPr>
            <w:r>
              <w:rPr>
                <w:rFonts w:hint="eastAsia"/>
              </w:rPr>
              <w:t>学校</w:t>
            </w:r>
          </w:p>
        </w:tc>
        <w:tc>
          <w:tcPr>
            <w:tcW w:w="742" w:type="pct"/>
            <w:tcBorders>
              <w:right w:val="single" w:color="auto" w:sz="4" w:space="0"/>
            </w:tcBorders>
            <w:vAlign w:val="center"/>
          </w:tcPr>
          <w:p w14:paraId="228BF226">
            <w:pPr>
              <w:jc w:val="center"/>
            </w:pPr>
            <w:r>
              <w:t>S</w:t>
            </w:r>
          </w:p>
        </w:tc>
        <w:tc>
          <w:tcPr>
            <w:tcW w:w="1132" w:type="pct"/>
            <w:tcBorders>
              <w:left w:val="single" w:color="auto" w:sz="4" w:space="0"/>
            </w:tcBorders>
            <w:vAlign w:val="center"/>
          </w:tcPr>
          <w:p w14:paraId="569707D5">
            <w:pPr>
              <w:jc w:val="center"/>
            </w:pPr>
            <w:r>
              <w:rPr>
                <w:rFonts w:hint="eastAsia"/>
              </w:rPr>
              <w:t>740</w:t>
            </w:r>
          </w:p>
        </w:tc>
        <w:tc>
          <w:tcPr>
            <w:tcW w:w="781" w:type="pct"/>
            <w:vMerge w:val="continue"/>
            <w:vAlign w:val="center"/>
          </w:tcPr>
          <w:p w14:paraId="03A1E150">
            <w:pPr>
              <w:jc w:val="center"/>
            </w:pPr>
          </w:p>
        </w:tc>
      </w:tr>
      <w:tr w14:paraId="1D06F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41215FE9">
            <w:pPr>
              <w:jc w:val="center"/>
            </w:pPr>
            <w:r>
              <w:rPr>
                <w:rFonts w:hint="eastAsia"/>
              </w:rPr>
              <w:t>21</w:t>
            </w:r>
          </w:p>
        </w:tc>
        <w:tc>
          <w:tcPr>
            <w:tcW w:w="513" w:type="pct"/>
            <w:vMerge w:val="restart"/>
            <w:vAlign w:val="center"/>
          </w:tcPr>
          <w:p w14:paraId="2E57C81C">
            <w:pPr>
              <w:jc w:val="center"/>
            </w:pPr>
            <w:r>
              <w:rPr>
                <w:rFonts w:hint="eastAsia"/>
              </w:rPr>
              <w:t>地表水</w:t>
            </w:r>
          </w:p>
        </w:tc>
        <w:tc>
          <w:tcPr>
            <w:tcW w:w="831" w:type="pct"/>
            <w:vAlign w:val="center"/>
          </w:tcPr>
          <w:p w14:paraId="61FAC3DA">
            <w:pPr>
              <w:spacing w:line="320" w:lineRule="exact"/>
              <w:ind w:left="-53" w:leftChars="-25" w:right="-53" w:rightChars="-25"/>
              <w:jc w:val="center"/>
              <w:rPr>
                <w:szCs w:val="21"/>
              </w:rPr>
            </w:pPr>
            <w:r>
              <w:rPr>
                <w:szCs w:val="21"/>
              </w:rPr>
              <w:t>溠水</w:t>
            </w:r>
          </w:p>
        </w:tc>
        <w:tc>
          <w:tcPr>
            <w:tcW w:w="619" w:type="pct"/>
            <w:tcBorders>
              <w:right w:val="single" w:color="auto" w:sz="4" w:space="0"/>
            </w:tcBorders>
            <w:vAlign w:val="center"/>
          </w:tcPr>
          <w:p w14:paraId="2AD534B5">
            <w:pPr>
              <w:spacing w:line="320" w:lineRule="exact"/>
              <w:ind w:left="-53" w:leftChars="-25" w:right="-53" w:rightChars="-25"/>
              <w:jc w:val="center"/>
              <w:rPr>
                <w:kern w:val="0"/>
                <w:szCs w:val="21"/>
              </w:rPr>
            </w:pPr>
            <w:r>
              <w:rPr>
                <w:szCs w:val="21"/>
              </w:rPr>
              <w:t>河流</w:t>
            </w:r>
          </w:p>
        </w:tc>
        <w:tc>
          <w:tcPr>
            <w:tcW w:w="742" w:type="pct"/>
            <w:tcBorders>
              <w:right w:val="single" w:color="auto" w:sz="4" w:space="0"/>
            </w:tcBorders>
            <w:vAlign w:val="center"/>
          </w:tcPr>
          <w:p w14:paraId="3635A685">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0D0B7BF7">
            <w:pPr>
              <w:spacing w:line="320" w:lineRule="exact"/>
              <w:ind w:left="-53" w:leftChars="-25" w:right="-53" w:rightChars="-25"/>
              <w:jc w:val="center"/>
              <w:rPr>
                <w:szCs w:val="21"/>
              </w:rPr>
            </w:pPr>
            <w:r>
              <w:rPr>
                <w:rFonts w:hint="eastAsia"/>
                <w:szCs w:val="21"/>
              </w:rPr>
              <w:t>2000</w:t>
            </w:r>
          </w:p>
        </w:tc>
        <w:tc>
          <w:tcPr>
            <w:tcW w:w="781" w:type="pct"/>
            <w:vMerge w:val="restart"/>
            <w:vAlign w:val="center"/>
          </w:tcPr>
          <w:p w14:paraId="49947B9F">
            <w:pPr>
              <w:jc w:val="center"/>
            </w:pPr>
            <w:r>
              <w:t>GB3838-2002中</w:t>
            </w:r>
            <w:r>
              <w:rPr>
                <w:rFonts w:hint="eastAsia"/>
              </w:rPr>
              <w:t>II</w:t>
            </w:r>
            <w:r>
              <w:t>类</w:t>
            </w:r>
          </w:p>
        </w:tc>
      </w:tr>
      <w:tr w14:paraId="5C711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ABD326A">
            <w:pPr>
              <w:jc w:val="center"/>
            </w:pPr>
            <w:r>
              <w:rPr>
                <w:rFonts w:hint="eastAsia"/>
              </w:rPr>
              <w:t>22</w:t>
            </w:r>
          </w:p>
        </w:tc>
        <w:tc>
          <w:tcPr>
            <w:tcW w:w="513" w:type="pct"/>
            <w:vMerge w:val="continue"/>
            <w:vAlign w:val="center"/>
          </w:tcPr>
          <w:p w14:paraId="03413BDD">
            <w:pPr>
              <w:jc w:val="center"/>
            </w:pPr>
          </w:p>
        </w:tc>
        <w:tc>
          <w:tcPr>
            <w:tcW w:w="831" w:type="pct"/>
            <w:vAlign w:val="center"/>
          </w:tcPr>
          <w:p w14:paraId="01E6E101">
            <w:pPr>
              <w:spacing w:line="320" w:lineRule="exact"/>
              <w:ind w:left="-53" w:leftChars="-25" w:right="-53" w:rightChars="-25"/>
              <w:jc w:val="center"/>
              <w:rPr>
                <w:szCs w:val="21"/>
              </w:rPr>
            </w:pPr>
            <w:r>
              <w:rPr>
                <w:rFonts w:hint="eastAsia"/>
                <w:szCs w:val="21"/>
              </w:rPr>
              <w:t>吴山水库</w:t>
            </w:r>
          </w:p>
        </w:tc>
        <w:tc>
          <w:tcPr>
            <w:tcW w:w="619" w:type="pct"/>
            <w:tcBorders>
              <w:right w:val="single" w:color="auto" w:sz="4" w:space="0"/>
            </w:tcBorders>
            <w:vAlign w:val="center"/>
          </w:tcPr>
          <w:p w14:paraId="398E1E20">
            <w:pPr>
              <w:spacing w:line="320" w:lineRule="exact"/>
              <w:ind w:left="-53" w:leftChars="-25" w:right="-53" w:rightChars="-25"/>
              <w:jc w:val="center"/>
              <w:rPr>
                <w:szCs w:val="21"/>
              </w:rPr>
            </w:pPr>
            <w:r>
              <w:rPr>
                <w:rFonts w:hint="eastAsia"/>
                <w:szCs w:val="21"/>
              </w:rPr>
              <w:t>湖库</w:t>
            </w:r>
          </w:p>
        </w:tc>
        <w:tc>
          <w:tcPr>
            <w:tcW w:w="742" w:type="pct"/>
            <w:tcBorders>
              <w:right w:val="single" w:color="auto" w:sz="4" w:space="0"/>
            </w:tcBorders>
            <w:vAlign w:val="center"/>
          </w:tcPr>
          <w:p w14:paraId="78C8BA59">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69630B22">
            <w:pPr>
              <w:spacing w:line="320" w:lineRule="exact"/>
              <w:ind w:left="-53" w:leftChars="-25" w:right="-53" w:rightChars="-25"/>
              <w:jc w:val="center"/>
              <w:rPr>
                <w:szCs w:val="21"/>
              </w:rPr>
            </w:pPr>
            <w:r>
              <w:rPr>
                <w:rFonts w:hint="eastAsia"/>
                <w:szCs w:val="21"/>
              </w:rPr>
              <w:t>5</w:t>
            </w:r>
          </w:p>
        </w:tc>
        <w:tc>
          <w:tcPr>
            <w:tcW w:w="781" w:type="pct"/>
            <w:vMerge w:val="continue"/>
            <w:vAlign w:val="center"/>
          </w:tcPr>
          <w:p w14:paraId="7A67B903">
            <w:pPr>
              <w:jc w:val="center"/>
            </w:pPr>
          </w:p>
        </w:tc>
      </w:tr>
      <w:tr w14:paraId="66805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52A6F5B">
            <w:pPr>
              <w:jc w:val="center"/>
            </w:pPr>
            <w:r>
              <w:rPr>
                <w:rFonts w:hint="eastAsia"/>
              </w:rPr>
              <w:t>23</w:t>
            </w:r>
          </w:p>
        </w:tc>
        <w:tc>
          <w:tcPr>
            <w:tcW w:w="513" w:type="pct"/>
            <w:vAlign w:val="center"/>
          </w:tcPr>
          <w:p w14:paraId="414A0EF3">
            <w:pPr>
              <w:jc w:val="center"/>
            </w:pPr>
            <w:r>
              <w:rPr>
                <w:rFonts w:hint="eastAsia"/>
              </w:rPr>
              <w:t>生态环境</w:t>
            </w:r>
          </w:p>
        </w:tc>
        <w:tc>
          <w:tcPr>
            <w:tcW w:w="3324" w:type="pct"/>
            <w:gridSpan w:val="4"/>
            <w:vAlign w:val="center"/>
          </w:tcPr>
          <w:p w14:paraId="1AEBFD30">
            <w:pPr>
              <w:jc w:val="center"/>
            </w:pPr>
            <w:r>
              <w:rPr>
                <w:rFonts w:hint="eastAsia"/>
              </w:rPr>
              <w:t>规划区内植被、</w:t>
            </w:r>
            <w:r>
              <w:rPr>
                <w:rFonts w:hint="eastAsia"/>
                <w:kern w:val="0"/>
                <w:szCs w:val="21"/>
              </w:rPr>
              <w:t>永久基本农田等</w:t>
            </w:r>
          </w:p>
        </w:tc>
        <w:tc>
          <w:tcPr>
            <w:tcW w:w="781" w:type="pct"/>
            <w:vAlign w:val="center"/>
          </w:tcPr>
          <w:p w14:paraId="2B5D271E">
            <w:pPr>
              <w:jc w:val="center"/>
            </w:pPr>
            <w:r>
              <w:rPr>
                <w:rFonts w:hint="eastAsia"/>
              </w:rPr>
              <w:t>生态环境</w:t>
            </w:r>
          </w:p>
        </w:tc>
      </w:tr>
      <w:tr w14:paraId="58058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5000" w:type="pct"/>
            <w:gridSpan w:val="7"/>
            <w:vAlign w:val="center"/>
          </w:tcPr>
          <w:p w14:paraId="7CC02755">
            <w:pPr>
              <w:jc w:val="center"/>
            </w:pPr>
            <w:r>
              <w:rPr>
                <w:rFonts w:hint="eastAsia"/>
                <w:b/>
              </w:rPr>
              <w:t>二、万和石材产业园区</w:t>
            </w:r>
          </w:p>
        </w:tc>
      </w:tr>
      <w:tr w14:paraId="49ACC774">
        <w:tblPrEx>
          <w:tblCellMar>
            <w:top w:w="0" w:type="dxa"/>
            <w:left w:w="108" w:type="dxa"/>
            <w:bottom w:w="0" w:type="dxa"/>
            <w:right w:w="108" w:type="dxa"/>
          </w:tblCellMar>
        </w:tblPrEx>
        <w:trPr>
          <w:cantSplit/>
          <w:trHeight w:val="369" w:hRule="atLeast"/>
          <w:jc w:val="center"/>
        </w:trPr>
        <w:tc>
          <w:tcPr>
            <w:tcW w:w="382" w:type="pct"/>
            <w:vAlign w:val="center"/>
          </w:tcPr>
          <w:p w14:paraId="01A0B82C">
            <w:pPr>
              <w:jc w:val="center"/>
            </w:pPr>
            <w:r>
              <w:t>1</w:t>
            </w:r>
          </w:p>
        </w:tc>
        <w:tc>
          <w:tcPr>
            <w:tcW w:w="513" w:type="pct"/>
            <w:vMerge w:val="restart"/>
            <w:vAlign w:val="center"/>
          </w:tcPr>
          <w:p w14:paraId="44A9328E">
            <w:pPr>
              <w:jc w:val="center"/>
            </w:pPr>
            <w:r>
              <w:rPr>
                <w:rFonts w:hint="eastAsia"/>
              </w:rPr>
              <w:t>环境空气和声环境</w:t>
            </w:r>
          </w:p>
        </w:tc>
        <w:tc>
          <w:tcPr>
            <w:tcW w:w="831" w:type="pct"/>
            <w:vAlign w:val="center"/>
          </w:tcPr>
          <w:p w14:paraId="3D744AA0">
            <w:pPr>
              <w:spacing w:line="320" w:lineRule="exact"/>
              <w:ind w:left="-53" w:leftChars="-25" w:right="-53" w:rightChars="-25"/>
              <w:jc w:val="center"/>
              <w:rPr>
                <w:szCs w:val="21"/>
              </w:rPr>
            </w:pPr>
            <w:r>
              <w:rPr>
                <w:rFonts w:hint="eastAsia"/>
                <w:szCs w:val="21"/>
              </w:rPr>
              <w:t>大房湾村</w:t>
            </w:r>
          </w:p>
        </w:tc>
        <w:tc>
          <w:tcPr>
            <w:tcW w:w="619" w:type="pct"/>
            <w:tcBorders>
              <w:right w:val="single" w:color="auto" w:sz="4" w:space="0"/>
            </w:tcBorders>
            <w:vAlign w:val="center"/>
          </w:tcPr>
          <w:p w14:paraId="63FEE240">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5118780">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587305E9">
            <w:pPr>
              <w:spacing w:line="320" w:lineRule="exact"/>
              <w:ind w:left="-53" w:leftChars="-25" w:right="-53" w:rightChars="-25"/>
              <w:jc w:val="center"/>
              <w:rPr>
                <w:szCs w:val="21"/>
              </w:rPr>
            </w:pPr>
            <w:r>
              <w:rPr>
                <w:szCs w:val="21"/>
              </w:rPr>
              <w:t>0</w:t>
            </w:r>
          </w:p>
        </w:tc>
        <w:tc>
          <w:tcPr>
            <w:tcW w:w="781" w:type="pct"/>
            <w:vMerge w:val="restart"/>
            <w:vAlign w:val="center"/>
          </w:tcPr>
          <w:p w14:paraId="5FD548E0">
            <w:pPr>
              <w:jc w:val="center"/>
            </w:pPr>
            <w:r>
              <w:t>环境空气二级、环境噪声2类</w:t>
            </w:r>
          </w:p>
        </w:tc>
      </w:tr>
      <w:tr w14:paraId="33015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FB7C98E">
            <w:pPr>
              <w:jc w:val="center"/>
            </w:pPr>
            <w:r>
              <w:t>2</w:t>
            </w:r>
          </w:p>
        </w:tc>
        <w:tc>
          <w:tcPr>
            <w:tcW w:w="513" w:type="pct"/>
            <w:vMerge w:val="continue"/>
            <w:vAlign w:val="center"/>
          </w:tcPr>
          <w:p w14:paraId="0BCF142D">
            <w:pPr>
              <w:jc w:val="center"/>
            </w:pPr>
          </w:p>
        </w:tc>
        <w:tc>
          <w:tcPr>
            <w:tcW w:w="831" w:type="pct"/>
            <w:vAlign w:val="center"/>
          </w:tcPr>
          <w:p w14:paraId="67A17D6D">
            <w:pPr>
              <w:spacing w:line="320" w:lineRule="exact"/>
              <w:ind w:left="-53" w:leftChars="-25" w:right="-53" w:rightChars="-25"/>
              <w:jc w:val="center"/>
              <w:rPr>
                <w:szCs w:val="21"/>
              </w:rPr>
            </w:pPr>
            <w:r>
              <w:rPr>
                <w:rFonts w:hint="eastAsia"/>
                <w:szCs w:val="21"/>
              </w:rPr>
              <w:t>袁家塆</w:t>
            </w:r>
          </w:p>
        </w:tc>
        <w:tc>
          <w:tcPr>
            <w:tcW w:w="619" w:type="pct"/>
            <w:tcBorders>
              <w:right w:val="single" w:color="auto" w:sz="4" w:space="0"/>
            </w:tcBorders>
            <w:vAlign w:val="center"/>
          </w:tcPr>
          <w:p w14:paraId="4459D5C7">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7680BD3">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1E2B4262">
            <w:pPr>
              <w:spacing w:line="320" w:lineRule="exact"/>
              <w:ind w:left="-53" w:leftChars="-25" w:right="-53" w:rightChars="-25"/>
              <w:jc w:val="center"/>
              <w:rPr>
                <w:szCs w:val="21"/>
              </w:rPr>
            </w:pPr>
            <w:r>
              <w:rPr>
                <w:szCs w:val="21"/>
              </w:rPr>
              <w:t>0</w:t>
            </w:r>
          </w:p>
        </w:tc>
        <w:tc>
          <w:tcPr>
            <w:tcW w:w="781" w:type="pct"/>
            <w:vMerge w:val="continue"/>
            <w:vAlign w:val="center"/>
          </w:tcPr>
          <w:p w14:paraId="0697EFC0">
            <w:pPr>
              <w:jc w:val="center"/>
            </w:pPr>
          </w:p>
        </w:tc>
      </w:tr>
      <w:tr w14:paraId="7D7FE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53332AC">
            <w:pPr>
              <w:jc w:val="center"/>
            </w:pPr>
            <w:r>
              <w:t>3</w:t>
            </w:r>
          </w:p>
        </w:tc>
        <w:tc>
          <w:tcPr>
            <w:tcW w:w="513" w:type="pct"/>
            <w:vMerge w:val="continue"/>
            <w:vAlign w:val="center"/>
          </w:tcPr>
          <w:p w14:paraId="30ED1567">
            <w:pPr>
              <w:jc w:val="center"/>
            </w:pPr>
          </w:p>
        </w:tc>
        <w:tc>
          <w:tcPr>
            <w:tcW w:w="831" w:type="pct"/>
            <w:vAlign w:val="center"/>
          </w:tcPr>
          <w:p w14:paraId="4D6BA7D8">
            <w:pPr>
              <w:spacing w:line="320" w:lineRule="exact"/>
              <w:ind w:left="-53" w:leftChars="-25" w:right="-53" w:rightChars="-25"/>
              <w:jc w:val="center"/>
              <w:rPr>
                <w:szCs w:val="21"/>
              </w:rPr>
            </w:pPr>
            <w:r>
              <w:rPr>
                <w:rFonts w:hint="eastAsia"/>
                <w:szCs w:val="21"/>
              </w:rPr>
              <w:t>朱家塆</w:t>
            </w:r>
          </w:p>
        </w:tc>
        <w:tc>
          <w:tcPr>
            <w:tcW w:w="619" w:type="pct"/>
            <w:tcBorders>
              <w:right w:val="single" w:color="auto" w:sz="4" w:space="0"/>
            </w:tcBorders>
            <w:vAlign w:val="center"/>
          </w:tcPr>
          <w:p w14:paraId="5F2A2810">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F846A23">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2BD2EFF7">
            <w:pPr>
              <w:spacing w:line="320" w:lineRule="exact"/>
              <w:ind w:left="-53" w:leftChars="-25" w:right="-53" w:rightChars="-25"/>
              <w:jc w:val="center"/>
              <w:rPr>
                <w:szCs w:val="21"/>
              </w:rPr>
            </w:pPr>
            <w:r>
              <w:rPr>
                <w:szCs w:val="21"/>
              </w:rPr>
              <w:t>0</w:t>
            </w:r>
          </w:p>
        </w:tc>
        <w:tc>
          <w:tcPr>
            <w:tcW w:w="781" w:type="pct"/>
            <w:vMerge w:val="continue"/>
            <w:vAlign w:val="center"/>
          </w:tcPr>
          <w:p w14:paraId="2D13BCF6">
            <w:pPr>
              <w:jc w:val="center"/>
            </w:pPr>
          </w:p>
        </w:tc>
      </w:tr>
      <w:tr w14:paraId="150C9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40EF5AB">
            <w:pPr>
              <w:jc w:val="center"/>
            </w:pPr>
            <w:r>
              <w:t>4</w:t>
            </w:r>
          </w:p>
        </w:tc>
        <w:tc>
          <w:tcPr>
            <w:tcW w:w="513" w:type="pct"/>
            <w:vMerge w:val="continue"/>
            <w:vAlign w:val="center"/>
          </w:tcPr>
          <w:p w14:paraId="512EF761">
            <w:pPr>
              <w:jc w:val="center"/>
            </w:pPr>
          </w:p>
        </w:tc>
        <w:tc>
          <w:tcPr>
            <w:tcW w:w="831" w:type="pct"/>
            <w:vAlign w:val="center"/>
          </w:tcPr>
          <w:p w14:paraId="563161DF">
            <w:pPr>
              <w:spacing w:line="320" w:lineRule="exact"/>
              <w:ind w:left="-53" w:leftChars="-25" w:right="-53" w:rightChars="-25"/>
              <w:jc w:val="center"/>
              <w:rPr>
                <w:szCs w:val="21"/>
              </w:rPr>
            </w:pPr>
            <w:r>
              <w:rPr>
                <w:rFonts w:hint="eastAsia"/>
                <w:szCs w:val="21"/>
              </w:rPr>
              <w:t>青苔村</w:t>
            </w:r>
          </w:p>
        </w:tc>
        <w:tc>
          <w:tcPr>
            <w:tcW w:w="619" w:type="pct"/>
            <w:tcBorders>
              <w:right w:val="single" w:color="auto" w:sz="4" w:space="0"/>
            </w:tcBorders>
            <w:vAlign w:val="center"/>
          </w:tcPr>
          <w:p w14:paraId="065D858C">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7DE2359">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3429C060">
            <w:pPr>
              <w:spacing w:line="320" w:lineRule="exact"/>
              <w:ind w:left="-53" w:leftChars="-25" w:right="-53" w:rightChars="-25"/>
              <w:jc w:val="center"/>
              <w:rPr>
                <w:szCs w:val="21"/>
              </w:rPr>
            </w:pPr>
            <w:r>
              <w:rPr>
                <w:szCs w:val="21"/>
              </w:rPr>
              <w:t>20</w:t>
            </w:r>
          </w:p>
        </w:tc>
        <w:tc>
          <w:tcPr>
            <w:tcW w:w="781" w:type="pct"/>
            <w:vMerge w:val="continue"/>
            <w:vAlign w:val="center"/>
          </w:tcPr>
          <w:p w14:paraId="50ECFCFE">
            <w:pPr>
              <w:jc w:val="center"/>
            </w:pPr>
          </w:p>
        </w:tc>
      </w:tr>
      <w:tr w14:paraId="46E4B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FB3C57A">
            <w:pPr>
              <w:jc w:val="center"/>
            </w:pPr>
            <w:r>
              <w:rPr>
                <w:rFonts w:hint="eastAsia"/>
              </w:rPr>
              <w:t>5</w:t>
            </w:r>
          </w:p>
        </w:tc>
        <w:tc>
          <w:tcPr>
            <w:tcW w:w="513" w:type="pct"/>
            <w:vMerge w:val="continue"/>
            <w:vAlign w:val="center"/>
          </w:tcPr>
          <w:p w14:paraId="61564B21">
            <w:pPr>
              <w:jc w:val="center"/>
            </w:pPr>
          </w:p>
        </w:tc>
        <w:tc>
          <w:tcPr>
            <w:tcW w:w="831" w:type="pct"/>
            <w:vAlign w:val="center"/>
          </w:tcPr>
          <w:p w14:paraId="76C4C6E5">
            <w:pPr>
              <w:spacing w:line="320" w:lineRule="exact"/>
              <w:ind w:left="-53" w:leftChars="-25" w:right="-53" w:rightChars="-25"/>
              <w:jc w:val="center"/>
              <w:rPr>
                <w:szCs w:val="21"/>
              </w:rPr>
            </w:pPr>
            <w:r>
              <w:rPr>
                <w:rFonts w:hint="eastAsia"/>
                <w:szCs w:val="21"/>
              </w:rPr>
              <w:t>丁家塆</w:t>
            </w:r>
          </w:p>
        </w:tc>
        <w:tc>
          <w:tcPr>
            <w:tcW w:w="619" w:type="pct"/>
            <w:tcBorders>
              <w:right w:val="single" w:color="auto" w:sz="4" w:space="0"/>
            </w:tcBorders>
            <w:vAlign w:val="center"/>
          </w:tcPr>
          <w:p w14:paraId="56585688">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DEEA034">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0012017B">
            <w:pPr>
              <w:spacing w:line="320" w:lineRule="exact"/>
              <w:ind w:left="-53" w:leftChars="-25" w:right="-53" w:rightChars="-25"/>
              <w:jc w:val="center"/>
              <w:rPr>
                <w:szCs w:val="21"/>
              </w:rPr>
            </w:pPr>
            <w:r>
              <w:rPr>
                <w:szCs w:val="21"/>
              </w:rPr>
              <w:t>158</w:t>
            </w:r>
          </w:p>
        </w:tc>
        <w:tc>
          <w:tcPr>
            <w:tcW w:w="781" w:type="pct"/>
            <w:vMerge w:val="continue"/>
            <w:vAlign w:val="center"/>
          </w:tcPr>
          <w:p w14:paraId="4316A2BA">
            <w:pPr>
              <w:jc w:val="center"/>
            </w:pPr>
          </w:p>
        </w:tc>
      </w:tr>
      <w:tr w14:paraId="0597D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52ACB23">
            <w:pPr>
              <w:jc w:val="center"/>
            </w:pPr>
            <w:r>
              <w:rPr>
                <w:rFonts w:hint="eastAsia"/>
              </w:rPr>
              <w:t>6</w:t>
            </w:r>
          </w:p>
        </w:tc>
        <w:tc>
          <w:tcPr>
            <w:tcW w:w="513" w:type="pct"/>
            <w:vMerge w:val="continue"/>
            <w:vAlign w:val="center"/>
          </w:tcPr>
          <w:p w14:paraId="241B85F4">
            <w:pPr>
              <w:jc w:val="center"/>
            </w:pPr>
          </w:p>
        </w:tc>
        <w:tc>
          <w:tcPr>
            <w:tcW w:w="831" w:type="pct"/>
            <w:vAlign w:val="center"/>
          </w:tcPr>
          <w:p w14:paraId="2C3951C6">
            <w:pPr>
              <w:spacing w:line="320" w:lineRule="exact"/>
              <w:ind w:left="-53" w:leftChars="-25" w:right="-53" w:rightChars="-25"/>
              <w:jc w:val="center"/>
              <w:rPr>
                <w:szCs w:val="21"/>
              </w:rPr>
            </w:pPr>
            <w:r>
              <w:rPr>
                <w:rFonts w:hint="eastAsia"/>
                <w:szCs w:val="21"/>
              </w:rPr>
              <w:t>范家庄</w:t>
            </w:r>
          </w:p>
        </w:tc>
        <w:tc>
          <w:tcPr>
            <w:tcW w:w="619" w:type="pct"/>
            <w:tcBorders>
              <w:right w:val="single" w:color="auto" w:sz="4" w:space="0"/>
            </w:tcBorders>
            <w:vAlign w:val="center"/>
          </w:tcPr>
          <w:p w14:paraId="39C92BA8">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FB10034">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1500D844">
            <w:pPr>
              <w:spacing w:line="320" w:lineRule="exact"/>
              <w:ind w:left="-53" w:leftChars="-25" w:right="-53" w:rightChars="-25"/>
              <w:jc w:val="center"/>
              <w:rPr>
                <w:szCs w:val="21"/>
              </w:rPr>
            </w:pPr>
            <w:r>
              <w:rPr>
                <w:szCs w:val="21"/>
              </w:rPr>
              <w:t>89</w:t>
            </w:r>
          </w:p>
        </w:tc>
        <w:tc>
          <w:tcPr>
            <w:tcW w:w="781" w:type="pct"/>
            <w:vMerge w:val="continue"/>
            <w:vAlign w:val="center"/>
          </w:tcPr>
          <w:p w14:paraId="03D41EEF">
            <w:pPr>
              <w:jc w:val="center"/>
            </w:pPr>
          </w:p>
        </w:tc>
      </w:tr>
      <w:tr w14:paraId="6C22F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454CD9E">
            <w:pPr>
              <w:jc w:val="center"/>
            </w:pPr>
            <w:r>
              <w:rPr>
                <w:rFonts w:hint="eastAsia"/>
              </w:rPr>
              <w:t>7</w:t>
            </w:r>
          </w:p>
        </w:tc>
        <w:tc>
          <w:tcPr>
            <w:tcW w:w="513" w:type="pct"/>
            <w:vMerge w:val="continue"/>
            <w:vAlign w:val="center"/>
          </w:tcPr>
          <w:p w14:paraId="5BA7EE86">
            <w:pPr>
              <w:jc w:val="center"/>
            </w:pPr>
          </w:p>
        </w:tc>
        <w:tc>
          <w:tcPr>
            <w:tcW w:w="831" w:type="pct"/>
            <w:vAlign w:val="center"/>
          </w:tcPr>
          <w:p w14:paraId="1F319FEC">
            <w:pPr>
              <w:spacing w:line="320" w:lineRule="exact"/>
              <w:ind w:left="-53" w:leftChars="-25" w:right="-53" w:rightChars="-25"/>
              <w:jc w:val="center"/>
              <w:rPr>
                <w:szCs w:val="21"/>
              </w:rPr>
            </w:pPr>
            <w:r>
              <w:rPr>
                <w:rFonts w:hint="eastAsia"/>
                <w:szCs w:val="21"/>
              </w:rPr>
              <w:t>康家畈</w:t>
            </w:r>
          </w:p>
        </w:tc>
        <w:tc>
          <w:tcPr>
            <w:tcW w:w="619" w:type="pct"/>
            <w:tcBorders>
              <w:right w:val="single" w:color="auto" w:sz="4" w:space="0"/>
            </w:tcBorders>
            <w:vAlign w:val="center"/>
          </w:tcPr>
          <w:p w14:paraId="6DB893D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E75F18E">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765C4CF2">
            <w:pPr>
              <w:spacing w:line="320" w:lineRule="exact"/>
              <w:ind w:left="-53" w:leftChars="-25" w:right="-53" w:rightChars="-25"/>
              <w:jc w:val="center"/>
              <w:rPr>
                <w:szCs w:val="21"/>
              </w:rPr>
            </w:pPr>
            <w:r>
              <w:rPr>
                <w:szCs w:val="21"/>
              </w:rPr>
              <w:t>423</w:t>
            </w:r>
          </w:p>
        </w:tc>
        <w:tc>
          <w:tcPr>
            <w:tcW w:w="781" w:type="pct"/>
            <w:vMerge w:val="continue"/>
            <w:vAlign w:val="center"/>
          </w:tcPr>
          <w:p w14:paraId="77AE6E0C">
            <w:pPr>
              <w:jc w:val="center"/>
            </w:pPr>
          </w:p>
        </w:tc>
      </w:tr>
      <w:tr w14:paraId="26760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E31033F">
            <w:pPr>
              <w:jc w:val="center"/>
            </w:pPr>
            <w:r>
              <w:rPr>
                <w:rFonts w:hint="eastAsia"/>
              </w:rPr>
              <w:t>8</w:t>
            </w:r>
          </w:p>
        </w:tc>
        <w:tc>
          <w:tcPr>
            <w:tcW w:w="513" w:type="pct"/>
            <w:vMerge w:val="continue"/>
            <w:vAlign w:val="center"/>
          </w:tcPr>
          <w:p w14:paraId="30000E21">
            <w:pPr>
              <w:jc w:val="center"/>
            </w:pPr>
          </w:p>
        </w:tc>
        <w:tc>
          <w:tcPr>
            <w:tcW w:w="831" w:type="pct"/>
            <w:vAlign w:val="center"/>
          </w:tcPr>
          <w:p w14:paraId="5E2A7F96">
            <w:pPr>
              <w:spacing w:line="320" w:lineRule="exact"/>
              <w:ind w:left="-53" w:leftChars="-25" w:right="-53" w:rightChars="-25"/>
              <w:jc w:val="center"/>
              <w:rPr>
                <w:szCs w:val="21"/>
              </w:rPr>
            </w:pPr>
            <w:r>
              <w:rPr>
                <w:rFonts w:hint="eastAsia"/>
                <w:szCs w:val="21"/>
              </w:rPr>
              <w:t>方家塆</w:t>
            </w:r>
          </w:p>
        </w:tc>
        <w:tc>
          <w:tcPr>
            <w:tcW w:w="619" w:type="pct"/>
            <w:tcBorders>
              <w:right w:val="single" w:color="auto" w:sz="4" w:space="0"/>
            </w:tcBorders>
            <w:vAlign w:val="center"/>
          </w:tcPr>
          <w:p w14:paraId="46C439B5">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E892D7C">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6904B9CC">
            <w:pPr>
              <w:spacing w:line="320" w:lineRule="exact"/>
              <w:ind w:left="-53" w:leftChars="-25" w:right="-53" w:rightChars="-25"/>
              <w:jc w:val="center"/>
              <w:rPr>
                <w:szCs w:val="21"/>
              </w:rPr>
            </w:pPr>
            <w:r>
              <w:rPr>
                <w:szCs w:val="21"/>
              </w:rPr>
              <w:t>356</w:t>
            </w:r>
          </w:p>
        </w:tc>
        <w:tc>
          <w:tcPr>
            <w:tcW w:w="781" w:type="pct"/>
            <w:vMerge w:val="continue"/>
            <w:vAlign w:val="center"/>
          </w:tcPr>
          <w:p w14:paraId="310156A3">
            <w:pPr>
              <w:jc w:val="center"/>
            </w:pPr>
          </w:p>
        </w:tc>
      </w:tr>
      <w:tr w14:paraId="63E79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ED5BA5C">
            <w:pPr>
              <w:jc w:val="center"/>
            </w:pPr>
            <w:r>
              <w:rPr>
                <w:rFonts w:hint="eastAsia"/>
              </w:rPr>
              <w:t>9</w:t>
            </w:r>
          </w:p>
        </w:tc>
        <w:tc>
          <w:tcPr>
            <w:tcW w:w="513" w:type="pct"/>
            <w:vMerge w:val="continue"/>
            <w:vAlign w:val="center"/>
          </w:tcPr>
          <w:p w14:paraId="76C28C0F">
            <w:pPr>
              <w:jc w:val="center"/>
            </w:pPr>
          </w:p>
        </w:tc>
        <w:tc>
          <w:tcPr>
            <w:tcW w:w="831" w:type="pct"/>
            <w:vAlign w:val="center"/>
          </w:tcPr>
          <w:p w14:paraId="5E3A6D3D">
            <w:pPr>
              <w:spacing w:line="320" w:lineRule="exact"/>
              <w:ind w:left="-53" w:leftChars="-25" w:right="-53" w:rightChars="-25"/>
              <w:jc w:val="center"/>
              <w:rPr>
                <w:szCs w:val="21"/>
              </w:rPr>
            </w:pPr>
            <w:r>
              <w:rPr>
                <w:rFonts w:hint="eastAsia"/>
                <w:szCs w:val="21"/>
              </w:rPr>
              <w:t>赵家塆</w:t>
            </w:r>
          </w:p>
        </w:tc>
        <w:tc>
          <w:tcPr>
            <w:tcW w:w="619" w:type="pct"/>
            <w:tcBorders>
              <w:right w:val="single" w:color="auto" w:sz="4" w:space="0"/>
            </w:tcBorders>
            <w:vAlign w:val="center"/>
          </w:tcPr>
          <w:p w14:paraId="68434245">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46515CBC">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18038894">
            <w:pPr>
              <w:spacing w:line="320" w:lineRule="exact"/>
              <w:ind w:left="-53" w:leftChars="-25" w:right="-53" w:rightChars="-25"/>
              <w:jc w:val="center"/>
              <w:rPr>
                <w:szCs w:val="21"/>
              </w:rPr>
            </w:pPr>
            <w:r>
              <w:rPr>
                <w:szCs w:val="21"/>
              </w:rPr>
              <w:t>216</w:t>
            </w:r>
          </w:p>
        </w:tc>
        <w:tc>
          <w:tcPr>
            <w:tcW w:w="781" w:type="pct"/>
            <w:vMerge w:val="continue"/>
            <w:vAlign w:val="center"/>
          </w:tcPr>
          <w:p w14:paraId="2E28008C">
            <w:pPr>
              <w:jc w:val="center"/>
            </w:pPr>
          </w:p>
        </w:tc>
      </w:tr>
      <w:tr w14:paraId="41C73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bottom w:val="single" w:color="auto" w:sz="4" w:space="0"/>
            </w:tcBorders>
            <w:vAlign w:val="center"/>
          </w:tcPr>
          <w:p w14:paraId="32E96184">
            <w:pPr>
              <w:jc w:val="center"/>
            </w:pPr>
            <w:r>
              <w:rPr>
                <w:rFonts w:hint="eastAsia"/>
              </w:rPr>
              <w:t>10</w:t>
            </w:r>
          </w:p>
        </w:tc>
        <w:tc>
          <w:tcPr>
            <w:tcW w:w="513" w:type="pct"/>
            <w:vMerge w:val="continue"/>
            <w:vAlign w:val="center"/>
          </w:tcPr>
          <w:p w14:paraId="04521F4E">
            <w:pPr>
              <w:jc w:val="center"/>
            </w:pPr>
          </w:p>
        </w:tc>
        <w:tc>
          <w:tcPr>
            <w:tcW w:w="831" w:type="pct"/>
            <w:tcBorders>
              <w:bottom w:val="single" w:color="auto" w:sz="4" w:space="0"/>
            </w:tcBorders>
            <w:vAlign w:val="center"/>
          </w:tcPr>
          <w:p w14:paraId="011A50BB">
            <w:pPr>
              <w:spacing w:line="320" w:lineRule="exact"/>
              <w:ind w:left="-53" w:leftChars="-25" w:right="-53" w:rightChars="-25"/>
              <w:jc w:val="center"/>
              <w:rPr>
                <w:szCs w:val="21"/>
              </w:rPr>
            </w:pPr>
            <w:r>
              <w:rPr>
                <w:rFonts w:hint="eastAsia"/>
                <w:szCs w:val="21"/>
              </w:rPr>
              <w:t>小河沟</w:t>
            </w:r>
          </w:p>
        </w:tc>
        <w:tc>
          <w:tcPr>
            <w:tcW w:w="619" w:type="pct"/>
            <w:tcBorders>
              <w:right w:val="single" w:color="auto" w:sz="4" w:space="0"/>
            </w:tcBorders>
            <w:vAlign w:val="center"/>
          </w:tcPr>
          <w:p w14:paraId="7E7ACBE1">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577CC3D">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476A58C4">
            <w:pPr>
              <w:spacing w:line="320" w:lineRule="exact"/>
              <w:ind w:left="-53" w:leftChars="-25" w:right="-53" w:rightChars="-25"/>
              <w:jc w:val="center"/>
              <w:rPr>
                <w:szCs w:val="21"/>
              </w:rPr>
            </w:pPr>
            <w:r>
              <w:rPr>
                <w:szCs w:val="21"/>
              </w:rPr>
              <w:t>96</w:t>
            </w:r>
          </w:p>
        </w:tc>
        <w:tc>
          <w:tcPr>
            <w:tcW w:w="781" w:type="pct"/>
            <w:vMerge w:val="continue"/>
            <w:vAlign w:val="center"/>
          </w:tcPr>
          <w:p w14:paraId="79FFA093">
            <w:pPr>
              <w:jc w:val="center"/>
            </w:pPr>
          </w:p>
        </w:tc>
      </w:tr>
      <w:tr w14:paraId="1A0E0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17E6ABB0">
            <w:pPr>
              <w:jc w:val="center"/>
            </w:pPr>
            <w:r>
              <w:rPr>
                <w:rFonts w:hint="eastAsia"/>
              </w:rPr>
              <w:t>11</w:t>
            </w:r>
          </w:p>
        </w:tc>
        <w:tc>
          <w:tcPr>
            <w:tcW w:w="513" w:type="pct"/>
            <w:vMerge w:val="continue"/>
            <w:vAlign w:val="center"/>
          </w:tcPr>
          <w:p w14:paraId="5A59F871">
            <w:pPr>
              <w:jc w:val="center"/>
            </w:pPr>
          </w:p>
        </w:tc>
        <w:tc>
          <w:tcPr>
            <w:tcW w:w="831" w:type="pct"/>
            <w:tcBorders>
              <w:top w:val="single" w:color="auto" w:sz="4" w:space="0"/>
            </w:tcBorders>
            <w:vAlign w:val="center"/>
          </w:tcPr>
          <w:p w14:paraId="410F4337">
            <w:pPr>
              <w:spacing w:line="320" w:lineRule="exact"/>
              <w:ind w:left="-53" w:leftChars="-25" w:right="-53" w:rightChars="-25"/>
              <w:jc w:val="center"/>
              <w:rPr>
                <w:szCs w:val="21"/>
              </w:rPr>
            </w:pPr>
            <w:r>
              <w:rPr>
                <w:rFonts w:hint="eastAsia"/>
                <w:szCs w:val="21"/>
              </w:rPr>
              <w:t>大西沟村</w:t>
            </w:r>
          </w:p>
        </w:tc>
        <w:tc>
          <w:tcPr>
            <w:tcW w:w="619" w:type="pct"/>
            <w:tcBorders>
              <w:right w:val="single" w:color="auto" w:sz="4" w:space="0"/>
            </w:tcBorders>
            <w:vAlign w:val="center"/>
          </w:tcPr>
          <w:p w14:paraId="2ED4732E">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50F4827">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409D85DB">
            <w:pPr>
              <w:spacing w:line="320" w:lineRule="exact"/>
              <w:ind w:left="-53" w:leftChars="-25" w:right="-53" w:rightChars="-25"/>
              <w:jc w:val="center"/>
              <w:rPr>
                <w:szCs w:val="21"/>
              </w:rPr>
            </w:pPr>
            <w:r>
              <w:rPr>
                <w:szCs w:val="21"/>
              </w:rPr>
              <w:t>846</w:t>
            </w:r>
          </w:p>
        </w:tc>
        <w:tc>
          <w:tcPr>
            <w:tcW w:w="781" w:type="pct"/>
            <w:vMerge w:val="continue"/>
            <w:vAlign w:val="center"/>
          </w:tcPr>
          <w:p w14:paraId="1ECFEEF8">
            <w:pPr>
              <w:jc w:val="center"/>
            </w:pPr>
          </w:p>
        </w:tc>
      </w:tr>
      <w:tr w14:paraId="4565F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23A9C7AE">
            <w:pPr>
              <w:jc w:val="center"/>
            </w:pPr>
            <w:r>
              <w:rPr>
                <w:rFonts w:hint="eastAsia"/>
              </w:rPr>
              <w:t>12</w:t>
            </w:r>
          </w:p>
        </w:tc>
        <w:tc>
          <w:tcPr>
            <w:tcW w:w="513" w:type="pct"/>
            <w:vMerge w:val="continue"/>
            <w:vAlign w:val="center"/>
          </w:tcPr>
          <w:p w14:paraId="2EE24662">
            <w:pPr>
              <w:jc w:val="center"/>
            </w:pPr>
          </w:p>
        </w:tc>
        <w:tc>
          <w:tcPr>
            <w:tcW w:w="831" w:type="pct"/>
            <w:tcBorders>
              <w:top w:val="single" w:color="auto" w:sz="4" w:space="0"/>
            </w:tcBorders>
            <w:vAlign w:val="center"/>
          </w:tcPr>
          <w:p w14:paraId="0C745AA7">
            <w:pPr>
              <w:spacing w:line="320" w:lineRule="exact"/>
              <w:ind w:left="-53" w:leftChars="-25" w:right="-53" w:rightChars="-25"/>
              <w:jc w:val="center"/>
              <w:rPr>
                <w:szCs w:val="21"/>
              </w:rPr>
            </w:pPr>
            <w:r>
              <w:rPr>
                <w:rFonts w:hint="eastAsia"/>
                <w:szCs w:val="21"/>
              </w:rPr>
              <w:t>车店小学</w:t>
            </w:r>
          </w:p>
        </w:tc>
        <w:tc>
          <w:tcPr>
            <w:tcW w:w="619" w:type="pct"/>
            <w:tcBorders>
              <w:right w:val="single" w:color="auto" w:sz="4" w:space="0"/>
            </w:tcBorders>
            <w:vAlign w:val="center"/>
          </w:tcPr>
          <w:p w14:paraId="1791B394">
            <w:pPr>
              <w:spacing w:line="320" w:lineRule="exact"/>
              <w:ind w:left="-53" w:leftChars="-25" w:right="-53" w:rightChars="-25"/>
              <w:jc w:val="center"/>
              <w:rPr>
                <w:szCs w:val="21"/>
              </w:rPr>
            </w:pPr>
            <w:r>
              <w:rPr>
                <w:rFonts w:hint="eastAsia"/>
                <w:szCs w:val="21"/>
              </w:rPr>
              <w:t>学校</w:t>
            </w:r>
          </w:p>
        </w:tc>
        <w:tc>
          <w:tcPr>
            <w:tcW w:w="742" w:type="pct"/>
            <w:tcBorders>
              <w:right w:val="single" w:color="auto" w:sz="4" w:space="0"/>
            </w:tcBorders>
            <w:vAlign w:val="center"/>
          </w:tcPr>
          <w:p w14:paraId="0B7A3AA2">
            <w:pPr>
              <w:spacing w:line="320" w:lineRule="exact"/>
              <w:ind w:left="-53" w:leftChars="-25" w:right="-53" w:rightChars="-25"/>
              <w:jc w:val="center"/>
              <w:rPr>
                <w:szCs w:val="21"/>
              </w:rPr>
            </w:pPr>
            <w:r>
              <w:rPr>
                <w:rFonts w:hint="eastAsia"/>
                <w:szCs w:val="21"/>
              </w:rPr>
              <w:t>N、S</w:t>
            </w:r>
          </w:p>
        </w:tc>
        <w:tc>
          <w:tcPr>
            <w:tcW w:w="1132" w:type="pct"/>
            <w:tcBorders>
              <w:left w:val="single" w:color="auto" w:sz="4" w:space="0"/>
            </w:tcBorders>
            <w:vAlign w:val="center"/>
          </w:tcPr>
          <w:p w14:paraId="2D058042">
            <w:pPr>
              <w:spacing w:line="320" w:lineRule="exact"/>
              <w:ind w:left="-53" w:leftChars="-25" w:right="-53" w:rightChars="-25"/>
              <w:jc w:val="center"/>
              <w:rPr>
                <w:szCs w:val="21"/>
              </w:rPr>
            </w:pPr>
            <w:r>
              <w:rPr>
                <w:szCs w:val="21"/>
              </w:rPr>
              <w:t>499</w:t>
            </w:r>
          </w:p>
        </w:tc>
        <w:tc>
          <w:tcPr>
            <w:tcW w:w="781" w:type="pct"/>
            <w:vMerge w:val="continue"/>
            <w:vAlign w:val="center"/>
          </w:tcPr>
          <w:p w14:paraId="000EA258">
            <w:pPr>
              <w:jc w:val="center"/>
            </w:pPr>
          </w:p>
        </w:tc>
      </w:tr>
      <w:tr w14:paraId="36945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5482326B">
            <w:pPr>
              <w:jc w:val="center"/>
            </w:pPr>
            <w:r>
              <w:rPr>
                <w:rFonts w:hint="eastAsia"/>
              </w:rPr>
              <w:t>13</w:t>
            </w:r>
          </w:p>
        </w:tc>
        <w:tc>
          <w:tcPr>
            <w:tcW w:w="513" w:type="pct"/>
            <w:vMerge w:val="continue"/>
            <w:vAlign w:val="center"/>
          </w:tcPr>
          <w:p w14:paraId="1F46B102">
            <w:pPr>
              <w:jc w:val="center"/>
            </w:pPr>
          </w:p>
        </w:tc>
        <w:tc>
          <w:tcPr>
            <w:tcW w:w="831" w:type="pct"/>
            <w:tcBorders>
              <w:top w:val="single" w:color="auto" w:sz="4" w:space="0"/>
            </w:tcBorders>
            <w:vAlign w:val="center"/>
          </w:tcPr>
          <w:p w14:paraId="49FAF81E">
            <w:pPr>
              <w:spacing w:line="320" w:lineRule="exact"/>
              <w:ind w:left="-53" w:leftChars="-25" w:right="-53" w:rightChars="-25"/>
              <w:jc w:val="center"/>
              <w:rPr>
                <w:szCs w:val="21"/>
              </w:rPr>
            </w:pPr>
            <w:r>
              <w:rPr>
                <w:rFonts w:hint="eastAsia"/>
                <w:szCs w:val="21"/>
              </w:rPr>
              <w:t>詹家塆</w:t>
            </w:r>
          </w:p>
        </w:tc>
        <w:tc>
          <w:tcPr>
            <w:tcW w:w="619" w:type="pct"/>
            <w:tcBorders>
              <w:right w:val="single" w:color="auto" w:sz="4" w:space="0"/>
            </w:tcBorders>
            <w:vAlign w:val="center"/>
          </w:tcPr>
          <w:p w14:paraId="2D535280">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4266D41">
            <w:pPr>
              <w:spacing w:line="320" w:lineRule="exact"/>
              <w:ind w:left="-53" w:leftChars="-25" w:right="-53" w:rightChars="-25"/>
              <w:jc w:val="center"/>
              <w:rPr>
                <w:szCs w:val="21"/>
              </w:rPr>
            </w:pPr>
            <w:r>
              <w:rPr>
                <w:rFonts w:hint="eastAsia"/>
                <w:szCs w:val="21"/>
              </w:rPr>
              <w:t>N、S</w:t>
            </w:r>
          </w:p>
        </w:tc>
        <w:tc>
          <w:tcPr>
            <w:tcW w:w="1132" w:type="pct"/>
            <w:tcBorders>
              <w:left w:val="single" w:color="auto" w:sz="4" w:space="0"/>
            </w:tcBorders>
            <w:vAlign w:val="center"/>
          </w:tcPr>
          <w:p w14:paraId="51080D83">
            <w:pPr>
              <w:spacing w:line="320" w:lineRule="exact"/>
              <w:ind w:left="-53" w:leftChars="-25" w:right="-53" w:rightChars="-25"/>
              <w:jc w:val="center"/>
              <w:rPr>
                <w:szCs w:val="21"/>
              </w:rPr>
            </w:pPr>
            <w:r>
              <w:rPr>
                <w:szCs w:val="21"/>
              </w:rPr>
              <w:t>35</w:t>
            </w:r>
          </w:p>
        </w:tc>
        <w:tc>
          <w:tcPr>
            <w:tcW w:w="781" w:type="pct"/>
            <w:vMerge w:val="continue"/>
            <w:vAlign w:val="center"/>
          </w:tcPr>
          <w:p w14:paraId="119C619F">
            <w:pPr>
              <w:jc w:val="center"/>
            </w:pPr>
          </w:p>
        </w:tc>
      </w:tr>
      <w:tr w14:paraId="1E2B5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1D5432F4">
            <w:pPr>
              <w:jc w:val="center"/>
            </w:pPr>
            <w:r>
              <w:rPr>
                <w:rFonts w:hint="eastAsia"/>
              </w:rPr>
              <w:t>14</w:t>
            </w:r>
          </w:p>
        </w:tc>
        <w:tc>
          <w:tcPr>
            <w:tcW w:w="513" w:type="pct"/>
            <w:vMerge w:val="continue"/>
            <w:vAlign w:val="center"/>
          </w:tcPr>
          <w:p w14:paraId="5A78D9FC">
            <w:pPr>
              <w:jc w:val="center"/>
            </w:pPr>
          </w:p>
        </w:tc>
        <w:tc>
          <w:tcPr>
            <w:tcW w:w="831" w:type="pct"/>
            <w:tcBorders>
              <w:top w:val="single" w:color="auto" w:sz="4" w:space="0"/>
            </w:tcBorders>
            <w:vAlign w:val="center"/>
          </w:tcPr>
          <w:p w14:paraId="2AFD0766">
            <w:pPr>
              <w:spacing w:line="320" w:lineRule="exact"/>
              <w:ind w:left="-53" w:leftChars="-25" w:right="-53" w:rightChars="-25"/>
              <w:jc w:val="center"/>
              <w:rPr>
                <w:szCs w:val="21"/>
              </w:rPr>
            </w:pPr>
            <w:r>
              <w:rPr>
                <w:rFonts w:hint="eastAsia"/>
                <w:szCs w:val="21"/>
              </w:rPr>
              <w:t>万和中心福利院</w:t>
            </w:r>
          </w:p>
        </w:tc>
        <w:tc>
          <w:tcPr>
            <w:tcW w:w="619" w:type="pct"/>
            <w:tcBorders>
              <w:right w:val="single" w:color="auto" w:sz="4" w:space="0"/>
            </w:tcBorders>
            <w:vAlign w:val="center"/>
          </w:tcPr>
          <w:p w14:paraId="4AE25CEC">
            <w:pPr>
              <w:spacing w:line="320" w:lineRule="exact"/>
              <w:ind w:left="-53" w:leftChars="-25" w:right="-53" w:rightChars="-25"/>
              <w:jc w:val="center"/>
              <w:rPr>
                <w:szCs w:val="21"/>
              </w:rPr>
            </w:pPr>
            <w:r>
              <w:rPr>
                <w:rFonts w:hint="eastAsia"/>
                <w:szCs w:val="21"/>
              </w:rPr>
              <w:t>福利院</w:t>
            </w:r>
          </w:p>
        </w:tc>
        <w:tc>
          <w:tcPr>
            <w:tcW w:w="742" w:type="pct"/>
            <w:tcBorders>
              <w:right w:val="single" w:color="auto" w:sz="4" w:space="0"/>
            </w:tcBorders>
            <w:vAlign w:val="center"/>
          </w:tcPr>
          <w:p w14:paraId="56508CFC">
            <w:pPr>
              <w:spacing w:line="320" w:lineRule="exact"/>
              <w:ind w:left="-53" w:leftChars="-25" w:right="-53" w:rightChars="-25"/>
              <w:jc w:val="center"/>
              <w:rPr>
                <w:szCs w:val="21"/>
              </w:rPr>
            </w:pPr>
            <w:r>
              <w:rPr>
                <w:rFonts w:hint="eastAsia"/>
                <w:szCs w:val="21"/>
              </w:rPr>
              <w:t>N、S</w:t>
            </w:r>
          </w:p>
        </w:tc>
        <w:tc>
          <w:tcPr>
            <w:tcW w:w="1132" w:type="pct"/>
            <w:tcBorders>
              <w:left w:val="single" w:color="auto" w:sz="4" w:space="0"/>
            </w:tcBorders>
            <w:vAlign w:val="center"/>
          </w:tcPr>
          <w:p w14:paraId="0D58F7E6">
            <w:pPr>
              <w:spacing w:line="320" w:lineRule="exact"/>
              <w:ind w:left="-53" w:leftChars="-25" w:right="-53" w:rightChars="-25"/>
              <w:jc w:val="center"/>
              <w:rPr>
                <w:szCs w:val="21"/>
              </w:rPr>
            </w:pPr>
            <w:r>
              <w:rPr>
                <w:szCs w:val="21"/>
              </w:rPr>
              <w:t>559</w:t>
            </w:r>
          </w:p>
        </w:tc>
        <w:tc>
          <w:tcPr>
            <w:tcW w:w="781" w:type="pct"/>
            <w:vMerge w:val="continue"/>
            <w:vAlign w:val="center"/>
          </w:tcPr>
          <w:p w14:paraId="6118B348">
            <w:pPr>
              <w:jc w:val="center"/>
            </w:pPr>
          </w:p>
        </w:tc>
      </w:tr>
      <w:tr w14:paraId="6D72F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3404E51D">
            <w:pPr>
              <w:jc w:val="center"/>
            </w:pPr>
            <w:r>
              <w:rPr>
                <w:rFonts w:hint="eastAsia"/>
              </w:rPr>
              <w:t>15</w:t>
            </w:r>
          </w:p>
        </w:tc>
        <w:tc>
          <w:tcPr>
            <w:tcW w:w="513" w:type="pct"/>
            <w:vMerge w:val="continue"/>
            <w:vAlign w:val="center"/>
          </w:tcPr>
          <w:p w14:paraId="5A4F4421">
            <w:pPr>
              <w:jc w:val="center"/>
            </w:pPr>
          </w:p>
        </w:tc>
        <w:tc>
          <w:tcPr>
            <w:tcW w:w="831" w:type="pct"/>
            <w:tcBorders>
              <w:top w:val="single" w:color="auto" w:sz="4" w:space="0"/>
            </w:tcBorders>
            <w:vAlign w:val="center"/>
          </w:tcPr>
          <w:p w14:paraId="54F750BB">
            <w:pPr>
              <w:spacing w:line="320" w:lineRule="exact"/>
              <w:ind w:left="-53" w:leftChars="-25" w:right="-53" w:rightChars="-25"/>
              <w:jc w:val="center"/>
              <w:rPr>
                <w:szCs w:val="21"/>
              </w:rPr>
            </w:pPr>
            <w:r>
              <w:rPr>
                <w:rFonts w:hint="eastAsia"/>
                <w:szCs w:val="21"/>
              </w:rPr>
              <w:t>车店村</w:t>
            </w:r>
          </w:p>
        </w:tc>
        <w:tc>
          <w:tcPr>
            <w:tcW w:w="619" w:type="pct"/>
            <w:tcBorders>
              <w:right w:val="single" w:color="auto" w:sz="4" w:space="0"/>
            </w:tcBorders>
            <w:vAlign w:val="center"/>
          </w:tcPr>
          <w:p w14:paraId="5351101F">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E75D653">
            <w:pPr>
              <w:spacing w:line="320" w:lineRule="exact"/>
              <w:ind w:left="-53" w:leftChars="-25" w:right="-53" w:rightChars="-25"/>
              <w:jc w:val="center"/>
              <w:rPr>
                <w:szCs w:val="21"/>
              </w:rPr>
            </w:pPr>
            <w:r>
              <w:rPr>
                <w:rFonts w:hint="eastAsia"/>
                <w:szCs w:val="21"/>
              </w:rPr>
              <w:t>N、S</w:t>
            </w:r>
          </w:p>
        </w:tc>
        <w:tc>
          <w:tcPr>
            <w:tcW w:w="1132" w:type="pct"/>
            <w:tcBorders>
              <w:left w:val="single" w:color="auto" w:sz="4" w:space="0"/>
            </w:tcBorders>
            <w:vAlign w:val="center"/>
          </w:tcPr>
          <w:p w14:paraId="7F7D0BDB">
            <w:pPr>
              <w:spacing w:line="320" w:lineRule="exact"/>
              <w:ind w:left="-53" w:leftChars="-25" w:right="-53" w:rightChars="-25"/>
              <w:jc w:val="center"/>
              <w:rPr>
                <w:szCs w:val="21"/>
              </w:rPr>
            </w:pPr>
            <w:r>
              <w:rPr>
                <w:szCs w:val="21"/>
              </w:rPr>
              <w:t>443</w:t>
            </w:r>
          </w:p>
        </w:tc>
        <w:tc>
          <w:tcPr>
            <w:tcW w:w="781" w:type="pct"/>
            <w:vMerge w:val="continue"/>
            <w:vAlign w:val="center"/>
          </w:tcPr>
          <w:p w14:paraId="6AB1867F">
            <w:pPr>
              <w:jc w:val="center"/>
            </w:pPr>
          </w:p>
        </w:tc>
      </w:tr>
      <w:tr w14:paraId="3ADC9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67A0002C">
            <w:pPr>
              <w:jc w:val="center"/>
            </w:pPr>
            <w:r>
              <w:rPr>
                <w:rFonts w:hint="eastAsia"/>
              </w:rPr>
              <w:t>16</w:t>
            </w:r>
          </w:p>
        </w:tc>
        <w:tc>
          <w:tcPr>
            <w:tcW w:w="513" w:type="pct"/>
            <w:vMerge w:val="continue"/>
            <w:vAlign w:val="center"/>
          </w:tcPr>
          <w:p w14:paraId="6671A773">
            <w:pPr>
              <w:jc w:val="center"/>
            </w:pPr>
          </w:p>
        </w:tc>
        <w:tc>
          <w:tcPr>
            <w:tcW w:w="831" w:type="pct"/>
            <w:tcBorders>
              <w:top w:val="single" w:color="auto" w:sz="4" w:space="0"/>
            </w:tcBorders>
            <w:vAlign w:val="center"/>
          </w:tcPr>
          <w:p w14:paraId="130F1692">
            <w:pPr>
              <w:spacing w:line="320" w:lineRule="exact"/>
              <w:ind w:left="-53" w:leftChars="-25" w:right="-53" w:rightChars="-25"/>
              <w:jc w:val="center"/>
              <w:rPr>
                <w:szCs w:val="21"/>
              </w:rPr>
            </w:pPr>
            <w:r>
              <w:rPr>
                <w:rFonts w:hint="eastAsia"/>
                <w:szCs w:val="21"/>
              </w:rPr>
              <w:t>龙王潭</w:t>
            </w:r>
          </w:p>
        </w:tc>
        <w:tc>
          <w:tcPr>
            <w:tcW w:w="619" w:type="pct"/>
            <w:tcBorders>
              <w:right w:val="single" w:color="auto" w:sz="4" w:space="0"/>
            </w:tcBorders>
            <w:vAlign w:val="center"/>
          </w:tcPr>
          <w:p w14:paraId="49A025CE">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6AD76A44">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4D95FBA5">
            <w:pPr>
              <w:spacing w:line="320" w:lineRule="exact"/>
              <w:ind w:left="-53" w:leftChars="-25" w:right="-53" w:rightChars="-25"/>
              <w:jc w:val="center"/>
              <w:rPr>
                <w:szCs w:val="21"/>
              </w:rPr>
            </w:pPr>
            <w:r>
              <w:rPr>
                <w:szCs w:val="21"/>
              </w:rPr>
              <w:t>595</w:t>
            </w:r>
          </w:p>
        </w:tc>
        <w:tc>
          <w:tcPr>
            <w:tcW w:w="781" w:type="pct"/>
            <w:vMerge w:val="continue"/>
            <w:vAlign w:val="center"/>
          </w:tcPr>
          <w:p w14:paraId="119816D5">
            <w:pPr>
              <w:jc w:val="center"/>
            </w:pPr>
          </w:p>
        </w:tc>
      </w:tr>
      <w:tr w14:paraId="093FB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7EDEB167">
            <w:pPr>
              <w:jc w:val="center"/>
            </w:pPr>
            <w:r>
              <w:rPr>
                <w:rFonts w:hint="eastAsia"/>
              </w:rPr>
              <w:t>17</w:t>
            </w:r>
          </w:p>
        </w:tc>
        <w:tc>
          <w:tcPr>
            <w:tcW w:w="513" w:type="pct"/>
            <w:vMerge w:val="continue"/>
            <w:vAlign w:val="center"/>
          </w:tcPr>
          <w:p w14:paraId="3ACED862">
            <w:pPr>
              <w:jc w:val="center"/>
            </w:pPr>
          </w:p>
        </w:tc>
        <w:tc>
          <w:tcPr>
            <w:tcW w:w="831" w:type="pct"/>
            <w:tcBorders>
              <w:top w:val="single" w:color="auto" w:sz="4" w:space="0"/>
            </w:tcBorders>
            <w:vAlign w:val="center"/>
          </w:tcPr>
          <w:p w14:paraId="39BF3771">
            <w:pPr>
              <w:spacing w:line="320" w:lineRule="exact"/>
              <w:ind w:left="-53" w:leftChars="-25" w:right="-53" w:rightChars="-25"/>
              <w:jc w:val="center"/>
              <w:rPr>
                <w:szCs w:val="21"/>
              </w:rPr>
            </w:pPr>
            <w:r>
              <w:rPr>
                <w:rFonts w:hint="eastAsia"/>
                <w:szCs w:val="21"/>
              </w:rPr>
              <w:t>丁家老塆</w:t>
            </w:r>
          </w:p>
        </w:tc>
        <w:tc>
          <w:tcPr>
            <w:tcW w:w="619" w:type="pct"/>
            <w:tcBorders>
              <w:right w:val="single" w:color="auto" w:sz="4" w:space="0"/>
            </w:tcBorders>
            <w:vAlign w:val="center"/>
          </w:tcPr>
          <w:p w14:paraId="78B3539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44BB2F9F">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66AE9843">
            <w:pPr>
              <w:spacing w:line="320" w:lineRule="exact"/>
              <w:ind w:left="-53" w:leftChars="-25" w:right="-53" w:rightChars="-25"/>
              <w:jc w:val="center"/>
              <w:rPr>
                <w:szCs w:val="21"/>
              </w:rPr>
            </w:pPr>
            <w:r>
              <w:rPr>
                <w:szCs w:val="21"/>
              </w:rPr>
              <w:t>693</w:t>
            </w:r>
          </w:p>
        </w:tc>
        <w:tc>
          <w:tcPr>
            <w:tcW w:w="781" w:type="pct"/>
            <w:vMerge w:val="continue"/>
            <w:vAlign w:val="center"/>
          </w:tcPr>
          <w:p w14:paraId="69819096">
            <w:pPr>
              <w:jc w:val="center"/>
            </w:pPr>
          </w:p>
        </w:tc>
      </w:tr>
      <w:tr w14:paraId="6E85C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3A487A24">
            <w:pPr>
              <w:jc w:val="center"/>
            </w:pPr>
            <w:r>
              <w:rPr>
                <w:rFonts w:hint="eastAsia"/>
              </w:rPr>
              <w:t>18</w:t>
            </w:r>
          </w:p>
        </w:tc>
        <w:tc>
          <w:tcPr>
            <w:tcW w:w="513" w:type="pct"/>
            <w:vMerge w:val="continue"/>
            <w:vAlign w:val="center"/>
          </w:tcPr>
          <w:p w14:paraId="6442BB20">
            <w:pPr>
              <w:jc w:val="center"/>
            </w:pPr>
          </w:p>
        </w:tc>
        <w:tc>
          <w:tcPr>
            <w:tcW w:w="831" w:type="pct"/>
            <w:tcBorders>
              <w:top w:val="single" w:color="auto" w:sz="4" w:space="0"/>
            </w:tcBorders>
            <w:vAlign w:val="center"/>
          </w:tcPr>
          <w:p w14:paraId="18ABCB0E">
            <w:pPr>
              <w:spacing w:line="320" w:lineRule="exact"/>
              <w:ind w:left="-53" w:leftChars="-25" w:right="-53" w:rightChars="-25"/>
              <w:jc w:val="center"/>
              <w:rPr>
                <w:szCs w:val="21"/>
              </w:rPr>
            </w:pPr>
            <w:r>
              <w:rPr>
                <w:rFonts w:hint="eastAsia"/>
                <w:szCs w:val="21"/>
              </w:rPr>
              <w:t>万和镇桃园中学</w:t>
            </w:r>
          </w:p>
        </w:tc>
        <w:tc>
          <w:tcPr>
            <w:tcW w:w="619" w:type="pct"/>
            <w:tcBorders>
              <w:right w:val="single" w:color="auto" w:sz="4" w:space="0"/>
            </w:tcBorders>
            <w:vAlign w:val="center"/>
          </w:tcPr>
          <w:p w14:paraId="74C33C77">
            <w:pPr>
              <w:spacing w:line="320" w:lineRule="exact"/>
              <w:ind w:left="-53" w:leftChars="-25" w:right="-53" w:rightChars="-25"/>
              <w:jc w:val="center"/>
              <w:rPr>
                <w:szCs w:val="21"/>
              </w:rPr>
            </w:pPr>
            <w:r>
              <w:rPr>
                <w:rFonts w:hint="eastAsia"/>
                <w:szCs w:val="21"/>
              </w:rPr>
              <w:t>学校</w:t>
            </w:r>
          </w:p>
        </w:tc>
        <w:tc>
          <w:tcPr>
            <w:tcW w:w="742" w:type="pct"/>
            <w:tcBorders>
              <w:right w:val="single" w:color="auto" w:sz="4" w:space="0"/>
            </w:tcBorders>
            <w:vAlign w:val="center"/>
          </w:tcPr>
          <w:p w14:paraId="47A733E0">
            <w:pPr>
              <w:spacing w:line="320" w:lineRule="exact"/>
              <w:ind w:left="-53" w:leftChars="-25" w:right="-53" w:rightChars="-25"/>
              <w:jc w:val="center"/>
              <w:rPr>
                <w:szCs w:val="21"/>
              </w:rPr>
            </w:pPr>
            <w:r>
              <w:rPr>
                <w:rFonts w:hint="eastAsia"/>
                <w:szCs w:val="21"/>
              </w:rPr>
              <w:t>NE</w:t>
            </w:r>
          </w:p>
        </w:tc>
        <w:tc>
          <w:tcPr>
            <w:tcW w:w="1132" w:type="pct"/>
            <w:tcBorders>
              <w:left w:val="single" w:color="auto" w:sz="4" w:space="0"/>
            </w:tcBorders>
            <w:vAlign w:val="center"/>
          </w:tcPr>
          <w:p w14:paraId="7EFBB0FF">
            <w:pPr>
              <w:spacing w:line="320" w:lineRule="exact"/>
              <w:ind w:left="-53" w:leftChars="-25" w:right="-53" w:rightChars="-25"/>
              <w:jc w:val="center"/>
              <w:rPr>
                <w:szCs w:val="21"/>
              </w:rPr>
            </w:pPr>
            <w:r>
              <w:rPr>
                <w:szCs w:val="21"/>
              </w:rPr>
              <w:t>1091</w:t>
            </w:r>
          </w:p>
        </w:tc>
        <w:tc>
          <w:tcPr>
            <w:tcW w:w="781" w:type="pct"/>
            <w:vMerge w:val="continue"/>
            <w:vAlign w:val="center"/>
          </w:tcPr>
          <w:p w14:paraId="6F9E0599">
            <w:pPr>
              <w:jc w:val="center"/>
            </w:pPr>
          </w:p>
        </w:tc>
      </w:tr>
      <w:tr w14:paraId="04BD9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2A9D12A3">
            <w:pPr>
              <w:jc w:val="center"/>
            </w:pPr>
            <w:r>
              <w:rPr>
                <w:rFonts w:hint="eastAsia"/>
              </w:rPr>
              <w:t>19</w:t>
            </w:r>
          </w:p>
        </w:tc>
        <w:tc>
          <w:tcPr>
            <w:tcW w:w="513" w:type="pct"/>
            <w:vMerge w:val="continue"/>
            <w:vAlign w:val="center"/>
          </w:tcPr>
          <w:p w14:paraId="0C885A6B">
            <w:pPr>
              <w:jc w:val="center"/>
            </w:pPr>
          </w:p>
        </w:tc>
        <w:tc>
          <w:tcPr>
            <w:tcW w:w="831" w:type="pct"/>
            <w:tcBorders>
              <w:top w:val="single" w:color="auto" w:sz="4" w:space="0"/>
            </w:tcBorders>
            <w:vAlign w:val="center"/>
          </w:tcPr>
          <w:p w14:paraId="20DC9F21">
            <w:pPr>
              <w:spacing w:line="320" w:lineRule="exact"/>
              <w:ind w:left="-53" w:leftChars="-25" w:right="-53" w:rightChars="-25"/>
              <w:jc w:val="center"/>
              <w:rPr>
                <w:szCs w:val="21"/>
              </w:rPr>
            </w:pPr>
            <w:r>
              <w:rPr>
                <w:rFonts w:hint="eastAsia"/>
                <w:szCs w:val="21"/>
              </w:rPr>
              <w:t>走马岭村</w:t>
            </w:r>
          </w:p>
        </w:tc>
        <w:tc>
          <w:tcPr>
            <w:tcW w:w="619" w:type="pct"/>
            <w:tcBorders>
              <w:right w:val="single" w:color="auto" w:sz="4" w:space="0"/>
            </w:tcBorders>
            <w:vAlign w:val="center"/>
          </w:tcPr>
          <w:p w14:paraId="4147D8A8">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F8B862E">
            <w:pPr>
              <w:spacing w:line="320" w:lineRule="exact"/>
              <w:ind w:left="-53" w:leftChars="-25" w:right="-53" w:rightChars="-25"/>
              <w:jc w:val="center"/>
              <w:rPr>
                <w:szCs w:val="21"/>
              </w:rPr>
            </w:pPr>
            <w:r>
              <w:rPr>
                <w:rFonts w:hint="eastAsia"/>
                <w:szCs w:val="21"/>
              </w:rPr>
              <w:t>NE</w:t>
            </w:r>
          </w:p>
        </w:tc>
        <w:tc>
          <w:tcPr>
            <w:tcW w:w="1132" w:type="pct"/>
            <w:tcBorders>
              <w:left w:val="single" w:color="auto" w:sz="4" w:space="0"/>
            </w:tcBorders>
            <w:vAlign w:val="center"/>
          </w:tcPr>
          <w:p w14:paraId="4053E6BD">
            <w:pPr>
              <w:spacing w:line="320" w:lineRule="exact"/>
              <w:ind w:left="-53" w:leftChars="-25" w:right="-53" w:rightChars="-25"/>
              <w:jc w:val="center"/>
              <w:rPr>
                <w:szCs w:val="21"/>
              </w:rPr>
            </w:pPr>
            <w:r>
              <w:rPr>
                <w:szCs w:val="21"/>
              </w:rPr>
              <w:t>949</w:t>
            </w:r>
          </w:p>
        </w:tc>
        <w:tc>
          <w:tcPr>
            <w:tcW w:w="781" w:type="pct"/>
            <w:vMerge w:val="continue"/>
            <w:vAlign w:val="center"/>
          </w:tcPr>
          <w:p w14:paraId="71AF7051">
            <w:pPr>
              <w:jc w:val="center"/>
            </w:pPr>
          </w:p>
        </w:tc>
      </w:tr>
      <w:tr w14:paraId="59544D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473E13AE">
            <w:pPr>
              <w:jc w:val="center"/>
            </w:pPr>
            <w:r>
              <w:rPr>
                <w:rFonts w:hint="eastAsia"/>
              </w:rPr>
              <w:t>20</w:t>
            </w:r>
          </w:p>
        </w:tc>
        <w:tc>
          <w:tcPr>
            <w:tcW w:w="513" w:type="pct"/>
            <w:vMerge w:val="continue"/>
            <w:vAlign w:val="center"/>
          </w:tcPr>
          <w:p w14:paraId="739E7621">
            <w:pPr>
              <w:jc w:val="center"/>
            </w:pPr>
          </w:p>
        </w:tc>
        <w:tc>
          <w:tcPr>
            <w:tcW w:w="831" w:type="pct"/>
            <w:tcBorders>
              <w:top w:val="single" w:color="auto" w:sz="4" w:space="0"/>
            </w:tcBorders>
            <w:vAlign w:val="center"/>
          </w:tcPr>
          <w:p w14:paraId="0980888D">
            <w:pPr>
              <w:spacing w:line="320" w:lineRule="exact"/>
              <w:ind w:left="-53" w:leftChars="-25" w:right="-53" w:rightChars="-25"/>
              <w:jc w:val="center"/>
              <w:rPr>
                <w:szCs w:val="21"/>
              </w:rPr>
            </w:pPr>
            <w:r>
              <w:rPr>
                <w:rFonts w:hint="eastAsia"/>
                <w:szCs w:val="21"/>
              </w:rPr>
              <w:t>万和镇</w:t>
            </w:r>
          </w:p>
        </w:tc>
        <w:tc>
          <w:tcPr>
            <w:tcW w:w="619" w:type="pct"/>
            <w:tcBorders>
              <w:right w:val="single" w:color="auto" w:sz="4" w:space="0"/>
            </w:tcBorders>
            <w:vAlign w:val="center"/>
          </w:tcPr>
          <w:p w14:paraId="3425A461">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FF15AFB">
            <w:pPr>
              <w:spacing w:line="320" w:lineRule="exact"/>
              <w:ind w:left="-53" w:leftChars="-25" w:right="-53" w:rightChars="-25"/>
              <w:jc w:val="center"/>
              <w:rPr>
                <w:szCs w:val="21"/>
              </w:rPr>
            </w:pPr>
            <w:r>
              <w:rPr>
                <w:rFonts w:hint="eastAsia"/>
                <w:szCs w:val="21"/>
              </w:rPr>
              <w:t>NE</w:t>
            </w:r>
          </w:p>
        </w:tc>
        <w:tc>
          <w:tcPr>
            <w:tcW w:w="1132" w:type="pct"/>
            <w:tcBorders>
              <w:left w:val="single" w:color="auto" w:sz="4" w:space="0"/>
            </w:tcBorders>
            <w:vAlign w:val="center"/>
          </w:tcPr>
          <w:p w14:paraId="02D75B2B">
            <w:pPr>
              <w:spacing w:line="320" w:lineRule="exact"/>
              <w:ind w:left="-53" w:leftChars="-25" w:right="-53" w:rightChars="-25"/>
              <w:jc w:val="center"/>
              <w:rPr>
                <w:szCs w:val="21"/>
              </w:rPr>
            </w:pPr>
            <w:r>
              <w:rPr>
                <w:szCs w:val="21"/>
              </w:rPr>
              <w:t>1265</w:t>
            </w:r>
          </w:p>
        </w:tc>
        <w:tc>
          <w:tcPr>
            <w:tcW w:w="781" w:type="pct"/>
            <w:vMerge w:val="continue"/>
            <w:vAlign w:val="center"/>
          </w:tcPr>
          <w:p w14:paraId="0A5F8EF4">
            <w:pPr>
              <w:jc w:val="center"/>
            </w:pPr>
          </w:p>
        </w:tc>
      </w:tr>
      <w:tr w14:paraId="0D635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2FD977E3">
            <w:pPr>
              <w:jc w:val="center"/>
            </w:pPr>
            <w:r>
              <w:rPr>
                <w:rFonts w:hint="eastAsia"/>
              </w:rPr>
              <w:t>21</w:t>
            </w:r>
          </w:p>
        </w:tc>
        <w:tc>
          <w:tcPr>
            <w:tcW w:w="513" w:type="pct"/>
            <w:vMerge w:val="continue"/>
            <w:vAlign w:val="center"/>
          </w:tcPr>
          <w:p w14:paraId="14127FDD">
            <w:pPr>
              <w:jc w:val="center"/>
            </w:pPr>
          </w:p>
        </w:tc>
        <w:tc>
          <w:tcPr>
            <w:tcW w:w="831" w:type="pct"/>
            <w:tcBorders>
              <w:top w:val="single" w:color="auto" w:sz="4" w:space="0"/>
            </w:tcBorders>
            <w:vAlign w:val="center"/>
          </w:tcPr>
          <w:p w14:paraId="3430CB38">
            <w:pPr>
              <w:spacing w:line="320" w:lineRule="exact"/>
              <w:ind w:left="-53" w:leftChars="-25" w:right="-53" w:rightChars="-25"/>
              <w:jc w:val="center"/>
              <w:rPr>
                <w:szCs w:val="21"/>
              </w:rPr>
            </w:pPr>
            <w:r>
              <w:rPr>
                <w:rFonts w:hint="eastAsia"/>
                <w:szCs w:val="21"/>
              </w:rPr>
              <w:t>三房塆</w:t>
            </w:r>
          </w:p>
        </w:tc>
        <w:tc>
          <w:tcPr>
            <w:tcW w:w="619" w:type="pct"/>
            <w:tcBorders>
              <w:right w:val="single" w:color="auto" w:sz="4" w:space="0"/>
            </w:tcBorders>
            <w:vAlign w:val="center"/>
          </w:tcPr>
          <w:p w14:paraId="57B1EA8C">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A114760">
            <w:pPr>
              <w:spacing w:line="320" w:lineRule="exact"/>
              <w:ind w:left="-53" w:leftChars="-25" w:right="-53" w:rightChars="-25"/>
              <w:jc w:val="center"/>
              <w:rPr>
                <w:szCs w:val="21"/>
              </w:rPr>
            </w:pPr>
            <w:r>
              <w:rPr>
                <w:rFonts w:hint="eastAsia"/>
                <w:szCs w:val="21"/>
              </w:rPr>
              <w:t>N、S</w:t>
            </w:r>
          </w:p>
        </w:tc>
        <w:tc>
          <w:tcPr>
            <w:tcW w:w="1132" w:type="pct"/>
            <w:tcBorders>
              <w:left w:val="single" w:color="auto" w:sz="4" w:space="0"/>
            </w:tcBorders>
            <w:vAlign w:val="center"/>
          </w:tcPr>
          <w:p w14:paraId="72F2D057">
            <w:pPr>
              <w:spacing w:line="320" w:lineRule="exact"/>
              <w:ind w:left="-53" w:leftChars="-25" w:right="-53" w:rightChars="-25"/>
              <w:jc w:val="center"/>
              <w:rPr>
                <w:szCs w:val="21"/>
              </w:rPr>
            </w:pPr>
            <w:r>
              <w:rPr>
                <w:szCs w:val="21"/>
              </w:rPr>
              <w:t>32</w:t>
            </w:r>
          </w:p>
        </w:tc>
        <w:tc>
          <w:tcPr>
            <w:tcW w:w="781" w:type="pct"/>
            <w:vMerge w:val="continue"/>
            <w:vAlign w:val="center"/>
          </w:tcPr>
          <w:p w14:paraId="56EBAAC5">
            <w:pPr>
              <w:jc w:val="center"/>
            </w:pPr>
          </w:p>
        </w:tc>
      </w:tr>
      <w:tr w14:paraId="31434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4442E574">
            <w:pPr>
              <w:jc w:val="center"/>
            </w:pPr>
            <w:r>
              <w:rPr>
                <w:rFonts w:hint="eastAsia"/>
              </w:rPr>
              <w:t>22</w:t>
            </w:r>
          </w:p>
        </w:tc>
        <w:tc>
          <w:tcPr>
            <w:tcW w:w="513" w:type="pct"/>
            <w:vMerge w:val="continue"/>
            <w:vAlign w:val="center"/>
          </w:tcPr>
          <w:p w14:paraId="081CC16C">
            <w:pPr>
              <w:jc w:val="center"/>
            </w:pPr>
          </w:p>
        </w:tc>
        <w:tc>
          <w:tcPr>
            <w:tcW w:w="831" w:type="pct"/>
            <w:tcBorders>
              <w:top w:val="single" w:color="auto" w:sz="4" w:space="0"/>
            </w:tcBorders>
            <w:vAlign w:val="center"/>
          </w:tcPr>
          <w:p w14:paraId="032798A7">
            <w:pPr>
              <w:spacing w:line="320" w:lineRule="exact"/>
              <w:ind w:left="-53" w:leftChars="-25" w:right="-53" w:rightChars="-25"/>
              <w:jc w:val="center"/>
              <w:rPr>
                <w:szCs w:val="21"/>
              </w:rPr>
            </w:pPr>
            <w:r>
              <w:rPr>
                <w:rFonts w:hint="eastAsia"/>
                <w:szCs w:val="21"/>
              </w:rPr>
              <w:t>刘家岗</w:t>
            </w:r>
          </w:p>
        </w:tc>
        <w:tc>
          <w:tcPr>
            <w:tcW w:w="619" w:type="pct"/>
            <w:tcBorders>
              <w:right w:val="single" w:color="auto" w:sz="4" w:space="0"/>
            </w:tcBorders>
            <w:vAlign w:val="center"/>
          </w:tcPr>
          <w:p w14:paraId="6BF808E3">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6FFB1EE">
            <w:pPr>
              <w:spacing w:line="320" w:lineRule="exact"/>
              <w:ind w:left="-53" w:leftChars="-25" w:right="-53" w:rightChars="-25"/>
              <w:jc w:val="center"/>
              <w:rPr>
                <w:szCs w:val="21"/>
              </w:rPr>
            </w:pPr>
            <w:r>
              <w:rPr>
                <w:rFonts w:hint="eastAsia"/>
                <w:szCs w:val="21"/>
              </w:rPr>
              <w:t>W</w:t>
            </w:r>
          </w:p>
        </w:tc>
        <w:tc>
          <w:tcPr>
            <w:tcW w:w="1132" w:type="pct"/>
            <w:tcBorders>
              <w:left w:val="single" w:color="auto" w:sz="4" w:space="0"/>
            </w:tcBorders>
            <w:vAlign w:val="center"/>
          </w:tcPr>
          <w:p w14:paraId="5A2231D7">
            <w:pPr>
              <w:spacing w:line="320" w:lineRule="exact"/>
              <w:ind w:left="-53" w:leftChars="-25" w:right="-53" w:rightChars="-25"/>
              <w:jc w:val="center"/>
              <w:rPr>
                <w:szCs w:val="21"/>
              </w:rPr>
            </w:pPr>
            <w:r>
              <w:rPr>
                <w:szCs w:val="21"/>
              </w:rPr>
              <w:t>44</w:t>
            </w:r>
          </w:p>
        </w:tc>
        <w:tc>
          <w:tcPr>
            <w:tcW w:w="781" w:type="pct"/>
            <w:vMerge w:val="continue"/>
            <w:vAlign w:val="center"/>
          </w:tcPr>
          <w:p w14:paraId="24A46A8E">
            <w:pPr>
              <w:jc w:val="center"/>
            </w:pPr>
          </w:p>
        </w:tc>
      </w:tr>
      <w:tr w14:paraId="751B70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tcBorders>
              <w:top w:val="single" w:color="auto" w:sz="4" w:space="0"/>
            </w:tcBorders>
            <w:vAlign w:val="center"/>
          </w:tcPr>
          <w:p w14:paraId="037D3E6B">
            <w:pPr>
              <w:jc w:val="center"/>
            </w:pPr>
            <w:r>
              <w:rPr>
                <w:rFonts w:hint="eastAsia"/>
              </w:rPr>
              <w:t>23</w:t>
            </w:r>
          </w:p>
        </w:tc>
        <w:tc>
          <w:tcPr>
            <w:tcW w:w="513" w:type="pct"/>
            <w:vMerge w:val="continue"/>
            <w:vAlign w:val="center"/>
          </w:tcPr>
          <w:p w14:paraId="4D3013D4">
            <w:pPr>
              <w:jc w:val="center"/>
            </w:pPr>
          </w:p>
        </w:tc>
        <w:tc>
          <w:tcPr>
            <w:tcW w:w="831" w:type="pct"/>
            <w:tcBorders>
              <w:top w:val="single" w:color="auto" w:sz="4" w:space="0"/>
            </w:tcBorders>
            <w:vAlign w:val="center"/>
          </w:tcPr>
          <w:p w14:paraId="26F9F659">
            <w:pPr>
              <w:spacing w:line="320" w:lineRule="exact"/>
              <w:ind w:left="-53" w:leftChars="-25" w:right="-53" w:rightChars="-25"/>
              <w:jc w:val="center"/>
              <w:rPr>
                <w:szCs w:val="21"/>
              </w:rPr>
            </w:pPr>
            <w:r>
              <w:rPr>
                <w:rFonts w:hint="eastAsia"/>
                <w:szCs w:val="21"/>
              </w:rPr>
              <w:t>曹门村</w:t>
            </w:r>
          </w:p>
        </w:tc>
        <w:tc>
          <w:tcPr>
            <w:tcW w:w="619" w:type="pct"/>
            <w:tcBorders>
              <w:right w:val="single" w:color="auto" w:sz="4" w:space="0"/>
            </w:tcBorders>
            <w:vAlign w:val="center"/>
          </w:tcPr>
          <w:p w14:paraId="3F2664FE">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FE591B8">
            <w:pPr>
              <w:spacing w:line="320" w:lineRule="exact"/>
              <w:ind w:left="-53" w:leftChars="-25" w:right="-53" w:rightChars="-25"/>
              <w:jc w:val="center"/>
              <w:rPr>
                <w:szCs w:val="21"/>
              </w:rPr>
            </w:pPr>
            <w:r>
              <w:rPr>
                <w:rFonts w:hint="eastAsia"/>
                <w:szCs w:val="21"/>
              </w:rPr>
              <w:t>NE</w:t>
            </w:r>
          </w:p>
        </w:tc>
        <w:tc>
          <w:tcPr>
            <w:tcW w:w="1132" w:type="pct"/>
            <w:tcBorders>
              <w:left w:val="single" w:color="auto" w:sz="4" w:space="0"/>
            </w:tcBorders>
            <w:vAlign w:val="center"/>
          </w:tcPr>
          <w:p w14:paraId="3AD8AE18">
            <w:pPr>
              <w:spacing w:line="320" w:lineRule="exact"/>
              <w:ind w:left="-53" w:leftChars="-25" w:right="-53" w:rightChars="-25"/>
              <w:jc w:val="center"/>
              <w:rPr>
                <w:szCs w:val="21"/>
              </w:rPr>
            </w:pPr>
            <w:r>
              <w:rPr>
                <w:szCs w:val="21"/>
              </w:rPr>
              <w:t>827</w:t>
            </w:r>
          </w:p>
        </w:tc>
        <w:tc>
          <w:tcPr>
            <w:tcW w:w="781" w:type="pct"/>
            <w:vMerge w:val="continue"/>
            <w:vAlign w:val="center"/>
          </w:tcPr>
          <w:p w14:paraId="635FBD75">
            <w:pPr>
              <w:jc w:val="center"/>
            </w:pPr>
          </w:p>
        </w:tc>
      </w:tr>
      <w:tr w14:paraId="16BE3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1849279">
            <w:pPr>
              <w:jc w:val="center"/>
            </w:pPr>
            <w:r>
              <w:rPr>
                <w:rFonts w:hint="eastAsia"/>
              </w:rPr>
              <w:t>24</w:t>
            </w:r>
          </w:p>
        </w:tc>
        <w:tc>
          <w:tcPr>
            <w:tcW w:w="513" w:type="pct"/>
            <w:vAlign w:val="center"/>
          </w:tcPr>
          <w:p w14:paraId="3A272BD7">
            <w:pPr>
              <w:jc w:val="center"/>
            </w:pPr>
            <w:r>
              <w:rPr>
                <w:rFonts w:hint="eastAsia"/>
              </w:rPr>
              <w:t>地表水</w:t>
            </w:r>
          </w:p>
        </w:tc>
        <w:tc>
          <w:tcPr>
            <w:tcW w:w="831" w:type="pct"/>
            <w:vAlign w:val="center"/>
          </w:tcPr>
          <w:p w14:paraId="43C4273F">
            <w:pPr>
              <w:spacing w:line="320" w:lineRule="exact"/>
              <w:ind w:left="-53" w:leftChars="-25" w:right="-53" w:rightChars="-25"/>
              <w:jc w:val="center"/>
              <w:rPr>
                <w:szCs w:val="21"/>
              </w:rPr>
            </w:pPr>
            <w:r>
              <w:rPr>
                <w:szCs w:val="21"/>
              </w:rPr>
              <w:t>厥水河</w:t>
            </w:r>
          </w:p>
        </w:tc>
        <w:tc>
          <w:tcPr>
            <w:tcW w:w="619" w:type="pct"/>
            <w:tcBorders>
              <w:right w:val="single" w:color="auto" w:sz="4" w:space="0"/>
            </w:tcBorders>
            <w:vAlign w:val="center"/>
          </w:tcPr>
          <w:p w14:paraId="532B8F94">
            <w:pPr>
              <w:spacing w:line="320" w:lineRule="exact"/>
              <w:ind w:left="-53" w:leftChars="-25" w:right="-53" w:rightChars="-25"/>
              <w:jc w:val="center"/>
              <w:rPr>
                <w:kern w:val="0"/>
                <w:szCs w:val="21"/>
              </w:rPr>
            </w:pPr>
            <w:r>
              <w:rPr>
                <w:szCs w:val="21"/>
              </w:rPr>
              <w:t>河流</w:t>
            </w:r>
          </w:p>
        </w:tc>
        <w:tc>
          <w:tcPr>
            <w:tcW w:w="742" w:type="pct"/>
            <w:tcBorders>
              <w:right w:val="single" w:color="auto" w:sz="4" w:space="0"/>
            </w:tcBorders>
            <w:vAlign w:val="center"/>
          </w:tcPr>
          <w:p w14:paraId="6BE21F3F">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10843BBD">
            <w:pPr>
              <w:spacing w:line="320" w:lineRule="exact"/>
              <w:ind w:left="-53" w:leftChars="-25" w:right="-53" w:rightChars="-25"/>
              <w:jc w:val="center"/>
              <w:rPr>
                <w:szCs w:val="21"/>
              </w:rPr>
            </w:pPr>
            <w:r>
              <w:rPr>
                <w:rFonts w:hint="eastAsia"/>
                <w:szCs w:val="21"/>
              </w:rPr>
              <w:t>15</w:t>
            </w:r>
          </w:p>
        </w:tc>
        <w:tc>
          <w:tcPr>
            <w:tcW w:w="781" w:type="pct"/>
            <w:vAlign w:val="center"/>
          </w:tcPr>
          <w:p w14:paraId="08C269E5">
            <w:pPr>
              <w:jc w:val="center"/>
            </w:pPr>
            <w:r>
              <w:t>GB3838-2002中</w:t>
            </w:r>
            <w:r>
              <w:rPr>
                <w:rFonts w:hint="eastAsia"/>
              </w:rPr>
              <w:t>II</w:t>
            </w:r>
            <w:r>
              <w:t>类</w:t>
            </w:r>
          </w:p>
        </w:tc>
      </w:tr>
      <w:tr w14:paraId="09623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93E9FB5">
            <w:pPr>
              <w:jc w:val="center"/>
            </w:pPr>
            <w:r>
              <w:rPr>
                <w:rFonts w:hint="eastAsia"/>
              </w:rPr>
              <w:t>25</w:t>
            </w:r>
          </w:p>
        </w:tc>
        <w:tc>
          <w:tcPr>
            <w:tcW w:w="513" w:type="pct"/>
            <w:vAlign w:val="center"/>
          </w:tcPr>
          <w:p w14:paraId="202410FE">
            <w:pPr>
              <w:jc w:val="center"/>
            </w:pPr>
            <w:r>
              <w:rPr>
                <w:rFonts w:hint="eastAsia"/>
              </w:rPr>
              <w:t>生态环境</w:t>
            </w:r>
          </w:p>
        </w:tc>
        <w:tc>
          <w:tcPr>
            <w:tcW w:w="3324" w:type="pct"/>
            <w:gridSpan w:val="4"/>
            <w:vAlign w:val="center"/>
          </w:tcPr>
          <w:p w14:paraId="2248986B">
            <w:pPr>
              <w:jc w:val="center"/>
            </w:pPr>
            <w:r>
              <w:rPr>
                <w:rFonts w:hint="eastAsia"/>
              </w:rPr>
              <w:t>规划区内植被、</w:t>
            </w:r>
            <w:r>
              <w:rPr>
                <w:rFonts w:hint="eastAsia"/>
                <w:kern w:val="0"/>
                <w:szCs w:val="21"/>
              </w:rPr>
              <w:t>永久基本农田等</w:t>
            </w:r>
          </w:p>
        </w:tc>
        <w:tc>
          <w:tcPr>
            <w:tcW w:w="781" w:type="pct"/>
            <w:vAlign w:val="center"/>
          </w:tcPr>
          <w:p w14:paraId="378F8572">
            <w:pPr>
              <w:jc w:val="center"/>
            </w:pPr>
            <w:r>
              <w:rPr>
                <w:rFonts w:hint="eastAsia"/>
              </w:rPr>
              <w:t>生态环境</w:t>
            </w:r>
          </w:p>
        </w:tc>
      </w:tr>
      <w:tr w14:paraId="7CA3F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5000" w:type="pct"/>
            <w:gridSpan w:val="7"/>
            <w:vAlign w:val="center"/>
          </w:tcPr>
          <w:p w14:paraId="0D3DA776">
            <w:pPr>
              <w:jc w:val="center"/>
            </w:pPr>
            <w:r>
              <w:rPr>
                <w:rFonts w:hint="eastAsia"/>
                <w:b/>
              </w:rPr>
              <w:t>三、太白顶石材生产集中区</w:t>
            </w:r>
          </w:p>
        </w:tc>
      </w:tr>
      <w:tr w14:paraId="63DCF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E5FEC57">
            <w:pPr>
              <w:jc w:val="center"/>
            </w:pPr>
            <w:r>
              <w:t>1</w:t>
            </w:r>
          </w:p>
        </w:tc>
        <w:tc>
          <w:tcPr>
            <w:tcW w:w="513" w:type="pct"/>
            <w:vMerge w:val="restart"/>
            <w:vAlign w:val="center"/>
          </w:tcPr>
          <w:p w14:paraId="04E89C36">
            <w:pPr>
              <w:jc w:val="center"/>
            </w:pPr>
            <w:r>
              <w:rPr>
                <w:rFonts w:hint="eastAsia"/>
              </w:rPr>
              <w:t>环境空气和声环境</w:t>
            </w:r>
          </w:p>
        </w:tc>
        <w:tc>
          <w:tcPr>
            <w:tcW w:w="831" w:type="pct"/>
            <w:vAlign w:val="center"/>
          </w:tcPr>
          <w:p w14:paraId="2D77BDB4">
            <w:pPr>
              <w:spacing w:line="320" w:lineRule="exact"/>
              <w:ind w:left="-53" w:leftChars="-25" w:right="-53" w:rightChars="-25"/>
              <w:jc w:val="center"/>
              <w:rPr>
                <w:szCs w:val="21"/>
              </w:rPr>
            </w:pPr>
            <w:r>
              <w:rPr>
                <w:rFonts w:hint="eastAsia"/>
                <w:szCs w:val="21"/>
              </w:rPr>
              <w:t>园区内居民点</w:t>
            </w:r>
          </w:p>
        </w:tc>
        <w:tc>
          <w:tcPr>
            <w:tcW w:w="619" w:type="pct"/>
            <w:tcBorders>
              <w:right w:val="single" w:color="auto" w:sz="4" w:space="0"/>
            </w:tcBorders>
            <w:vAlign w:val="center"/>
          </w:tcPr>
          <w:p w14:paraId="6E147A2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25AAA51">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3501B644">
            <w:pPr>
              <w:spacing w:line="320" w:lineRule="exact"/>
              <w:ind w:left="-53" w:leftChars="-25" w:right="-53" w:rightChars="-25"/>
              <w:jc w:val="center"/>
              <w:rPr>
                <w:szCs w:val="21"/>
              </w:rPr>
            </w:pPr>
            <w:r>
              <w:rPr>
                <w:rFonts w:hint="eastAsia"/>
                <w:szCs w:val="21"/>
              </w:rPr>
              <w:t>0</w:t>
            </w:r>
          </w:p>
        </w:tc>
        <w:tc>
          <w:tcPr>
            <w:tcW w:w="781" w:type="pct"/>
            <w:vMerge w:val="restart"/>
            <w:vAlign w:val="center"/>
          </w:tcPr>
          <w:p w14:paraId="6BAF3559">
            <w:pPr>
              <w:jc w:val="center"/>
            </w:pPr>
            <w:r>
              <w:t>环境空气二级、环境噪声2类</w:t>
            </w:r>
          </w:p>
        </w:tc>
      </w:tr>
      <w:tr w14:paraId="0C277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E33D3F5">
            <w:pPr>
              <w:jc w:val="center"/>
            </w:pPr>
            <w:r>
              <w:t>2</w:t>
            </w:r>
          </w:p>
        </w:tc>
        <w:tc>
          <w:tcPr>
            <w:tcW w:w="513" w:type="pct"/>
            <w:vMerge w:val="continue"/>
            <w:vAlign w:val="center"/>
          </w:tcPr>
          <w:p w14:paraId="6775BB21">
            <w:pPr>
              <w:jc w:val="center"/>
            </w:pPr>
          </w:p>
        </w:tc>
        <w:tc>
          <w:tcPr>
            <w:tcW w:w="831" w:type="pct"/>
            <w:vAlign w:val="center"/>
          </w:tcPr>
          <w:p w14:paraId="5487E74F">
            <w:pPr>
              <w:spacing w:line="320" w:lineRule="exact"/>
              <w:ind w:left="-53" w:leftChars="-25" w:right="-53" w:rightChars="-25"/>
              <w:jc w:val="center"/>
              <w:rPr>
                <w:szCs w:val="21"/>
              </w:rPr>
            </w:pPr>
            <w:r>
              <w:rPr>
                <w:rFonts w:hint="eastAsia"/>
                <w:szCs w:val="21"/>
              </w:rPr>
              <w:t>尚家湾村</w:t>
            </w:r>
          </w:p>
        </w:tc>
        <w:tc>
          <w:tcPr>
            <w:tcW w:w="619" w:type="pct"/>
            <w:tcBorders>
              <w:right w:val="single" w:color="auto" w:sz="4" w:space="0"/>
            </w:tcBorders>
            <w:vAlign w:val="center"/>
          </w:tcPr>
          <w:p w14:paraId="02ED857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21D60F1">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106F0C97">
            <w:pPr>
              <w:spacing w:line="320" w:lineRule="exact"/>
              <w:ind w:left="-53" w:leftChars="-25" w:right="-53" w:rightChars="-25"/>
              <w:jc w:val="center"/>
              <w:rPr>
                <w:szCs w:val="21"/>
              </w:rPr>
            </w:pPr>
            <w:r>
              <w:rPr>
                <w:rFonts w:hint="eastAsia"/>
                <w:szCs w:val="21"/>
              </w:rPr>
              <w:t>130</w:t>
            </w:r>
          </w:p>
        </w:tc>
        <w:tc>
          <w:tcPr>
            <w:tcW w:w="781" w:type="pct"/>
            <w:vMerge w:val="continue"/>
            <w:vAlign w:val="center"/>
          </w:tcPr>
          <w:p w14:paraId="0863D743">
            <w:pPr>
              <w:jc w:val="center"/>
            </w:pPr>
          </w:p>
        </w:tc>
      </w:tr>
      <w:tr w14:paraId="1A5C4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241767C">
            <w:pPr>
              <w:jc w:val="center"/>
            </w:pPr>
            <w:r>
              <w:t>3</w:t>
            </w:r>
          </w:p>
        </w:tc>
        <w:tc>
          <w:tcPr>
            <w:tcW w:w="513" w:type="pct"/>
            <w:vMerge w:val="continue"/>
            <w:vAlign w:val="center"/>
          </w:tcPr>
          <w:p w14:paraId="09FAAB8A">
            <w:pPr>
              <w:jc w:val="center"/>
            </w:pPr>
          </w:p>
        </w:tc>
        <w:tc>
          <w:tcPr>
            <w:tcW w:w="831" w:type="pct"/>
            <w:vAlign w:val="center"/>
          </w:tcPr>
          <w:p w14:paraId="643A228F">
            <w:pPr>
              <w:spacing w:line="320" w:lineRule="exact"/>
              <w:ind w:left="-53" w:leftChars="-25" w:right="-53" w:rightChars="-25"/>
              <w:jc w:val="center"/>
              <w:rPr>
                <w:szCs w:val="21"/>
              </w:rPr>
            </w:pPr>
            <w:r>
              <w:rPr>
                <w:rFonts w:hint="eastAsia"/>
                <w:szCs w:val="21"/>
              </w:rPr>
              <w:t>太子垭</w:t>
            </w:r>
          </w:p>
        </w:tc>
        <w:tc>
          <w:tcPr>
            <w:tcW w:w="619" w:type="pct"/>
            <w:tcBorders>
              <w:right w:val="single" w:color="auto" w:sz="4" w:space="0"/>
            </w:tcBorders>
            <w:vAlign w:val="center"/>
          </w:tcPr>
          <w:p w14:paraId="65EF5FC4">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53340A2">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5AEEB759">
            <w:pPr>
              <w:spacing w:line="320" w:lineRule="exact"/>
              <w:ind w:left="-53" w:leftChars="-25" w:right="-53" w:rightChars="-25"/>
              <w:jc w:val="center"/>
              <w:rPr>
                <w:szCs w:val="21"/>
              </w:rPr>
            </w:pPr>
            <w:r>
              <w:rPr>
                <w:rFonts w:hint="eastAsia"/>
                <w:szCs w:val="21"/>
              </w:rPr>
              <w:t>80</w:t>
            </w:r>
          </w:p>
        </w:tc>
        <w:tc>
          <w:tcPr>
            <w:tcW w:w="781" w:type="pct"/>
            <w:vMerge w:val="continue"/>
            <w:vAlign w:val="center"/>
          </w:tcPr>
          <w:p w14:paraId="7C25B356">
            <w:pPr>
              <w:jc w:val="center"/>
            </w:pPr>
          </w:p>
        </w:tc>
      </w:tr>
      <w:tr w14:paraId="62A05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4CFB1200">
            <w:pPr>
              <w:jc w:val="center"/>
            </w:pPr>
            <w:r>
              <w:t>4</w:t>
            </w:r>
          </w:p>
        </w:tc>
        <w:tc>
          <w:tcPr>
            <w:tcW w:w="513" w:type="pct"/>
            <w:vMerge w:val="continue"/>
            <w:vAlign w:val="center"/>
          </w:tcPr>
          <w:p w14:paraId="60BC5B92">
            <w:pPr>
              <w:jc w:val="center"/>
            </w:pPr>
          </w:p>
        </w:tc>
        <w:tc>
          <w:tcPr>
            <w:tcW w:w="831" w:type="pct"/>
            <w:vAlign w:val="center"/>
          </w:tcPr>
          <w:p w14:paraId="567D4201">
            <w:pPr>
              <w:spacing w:line="320" w:lineRule="exact"/>
              <w:ind w:left="-53" w:leftChars="-25" w:right="-53" w:rightChars="-25"/>
              <w:jc w:val="center"/>
              <w:rPr>
                <w:szCs w:val="21"/>
              </w:rPr>
            </w:pPr>
            <w:r>
              <w:rPr>
                <w:rFonts w:hint="eastAsia"/>
                <w:szCs w:val="21"/>
              </w:rPr>
              <w:t>李家沟</w:t>
            </w:r>
          </w:p>
        </w:tc>
        <w:tc>
          <w:tcPr>
            <w:tcW w:w="619" w:type="pct"/>
            <w:tcBorders>
              <w:right w:val="single" w:color="auto" w:sz="4" w:space="0"/>
            </w:tcBorders>
            <w:vAlign w:val="center"/>
          </w:tcPr>
          <w:p w14:paraId="1D515233">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01AC89D">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2992C786">
            <w:pPr>
              <w:spacing w:line="320" w:lineRule="exact"/>
              <w:ind w:left="-53" w:leftChars="-25" w:right="-53" w:rightChars="-25"/>
              <w:jc w:val="center"/>
              <w:rPr>
                <w:szCs w:val="21"/>
              </w:rPr>
            </w:pPr>
            <w:r>
              <w:rPr>
                <w:rFonts w:hint="eastAsia"/>
                <w:szCs w:val="21"/>
              </w:rPr>
              <w:t>450</w:t>
            </w:r>
          </w:p>
        </w:tc>
        <w:tc>
          <w:tcPr>
            <w:tcW w:w="781" w:type="pct"/>
            <w:vMerge w:val="continue"/>
            <w:vAlign w:val="center"/>
          </w:tcPr>
          <w:p w14:paraId="0662893F">
            <w:pPr>
              <w:jc w:val="center"/>
            </w:pPr>
          </w:p>
        </w:tc>
      </w:tr>
      <w:tr w14:paraId="13CF3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28FEB08">
            <w:pPr>
              <w:jc w:val="center"/>
            </w:pPr>
            <w:r>
              <w:rPr>
                <w:rFonts w:hint="eastAsia"/>
              </w:rPr>
              <w:t>5</w:t>
            </w:r>
          </w:p>
        </w:tc>
        <w:tc>
          <w:tcPr>
            <w:tcW w:w="513" w:type="pct"/>
            <w:vMerge w:val="continue"/>
            <w:vAlign w:val="center"/>
          </w:tcPr>
          <w:p w14:paraId="30E26E22">
            <w:pPr>
              <w:jc w:val="center"/>
            </w:pPr>
          </w:p>
        </w:tc>
        <w:tc>
          <w:tcPr>
            <w:tcW w:w="831" w:type="pct"/>
            <w:vAlign w:val="center"/>
          </w:tcPr>
          <w:p w14:paraId="573E8A6C">
            <w:pPr>
              <w:spacing w:line="320" w:lineRule="exact"/>
              <w:ind w:left="-53" w:leftChars="-25" w:right="-53" w:rightChars="-25"/>
              <w:jc w:val="center"/>
              <w:rPr>
                <w:szCs w:val="21"/>
              </w:rPr>
            </w:pPr>
            <w:r>
              <w:rPr>
                <w:rFonts w:hint="eastAsia"/>
                <w:szCs w:val="21"/>
              </w:rPr>
              <w:t>中棚</w:t>
            </w:r>
          </w:p>
        </w:tc>
        <w:tc>
          <w:tcPr>
            <w:tcW w:w="619" w:type="pct"/>
            <w:tcBorders>
              <w:right w:val="single" w:color="auto" w:sz="4" w:space="0"/>
            </w:tcBorders>
            <w:vAlign w:val="center"/>
          </w:tcPr>
          <w:p w14:paraId="7B868A56">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B6D01BF">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1DCA3823">
            <w:pPr>
              <w:spacing w:line="320" w:lineRule="exact"/>
              <w:ind w:left="-53" w:leftChars="-25" w:right="-53" w:rightChars="-25"/>
              <w:jc w:val="center"/>
              <w:rPr>
                <w:szCs w:val="21"/>
              </w:rPr>
            </w:pPr>
            <w:r>
              <w:rPr>
                <w:rFonts w:hint="eastAsia"/>
                <w:szCs w:val="21"/>
              </w:rPr>
              <w:t>38</w:t>
            </w:r>
          </w:p>
        </w:tc>
        <w:tc>
          <w:tcPr>
            <w:tcW w:w="781" w:type="pct"/>
            <w:vMerge w:val="continue"/>
            <w:vAlign w:val="center"/>
          </w:tcPr>
          <w:p w14:paraId="16E5989E">
            <w:pPr>
              <w:jc w:val="center"/>
            </w:pPr>
          </w:p>
        </w:tc>
      </w:tr>
      <w:tr w14:paraId="02B72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555689F">
            <w:pPr>
              <w:jc w:val="center"/>
            </w:pPr>
            <w:r>
              <w:rPr>
                <w:rFonts w:hint="eastAsia"/>
              </w:rPr>
              <w:t>6</w:t>
            </w:r>
          </w:p>
        </w:tc>
        <w:tc>
          <w:tcPr>
            <w:tcW w:w="513" w:type="pct"/>
            <w:vMerge w:val="continue"/>
            <w:vAlign w:val="center"/>
          </w:tcPr>
          <w:p w14:paraId="10F31F04">
            <w:pPr>
              <w:jc w:val="center"/>
            </w:pPr>
          </w:p>
        </w:tc>
        <w:tc>
          <w:tcPr>
            <w:tcW w:w="831" w:type="pct"/>
            <w:vAlign w:val="center"/>
          </w:tcPr>
          <w:p w14:paraId="7A022D8C">
            <w:pPr>
              <w:spacing w:line="320" w:lineRule="exact"/>
              <w:ind w:left="-53" w:leftChars="-25" w:right="-53" w:rightChars="-25"/>
              <w:jc w:val="center"/>
              <w:rPr>
                <w:szCs w:val="21"/>
              </w:rPr>
            </w:pPr>
            <w:r>
              <w:rPr>
                <w:rFonts w:hint="eastAsia"/>
                <w:szCs w:val="21"/>
              </w:rPr>
              <w:t>上棚</w:t>
            </w:r>
          </w:p>
        </w:tc>
        <w:tc>
          <w:tcPr>
            <w:tcW w:w="619" w:type="pct"/>
            <w:tcBorders>
              <w:right w:val="single" w:color="auto" w:sz="4" w:space="0"/>
            </w:tcBorders>
            <w:vAlign w:val="center"/>
          </w:tcPr>
          <w:p w14:paraId="7B9F9CD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6999F493">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29858B94">
            <w:pPr>
              <w:spacing w:line="320" w:lineRule="exact"/>
              <w:ind w:left="-53" w:leftChars="-25" w:right="-53" w:rightChars="-25"/>
              <w:jc w:val="center"/>
              <w:rPr>
                <w:szCs w:val="21"/>
              </w:rPr>
            </w:pPr>
            <w:r>
              <w:rPr>
                <w:rFonts w:hint="eastAsia"/>
                <w:szCs w:val="21"/>
              </w:rPr>
              <w:t>500</w:t>
            </w:r>
          </w:p>
        </w:tc>
        <w:tc>
          <w:tcPr>
            <w:tcW w:w="781" w:type="pct"/>
            <w:vMerge w:val="continue"/>
            <w:vAlign w:val="center"/>
          </w:tcPr>
          <w:p w14:paraId="599EBB30">
            <w:pPr>
              <w:jc w:val="center"/>
            </w:pPr>
          </w:p>
        </w:tc>
      </w:tr>
      <w:tr w14:paraId="5DEA0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A23388A">
            <w:pPr>
              <w:jc w:val="center"/>
            </w:pPr>
            <w:r>
              <w:rPr>
                <w:rFonts w:hint="eastAsia"/>
              </w:rPr>
              <w:t>7</w:t>
            </w:r>
          </w:p>
        </w:tc>
        <w:tc>
          <w:tcPr>
            <w:tcW w:w="513" w:type="pct"/>
            <w:vMerge w:val="continue"/>
            <w:vAlign w:val="center"/>
          </w:tcPr>
          <w:p w14:paraId="2B64454E">
            <w:pPr>
              <w:jc w:val="center"/>
            </w:pPr>
          </w:p>
        </w:tc>
        <w:tc>
          <w:tcPr>
            <w:tcW w:w="831" w:type="pct"/>
            <w:vAlign w:val="center"/>
          </w:tcPr>
          <w:p w14:paraId="17D267C1">
            <w:pPr>
              <w:spacing w:line="320" w:lineRule="exact"/>
              <w:ind w:left="-53" w:leftChars="-25" w:right="-53" w:rightChars="-25"/>
              <w:jc w:val="center"/>
              <w:rPr>
                <w:szCs w:val="21"/>
              </w:rPr>
            </w:pPr>
            <w:r>
              <w:rPr>
                <w:rFonts w:hint="eastAsia"/>
                <w:szCs w:val="21"/>
              </w:rPr>
              <w:t>白云村</w:t>
            </w:r>
          </w:p>
        </w:tc>
        <w:tc>
          <w:tcPr>
            <w:tcW w:w="619" w:type="pct"/>
            <w:tcBorders>
              <w:right w:val="single" w:color="auto" w:sz="4" w:space="0"/>
            </w:tcBorders>
            <w:vAlign w:val="center"/>
          </w:tcPr>
          <w:p w14:paraId="7EA54929">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694D8AA">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3C03BF5F">
            <w:pPr>
              <w:spacing w:line="320" w:lineRule="exact"/>
              <w:ind w:left="-53" w:leftChars="-25" w:right="-53" w:rightChars="-25"/>
              <w:jc w:val="center"/>
              <w:rPr>
                <w:szCs w:val="21"/>
              </w:rPr>
            </w:pPr>
            <w:r>
              <w:rPr>
                <w:rFonts w:hint="eastAsia"/>
                <w:szCs w:val="21"/>
              </w:rPr>
              <w:t>256</w:t>
            </w:r>
          </w:p>
        </w:tc>
        <w:tc>
          <w:tcPr>
            <w:tcW w:w="781" w:type="pct"/>
            <w:vMerge w:val="continue"/>
            <w:vAlign w:val="center"/>
          </w:tcPr>
          <w:p w14:paraId="02AA16B3">
            <w:pPr>
              <w:jc w:val="center"/>
            </w:pPr>
          </w:p>
        </w:tc>
      </w:tr>
      <w:tr w14:paraId="10B8D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25DB8B1">
            <w:pPr>
              <w:jc w:val="center"/>
            </w:pPr>
            <w:r>
              <w:rPr>
                <w:rFonts w:hint="eastAsia"/>
              </w:rPr>
              <w:t>8</w:t>
            </w:r>
          </w:p>
        </w:tc>
        <w:tc>
          <w:tcPr>
            <w:tcW w:w="513" w:type="pct"/>
            <w:vMerge w:val="continue"/>
            <w:vAlign w:val="center"/>
          </w:tcPr>
          <w:p w14:paraId="47BF249E">
            <w:pPr>
              <w:jc w:val="center"/>
            </w:pPr>
          </w:p>
        </w:tc>
        <w:tc>
          <w:tcPr>
            <w:tcW w:w="831" w:type="pct"/>
            <w:vAlign w:val="center"/>
          </w:tcPr>
          <w:p w14:paraId="63074E2E">
            <w:pPr>
              <w:spacing w:line="320" w:lineRule="exact"/>
              <w:ind w:left="-53" w:leftChars="-25" w:right="-53" w:rightChars="-25"/>
              <w:jc w:val="center"/>
              <w:rPr>
                <w:szCs w:val="21"/>
              </w:rPr>
            </w:pPr>
            <w:r>
              <w:rPr>
                <w:rFonts w:hint="eastAsia"/>
                <w:szCs w:val="21"/>
              </w:rPr>
              <w:t>韩刘塆</w:t>
            </w:r>
          </w:p>
        </w:tc>
        <w:tc>
          <w:tcPr>
            <w:tcW w:w="619" w:type="pct"/>
            <w:tcBorders>
              <w:right w:val="single" w:color="auto" w:sz="4" w:space="0"/>
            </w:tcBorders>
            <w:vAlign w:val="center"/>
          </w:tcPr>
          <w:p w14:paraId="5A331A9A">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3196FFA">
            <w:pPr>
              <w:spacing w:line="320" w:lineRule="exact"/>
              <w:ind w:left="-53" w:leftChars="-25" w:right="-53" w:rightChars="-25"/>
              <w:jc w:val="center"/>
              <w:rPr>
                <w:szCs w:val="21"/>
              </w:rPr>
            </w:pPr>
            <w:r>
              <w:rPr>
                <w:rFonts w:hint="eastAsia"/>
                <w:szCs w:val="21"/>
              </w:rPr>
              <w:t>W</w:t>
            </w:r>
          </w:p>
        </w:tc>
        <w:tc>
          <w:tcPr>
            <w:tcW w:w="1132" w:type="pct"/>
            <w:tcBorders>
              <w:left w:val="single" w:color="auto" w:sz="4" w:space="0"/>
            </w:tcBorders>
            <w:vAlign w:val="center"/>
          </w:tcPr>
          <w:p w14:paraId="0F53847A">
            <w:pPr>
              <w:spacing w:line="320" w:lineRule="exact"/>
              <w:ind w:left="-53" w:leftChars="-25" w:right="-53" w:rightChars="-25"/>
              <w:jc w:val="center"/>
              <w:rPr>
                <w:szCs w:val="21"/>
              </w:rPr>
            </w:pPr>
            <w:r>
              <w:rPr>
                <w:rFonts w:hint="eastAsia"/>
                <w:szCs w:val="21"/>
              </w:rPr>
              <w:t>25</w:t>
            </w:r>
          </w:p>
        </w:tc>
        <w:tc>
          <w:tcPr>
            <w:tcW w:w="781" w:type="pct"/>
            <w:vMerge w:val="continue"/>
            <w:vAlign w:val="center"/>
          </w:tcPr>
          <w:p w14:paraId="27C195D6">
            <w:pPr>
              <w:jc w:val="center"/>
            </w:pPr>
          </w:p>
        </w:tc>
      </w:tr>
      <w:tr w14:paraId="68F32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A1C29E0">
            <w:pPr>
              <w:jc w:val="center"/>
            </w:pPr>
            <w:r>
              <w:rPr>
                <w:rFonts w:hint="eastAsia"/>
              </w:rPr>
              <w:t>9</w:t>
            </w:r>
          </w:p>
        </w:tc>
        <w:tc>
          <w:tcPr>
            <w:tcW w:w="513" w:type="pct"/>
            <w:vMerge w:val="continue"/>
            <w:vAlign w:val="center"/>
          </w:tcPr>
          <w:p w14:paraId="1E02DD36">
            <w:pPr>
              <w:jc w:val="center"/>
            </w:pPr>
          </w:p>
        </w:tc>
        <w:tc>
          <w:tcPr>
            <w:tcW w:w="831" w:type="pct"/>
            <w:vAlign w:val="center"/>
          </w:tcPr>
          <w:p w14:paraId="4B453E56">
            <w:pPr>
              <w:spacing w:line="320" w:lineRule="exact"/>
              <w:ind w:left="-53" w:leftChars="-25" w:right="-53" w:rightChars="-25"/>
              <w:jc w:val="center"/>
              <w:rPr>
                <w:szCs w:val="21"/>
              </w:rPr>
            </w:pPr>
            <w:r>
              <w:rPr>
                <w:rFonts w:hint="eastAsia"/>
                <w:szCs w:val="21"/>
              </w:rPr>
              <w:t>新城镇居民</w:t>
            </w:r>
          </w:p>
        </w:tc>
        <w:tc>
          <w:tcPr>
            <w:tcW w:w="619" w:type="pct"/>
            <w:tcBorders>
              <w:right w:val="single" w:color="auto" w:sz="4" w:space="0"/>
            </w:tcBorders>
            <w:vAlign w:val="center"/>
          </w:tcPr>
          <w:p w14:paraId="1A73A8DD">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A2721E1">
            <w:pPr>
              <w:spacing w:line="320" w:lineRule="exact"/>
              <w:ind w:left="-53" w:leftChars="-25" w:right="-53" w:rightChars="-25"/>
              <w:jc w:val="center"/>
              <w:rPr>
                <w:szCs w:val="21"/>
              </w:rPr>
            </w:pPr>
            <w:r>
              <w:rPr>
                <w:rFonts w:hint="eastAsia"/>
                <w:szCs w:val="21"/>
              </w:rPr>
              <w:t>WN</w:t>
            </w:r>
          </w:p>
        </w:tc>
        <w:tc>
          <w:tcPr>
            <w:tcW w:w="1132" w:type="pct"/>
            <w:tcBorders>
              <w:left w:val="single" w:color="auto" w:sz="4" w:space="0"/>
            </w:tcBorders>
            <w:vAlign w:val="center"/>
          </w:tcPr>
          <w:p w14:paraId="4A3E7440">
            <w:pPr>
              <w:spacing w:line="320" w:lineRule="exact"/>
              <w:ind w:left="-53" w:leftChars="-25" w:right="-53" w:rightChars="-25"/>
              <w:jc w:val="center"/>
              <w:rPr>
                <w:szCs w:val="21"/>
              </w:rPr>
            </w:pPr>
            <w:r>
              <w:rPr>
                <w:rFonts w:hint="eastAsia"/>
                <w:szCs w:val="21"/>
              </w:rPr>
              <w:t>360</w:t>
            </w:r>
          </w:p>
        </w:tc>
        <w:tc>
          <w:tcPr>
            <w:tcW w:w="781" w:type="pct"/>
            <w:vMerge w:val="continue"/>
            <w:vAlign w:val="center"/>
          </w:tcPr>
          <w:p w14:paraId="66C804F7">
            <w:pPr>
              <w:jc w:val="center"/>
            </w:pPr>
          </w:p>
        </w:tc>
      </w:tr>
      <w:tr w14:paraId="48D52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9AE2DB0">
            <w:pPr>
              <w:jc w:val="center"/>
            </w:pPr>
            <w:r>
              <w:rPr>
                <w:rFonts w:hint="eastAsia"/>
              </w:rPr>
              <w:t>10</w:t>
            </w:r>
          </w:p>
        </w:tc>
        <w:tc>
          <w:tcPr>
            <w:tcW w:w="513" w:type="pct"/>
            <w:vMerge w:val="continue"/>
            <w:vAlign w:val="center"/>
          </w:tcPr>
          <w:p w14:paraId="4CD01B9A">
            <w:pPr>
              <w:jc w:val="center"/>
            </w:pPr>
          </w:p>
        </w:tc>
        <w:tc>
          <w:tcPr>
            <w:tcW w:w="831" w:type="pct"/>
            <w:vAlign w:val="center"/>
          </w:tcPr>
          <w:p w14:paraId="234D7B36">
            <w:pPr>
              <w:spacing w:line="320" w:lineRule="exact"/>
              <w:ind w:left="-53" w:leftChars="-25" w:right="-53" w:rightChars="-25"/>
              <w:jc w:val="center"/>
              <w:rPr>
                <w:szCs w:val="21"/>
              </w:rPr>
            </w:pPr>
            <w:r>
              <w:rPr>
                <w:rFonts w:hint="eastAsia"/>
                <w:szCs w:val="21"/>
              </w:rPr>
              <w:t>解家河</w:t>
            </w:r>
          </w:p>
        </w:tc>
        <w:tc>
          <w:tcPr>
            <w:tcW w:w="619" w:type="pct"/>
            <w:tcBorders>
              <w:right w:val="single" w:color="auto" w:sz="4" w:space="0"/>
            </w:tcBorders>
            <w:vAlign w:val="center"/>
          </w:tcPr>
          <w:p w14:paraId="1CA8935E">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D171579">
            <w:pPr>
              <w:spacing w:line="320" w:lineRule="exact"/>
              <w:ind w:left="-53" w:leftChars="-25" w:right="-53" w:rightChars="-25"/>
              <w:jc w:val="center"/>
              <w:rPr>
                <w:szCs w:val="21"/>
              </w:rPr>
            </w:pPr>
            <w:r>
              <w:rPr>
                <w:rFonts w:hint="eastAsia"/>
                <w:szCs w:val="21"/>
              </w:rPr>
              <w:t>S</w:t>
            </w:r>
          </w:p>
        </w:tc>
        <w:tc>
          <w:tcPr>
            <w:tcW w:w="1132" w:type="pct"/>
            <w:tcBorders>
              <w:left w:val="single" w:color="auto" w:sz="4" w:space="0"/>
            </w:tcBorders>
            <w:vAlign w:val="center"/>
          </w:tcPr>
          <w:p w14:paraId="38CF63B4">
            <w:pPr>
              <w:spacing w:line="320" w:lineRule="exact"/>
              <w:ind w:left="-53" w:leftChars="-25" w:right="-53" w:rightChars="-25"/>
              <w:jc w:val="center"/>
              <w:rPr>
                <w:szCs w:val="21"/>
              </w:rPr>
            </w:pPr>
            <w:r>
              <w:rPr>
                <w:rFonts w:hint="eastAsia"/>
                <w:szCs w:val="21"/>
              </w:rPr>
              <w:t>484</w:t>
            </w:r>
          </w:p>
        </w:tc>
        <w:tc>
          <w:tcPr>
            <w:tcW w:w="781" w:type="pct"/>
            <w:vMerge w:val="continue"/>
            <w:vAlign w:val="center"/>
          </w:tcPr>
          <w:p w14:paraId="6CF6AFB5">
            <w:pPr>
              <w:jc w:val="center"/>
            </w:pPr>
          </w:p>
        </w:tc>
      </w:tr>
      <w:tr w14:paraId="3B722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DE7FA0C">
            <w:pPr>
              <w:jc w:val="center"/>
            </w:pPr>
            <w:r>
              <w:rPr>
                <w:rFonts w:hint="eastAsia"/>
              </w:rPr>
              <w:t>11</w:t>
            </w:r>
          </w:p>
        </w:tc>
        <w:tc>
          <w:tcPr>
            <w:tcW w:w="513" w:type="pct"/>
            <w:vMerge w:val="continue"/>
            <w:vAlign w:val="center"/>
          </w:tcPr>
          <w:p w14:paraId="2C717A64">
            <w:pPr>
              <w:jc w:val="center"/>
            </w:pPr>
          </w:p>
        </w:tc>
        <w:tc>
          <w:tcPr>
            <w:tcW w:w="831" w:type="pct"/>
            <w:vAlign w:val="center"/>
          </w:tcPr>
          <w:p w14:paraId="1B34C79E">
            <w:pPr>
              <w:spacing w:line="320" w:lineRule="exact"/>
              <w:ind w:left="-53" w:leftChars="-25" w:right="-53" w:rightChars="-25"/>
              <w:jc w:val="center"/>
              <w:rPr>
                <w:szCs w:val="21"/>
              </w:rPr>
            </w:pPr>
            <w:r>
              <w:rPr>
                <w:rFonts w:hint="eastAsia"/>
                <w:szCs w:val="21"/>
              </w:rPr>
              <w:t>南庄</w:t>
            </w:r>
          </w:p>
        </w:tc>
        <w:tc>
          <w:tcPr>
            <w:tcW w:w="619" w:type="pct"/>
            <w:tcBorders>
              <w:right w:val="single" w:color="auto" w:sz="4" w:space="0"/>
            </w:tcBorders>
            <w:vAlign w:val="center"/>
          </w:tcPr>
          <w:p w14:paraId="357A5C9B">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7865AEFB">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0DACA8BA">
            <w:pPr>
              <w:spacing w:line="320" w:lineRule="exact"/>
              <w:ind w:left="-53" w:leftChars="-25" w:right="-53" w:rightChars="-25"/>
              <w:jc w:val="center"/>
              <w:rPr>
                <w:szCs w:val="21"/>
              </w:rPr>
            </w:pPr>
            <w:r>
              <w:rPr>
                <w:rFonts w:hint="eastAsia"/>
                <w:szCs w:val="21"/>
              </w:rPr>
              <w:t>450</w:t>
            </w:r>
          </w:p>
        </w:tc>
        <w:tc>
          <w:tcPr>
            <w:tcW w:w="781" w:type="pct"/>
            <w:vMerge w:val="continue"/>
            <w:vAlign w:val="center"/>
          </w:tcPr>
          <w:p w14:paraId="1403E44A">
            <w:pPr>
              <w:jc w:val="center"/>
            </w:pPr>
          </w:p>
        </w:tc>
      </w:tr>
      <w:tr w14:paraId="2F821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96ACE8C">
            <w:pPr>
              <w:jc w:val="center"/>
            </w:pPr>
            <w:r>
              <w:rPr>
                <w:rFonts w:hint="eastAsia"/>
              </w:rPr>
              <w:t>12</w:t>
            </w:r>
          </w:p>
        </w:tc>
        <w:tc>
          <w:tcPr>
            <w:tcW w:w="513" w:type="pct"/>
            <w:vMerge w:val="continue"/>
            <w:vAlign w:val="center"/>
          </w:tcPr>
          <w:p w14:paraId="291124F7">
            <w:pPr>
              <w:jc w:val="center"/>
            </w:pPr>
          </w:p>
        </w:tc>
        <w:tc>
          <w:tcPr>
            <w:tcW w:w="831" w:type="pct"/>
            <w:vAlign w:val="center"/>
          </w:tcPr>
          <w:p w14:paraId="2AA65697">
            <w:pPr>
              <w:spacing w:line="320" w:lineRule="exact"/>
              <w:ind w:left="-53" w:leftChars="-25" w:right="-53" w:rightChars="-25"/>
              <w:jc w:val="center"/>
              <w:rPr>
                <w:szCs w:val="21"/>
              </w:rPr>
            </w:pPr>
            <w:r>
              <w:rPr>
                <w:rFonts w:hint="eastAsia"/>
                <w:szCs w:val="21"/>
              </w:rPr>
              <w:t>温家塆</w:t>
            </w:r>
          </w:p>
        </w:tc>
        <w:tc>
          <w:tcPr>
            <w:tcW w:w="619" w:type="pct"/>
            <w:tcBorders>
              <w:right w:val="single" w:color="auto" w:sz="4" w:space="0"/>
            </w:tcBorders>
            <w:vAlign w:val="center"/>
          </w:tcPr>
          <w:p w14:paraId="6CCF3F54">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4F717BD7">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427EA932">
            <w:pPr>
              <w:spacing w:line="320" w:lineRule="exact"/>
              <w:ind w:left="-53" w:leftChars="-25" w:right="-53" w:rightChars="-25"/>
              <w:jc w:val="center"/>
              <w:rPr>
                <w:szCs w:val="21"/>
              </w:rPr>
            </w:pPr>
            <w:r>
              <w:rPr>
                <w:rFonts w:hint="eastAsia"/>
                <w:szCs w:val="21"/>
              </w:rPr>
              <w:t>627</w:t>
            </w:r>
          </w:p>
        </w:tc>
        <w:tc>
          <w:tcPr>
            <w:tcW w:w="781" w:type="pct"/>
            <w:vMerge w:val="continue"/>
            <w:vAlign w:val="center"/>
          </w:tcPr>
          <w:p w14:paraId="48040F82">
            <w:pPr>
              <w:jc w:val="center"/>
            </w:pPr>
          </w:p>
        </w:tc>
      </w:tr>
      <w:tr w14:paraId="06001F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DDBFAAE">
            <w:pPr>
              <w:jc w:val="center"/>
            </w:pPr>
            <w:r>
              <w:rPr>
                <w:rFonts w:hint="eastAsia"/>
              </w:rPr>
              <w:t>13</w:t>
            </w:r>
          </w:p>
        </w:tc>
        <w:tc>
          <w:tcPr>
            <w:tcW w:w="513" w:type="pct"/>
            <w:vMerge w:val="continue"/>
            <w:vAlign w:val="center"/>
          </w:tcPr>
          <w:p w14:paraId="55F377BA">
            <w:pPr>
              <w:jc w:val="center"/>
            </w:pPr>
          </w:p>
        </w:tc>
        <w:tc>
          <w:tcPr>
            <w:tcW w:w="831" w:type="pct"/>
            <w:vAlign w:val="center"/>
          </w:tcPr>
          <w:p w14:paraId="16EB527A">
            <w:pPr>
              <w:spacing w:line="320" w:lineRule="exact"/>
              <w:ind w:left="-53" w:leftChars="-25" w:right="-53" w:rightChars="-25"/>
              <w:jc w:val="center"/>
              <w:rPr>
                <w:szCs w:val="21"/>
              </w:rPr>
            </w:pPr>
            <w:r>
              <w:rPr>
                <w:rFonts w:hint="eastAsia"/>
                <w:szCs w:val="21"/>
              </w:rPr>
              <w:t>润英幼儿园</w:t>
            </w:r>
          </w:p>
        </w:tc>
        <w:tc>
          <w:tcPr>
            <w:tcW w:w="619" w:type="pct"/>
            <w:tcBorders>
              <w:right w:val="single" w:color="auto" w:sz="4" w:space="0"/>
            </w:tcBorders>
            <w:vAlign w:val="center"/>
          </w:tcPr>
          <w:p w14:paraId="171B4ABD">
            <w:pPr>
              <w:spacing w:line="320" w:lineRule="exact"/>
              <w:ind w:left="-53" w:leftChars="-25" w:right="-53" w:rightChars="-25"/>
              <w:jc w:val="center"/>
              <w:rPr>
                <w:szCs w:val="21"/>
              </w:rPr>
            </w:pPr>
            <w:r>
              <w:rPr>
                <w:rFonts w:hint="eastAsia"/>
                <w:szCs w:val="21"/>
              </w:rPr>
              <w:t>学校</w:t>
            </w:r>
          </w:p>
        </w:tc>
        <w:tc>
          <w:tcPr>
            <w:tcW w:w="742" w:type="pct"/>
            <w:tcBorders>
              <w:right w:val="single" w:color="auto" w:sz="4" w:space="0"/>
            </w:tcBorders>
            <w:vAlign w:val="center"/>
          </w:tcPr>
          <w:p w14:paraId="5A9905B9">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663E0320">
            <w:pPr>
              <w:spacing w:line="320" w:lineRule="exact"/>
              <w:ind w:left="-53" w:leftChars="-25" w:right="-53" w:rightChars="-25"/>
              <w:jc w:val="center"/>
              <w:rPr>
                <w:szCs w:val="21"/>
              </w:rPr>
            </w:pPr>
            <w:r>
              <w:rPr>
                <w:rFonts w:hint="eastAsia"/>
                <w:szCs w:val="21"/>
              </w:rPr>
              <w:t>996</w:t>
            </w:r>
          </w:p>
        </w:tc>
        <w:tc>
          <w:tcPr>
            <w:tcW w:w="781" w:type="pct"/>
            <w:vMerge w:val="continue"/>
            <w:vAlign w:val="center"/>
          </w:tcPr>
          <w:p w14:paraId="6ED597E9">
            <w:pPr>
              <w:jc w:val="center"/>
            </w:pPr>
          </w:p>
        </w:tc>
      </w:tr>
      <w:tr w14:paraId="2EEB9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01A09F5">
            <w:pPr>
              <w:jc w:val="center"/>
            </w:pPr>
            <w:r>
              <w:rPr>
                <w:rFonts w:hint="eastAsia"/>
              </w:rPr>
              <w:t>14</w:t>
            </w:r>
          </w:p>
        </w:tc>
        <w:tc>
          <w:tcPr>
            <w:tcW w:w="513" w:type="pct"/>
            <w:vAlign w:val="center"/>
          </w:tcPr>
          <w:p w14:paraId="1F2A3056">
            <w:pPr>
              <w:jc w:val="center"/>
            </w:pPr>
            <w:r>
              <w:rPr>
                <w:rFonts w:hint="eastAsia"/>
              </w:rPr>
              <w:t>地表水</w:t>
            </w:r>
          </w:p>
        </w:tc>
        <w:tc>
          <w:tcPr>
            <w:tcW w:w="831" w:type="pct"/>
            <w:vAlign w:val="center"/>
          </w:tcPr>
          <w:p w14:paraId="78FFAEB6">
            <w:pPr>
              <w:spacing w:line="320" w:lineRule="exact"/>
              <w:ind w:left="-53" w:leftChars="-25" w:right="-53" w:rightChars="-25"/>
              <w:jc w:val="center"/>
              <w:rPr>
                <w:szCs w:val="21"/>
              </w:rPr>
            </w:pPr>
            <w:r>
              <w:rPr>
                <w:szCs w:val="21"/>
              </w:rPr>
              <w:t>漂水</w:t>
            </w:r>
          </w:p>
        </w:tc>
        <w:tc>
          <w:tcPr>
            <w:tcW w:w="619" w:type="pct"/>
            <w:tcBorders>
              <w:right w:val="single" w:color="auto" w:sz="4" w:space="0"/>
            </w:tcBorders>
            <w:vAlign w:val="center"/>
          </w:tcPr>
          <w:p w14:paraId="11A22660">
            <w:pPr>
              <w:spacing w:line="320" w:lineRule="exact"/>
              <w:ind w:left="-53" w:leftChars="-25" w:right="-53" w:rightChars="-25"/>
              <w:jc w:val="center"/>
              <w:rPr>
                <w:kern w:val="0"/>
                <w:szCs w:val="21"/>
              </w:rPr>
            </w:pPr>
            <w:r>
              <w:rPr>
                <w:szCs w:val="21"/>
              </w:rPr>
              <w:t>河流</w:t>
            </w:r>
          </w:p>
        </w:tc>
        <w:tc>
          <w:tcPr>
            <w:tcW w:w="742" w:type="pct"/>
            <w:tcBorders>
              <w:right w:val="single" w:color="auto" w:sz="4" w:space="0"/>
            </w:tcBorders>
            <w:vAlign w:val="center"/>
          </w:tcPr>
          <w:p w14:paraId="682D075F">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3CFD2720">
            <w:pPr>
              <w:spacing w:line="320" w:lineRule="exact"/>
              <w:ind w:left="-53" w:leftChars="-25" w:right="-53" w:rightChars="-25"/>
              <w:jc w:val="center"/>
              <w:rPr>
                <w:szCs w:val="21"/>
              </w:rPr>
            </w:pPr>
            <w:r>
              <w:rPr>
                <w:rFonts w:hint="eastAsia"/>
                <w:szCs w:val="21"/>
              </w:rPr>
              <w:t>35000</w:t>
            </w:r>
          </w:p>
        </w:tc>
        <w:tc>
          <w:tcPr>
            <w:tcW w:w="781" w:type="pct"/>
            <w:vAlign w:val="center"/>
          </w:tcPr>
          <w:p w14:paraId="568D2128">
            <w:pPr>
              <w:jc w:val="center"/>
            </w:pPr>
            <w:r>
              <w:t>GB3838-2002中</w:t>
            </w:r>
            <w:r>
              <w:rPr>
                <w:rFonts w:hint="eastAsia"/>
              </w:rPr>
              <w:t>II</w:t>
            </w:r>
            <w:r>
              <w:t>类</w:t>
            </w:r>
          </w:p>
        </w:tc>
      </w:tr>
      <w:tr w14:paraId="3A869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3E41CC7A">
            <w:pPr>
              <w:jc w:val="center"/>
            </w:pPr>
            <w:r>
              <w:rPr>
                <w:rFonts w:hint="eastAsia"/>
              </w:rPr>
              <w:t>15</w:t>
            </w:r>
          </w:p>
        </w:tc>
        <w:tc>
          <w:tcPr>
            <w:tcW w:w="513" w:type="pct"/>
            <w:vAlign w:val="center"/>
          </w:tcPr>
          <w:p w14:paraId="77846A51">
            <w:pPr>
              <w:jc w:val="center"/>
            </w:pPr>
            <w:r>
              <w:rPr>
                <w:rFonts w:hint="eastAsia"/>
              </w:rPr>
              <w:t>生态环境</w:t>
            </w:r>
          </w:p>
        </w:tc>
        <w:tc>
          <w:tcPr>
            <w:tcW w:w="3324" w:type="pct"/>
            <w:gridSpan w:val="4"/>
            <w:vAlign w:val="center"/>
          </w:tcPr>
          <w:p w14:paraId="61C58A80">
            <w:pPr>
              <w:jc w:val="center"/>
            </w:pPr>
            <w:r>
              <w:rPr>
                <w:rFonts w:hint="eastAsia"/>
              </w:rPr>
              <w:t>规划区内植被、</w:t>
            </w:r>
            <w:r>
              <w:rPr>
                <w:rFonts w:hint="eastAsia"/>
                <w:kern w:val="0"/>
                <w:szCs w:val="21"/>
              </w:rPr>
              <w:t>永久基本农田等</w:t>
            </w:r>
          </w:p>
        </w:tc>
        <w:tc>
          <w:tcPr>
            <w:tcW w:w="781" w:type="pct"/>
            <w:vAlign w:val="center"/>
          </w:tcPr>
          <w:p w14:paraId="5676A7A8">
            <w:pPr>
              <w:jc w:val="center"/>
            </w:pPr>
            <w:r>
              <w:t>生态环境</w:t>
            </w:r>
          </w:p>
        </w:tc>
      </w:tr>
      <w:tr w14:paraId="0BF76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5000" w:type="pct"/>
            <w:gridSpan w:val="7"/>
            <w:vAlign w:val="center"/>
          </w:tcPr>
          <w:p w14:paraId="08F14999">
            <w:pPr>
              <w:jc w:val="center"/>
            </w:pPr>
            <w:r>
              <w:rPr>
                <w:rFonts w:hint="eastAsia"/>
                <w:b/>
              </w:rPr>
              <w:t>四、草店石材生产集中区</w:t>
            </w:r>
          </w:p>
        </w:tc>
      </w:tr>
      <w:tr w14:paraId="05D9C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36257681">
            <w:pPr>
              <w:jc w:val="center"/>
            </w:pPr>
            <w:r>
              <w:t>1</w:t>
            </w:r>
          </w:p>
        </w:tc>
        <w:tc>
          <w:tcPr>
            <w:tcW w:w="513" w:type="pct"/>
            <w:vMerge w:val="restart"/>
            <w:vAlign w:val="center"/>
          </w:tcPr>
          <w:p w14:paraId="6582D556">
            <w:pPr>
              <w:jc w:val="center"/>
            </w:pPr>
            <w:r>
              <w:rPr>
                <w:rFonts w:hint="eastAsia"/>
              </w:rPr>
              <w:t>环境空气和声环境</w:t>
            </w:r>
          </w:p>
        </w:tc>
        <w:tc>
          <w:tcPr>
            <w:tcW w:w="831" w:type="pct"/>
            <w:vAlign w:val="center"/>
          </w:tcPr>
          <w:p w14:paraId="599F1565">
            <w:pPr>
              <w:spacing w:line="320" w:lineRule="exact"/>
              <w:ind w:left="-53" w:leftChars="-25" w:right="-53" w:rightChars="-25"/>
              <w:jc w:val="center"/>
              <w:rPr>
                <w:szCs w:val="21"/>
              </w:rPr>
            </w:pPr>
            <w:r>
              <w:rPr>
                <w:rFonts w:hint="eastAsia"/>
                <w:szCs w:val="21"/>
              </w:rPr>
              <w:t>白果树塆</w:t>
            </w:r>
          </w:p>
        </w:tc>
        <w:tc>
          <w:tcPr>
            <w:tcW w:w="619" w:type="pct"/>
            <w:tcBorders>
              <w:right w:val="single" w:color="auto" w:sz="4" w:space="0"/>
            </w:tcBorders>
            <w:vAlign w:val="center"/>
          </w:tcPr>
          <w:p w14:paraId="55EA8E75">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BBEAF21">
            <w:pPr>
              <w:spacing w:line="320" w:lineRule="exact"/>
              <w:ind w:left="-53" w:leftChars="-25" w:right="-53" w:rightChars="-25"/>
              <w:jc w:val="center"/>
              <w:rPr>
                <w:szCs w:val="21"/>
              </w:rPr>
            </w:pPr>
            <w:r>
              <w:rPr>
                <w:szCs w:val="21"/>
              </w:rPr>
              <w:t>园区内</w:t>
            </w:r>
          </w:p>
        </w:tc>
        <w:tc>
          <w:tcPr>
            <w:tcW w:w="1132" w:type="pct"/>
            <w:tcBorders>
              <w:left w:val="single" w:color="auto" w:sz="4" w:space="0"/>
            </w:tcBorders>
            <w:vAlign w:val="center"/>
          </w:tcPr>
          <w:p w14:paraId="7C8420FC">
            <w:pPr>
              <w:spacing w:line="320" w:lineRule="exact"/>
              <w:ind w:left="-53" w:leftChars="-25" w:right="-53" w:rightChars="-25"/>
              <w:jc w:val="center"/>
              <w:rPr>
                <w:szCs w:val="21"/>
              </w:rPr>
            </w:pPr>
            <w:r>
              <w:rPr>
                <w:rFonts w:hint="eastAsia"/>
                <w:szCs w:val="21"/>
              </w:rPr>
              <w:t>0</w:t>
            </w:r>
          </w:p>
        </w:tc>
        <w:tc>
          <w:tcPr>
            <w:tcW w:w="781" w:type="pct"/>
            <w:vMerge w:val="restart"/>
            <w:vAlign w:val="center"/>
          </w:tcPr>
          <w:p w14:paraId="24339118">
            <w:pPr>
              <w:jc w:val="center"/>
            </w:pPr>
            <w:r>
              <w:t>环境空气二级、环境噪声2类</w:t>
            </w:r>
          </w:p>
        </w:tc>
      </w:tr>
      <w:tr w14:paraId="6DF7B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9A827D3">
            <w:pPr>
              <w:jc w:val="center"/>
            </w:pPr>
            <w:r>
              <w:t>2</w:t>
            </w:r>
          </w:p>
        </w:tc>
        <w:tc>
          <w:tcPr>
            <w:tcW w:w="513" w:type="pct"/>
            <w:vMerge w:val="continue"/>
            <w:vAlign w:val="center"/>
          </w:tcPr>
          <w:p w14:paraId="35F4DC64">
            <w:pPr>
              <w:jc w:val="center"/>
            </w:pPr>
          </w:p>
        </w:tc>
        <w:tc>
          <w:tcPr>
            <w:tcW w:w="831" w:type="pct"/>
            <w:vAlign w:val="center"/>
          </w:tcPr>
          <w:p w14:paraId="3A249C90">
            <w:pPr>
              <w:spacing w:line="320" w:lineRule="exact"/>
              <w:ind w:left="-53" w:leftChars="-25" w:right="-53" w:rightChars="-25"/>
              <w:jc w:val="center"/>
              <w:rPr>
                <w:szCs w:val="21"/>
              </w:rPr>
            </w:pPr>
            <w:r>
              <w:rPr>
                <w:szCs w:val="21"/>
              </w:rPr>
              <w:t>王家塆</w:t>
            </w:r>
          </w:p>
        </w:tc>
        <w:tc>
          <w:tcPr>
            <w:tcW w:w="619" w:type="pct"/>
            <w:tcBorders>
              <w:right w:val="single" w:color="auto" w:sz="4" w:space="0"/>
            </w:tcBorders>
            <w:vAlign w:val="center"/>
          </w:tcPr>
          <w:p w14:paraId="06FCA650">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F7FDBD0">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6FDC7F1B">
            <w:pPr>
              <w:spacing w:line="320" w:lineRule="exact"/>
              <w:ind w:left="-53" w:leftChars="-25" w:right="-53" w:rightChars="-25"/>
              <w:jc w:val="center"/>
              <w:rPr>
                <w:szCs w:val="21"/>
              </w:rPr>
            </w:pPr>
            <w:r>
              <w:rPr>
                <w:rFonts w:hint="eastAsia"/>
                <w:szCs w:val="21"/>
              </w:rPr>
              <w:t>15</w:t>
            </w:r>
          </w:p>
        </w:tc>
        <w:tc>
          <w:tcPr>
            <w:tcW w:w="781" w:type="pct"/>
            <w:vMerge w:val="continue"/>
            <w:vAlign w:val="center"/>
          </w:tcPr>
          <w:p w14:paraId="404226E9">
            <w:pPr>
              <w:jc w:val="center"/>
            </w:pPr>
          </w:p>
        </w:tc>
      </w:tr>
      <w:tr w14:paraId="110DF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541F6E8">
            <w:pPr>
              <w:jc w:val="center"/>
            </w:pPr>
            <w:r>
              <w:t>3</w:t>
            </w:r>
          </w:p>
        </w:tc>
        <w:tc>
          <w:tcPr>
            <w:tcW w:w="513" w:type="pct"/>
            <w:vMerge w:val="continue"/>
            <w:vAlign w:val="center"/>
          </w:tcPr>
          <w:p w14:paraId="6E80FA8A">
            <w:pPr>
              <w:jc w:val="center"/>
            </w:pPr>
          </w:p>
        </w:tc>
        <w:tc>
          <w:tcPr>
            <w:tcW w:w="831" w:type="pct"/>
            <w:vAlign w:val="center"/>
          </w:tcPr>
          <w:p w14:paraId="494D8630">
            <w:pPr>
              <w:spacing w:line="320" w:lineRule="exact"/>
              <w:ind w:left="-53" w:leftChars="-25" w:right="-53" w:rightChars="-25"/>
              <w:jc w:val="center"/>
              <w:rPr>
                <w:szCs w:val="21"/>
              </w:rPr>
            </w:pPr>
            <w:r>
              <w:rPr>
                <w:szCs w:val="21"/>
              </w:rPr>
              <w:t>管家岗</w:t>
            </w:r>
          </w:p>
        </w:tc>
        <w:tc>
          <w:tcPr>
            <w:tcW w:w="619" w:type="pct"/>
            <w:tcBorders>
              <w:right w:val="single" w:color="auto" w:sz="4" w:space="0"/>
            </w:tcBorders>
            <w:vAlign w:val="center"/>
          </w:tcPr>
          <w:p w14:paraId="60A4848A">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E7ED3D9">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17D8173F">
            <w:pPr>
              <w:spacing w:line="320" w:lineRule="exact"/>
              <w:ind w:left="-53" w:leftChars="-25" w:right="-53" w:rightChars="-25"/>
              <w:jc w:val="center"/>
              <w:rPr>
                <w:szCs w:val="21"/>
              </w:rPr>
            </w:pPr>
            <w:r>
              <w:rPr>
                <w:rFonts w:hint="eastAsia"/>
                <w:szCs w:val="21"/>
              </w:rPr>
              <w:t>196</w:t>
            </w:r>
          </w:p>
        </w:tc>
        <w:tc>
          <w:tcPr>
            <w:tcW w:w="781" w:type="pct"/>
            <w:vMerge w:val="continue"/>
            <w:vAlign w:val="center"/>
          </w:tcPr>
          <w:p w14:paraId="1522B1D3">
            <w:pPr>
              <w:jc w:val="center"/>
            </w:pPr>
          </w:p>
        </w:tc>
      </w:tr>
      <w:tr w14:paraId="473D0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3D06AFFE">
            <w:pPr>
              <w:jc w:val="center"/>
            </w:pPr>
            <w:r>
              <w:t>4</w:t>
            </w:r>
          </w:p>
        </w:tc>
        <w:tc>
          <w:tcPr>
            <w:tcW w:w="513" w:type="pct"/>
            <w:vMerge w:val="continue"/>
            <w:vAlign w:val="center"/>
          </w:tcPr>
          <w:p w14:paraId="0D9E0485">
            <w:pPr>
              <w:jc w:val="center"/>
            </w:pPr>
          </w:p>
        </w:tc>
        <w:tc>
          <w:tcPr>
            <w:tcW w:w="831" w:type="pct"/>
            <w:vAlign w:val="center"/>
          </w:tcPr>
          <w:p w14:paraId="08A18F68">
            <w:pPr>
              <w:spacing w:line="320" w:lineRule="exact"/>
              <w:ind w:left="-53" w:leftChars="-25" w:right="-53" w:rightChars="-25"/>
              <w:jc w:val="center"/>
              <w:rPr>
                <w:szCs w:val="21"/>
              </w:rPr>
            </w:pPr>
            <w:r>
              <w:rPr>
                <w:szCs w:val="21"/>
              </w:rPr>
              <w:t>草店镇</w:t>
            </w:r>
          </w:p>
        </w:tc>
        <w:tc>
          <w:tcPr>
            <w:tcW w:w="619" w:type="pct"/>
            <w:tcBorders>
              <w:right w:val="single" w:color="auto" w:sz="4" w:space="0"/>
            </w:tcBorders>
            <w:vAlign w:val="center"/>
          </w:tcPr>
          <w:p w14:paraId="1801D738">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7AE6B15">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69499EC8">
            <w:pPr>
              <w:spacing w:line="320" w:lineRule="exact"/>
              <w:ind w:left="-53" w:leftChars="-25" w:right="-53" w:rightChars="-25"/>
              <w:jc w:val="center"/>
              <w:rPr>
                <w:szCs w:val="21"/>
              </w:rPr>
            </w:pPr>
            <w:r>
              <w:rPr>
                <w:rFonts w:hint="eastAsia"/>
                <w:szCs w:val="21"/>
              </w:rPr>
              <w:t>301</w:t>
            </w:r>
          </w:p>
        </w:tc>
        <w:tc>
          <w:tcPr>
            <w:tcW w:w="781" w:type="pct"/>
            <w:vMerge w:val="continue"/>
            <w:vAlign w:val="center"/>
          </w:tcPr>
          <w:p w14:paraId="4A3F0C9A">
            <w:pPr>
              <w:jc w:val="center"/>
            </w:pPr>
          </w:p>
        </w:tc>
      </w:tr>
      <w:tr w14:paraId="32FDC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F7EBF7C">
            <w:pPr>
              <w:jc w:val="center"/>
            </w:pPr>
            <w:r>
              <w:rPr>
                <w:rFonts w:hint="eastAsia"/>
              </w:rPr>
              <w:t>5</w:t>
            </w:r>
          </w:p>
        </w:tc>
        <w:tc>
          <w:tcPr>
            <w:tcW w:w="513" w:type="pct"/>
            <w:vMerge w:val="continue"/>
            <w:vAlign w:val="center"/>
          </w:tcPr>
          <w:p w14:paraId="098D75BE">
            <w:pPr>
              <w:jc w:val="center"/>
            </w:pPr>
          </w:p>
        </w:tc>
        <w:tc>
          <w:tcPr>
            <w:tcW w:w="831" w:type="pct"/>
            <w:vAlign w:val="center"/>
          </w:tcPr>
          <w:p w14:paraId="7184E425">
            <w:pPr>
              <w:spacing w:line="320" w:lineRule="exact"/>
              <w:ind w:left="-53" w:leftChars="-25" w:right="-53" w:rightChars="-25"/>
              <w:jc w:val="center"/>
              <w:rPr>
                <w:szCs w:val="21"/>
              </w:rPr>
            </w:pPr>
            <w:r>
              <w:rPr>
                <w:szCs w:val="21"/>
              </w:rPr>
              <w:t>草店镇卫生院</w:t>
            </w:r>
          </w:p>
        </w:tc>
        <w:tc>
          <w:tcPr>
            <w:tcW w:w="619" w:type="pct"/>
            <w:tcBorders>
              <w:right w:val="single" w:color="auto" w:sz="4" w:space="0"/>
            </w:tcBorders>
            <w:vAlign w:val="center"/>
          </w:tcPr>
          <w:p w14:paraId="42478205">
            <w:pPr>
              <w:spacing w:line="320" w:lineRule="exact"/>
              <w:ind w:left="-53" w:leftChars="-25" w:right="-53" w:rightChars="-25"/>
              <w:jc w:val="center"/>
              <w:rPr>
                <w:szCs w:val="21"/>
              </w:rPr>
            </w:pPr>
            <w:r>
              <w:rPr>
                <w:szCs w:val="21"/>
              </w:rPr>
              <w:t>医院</w:t>
            </w:r>
          </w:p>
        </w:tc>
        <w:tc>
          <w:tcPr>
            <w:tcW w:w="742" w:type="pct"/>
            <w:tcBorders>
              <w:right w:val="single" w:color="auto" w:sz="4" w:space="0"/>
            </w:tcBorders>
            <w:vAlign w:val="center"/>
          </w:tcPr>
          <w:p w14:paraId="036C3118">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07984CA8">
            <w:pPr>
              <w:spacing w:line="320" w:lineRule="exact"/>
              <w:ind w:left="-53" w:leftChars="-25" w:right="-53" w:rightChars="-25"/>
              <w:jc w:val="center"/>
              <w:rPr>
                <w:szCs w:val="21"/>
              </w:rPr>
            </w:pPr>
            <w:r>
              <w:rPr>
                <w:rFonts w:hint="eastAsia"/>
                <w:szCs w:val="21"/>
              </w:rPr>
              <w:t>586</w:t>
            </w:r>
          </w:p>
        </w:tc>
        <w:tc>
          <w:tcPr>
            <w:tcW w:w="781" w:type="pct"/>
            <w:vMerge w:val="continue"/>
            <w:vAlign w:val="center"/>
          </w:tcPr>
          <w:p w14:paraId="065EF01E">
            <w:pPr>
              <w:jc w:val="center"/>
            </w:pPr>
          </w:p>
        </w:tc>
      </w:tr>
      <w:tr w14:paraId="6CD49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5562F163">
            <w:pPr>
              <w:jc w:val="center"/>
            </w:pPr>
            <w:r>
              <w:rPr>
                <w:rFonts w:hint="eastAsia"/>
              </w:rPr>
              <w:t>6</w:t>
            </w:r>
          </w:p>
        </w:tc>
        <w:tc>
          <w:tcPr>
            <w:tcW w:w="513" w:type="pct"/>
            <w:vMerge w:val="continue"/>
            <w:vAlign w:val="center"/>
          </w:tcPr>
          <w:p w14:paraId="0F3FA6C4">
            <w:pPr>
              <w:jc w:val="center"/>
            </w:pPr>
          </w:p>
        </w:tc>
        <w:tc>
          <w:tcPr>
            <w:tcW w:w="831" w:type="pct"/>
            <w:vAlign w:val="center"/>
          </w:tcPr>
          <w:p w14:paraId="06925100">
            <w:pPr>
              <w:spacing w:line="320" w:lineRule="exact"/>
              <w:ind w:left="-53" w:leftChars="-25" w:right="-53" w:rightChars="-25"/>
              <w:jc w:val="center"/>
              <w:rPr>
                <w:szCs w:val="21"/>
              </w:rPr>
            </w:pPr>
            <w:r>
              <w:rPr>
                <w:szCs w:val="21"/>
              </w:rPr>
              <w:t>草店村</w:t>
            </w:r>
          </w:p>
        </w:tc>
        <w:tc>
          <w:tcPr>
            <w:tcW w:w="619" w:type="pct"/>
            <w:tcBorders>
              <w:right w:val="single" w:color="auto" w:sz="4" w:space="0"/>
            </w:tcBorders>
            <w:vAlign w:val="center"/>
          </w:tcPr>
          <w:p w14:paraId="15097020">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8D7973E">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5D2003C5">
            <w:pPr>
              <w:spacing w:line="320" w:lineRule="exact"/>
              <w:ind w:left="-53" w:leftChars="-25" w:right="-53" w:rightChars="-25"/>
              <w:jc w:val="center"/>
              <w:rPr>
                <w:szCs w:val="21"/>
              </w:rPr>
            </w:pPr>
            <w:r>
              <w:rPr>
                <w:rFonts w:hint="eastAsia"/>
                <w:szCs w:val="21"/>
              </w:rPr>
              <w:t>1490</w:t>
            </w:r>
          </w:p>
        </w:tc>
        <w:tc>
          <w:tcPr>
            <w:tcW w:w="781" w:type="pct"/>
            <w:vMerge w:val="continue"/>
            <w:vAlign w:val="center"/>
          </w:tcPr>
          <w:p w14:paraId="4F199C35">
            <w:pPr>
              <w:jc w:val="center"/>
            </w:pPr>
          </w:p>
        </w:tc>
      </w:tr>
      <w:tr w14:paraId="549EF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0D447461">
            <w:pPr>
              <w:jc w:val="center"/>
            </w:pPr>
            <w:r>
              <w:rPr>
                <w:rFonts w:hint="eastAsia"/>
              </w:rPr>
              <w:t>7</w:t>
            </w:r>
          </w:p>
        </w:tc>
        <w:tc>
          <w:tcPr>
            <w:tcW w:w="513" w:type="pct"/>
            <w:vMerge w:val="continue"/>
            <w:vAlign w:val="center"/>
          </w:tcPr>
          <w:p w14:paraId="5FFF80CC">
            <w:pPr>
              <w:jc w:val="center"/>
            </w:pPr>
          </w:p>
        </w:tc>
        <w:tc>
          <w:tcPr>
            <w:tcW w:w="831" w:type="pct"/>
            <w:vAlign w:val="center"/>
          </w:tcPr>
          <w:p w14:paraId="01DCEA37">
            <w:pPr>
              <w:spacing w:line="320" w:lineRule="exact"/>
              <w:ind w:left="-53" w:leftChars="-25" w:right="-53" w:rightChars="-25"/>
              <w:jc w:val="center"/>
              <w:rPr>
                <w:szCs w:val="21"/>
              </w:rPr>
            </w:pPr>
            <w:r>
              <w:rPr>
                <w:szCs w:val="21"/>
              </w:rPr>
              <w:t>周家新塆</w:t>
            </w:r>
          </w:p>
        </w:tc>
        <w:tc>
          <w:tcPr>
            <w:tcW w:w="619" w:type="pct"/>
            <w:tcBorders>
              <w:right w:val="single" w:color="auto" w:sz="4" w:space="0"/>
            </w:tcBorders>
            <w:vAlign w:val="center"/>
          </w:tcPr>
          <w:p w14:paraId="79F86EC1">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13E6182">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643180C3">
            <w:pPr>
              <w:spacing w:line="320" w:lineRule="exact"/>
              <w:ind w:left="-53" w:leftChars="-25" w:right="-53" w:rightChars="-25"/>
              <w:jc w:val="center"/>
              <w:rPr>
                <w:szCs w:val="21"/>
              </w:rPr>
            </w:pPr>
            <w:r>
              <w:rPr>
                <w:rFonts w:hint="eastAsia"/>
                <w:szCs w:val="21"/>
              </w:rPr>
              <w:t>1456</w:t>
            </w:r>
          </w:p>
        </w:tc>
        <w:tc>
          <w:tcPr>
            <w:tcW w:w="781" w:type="pct"/>
            <w:vMerge w:val="continue"/>
            <w:vAlign w:val="center"/>
          </w:tcPr>
          <w:p w14:paraId="49CEB843">
            <w:pPr>
              <w:jc w:val="center"/>
            </w:pPr>
          </w:p>
        </w:tc>
      </w:tr>
      <w:tr w14:paraId="63251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62142A2">
            <w:pPr>
              <w:jc w:val="center"/>
            </w:pPr>
            <w:r>
              <w:rPr>
                <w:rFonts w:hint="eastAsia"/>
              </w:rPr>
              <w:t>8</w:t>
            </w:r>
          </w:p>
        </w:tc>
        <w:tc>
          <w:tcPr>
            <w:tcW w:w="513" w:type="pct"/>
            <w:vMerge w:val="continue"/>
            <w:vAlign w:val="center"/>
          </w:tcPr>
          <w:p w14:paraId="5FC15369">
            <w:pPr>
              <w:jc w:val="center"/>
            </w:pPr>
          </w:p>
        </w:tc>
        <w:tc>
          <w:tcPr>
            <w:tcW w:w="831" w:type="pct"/>
            <w:vAlign w:val="center"/>
          </w:tcPr>
          <w:p w14:paraId="382F5BE8">
            <w:pPr>
              <w:spacing w:line="320" w:lineRule="exact"/>
              <w:ind w:left="-53" w:leftChars="-25" w:right="-53" w:rightChars="-25"/>
              <w:jc w:val="center"/>
              <w:rPr>
                <w:szCs w:val="21"/>
              </w:rPr>
            </w:pPr>
            <w:r>
              <w:rPr>
                <w:szCs w:val="21"/>
              </w:rPr>
              <w:t>顾家城</w:t>
            </w:r>
          </w:p>
        </w:tc>
        <w:tc>
          <w:tcPr>
            <w:tcW w:w="619" w:type="pct"/>
            <w:tcBorders>
              <w:right w:val="single" w:color="auto" w:sz="4" w:space="0"/>
            </w:tcBorders>
            <w:vAlign w:val="center"/>
          </w:tcPr>
          <w:p w14:paraId="36C1B971">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099D676">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4FCA4BD7">
            <w:pPr>
              <w:spacing w:line="320" w:lineRule="exact"/>
              <w:ind w:left="-53" w:leftChars="-25" w:right="-53" w:rightChars="-25"/>
              <w:jc w:val="center"/>
              <w:rPr>
                <w:szCs w:val="21"/>
              </w:rPr>
            </w:pPr>
            <w:r>
              <w:rPr>
                <w:rFonts w:hint="eastAsia"/>
                <w:szCs w:val="21"/>
              </w:rPr>
              <w:t>206</w:t>
            </w:r>
          </w:p>
        </w:tc>
        <w:tc>
          <w:tcPr>
            <w:tcW w:w="781" w:type="pct"/>
            <w:vMerge w:val="continue"/>
            <w:vAlign w:val="center"/>
          </w:tcPr>
          <w:p w14:paraId="0E9F77F7">
            <w:pPr>
              <w:jc w:val="center"/>
            </w:pPr>
          </w:p>
        </w:tc>
      </w:tr>
      <w:tr w14:paraId="1E5F1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C9206FD">
            <w:pPr>
              <w:jc w:val="center"/>
            </w:pPr>
            <w:r>
              <w:rPr>
                <w:rFonts w:hint="eastAsia"/>
              </w:rPr>
              <w:t>9</w:t>
            </w:r>
          </w:p>
        </w:tc>
        <w:tc>
          <w:tcPr>
            <w:tcW w:w="513" w:type="pct"/>
            <w:vMerge w:val="continue"/>
            <w:vAlign w:val="center"/>
          </w:tcPr>
          <w:p w14:paraId="6893311D">
            <w:pPr>
              <w:jc w:val="center"/>
            </w:pPr>
          </w:p>
        </w:tc>
        <w:tc>
          <w:tcPr>
            <w:tcW w:w="831" w:type="pct"/>
            <w:vAlign w:val="center"/>
          </w:tcPr>
          <w:p w14:paraId="3465610C">
            <w:pPr>
              <w:spacing w:line="320" w:lineRule="exact"/>
              <w:ind w:left="-53" w:leftChars="-25" w:right="-53" w:rightChars="-25"/>
              <w:jc w:val="center"/>
              <w:rPr>
                <w:szCs w:val="21"/>
              </w:rPr>
            </w:pPr>
            <w:r>
              <w:rPr>
                <w:szCs w:val="21"/>
              </w:rPr>
              <w:t>张家塆</w:t>
            </w:r>
          </w:p>
        </w:tc>
        <w:tc>
          <w:tcPr>
            <w:tcW w:w="619" w:type="pct"/>
            <w:tcBorders>
              <w:right w:val="single" w:color="auto" w:sz="4" w:space="0"/>
            </w:tcBorders>
            <w:vAlign w:val="center"/>
          </w:tcPr>
          <w:p w14:paraId="0147B623">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AA71733">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71B4F2F5">
            <w:pPr>
              <w:spacing w:line="320" w:lineRule="exact"/>
              <w:ind w:left="-53" w:leftChars="-25" w:right="-53" w:rightChars="-25"/>
              <w:jc w:val="center"/>
              <w:rPr>
                <w:szCs w:val="21"/>
              </w:rPr>
            </w:pPr>
            <w:r>
              <w:rPr>
                <w:rFonts w:hint="eastAsia"/>
                <w:szCs w:val="21"/>
              </w:rPr>
              <w:t>501</w:t>
            </w:r>
          </w:p>
        </w:tc>
        <w:tc>
          <w:tcPr>
            <w:tcW w:w="781" w:type="pct"/>
            <w:vMerge w:val="continue"/>
            <w:vAlign w:val="center"/>
          </w:tcPr>
          <w:p w14:paraId="1A48B76C">
            <w:pPr>
              <w:jc w:val="center"/>
            </w:pPr>
          </w:p>
        </w:tc>
      </w:tr>
      <w:tr w14:paraId="1D110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90B6173">
            <w:pPr>
              <w:jc w:val="center"/>
            </w:pPr>
            <w:r>
              <w:rPr>
                <w:rFonts w:hint="eastAsia"/>
              </w:rPr>
              <w:t>10</w:t>
            </w:r>
          </w:p>
        </w:tc>
        <w:tc>
          <w:tcPr>
            <w:tcW w:w="513" w:type="pct"/>
            <w:vMerge w:val="continue"/>
            <w:vAlign w:val="center"/>
          </w:tcPr>
          <w:p w14:paraId="3ABD2262">
            <w:pPr>
              <w:jc w:val="center"/>
            </w:pPr>
          </w:p>
        </w:tc>
        <w:tc>
          <w:tcPr>
            <w:tcW w:w="831" w:type="pct"/>
            <w:vAlign w:val="center"/>
          </w:tcPr>
          <w:p w14:paraId="2CBC1D6A">
            <w:pPr>
              <w:spacing w:line="320" w:lineRule="exact"/>
              <w:ind w:left="-53" w:leftChars="-25" w:right="-53" w:rightChars="-25"/>
              <w:jc w:val="center"/>
              <w:rPr>
                <w:szCs w:val="21"/>
              </w:rPr>
            </w:pPr>
            <w:r>
              <w:rPr>
                <w:szCs w:val="21"/>
              </w:rPr>
              <w:t>墩子塆</w:t>
            </w:r>
          </w:p>
        </w:tc>
        <w:tc>
          <w:tcPr>
            <w:tcW w:w="619" w:type="pct"/>
            <w:tcBorders>
              <w:right w:val="single" w:color="auto" w:sz="4" w:space="0"/>
            </w:tcBorders>
            <w:vAlign w:val="center"/>
          </w:tcPr>
          <w:p w14:paraId="34CA63DF">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C76FFAA">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6FCF9C18">
            <w:pPr>
              <w:spacing w:line="320" w:lineRule="exact"/>
              <w:ind w:left="-53" w:leftChars="-25" w:right="-53" w:rightChars="-25"/>
              <w:jc w:val="center"/>
              <w:rPr>
                <w:szCs w:val="21"/>
              </w:rPr>
            </w:pPr>
            <w:r>
              <w:rPr>
                <w:rFonts w:hint="eastAsia"/>
                <w:szCs w:val="21"/>
              </w:rPr>
              <w:t>323</w:t>
            </w:r>
          </w:p>
        </w:tc>
        <w:tc>
          <w:tcPr>
            <w:tcW w:w="781" w:type="pct"/>
            <w:vMerge w:val="continue"/>
            <w:vAlign w:val="center"/>
          </w:tcPr>
          <w:p w14:paraId="530942C9">
            <w:pPr>
              <w:jc w:val="center"/>
            </w:pPr>
          </w:p>
        </w:tc>
      </w:tr>
      <w:tr w14:paraId="56225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2446498C">
            <w:pPr>
              <w:jc w:val="center"/>
            </w:pPr>
            <w:r>
              <w:rPr>
                <w:rFonts w:hint="eastAsia"/>
              </w:rPr>
              <w:t>11</w:t>
            </w:r>
          </w:p>
        </w:tc>
        <w:tc>
          <w:tcPr>
            <w:tcW w:w="513" w:type="pct"/>
            <w:vMerge w:val="continue"/>
            <w:vAlign w:val="center"/>
          </w:tcPr>
          <w:p w14:paraId="5A8251B8">
            <w:pPr>
              <w:jc w:val="center"/>
            </w:pPr>
          </w:p>
        </w:tc>
        <w:tc>
          <w:tcPr>
            <w:tcW w:w="831" w:type="pct"/>
            <w:vAlign w:val="center"/>
          </w:tcPr>
          <w:p w14:paraId="4A72558B">
            <w:pPr>
              <w:spacing w:line="320" w:lineRule="exact"/>
              <w:ind w:left="-53" w:leftChars="-25" w:right="-53" w:rightChars="-25"/>
              <w:jc w:val="center"/>
              <w:rPr>
                <w:szCs w:val="21"/>
              </w:rPr>
            </w:pPr>
            <w:r>
              <w:rPr>
                <w:szCs w:val="21"/>
              </w:rPr>
              <w:t>祁家塆</w:t>
            </w:r>
          </w:p>
        </w:tc>
        <w:tc>
          <w:tcPr>
            <w:tcW w:w="619" w:type="pct"/>
            <w:tcBorders>
              <w:right w:val="single" w:color="auto" w:sz="4" w:space="0"/>
            </w:tcBorders>
            <w:vAlign w:val="center"/>
          </w:tcPr>
          <w:p w14:paraId="4141648D">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385CF30F">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33D3A2D3">
            <w:pPr>
              <w:spacing w:line="320" w:lineRule="exact"/>
              <w:ind w:left="-53" w:leftChars="-25" w:right="-53" w:rightChars="-25"/>
              <w:jc w:val="center"/>
              <w:rPr>
                <w:szCs w:val="21"/>
              </w:rPr>
            </w:pPr>
            <w:r>
              <w:rPr>
                <w:rFonts w:hint="eastAsia"/>
                <w:szCs w:val="21"/>
              </w:rPr>
              <w:t>1282</w:t>
            </w:r>
          </w:p>
        </w:tc>
        <w:tc>
          <w:tcPr>
            <w:tcW w:w="781" w:type="pct"/>
            <w:vMerge w:val="continue"/>
            <w:vAlign w:val="center"/>
          </w:tcPr>
          <w:p w14:paraId="05C250D5">
            <w:pPr>
              <w:jc w:val="center"/>
            </w:pPr>
          </w:p>
        </w:tc>
      </w:tr>
      <w:tr w14:paraId="593C8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D792653">
            <w:pPr>
              <w:jc w:val="center"/>
            </w:pPr>
            <w:r>
              <w:rPr>
                <w:rFonts w:hint="eastAsia"/>
              </w:rPr>
              <w:t>12</w:t>
            </w:r>
          </w:p>
        </w:tc>
        <w:tc>
          <w:tcPr>
            <w:tcW w:w="513" w:type="pct"/>
            <w:vMerge w:val="continue"/>
            <w:vAlign w:val="center"/>
          </w:tcPr>
          <w:p w14:paraId="62B4B702">
            <w:pPr>
              <w:jc w:val="center"/>
            </w:pPr>
          </w:p>
        </w:tc>
        <w:tc>
          <w:tcPr>
            <w:tcW w:w="831" w:type="pct"/>
            <w:vAlign w:val="center"/>
          </w:tcPr>
          <w:p w14:paraId="4356B43F">
            <w:pPr>
              <w:spacing w:line="320" w:lineRule="exact"/>
              <w:ind w:left="-53" w:leftChars="-25" w:right="-53" w:rightChars="-25"/>
              <w:jc w:val="center"/>
              <w:rPr>
                <w:szCs w:val="21"/>
              </w:rPr>
            </w:pPr>
            <w:r>
              <w:rPr>
                <w:szCs w:val="21"/>
              </w:rPr>
              <w:t>金锣山村</w:t>
            </w:r>
          </w:p>
        </w:tc>
        <w:tc>
          <w:tcPr>
            <w:tcW w:w="619" w:type="pct"/>
            <w:tcBorders>
              <w:right w:val="single" w:color="auto" w:sz="4" w:space="0"/>
            </w:tcBorders>
            <w:vAlign w:val="center"/>
          </w:tcPr>
          <w:p w14:paraId="6BED0F2E">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5CB4A544">
            <w:pPr>
              <w:spacing w:line="320" w:lineRule="exact"/>
              <w:ind w:left="-53" w:leftChars="-25" w:right="-53" w:rightChars="-25"/>
              <w:jc w:val="center"/>
              <w:rPr>
                <w:szCs w:val="21"/>
              </w:rPr>
            </w:pPr>
            <w:r>
              <w:rPr>
                <w:rFonts w:hint="eastAsia"/>
                <w:szCs w:val="21"/>
              </w:rPr>
              <w:t>E</w:t>
            </w:r>
          </w:p>
        </w:tc>
        <w:tc>
          <w:tcPr>
            <w:tcW w:w="1132" w:type="pct"/>
            <w:tcBorders>
              <w:left w:val="single" w:color="auto" w:sz="4" w:space="0"/>
            </w:tcBorders>
            <w:vAlign w:val="center"/>
          </w:tcPr>
          <w:p w14:paraId="63C69ED8">
            <w:pPr>
              <w:spacing w:line="320" w:lineRule="exact"/>
              <w:ind w:left="-53" w:leftChars="-25" w:right="-53" w:rightChars="-25"/>
              <w:jc w:val="center"/>
              <w:rPr>
                <w:szCs w:val="21"/>
              </w:rPr>
            </w:pPr>
            <w:r>
              <w:rPr>
                <w:rFonts w:hint="eastAsia"/>
                <w:szCs w:val="21"/>
              </w:rPr>
              <w:t>738</w:t>
            </w:r>
          </w:p>
        </w:tc>
        <w:tc>
          <w:tcPr>
            <w:tcW w:w="781" w:type="pct"/>
            <w:vMerge w:val="continue"/>
            <w:vAlign w:val="center"/>
          </w:tcPr>
          <w:p w14:paraId="1DCFF3F6">
            <w:pPr>
              <w:jc w:val="center"/>
            </w:pPr>
          </w:p>
        </w:tc>
      </w:tr>
      <w:tr w14:paraId="6D78C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7FAA56C4">
            <w:pPr>
              <w:jc w:val="center"/>
            </w:pPr>
            <w:r>
              <w:rPr>
                <w:rFonts w:hint="eastAsia"/>
              </w:rPr>
              <w:t>13</w:t>
            </w:r>
          </w:p>
        </w:tc>
        <w:tc>
          <w:tcPr>
            <w:tcW w:w="513" w:type="pct"/>
            <w:vMerge w:val="continue"/>
            <w:vAlign w:val="center"/>
          </w:tcPr>
          <w:p w14:paraId="5BB037D3">
            <w:pPr>
              <w:jc w:val="center"/>
            </w:pPr>
          </w:p>
        </w:tc>
        <w:tc>
          <w:tcPr>
            <w:tcW w:w="831" w:type="pct"/>
            <w:vAlign w:val="center"/>
          </w:tcPr>
          <w:p w14:paraId="189ED4C9">
            <w:pPr>
              <w:spacing w:line="320" w:lineRule="exact"/>
              <w:ind w:left="-53" w:leftChars="-25" w:right="-53" w:rightChars="-25"/>
              <w:jc w:val="center"/>
              <w:rPr>
                <w:szCs w:val="21"/>
              </w:rPr>
            </w:pPr>
            <w:r>
              <w:rPr>
                <w:szCs w:val="21"/>
              </w:rPr>
              <w:t>段家塆</w:t>
            </w:r>
          </w:p>
        </w:tc>
        <w:tc>
          <w:tcPr>
            <w:tcW w:w="619" w:type="pct"/>
            <w:tcBorders>
              <w:right w:val="single" w:color="auto" w:sz="4" w:space="0"/>
            </w:tcBorders>
            <w:vAlign w:val="center"/>
          </w:tcPr>
          <w:p w14:paraId="02CC9AFC">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12E3ABAA">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2A16091B">
            <w:pPr>
              <w:spacing w:line="320" w:lineRule="exact"/>
              <w:ind w:left="-53" w:leftChars="-25" w:right="-53" w:rightChars="-25"/>
              <w:jc w:val="center"/>
              <w:rPr>
                <w:szCs w:val="21"/>
              </w:rPr>
            </w:pPr>
            <w:r>
              <w:rPr>
                <w:rFonts w:hint="eastAsia"/>
                <w:szCs w:val="21"/>
              </w:rPr>
              <w:t>1593</w:t>
            </w:r>
          </w:p>
        </w:tc>
        <w:tc>
          <w:tcPr>
            <w:tcW w:w="781" w:type="pct"/>
            <w:vMerge w:val="continue"/>
            <w:vAlign w:val="center"/>
          </w:tcPr>
          <w:p w14:paraId="7E748472">
            <w:pPr>
              <w:jc w:val="center"/>
            </w:pPr>
          </w:p>
        </w:tc>
      </w:tr>
      <w:tr w14:paraId="2225C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1D31EC3C">
            <w:pPr>
              <w:jc w:val="center"/>
            </w:pPr>
            <w:r>
              <w:rPr>
                <w:rFonts w:hint="eastAsia"/>
              </w:rPr>
              <w:t>14</w:t>
            </w:r>
          </w:p>
        </w:tc>
        <w:tc>
          <w:tcPr>
            <w:tcW w:w="513" w:type="pct"/>
            <w:vMerge w:val="continue"/>
            <w:vAlign w:val="center"/>
          </w:tcPr>
          <w:p w14:paraId="7C57D597">
            <w:pPr>
              <w:jc w:val="center"/>
            </w:pPr>
          </w:p>
        </w:tc>
        <w:tc>
          <w:tcPr>
            <w:tcW w:w="831" w:type="pct"/>
            <w:vAlign w:val="center"/>
          </w:tcPr>
          <w:p w14:paraId="5B138DA6">
            <w:pPr>
              <w:spacing w:line="320" w:lineRule="exact"/>
              <w:ind w:left="-53" w:leftChars="-25" w:right="-53" w:rightChars="-25"/>
              <w:jc w:val="center"/>
              <w:rPr>
                <w:szCs w:val="21"/>
              </w:rPr>
            </w:pPr>
            <w:r>
              <w:rPr>
                <w:szCs w:val="21"/>
              </w:rPr>
              <w:t>紫金山村</w:t>
            </w:r>
          </w:p>
        </w:tc>
        <w:tc>
          <w:tcPr>
            <w:tcW w:w="619" w:type="pct"/>
            <w:tcBorders>
              <w:right w:val="single" w:color="auto" w:sz="4" w:space="0"/>
            </w:tcBorders>
            <w:vAlign w:val="center"/>
          </w:tcPr>
          <w:p w14:paraId="4EA4AFB4">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4D8A5F76">
            <w:pPr>
              <w:spacing w:line="320" w:lineRule="exact"/>
              <w:ind w:left="-53" w:leftChars="-25" w:right="-53" w:rightChars="-25"/>
              <w:jc w:val="center"/>
              <w:rPr>
                <w:szCs w:val="21"/>
              </w:rPr>
            </w:pPr>
            <w:r>
              <w:rPr>
                <w:rFonts w:hint="eastAsia"/>
                <w:szCs w:val="21"/>
              </w:rPr>
              <w:t>WS</w:t>
            </w:r>
          </w:p>
        </w:tc>
        <w:tc>
          <w:tcPr>
            <w:tcW w:w="1132" w:type="pct"/>
            <w:tcBorders>
              <w:left w:val="single" w:color="auto" w:sz="4" w:space="0"/>
            </w:tcBorders>
            <w:vAlign w:val="center"/>
          </w:tcPr>
          <w:p w14:paraId="4C3BF310">
            <w:pPr>
              <w:spacing w:line="320" w:lineRule="exact"/>
              <w:ind w:left="-53" w:leftChars="-25" w:right="-53" w:rightChars="-25"/>
              <w:jc w:val="center"/>
              <w:rPr>
                <w:szCs w:val="21"/>
              </w:rPr>
            </w:pPr>
            <w:r>
              <w:rPr>
                <w:rFonts w:hint="eastAsia"/>
                <w:szCs w:val="21"/>
              </w:rPr>
              <w:t>1797</w:t>
            </w:r>
          </w:p>
        </w:tc>
        <w:tc>
          <w:tcPr>
            <w:tcW w:w="781" w:type="pct"/>
            <w:vMerge w:val="continue"/>
            <w:vAlign w:val="center"/>
          </w:tcPr>
          <w:p w14:paraId="33E12515">
            <w:pPr>
              <w:jc w:val="center"/>
            </w:pPr>
          </w:p>
        </w:tc>
      </w:tr>
      <w:tr w14:paraId="29CB5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EC8A0C8">
            <w:pPr>
              <w:jc w:val="center"/>
            </w:pPr>
            <w:r>
              <w:rPr>
                <w:rFonts w:hint="eastAsia"/>
              </w:rPr>
              <w:t>15</w:t>
            </w:r>
          </w:p>
        </w:tc>
        <w:tc>
          <w:tcPr>
            <w:tcW w:w="513" w:type="pct"/>
            <w:vMerge w:val="continue"/>
            <w:vAlign w:val="center"/>
          </w:tcPr>
          <w:p w14:paraId="02EBFBC3">
            <w:pPr>
              <w:jc w:val="center"/>
            </w:pPr>
          </w:p>
        </w:tc>
        <w:tc>
          <w:tcPr>
            <w:tcW w:w="831" w:type="pct"/>
            <w:vAlign w:val="center"/>
          </w:tcPr>
          <w:p w14:paraId="2703241F">
            <w:pPr>
              <w:spacing w:line="320" w:lineRule="exact"/>
              <w:ind w:left="-53" w:leftChars="-25" w:right="-53" w:rightChars="-25"/>
              <w:jc w:val="center"/>
              <w:rPr>
                <w:szCs w:val="21"/>
              </w:rPr>
            </w:pPr>
            <w:r>
              <w:rPr>
                <w:szCs w:val="21"/>
              </w:rPr>
              <w:t>谭家塆</w:t>
            </w:r>
          </w:p>
        </w:tc>
        <w:tc>
          <w:tcPr>
            <w:tcW w:w="619" w:type="pct"/>
            <w:tcBorders>
              <w:right w:val="single" w:color="auto" w:sz="4" w:space="0"/>
            </w:tcBorders>
            <w:vAlign w:val="center"/>
          </w:tcPr>
          <w:p w14:paraId="27A8C49F">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07A5DFEC">
            <w:pPr>
              <w:spacing w:line="320" w:lineRule="exact"/>
              <w:ind w:left="-53" w:leftChars="-25" w:right="-53" w:rightChars="-25"/>
              <w:jc w:val="center"/>
              <w:rPr>
                <w:szCs w:val="21"/>
              </w:rPr>
            </w:pPr>
            <w:r>
              <w:rPr>
                <w:rFonts w:hint="eastAsia"/>
                <w:szCs w:val="21"/>
              </w:rPr>
              <w:t>WN</w:t>
            </w:r>
          </w:p>
        </w:tc>
        <w:tc>
          <w:tcPr>
            <w:tcW w:w="1132" w:type="pct"/>
            <w:tcBorders>
              <w:left w:val="single" w:color="auto" w:sz="4" w:space="0"/>
            </w:tcBorders>
            <w:vAlign w:val="center"/>
          </w:tcPr>
          <w:p w14:paraId="5D978FFC">
            <w:pPr>
              <w:spacing w:line="320" w:lineRule="exact"/>
              <w:ind w:left="-53" w:leftChars="-25" w:right="-53" w:rightChars="-25"/>
              <w:jc w:val="center"/>
              <w:rPr>
                <w:szCs w:val="21"/>
              </w:rPr>
            </w:pPr>
            <w:r>
              <w:rPr>
                <w:rFonts w:hint="eastAsia"/>
                <w:szCs w:val="21"/>
              </w:rPr>
              <w:t>517</w:t>
            </w:r>
          </w:p>
        </w:tc>
        <w:tc>
          <w:tcPr>
            <w:tcW w:w="781" w:type="pct"/>
            <w:vMerge w:val="continue"/>
            <w:vAlign w:val="center"/>
          </w:tcPr>
          <w:p w14:paraId="2477CDAF">
            <w:pPr>
              <w:jc w:val="center"/>
            </w:pPr>
          </w:p>
        </w:tc>
      </w:tr>
      <w:tr w14:paraId="6DE7D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6C497573">
            <w:pPr>
              <w:jc w:val="center"/>
            </w:pPr>
            <w:r>
              <w:rPr>
                <w:rFonts w:hint="eastAsia"/>
              </w:rPr>
              <w:t>16</w:t>
            </w:r>
          </w:p>
        </w:tc>
        <w:tc>
          <w:tcPr>
            <w:tcW w:w="513" w:type="pct"/>
            <w:vMerge w:val="continue"/>
            <w:vAlign w:val="center"/>
          </w:tcPr>
          <w:p w14:paraId="21C5F523">
            <w:pPr>
              <w:jc w:val="center"/>
            </w:pPr>
          </w:p>
        </w:tc>
        <w:tc>
          <w:tcPr>
            <w:tcW w:w="831" w:type="pct"/>
            <w:vAlign w:val="center"/>
          </w:tcPr>
          <w:p w14:paraId="0A20739D">
            <w:pPr>
              <w:spacing w:line="320" w:lineRule="exact"/>
              <w:ind w:left="-53" w:leftChars="-25" w:right="-53" w:rightChars="-25"/>
              <w:jc w:val="center"/>
              <w:rPr>
                <w:szCs w:val="21"/>
              </w:rPr>
            </w:pPr>
            <w:r>
              <w:rPr>
                <w:szCs w:val="21"/>
              </w:rPr>
              <w:t>学屋塆</w:t>
            </w:r>
          </w:p>
        </w:tc>
        <w:tc>
          <w:tcPr>
            <w:tcW w:w="619" w:type="pct"/>
            <w:tcBorders>
              <w:right w:val="single" w:color="auto" w:sz="4" w:space="0"/>
            </w:tcBorders>
            <w:vAlign w:val="center"/>
          </w:tcPr>
          <w:p w14:paraId="1612F922">
            <w:pPr>
              <w:spacing w:line="320" w:lineRule="exact"/>
              <w:ind w:left="-53" w:leftChars="-25" w:right="-53" w:rightChars="-25"/>
              <w:jc w:val="center"/>
              <w:rPr>
                <w:szCs w:val="21"/>
              </w:rPr>
            </w:pPr>
            <w:r>
              <w:rPr>
                <w:szCs w:val="21"/>
              </w:rPr>
              <w:t>居民</w:t>
            </w:r>
          </w:p>
        </w:tc>
        <w:tc>
          <w:tcPr>
            <w:tcW w:w="742" w:type="pct"/>
            <w:tcBorders>
              <w:right w:val="single" w:color="auto" w:sz="4" w:space="0"/>
            </w:tcBorders>
            <w:vAlign w:val="center"/>
          </w:tcPr>
          <w:p w14:paraId="2B75A516">
            <w:pPr>
              <w:spacing w:line="320" w:lineRule="exact"/>
              <w:ind w:left="-53" w:leftChars="-25" w:right="-53" w:rightChars="-25"/>
              <w:jc w:val="center"/>
              <w:rPr>
                <w:szCs w:val="21"/>
              </w:rPr>
            </w:pPr>
            <w:r>
              <w:rPr>
                <w:rFonts w:hint="eastAsia"/>
                <w:szCs w:val="21"/>
              </w:rPr>
              <w:t>N</w:t>
            </w:r>
          </w:p>
        </w:tc>
        <w:tc>
          <w:tcPr>
            <w:tcW w:w="1132" w:type="pct"/>
            <w:tcBorders>
              <w:left w:val="single" w:color="auto" w:sz="4" w:space="0"/>
            </w:tcBorders>
            <w:vAlign w:val="center"/>
          </w:tcPr>
          <w:p w14:paraId="2DAD1E3F">
            <w:pPr>
              <w:spacing w:line="320" w:lineRule="exact"/>
              <w:ind w:left="-53" w:leftChars="-25" w:right="-53" w:rightChars="-25"/>
              <w:jc w:val="center"/>
              <w:rPr>
                <w:szCs w:val="21"/>
              </w:rPr>
            </w:pPr>
            <w:r>
              <w:rPr>
                <w:rFonts w:hint="eastAsia"/>
                <w:szCs w:val="21"/>
              </w:rPr>
              <w:t>117</w:t>
            </w:r>
          </w:p>
        </w:tc>
        <w:tc>
          <w:tcPr>
            <w:tcW w:w="781" w:type="pct"/>
            <w:vMerge w:val="continue"/>
            <w:vAlign w:val="center"/>
          </w:tcPr>
          <w:p w14:paraId="35F149F2">
            <w:pPr>
              <w:jc w:val="center"/>
            </w:pPr>
          </w:p>
        </w:tc>
      </w:tr>
      <w:tr w14:paraId="7761E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4B483C0A">
            <w:pPr>
              <w:jc w:val="center"/>
            </w:pPr>
            <w:r>
              <w:rPr>
                <w:rFonts w:hint="eastAsia"/>
              </w:rPr>
              <w:t>17</w:t>
            </w:r>
          </w:p>
        </w:tc>
        <w:tc>
          <w:tcPr>
            <w:tcW w:w="513" w:type="pct"/>
            <w:vAlign w:val="center"/>
          </w:tcPr>
          <w:p w14:paraId="224DCA1F">
            <w:pPr>
              <w:jc w:val="center"/>
            </w:pPr>
            <w:r>
              <w:rPr>
                <w:rFonts w:hint="eastAsia"/>
              </w:rPr>
              <w:t>地表水</w:t>
            </w:r>
          </w:p>
        </w:tc>
        <w:tc>
          <w:tcPr>
            <w:tcW w:w="831" w:type="pct"/>
            <w:vAlign w:val="center"/>
          </w:tcPr>
          <w:p w14:paraId="56E4EE39">
            <w:pPr>
              <w:spacing w:line="320" w:lineRule="exact"/>
              <w:ind w:left="-53" w:leftChars="-25" w:right="-53" w:rightChars="-25"/>
              <w:jc w:val="center"/>
              <w:rPr>
                <w:szCs w:val="21"/>
              </w:rPr>
            </w:pPr>
            <w:r>
              <w:rPr>
                <w:szCs w:val="21"/>
              </w:rPr>
              <w:t>游河</w:t>
            </w:r>
          </w:p>
        </w:tc>
        <w:tc>
          <w:tcPr>
            <w:tcW w:w="619" w:type="pct"/>
            <w:tcBorders>
              <w:right w:val="single" w:color="auto" w:sz="4" w:space="0"/>
            </w:tcBorders>
            <w:vAlign w:val="center"/>
          </w:tcPr>
          <w:p w14:paraId="03B1F4E5">
            <w:pPr>
              <w:spacing w:line="320" w:lineRule="exact"/>
              <w:ind w:left="-53" w:leftChars="-25" w:right="-53" w:rightChars="-25"/>
              <w:jc w:val="center"/>
              <w:rPr>
                <w:kern w:val="0"/>
                <w:szCs w:val="21"/>
              </w:rPr>
            </w:pPr>
            <w:r>
              <w:rPr>
                <w:szCs w:val="21"/>
              </w:rPr>
              <w:t>河流</w:t>
            </w:r>
          </w:p>
        </w:tc>
        <w:tc>
          <w:tcPr>
            <w:tcW w:w="742" w:type="pct"/>
            <w:tcBorders>
              <w:right w:val="single" w:color="auto" w:sz="4" w:space="0"/>
            </w:tcBorders>
            <w:vAlign w:val="center"/>
          </w:tcPr>
          <w:p w14:paraId="6514CF21">
            <w:pPr>
              <w:spacing w:line="320" w:lineRule="exact"/>
              <w:ind w:left="-53" w:leftChars="-25" w:right="-53" w:rightChars="-25"/>
              <w:jc w:val="center"/>
              <w:rPr>
                <w:szCs w:val="21"/>
              </w:rPr>
            </w:pPr>
            <w:r>
              <w:rPr>
                <w:rFonts w:hint="eastAsia"/>
                <w:szCs w:val="21"/>
              </w:rPr>
              <w:t>SE</w:t>
            </w:r>
          </w:p>
        </w:tc>
        <w:tc>
          <w:tcPr>
            <w:tcW w:w="1132" w:type="pct"/>
            <w:tcBorders>
              <w:left w:val="single" w:color="auto" w:sz="4" w:space="0"/>
            </w:tcBorders>
            <w:vAlign w:val="center"/>
          </w:tcPr>
          <w:p w14:paraId="130E7D32">
            <w:pPr>
              <w:spacing w:line="320" w:lineRule="exact"/>
              <w:ind w:left="-53" w:leftChars="-25" w:right="-53" w:rightChars="-25"/>
              <w:jc w:val="center"/>
              <w:rPr>
                <w:szCs w:val="21"/>
              </w:rPr>
            </w:pPr>
            <w:r>
              <w:rPr>
                <w:rFonts w:hint="eastAsia"/>
                <w:szCs w:val="21"/>
              </w:rPr>
              <w:t>250</w:t>
            </w:r>
          </w:p>
        </w:tc>
        <w:tc>
          <w:tcPr>
            <w:tcW w:w="781" w:type="pct"/>
            <w:vAlign w:val="center"/>
          </w:tcPr>
          <w:p w14:paraId="69465A0C">
            <w:pPr>
              <w:jc w:val="center"/>
            </w:pPr>
            <w:r>
              <w:t>GB3838-2002中</w:t>
            </w:r>
            <w:r>
              <w:rPr>
                <w:rFonts w:hint="eastAsia"/>
              </w:rPr>
              <w:t>II</w:t>
            </w:r>
            <w:r>
              <w:t>类</w:t>
            </w:r>
          </w:p>
        </w:tc>
      </w:tr>
      <w:tr w14:paraId="0A589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382" w:type="pct"/>
            <w:vAlign w:val="center"/>
          </w:tcPr>
          <w:p w14:paraId="3A8BEACF">
            <w:pPr>
              <w:jc w:val="center"/>
            </w:pPr>
            <w:r>
              <w:rPr>
                <w:rFonts w:hint="eastAsia"/>
              </w:rPr>
              <w:t>18</w:t>
            </w:r>
          </w:p>
        </w:tc>
        <w:tc>
          <w:tcPr>
            <w:tcW w:w="513" w:type="pct"/>
            <w:vAlign w:val="center"/>
          </w:tcPr>
          <w:p w14:paraId="7B51616C">
            <w:pPr>
              <w:jc w:val="center"/>
            </w:pPr>
            <w:r>
              <w:rPr>
                <w:rFonts w:hint="eastAsia"/>
              </w:rPr>
              <w:t>生态环境</w:t>
            </w:r>
          </w:p>
        </w:tc>
        <w:tc>
          <w:tcPr>
            <w:tcW w:w="3324" w:type="pct"/>
            <w:gridSpan w:val="4"/>
            <w:vAlign w:val="center"/>
          </w:tcPr>
          <w:p w14:paraId="16E769CA">
            <w:pPr>
              <w:spacing w:line="320" w:lineRule="exact"/>
              <w:ind w:left="-53" w:leftChars="-25" w:right="-53" w:rightChars="-25"/>
              <w:jc w:val="center"/>
              <w:rPr>
                <w:szCs w:val="21"/>
              </w:rPr>
            </w:pPr>
            <w:r>
              <w:rPr>
                <w:rFonts w:hint="eastAsia"/>
              </w:rPr>
              <w:t>规划区内植被、</w:t>
            </w:r>
            <w:r>
              <w:rPr>
                <w:rFonts w:hint="eastAsia"/>
                <w:kern w:val="0"/>
                <w:szCs w:val="21"/>
              </w:rPr>
              <w:t>永久基本农田等</w:t>
            </w:r>
          </w:p>
        </w:tc>
        <w:tc>
          <w:tcPr>
            <w:tcW w:w="781" w:type="pct"/>
            <w:vAlign w:val="center"/>
          </w:tcPr>
          <w:p w14:paraId="6923744A">
            <w:pPr>
              <w:jc w:val="center"/>
            </w:pPr>
            <w:r>
              <w:t>生态环境</w:t>
            </w:r>
          </w:p>
        </w:tc>
      </w:tr>
    </w:tbl>
    <w:p w14:paraId="2391237D">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73" w:name="_Toc206494916"/>
      <w:r>
        <w:rPr>
          <w:rFonts w:hint="eastAsia" w:eastAsiaTheme="minorEastAsia"/>
          <w:kern w:val="2"/>
          <w:sz w:val="36"/>
          <w:szCs w:val="36"/>
        </w:rPr>
        <w:t>规划分析</w:t>
      </w:r>
      <w:bookmarkEnd w:id="73"/>
    </w:p>
    <w:p w14:paraId="312325B3">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74" w:name="_Toc206494917"/>
      <w:r>
        <w:rPr>
          <w:rFonts w:hint="eastAsia" w:eastAsiaTheme="minorEastAsia"/>
          <w:b/>
          <w:bCs/>
          <w:sz w:val="30"/>
          <w:szCs w:val="28"/>
        </w:rPr>
        <w:t>规划概述</w:t>
      </w:r>
      <w:bookmarkEnd w:id="74"/>
    </w:p>
    <w:p w14:paraId="784AF430">
      <w:pPr>
        <w:keepNext/>
        <w:keepLines/>
        <w:widowControl/>
        <w:numPr>
          <w:ilvl w:val="2"/>
          <w:numId w:val="1"/>
        </w:numPr>
        <w:spacing w:before="120" w:after="120" w:line="360" w:lineRule="auto"/>
        <w:jc w:val="left"/>
        <w:outlineLvl w:val="2"/>
        <w:rPr>
          <w:rFonts w:eastAsiaTheme="minorEastAsia"/>
          <w:b/>
          <w:bCs/>
          <w:sz w:val="24"/>
        </w:rPr>
      </w:pPr>
      <w:bookmarkStart w:id="75" w:name="_Toc206494918"/>
      <w:r>
        <w:rPr>
          <w:rFonts w:hint="eastAsia" w:eastAsiaTheme="minorEastAsia"/>
          <w:b/>
          <w:bCs/>
          <w:sz w:val="24"/>
        </w:rPr>
        <w:t>规划指导思想</w:t>
      </w:r>
      <w:bookmarkEnd w:id="75"/>
    </w:p>
    <w:p w14:paraId="550A5290">
      <w:pPr>
        <w:spacing w:line="360" w:lineRule="auto"/>
        <w:ind w:firstLine="480" w:firstLineChars="200"/>
        <w:rPr>
          <w:rFonts w:eastAsiaTheme="minorEastAsia"/>
          <w:sz w:val="24"/>
        </w:rPr>
      </w:pPr>
      <w:r>
        <w:rPr>
          <w:rFonts w:hint="eastAsia" w:eastAsiaTheme="minorEastAsia"/>
          <w:sz w:val="24"/>
        </w:rPr>
        <w:t>以习近平新时代中国特色社会主义思想为指导，深入贯彻党的二十大精神，坚持“创新、协调、绿色、开放、共享”理念，准确把握湖北省委省政府对随县发展战略要求，以生态文明、绿色发展为前提，转变发展理念与发展方式，培育石材产业新质生产力，引导随县石材行业进入转型发展新阶段，助力湖北省绿色建材产业高质量发展。以矿山资源整合推动绿色矿业示范区建设，以产业空间布局优化带动产业升级，以强链、补链、延链构建随县石材新格局、新业态。以技术创新、数字化智能化赋能、工艺装备升级提高随县石材核心竞争力。以核心龙头企业为引领，发展高端化产品，全面提升产业发展效率。以产城融合、产业融合促进县域经济水平整体提升。加强生态环保、绿色低碳、产业园区提档升级、“一企一策”改造，打造创新驱动、现代化、智能化、服务化、绿色低碳、多业融合的国内一流石材产业集群、绿色矿业发展示范区以及石材矿产资源高效开发利用示范基地，助力随县“中部百强县”目标的前进。</w:t>
      </w:r>
    </w:p>
    <w:p w14:paraId="529594A4">
      <w:pPr>
        <w:keepNext/>
        <w:keepLines/>
        <w:widowControl/>
        <w:numPr>
          <w:ilvl w:val="2"/>
          <w:numId w:val="1"/>
        </w:numPr>
        <w:spacing w:before="120" w:after="120" w:line="360" w:lineRule="auto"/>
        <w:jc w:val="left"/>
        <w:outlineLvl w:val="2"/>
        <w:rPr>
          <w:rFonts w:eastAsiaTheme="minorEastAsia"/>
          <w:b/>
          <w:bCs/>
          <w:sz w:val="24"/>
        </w:rPr>
      </w:pPr>
      <w:bookmarkStart w:id="76" w:name="_Toc206494919"/>
      <w:r>
        <w:rPr>
          <w:rFonts w:hint="eastAsia" w:eastAsiaTheme="minorEastAsia"/>
          <w:b/>
          <w:bCs/>
          <w:sz w:val="24"/>
        </w:rPr>
        <w:t>规划发展原则</w:t>
      </w:r>
      <w:bookmarkEnd w:id="76"/>
    </w:p>
    <w:p w14:paraId="7B80EEFB">
      <w:pPr>
        <w:spacing w:line="360" w:lineRule="auto"/>
        <w:ind w:firstLine="482" w:firstLineChars="200"/>
        <w:rPr>
          <w:rFonts w:eastAsiaTheme="minorEastAsia"/>
          <w:sz w:val="24"/>
        </w:rPr>
      </w:pPr>
      <w:r>
        <w:rPr>
          <w:rFonts w:hint="eastAsia" w:eastAsiaTheme="minorEastAsia"/>
          <w:b/>
          <w:sz w:val="24"/>
        </w:rPr>
        <w:t>一是</w:t>
      </w:r>
      <w:r>
        <w:rPr>
          <w:rFonts w:hint="eastAsia" w:eastAsiaTheme="minorEastAsia"/>
          <w:b/>
          <w:sz w:val="24"/>
          <w:lang w:eastAsia="zh-CN"/>
        </w:rPr>
        <w:t>坚持生态优先、绿色发展</w:t>
      </w:r>
      <w:r>
        <w:rPr>
          <w:rFonts w:hint="eastAsia" w:eastAsiaTheme="minorEastAsia"/>
          <w:b/>
          <w:sz w:val="24"/>
        </w:rPr>
        <w:t>。</w:t>
      </w:r>
      <w:r>
        <w:rPr>
          <w:rFonts w:hint="eastAsia" w:eastAsiaTheme="minorEastAsia"/>
          <w:sz w:val="24"/>
        </w:rPr>
        <w:t>在全产业链上贯彻落实“生态环保，绿色低碳”的要求，科学开发利用石材矿产资源，加强矿山生态整治恢复，发展循环经济，提高固废资源综合利用水平和无害化处理水平，所有矿山达到绿色矿山要求。加强园区环保改造提升，各片区建立公共固废处理设施，企业全面完善环保设施。加强低碳改造，引进新能源、绿色交通、加大绿化力度，全方位减碳降碳。创建绿色工厂、绿色园区、绿色供应链，走节能减排、清洁安全、绿色低碳发展之路。</w:t>
      </w:r>
    </w:p>
    <w:p w14:paraId="596AAE4B">
      <w:pPr>
        <w:spacing w:line="360" w:lineRule="auto"/>
        <w:ind w:firstLine="482" w:firstLineChars="200"/>
        <w:rPr>
          <w:rFonts w:eastAsiaTheme="minorEastAsia"/>
          <w:sz w:val="24"/>
        </w:rPr>
      </w:pPr>
      <w:r>
        <w:rPr>
          <w:rFonts w:hint="eastAsia" w:eastAsiaTheme="minorEastAsia"/>
          <w:b/>
          <w:sz w:val="24"/>
        </w:rPr>
        <w:t>二是坚持空间布局优化，转型发展。</w:t>
      </w:r>
      <w:r>
        <w:rPr>
          <w:rFonts w:hint="eastAsia" w:eastAsiaTheme="minorEastAsia"/>
          <w:sz w:val="24"/>
        </w:rPr>
        <w:t>围绕设计引领，加工提升、品牌服务支撑，优化分区功能，重构产业体系。加快现有园区的内部布局优化和提档升级，规范企业发展，加快“一企一策”改造，提升基础设施配套能力，打造规范化现代化园区，提高土地利用率和园区景观绿化率。优化物流、环保等配套设施布局，提升运营水平，增强抗风险能力。重新布局石材精深加工、创意设计、工程服务、交易展示、物流仓储、绿色建材等生产性服务设施，以此实现强链、补链和延链。</w:t>
      </w:r>
    </w:p>
    <w:p w14:paraId="1EE077DF">
      <w:pPr>
        <w:spacing w:line="360" w:lineRule="auto"/>
        <w:ind w:firstLine="482" w:firstLineChars="200"/>
        <w:rPr>
          <w:rFonts w:eastAsiaTheme="minorEastAsia"/>
          <w:sz w:val="24"/>
        </w:rPr>
      </w:pPr>
      <w:r>
        <w:rPr>
          <w:rFonts w:hint="eastAsia" w:eastAsiaTheme="minorEastAsia"/>
          <w:b/>
          <w:sz w:val="24"/>
        </w:rPr>
        <w:t>三是坚持创新驱动、数字化智能化赋能，高端发展。</w:t>
      </w:r>
      <w:r>
        <w:rPr>
          <w:rFonts w:hint="eastAsia" w:eastAsiaTheme="minorEastAsia"/>
          <w:sz w:val="24"/>
        </w:rPr>
        <w:t>实施创新驱动发展战略，建设智慧型数字化矿山，加快推进石材开采、加工技术和市场营销模式创新，以创新设计、建筑装饰设计为引领，提升石材应用整体解决方案的服务能力，加快大数据、工业互联网等新一代信息技术在石材产业中应用，构建新业态，推动石材业由原材料生产业向“柔性化、定制化加工制品+工程服务”转变，使随县石材产区具备为工程提供一站式服务的独特能力。</w:t>
      </w:r>
    </w:p>
    <w:p w14:paraId="1FC3E811">
      <w:pPr>
        <w:spacing w:line="360" w:lineRule="auto"/>
        <w:ind w:firstLine="482" w:firstLineChars="200"/>
        <w:rPr>
          <w:rFonts w:eastAsiaTheme="minorEastAsia"/>
          <w:sz w:val="24"/>
        </w:rPr>
      </w:pPr>
      <w:r>
        <w:rPr>
          <w:rFonts w:hint="eastAsia" w:eastAsiaTheme="minorEastAsia"/>
          <w:b/>
          <w:sz w:val="24"/>
        </w:rPr>
        <w:t>四是坚持融合发展，带动县域经济全面提升。</w:t>
      </w:r>
      <w:r>
        <w:rPr>
          <w:rFonts w:hint="eastAsia" w:eastAsiaTheme="minorEastAsia"/>
          <w:sz w:val="24"/>
        </w:rPr>
        <w:t>充分发挥石材产业对随县及吴山镇、万和镇等当地经济社会发展的带动作用，从全局高度统筹协调资源开发、产业布局、土地利用以及人居环境建设等，推进石材产业与林业、湿地、水利、旅游、脱贫致富以及城镇化建设等产业或工程的协调发展。推动各类生产、服务、生活功能向园区集聚，打造综合型产业聚集区及产业辐射区。</w:t>
      </w:r>
    </w:p>
    <w:p w14:paraId="154C4A54">
      <w:pPr>
        <w:spacing w:line="360" w:lineRule="auto"/>
        <w:ind w:firstLine="482" w:firstLineChars="200"/>
        <w:rPr>
          <w:rFonts w:eastAsiaTheme="minorEastAsia"/>
          <w:sz w:val="24"/>
        </w:rPr>
      </w:pPr>
      <w:r>
        <w:rPr>
          <w:rFonts w:hint="eastAsia" w:eastAsiaTheme="minorEastAsia"/>
          <w:b/>
          <w:sz w:val="24"/>
        </w:rPr>
        <w:t>五是坚持内外联动，开放发展。</w:t>
      </w:r>
      <w:r>
        <w:rPr>
          <w:rFonts w:hint="eastAsia" w:eastAsiaTheme="minorEastAsia"/>
          <w:sz w:val="24"/>
        </w:rPr>
        <w:t>发挥随县区位优势，充分利用国际国内两种资源、两个市场，立足本地资源绿色开发，逐步引进国内外优质石材资源，丰富随县石材资源品种。加强石材产区之间合作，主动走出去与水头、云浮以及国内其他石材先进产区对接，放眼全球，积极抓住“一带一路”国际化战略机遇，主动融入国际化石材产业格局之中，以精深加工、工程服务、商贸流通、创意设计以及专业化服务，打造华中知名的石材国际化聚集区。加强石材与绿色建材、装配式建筑等跨界联动，拓展更广阔发展空间。</w:t>
      </w:r>
    </w:p>
    <w:p w14:paraId="07B3B99B">
      <w:pPr>
        <w:keepNext/>
        <w:keepLines/>
        <w:widowControl/>
        <w:numPr>
          <w:ilvl w:val="2"/>
          <w:numId w:val="1"/>
        </w:numPr>
        <w:spacing w:before="120" w:after="120" w:line="360" w:lineRule="auto"/>
        <w:jc w:val="left"/>
        <w:outlineLvl w:val="2"/>
        <w:rPr>
          <w:rFonts w:eastAsiaTheme="minorEastAsia"/>
          <w:b/>
          <w:bCs/>
          <w:sz w:val="24"/>
        </w:rPr>
      </w:pPr>
      <w:bookmarkStart w:id="77" w:name="_Toc206494920"/>
      <w:r>
        <w:rPr>
          <w:rFonts w:hint="eastAsia" w:eastAsiaTheme="minorEastAsia"/>
          <w:b/>
          <w:bCs/>
          <w:sz w:val="24"/>
        </w:rPr>
        <w:t>发展目标</w:t>
      </w:r>
      <w:bookmarkEnd w:id="77"/>
    </w:p>
    <w:p w14:paraId="2AE92718">
      <w:pPr>
        <w:spacing w:line="360" w:lineRule="auto"/>
        <w:ind w:firstLine="482" w:firstLineChars="200"/>
        <w:rPr>
          <w:rFonts w:eastAsiaTheme="minorEastAsia"/>
          <w:sz w:val="24"/>
        </w:rPr>
      </w:pPr>
      <w:r>
        <w:rPr>
          <w:rFonts w:hint="eastAsia" w:eastAsiaTheme="minorEastAsia"/>
          <w:b/>
          <w:sz w:val="24"/>
        </w:rPr>
        <w:t>产业规模显著提升。</w:t>
      </w:r>
      <w:r>
        <w:rPr>
          <w:rFonts w:hint="eastAsia" w:eastAsiaTheme="minorEastAsia"/>
          <w:sz w:val="24"/>
        </w:rPr>
        <w:t>力争到2025年，全产业链产值达300亿元，实现税收5亿元；到2030年，产值达到500亿元，贡献税收10亿元；到2035年，产值达到800亿元，贡献税收20亿元。</w:t>
      </w:r>
    </w:p>
    <w:p w14:paraId="2BDD748D">
      <w:pPr>
        <w:spacing w:line="360" w:lineRule="auto"/>
        <w:ind w:firstLine="482" w:firstLineChars="200"/>
        <w:rPr>
          <w:rFonts w:eastAsiaTheme="minorEastAsia"/>
          <w:sz w:val="24"/>
        </w:rPr>
      </w:pPr>
      <w:r>
        <w:rPr>
          <w:rFonts w:hint="eastAsia" w:eastAsiaTheme="minorEastAsia"/>
          <w:b/>
          <w:sz w:val="24"/>
        </w:rPr>
        <w:t>产业结构持续完善。</w:t>
      </w:r>
      <w:r>
        <w:rPr>
          <w:rFonts w:hint="eastAsia" w:eastAsiaTheme="minorEastAsia"/>
          <w:sz w:val="24"/>
        </w:rPr>
        <w:t xml:space="preserve">形成大企业引领、中小企业集聚的产业发展格局，矿山开采、荒料贸易、加工制造、贸易展销、安装维修、文化创意等产业环节竞争力不断增强，打造成为集智能制造、数字贸易、文化创意等于一体，具有全球影响力的知名石材产业集群。 </w:t>
      </w:r>
    </w:p>
    <w:p w14:paraId="1D4006D8">
      <w:pPr>
        <w:spacing w:line="360" w:lineRule="auto"/>
        <w:ind w:firstLine="482" w:firstLineChars="200"/>
        <w:rPr>
          <w:rFonts w:eastAsiaTheme="minorEastAsia"/>
          <w:sz w:val="24"/>
        </w:rPr>
      </w:pPr>
      <w:r>
        <w:rPr>
          <w:rFonts w:hint="eastAsia" w:eastAsiaTheme="minorEastAsia"/>
          <w:b/>
          <w:sz w:val="24"/>
        </w:rPr>
        <w:t>绿色开发加速形成。</w:t>
      </w:r>
      <w:r>
        <w:rPr>
          <w:rFonts w:hint="eastAsia" w:eastAsiaTheme="minorEastAsia"/>
          <w:sz w:val="24"/>
        </w:rPr>
        <w:t>到2030年，资源的综合利用和循环利用水平显著提升，产业绿色化、数字化、智能化转型加快，逐步构建起较为完善的行业绿色发展体系。</w:t>
      </w:r>
    </w:p>
    <w:p w14:paraId="136FC55B">
      <w:pPr>
        <w:spacing w:line="360" w:lineRule="auto"/>
        <w:ind w:firstLine="482" w:firstLineChars="200"/>
        <w:rPr>
          <w:rFonts w:eastAsiaTheme="minorEastAsia"/>
          <w:sz w:val="24"/>
        </w:rPr>
      </w:pPr>
      <w:r>
        <w:rPr>
          <w:rFonts w:hint="eastAsia" w:eastAsiaTheme="minorEastAsia"/>
          <w:b/>
          <w:sz w:val="24"/>
        </w:rPr>
        <w:t>品牌创建卓有成效。</w:t>
      </w:r>
      <w:r>
        <w:rPr>
          <w:rFonts w:hint="eastAsia" w:eastAsiaTheme="minorEastAsia"/>
          <w:sz w:val="24"/>
        </w:rPr>
        <w:t>随县石材品牌创建卓有成效，品牌质量显著增强，产品丰富度、品牌认知度、质量满意度大幅提升。</w:t>
      </w:r>
    </w:p>
    <w:p w14:paraId="2953EC28">
      <w:pPr>
        <w:spacing w:line="360" w:lineRule="auto"/>
        <w:ind w:firstLine="482" w:firstLineChars="200"/>
        <w:rPr>
          <w:rFonts w:eastAsiaTheme="minorEastAsia"/>
          <w:sz w:val="24"/>
        </w:rPr>
      </w:pPr>
      <w:r>
        <w:rPr>
          <w:rFonts w:hint="eastAsia" w:eastAsiaTheme="minorEastAsia"/>
          <w:b/>
          <w:sz w:val="24"/>
        </w:rPr>
        <w:t>创新动能持续增强。</w:t>
      </w:r>
      <w:r>
        <w:rPr>
          <w:rFonts w:hint="eastAsia" w:eastAsiaTheme="minorEastAsia"/>
          <w:sz w:val="24"/>
        </w:rPr>
        <w:t>石材产业技术创新水平不断提升，数字化转型取得显著成效，产业发展动能持续增强，到2030 年，建成企业研发设计中心10家，2035年达到15家。新一代信息化智能化技术广泛应用，创意设计、建筑装饰设计及工程安装服务成为引领产业发展的根本动力。</w:t>
      </w:r>
    </w:p>
    <w:p w14:paraId="0ABB8F6B">
      <w:pPr>
        <w:spacing w:line="360" w:lineRule="auto"/>
        <w:ind w:firstLine="422"/>
        <w:jc w:val="center"/>
        <w:rPr>
          <w:rFonts w:eastAsiaTheme="minorEastAsia"/>
          <w:b/>
          <w:snapToGrid w:val="0"/>
          <w:kern w:val="18"/>
          <w:szCs w:val="21"/>
        </w:rPr>
      </w:pPr>
      <w:r>
        <w:rPr>
          <w:rFonts w:eastAsiaTheme="minorEastAsia"/>
          <w:b/>
          <w:snapToGrid w:val="0"/>
          <w:kern w:val="18"/>
          <w:szCs w:val="21"/>
        </w:rPr>
        <w:t>表</w:t>
      </w:r>
      <w:r>
        <w:rPr>
          <w:rFonts w:hint="eastAsia" w:eastAsiaTheme="minorEastAsia"/>
          <w:b/>
          <w:snapToGrid w:val="0"/>
          <w:kern w:val="18"/>
          <w:szCs w:val="21"/>
        </w:rPr>
        <w:t>2.1.3</w:t>
      </w:r>
      <w:r>
        <w:rPr>
          <w:rFonts w:eastAsiaTheme="minorEastAsia"/>
          <w:b/>
          <w:snapToGrid w:val="0"/>
          <w:kern w:val="18"/>
          <w:szCs w:val="21"/>
        </w:rPr>
        <w:t xml:space="preserve">-1 </w:t>
      </w:r>
      <w:r>
        <w:rPr>
          <w:rFonts w:hint="eastAsia" w:eastAsiaTheme="minorEastAsia"/>
          <w:b/>
          <w:snapToGrid w:val="0"/>
          <w:kern w:val="18"/>
          <w:szCs w:val="21"/>
        </w:rPr>
        <w:t>随</w:t>
      </w:r>
      <w:r>
        <w:rPr>
          <w:rFonts w:eastAsiaTheme="minorEastAsia"/>
          <w:b/>
          <w:snapToGrid w:val="0"/>
          <w:kern w:val="18"/>
          <w:szCs w:val="21"/>
        </w:rPr>
        <w:t>县石材产业经济效益目标    单位：亿元</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6"/>
        <w:gridCol w:w="3167"/>
        <w:gridCol w:w="976"/>
        <w:gridCol w:w="976"/>
        <w:gridCol w:w="846"/>
        <w:gridCol w:w="1467"/>
      </w:tblGrid>
      <w:tr w14:paraId="09C95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shd w:val="clear" w:color="auto" w:fill="auto"/>
            <w:vAlign w:val="center"/>
          </w:tcPr>
          <w:p w14:paraId="0B9C2FFB">
            <w:pPr>
              <w:adjustRightInd w:val="0"/>
              <w:snapToGrid w:val="0"/>
              <w:spacing w:line="320" w:lineRule="exact"/>
              <w:jc w:val="center"/>
              <w:textAlignment w:val="baseline"/>
              <w:rPr>
                <w:rFonts w:eastAsiaTheme="minorEastAsia"/>
                <w:bCs/>
                <w:szCs w:val="20"/>
              </w:rPr>
            </w:pPr>
            <w:r>
              <w:rPr>
                <w:rFonts w:hint="eastAsia" w:eastAsiaTheme="minorEastAsia"/>
                <w:bCs/>
                <w:szCs w:val="20"/>
              </w:rPr>
              <w:t>类</w:t>
            </w:r>
            <w:r>
              <w:rPr>
                <w:rFonts w:eastAsiaTheme="minorEastAsia"/>
                <w:bCs/>
                <w:szCs w:val="20"/>
              </w:rPr>
              <w:t xml:space="preserve">  </w:t>
            </w:r>
            <w:r>
              <w:rPr>
                <w:rFonts w:hint="eastAsia" w:eastAsiaTheme="minorEastAsia"/>
                <w:bCs/>
                <w:szCs w:val="20"/>
              </w:rPr>
              <w:t>别</w:t>
            </w:r>
          </w:p>
        </w:tc>
        <w:tc>
          <w:tcPr>
            <w:tcW w:w="1857" w:type="pct"/>
            <w:shd w:val="clear" w:color="auto" w:fill="auto"/>
            <w:vAlign w:val="center"/>
          </w:tcPr>
          <w:p w14:paraId="3C9C8377">
            <w:pPr>
              <w:adjustRightInd w:val="0"/>
              <w:snapToGrid w:val="0"/>
              <w:spacing w:line="320" w:lineRule="exact"/>
              <w:jc w:val="center"/>
              <w:textAlignment w:val="baseline"/>
              <w:rPr>
                <w:rFonts w:eastAsiaTheme="minorEastAsia"/>
                <w:bCs/>
                <w:szCs w:val="20"/>
              </w:rPr>
            </w:pPr>
            <w:r>
              <w:rPr>
                <w:rFonts w:hint="eastAsia" w:eastAsiaTheme="minorEastAsia"/>
                <w:bCs/>
                <w:szCs w:val="20"/>
              </w:rPr>
              <w:t>名</w:t>
            </w:r>
            <w:r>
              <w:rPr>
                <w:rFonts w:eastAsiaTheme="minorEastAsia"/>
                <w:bCs/>
                <w:szCs w:val="20"/>
              </w:rPr>
              <w:t xml:space="preserve">  </w:t>
            </w:r>
            <w:r>
              <w:rPr>
                <w:rFonts w:hint="eastAsia" w:eastAsiaTheme="minorEastAsia"/>
                <w:bCs/>
                <w:szCs w:val="20"/>
              </w:rPr>
              <w:t>称</w:t>
            </w:r>
          </w:p>
        </w:tc>
        <w:tc>
          <w:tcPr>
            <w:tcW w:w="572" w:type="pct"/>
            <w:shd w:val="clear" w:color="auto" w:fill="auto"/>
            <w:vAlign w:val="center"/>
          </w:tcPr>
          <w:p w14:paraId="17DB7D45">
            <w:pPr>
              <w:adjustRightInd w:val="0"/>
              <w:snapToGrid w:val="0"/>
              <w:spacing w:line="320" w:lineRule="exact"/>
              <w:jc w:val="center"/>
              <w:textAlignment w:val="baseline"/>
              <w:rPr>
                <w:rFonts w:eastAsiaTheme="minorEastAsia"/>
                <w:bCs/>
                <w:szCs w:val="20"/>
              </w:rPr>
            </w:pPr>
            <w:r>
              <w:rPr>
                <w:rFonts w:eastAsiaTheme="minorEastAsia"/>
                <w:bCs/>
                <w:szCs w:val="20"/>
              </w:rPr>
              <w:t>20</w:t>
            </w:r>
            <w:r>
              <w:rPr>
                <w:rFonts w:hint="eastAsia" w:eastAsiaTheme="minorEastAsia"/>
                <w:bCs/>
                <w:szCs w:val="20"/>
              </w:rPr>
              <w:t>25年</w:t>
            </w:r>
          </w:p>
        </w:tc>
        <w:tc>
          <w:tcPr>
            <w:tcW w:w="572" w:type="pct"/>
            <w:shd w:val="clear" w:color="auto" w:fill="auto"/>
            <w:vAlign w:val="center"/>
          </w:tcPr>
          <w:p w14:paraId="023311FA">
            <w:pPr>
              <w:adjustRightInd w:val="0"/>
              <w:snapToGrid w:val="0"/>
              <w:spacing w:line="320" w:lineRule="exact"/>
              <w:jc w:val="center"/>
              <w:textAlignment w:val="baseline"/>
              <w:rPr>
                <w:rFonts w:eastAsiaTheme="minorEastAsia"/>
                <w:bCs/>
                <w:szCs w:val="20"/>
              </w:rPr>
            </w:pPr>
            <w:r>
              <w:rPr>
                <w:rFonts w:hint="eastAsia" w:eastAsiaTheme="minorEastAsia"/>
                <w:bCs/>
                <w:szCs w:val="20"/>
              </w:rPr>
              <w:t>2030年</w:t>
            </w:r>
          </w:p>
        </w:tc>
        <w:tc>
          <w:tcPr>
            <w:tcW w:w="496" w:type="pct"/>
            <w:shd w:val="clear" w:color="auto" w:fill="auto"/>
            <w:vAlign w:val="center"/>
          </w:tcPr>
          <w:p w14:paraId="0968155B">
            <w:pPr>
              <w:adjustRightInd w:val="0"/>
              <w:snapToGrid w:val="0"/>
              <w:spacing w:line="320" w:lineRule="exact"/>
              <w:jc w:val="center"/>
              <w:textAlignment w:val="baseline"/>
              <w:rPr>
                <w:rFonts w:eastAsiaTheme="minorEastAsia"/>
                <w:bCs/>
                <w:szCs w:val="20"/>
              </w:rPr>
            </w:pPr>
            <w:r>
              <w:rPr>
                <w:rFonts w:hint="eastAsia" w:eastAsiaTheme="minorEastAsia"/>
                <w:bCs/>
                <w:szCs w:val="20"/>
              </w:rPr>
              <w:t>2035年</w:t>
            </w:r>
          </w:p>
        </w:tc>
        <w:tc>
          <w:tcPr>
            <w:tcW w:w="860" w:type="pct"/>
            <w:shd w:val="clear" w:color="auto" w:fill="auto"/>
            <w:vAlign w:val="center"/>
          </w:tcPr>
          <w:p w14:paraId="104834C1">
            <w:pPr>
              <w:adjustRightInd w:val="0"/>
              <w:snapToGrid w:val="0"/>
              <w:spacing w:line="320" w:lineRule="exact"/>
              <w:jc w:val="center"/>
              <w:textAlignment w:val="baseline"/>
              <w:rPr>
                <w:rFonts w:eastAsiaTheme="minorEastAsia"/>
                <w:bCs/>
                <w:szCs w:val="20"/>
              </w:rPr>
            </w:pPr>
            <w:r>
              <w:rPr>
                <w:rFonts w:hint="eastAsia" w:eastAsiaTheme="minorEastAsia"/>
                <w:bCs/>
                <w:szCs w:val="20"/>
              </w:rPr>
              <w:t>指标属性</w:t>
            </w:r>
          </w:p>
        </w:tc>
      </w:tr>
      <w:tr w14:paraId="0D433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6E768AA2">
            <w:pPr>
              <w:adjustRightInd w:val="0"/>
              <w:snapToGrid w:val="0"/>
              <w:spacing w:line="320" w:lineRule="exact"/>
              <w:jc w:val="center"/>
              <w:textAlignment w:val="baseline"/>
              <w:rPr>
                <w:rFonts w:eastAsiaTheme="minorEastAsia"/>
                <w:bCs/>
                <w:szCs w:val="20"/>
              </w:rPr>
            </w:pPr>
            <w:r>
              <w:rPr>
                <w:rFonts w:hint="eastAsia" w:eastAsiaTheme="minorEastAsia"/>
                <w:bCs/>
                <w:szCs w:val="20"/>
              </w:rPr>
              <w:t>经济目标</w:t>
            </w:r>
          </w:p>
        </w:tc>
        <w:tc>
          <w:tcPr>
            <w:tcW w:w="1857" w:type="pct"/>
            <w:shd w:val="clear" w:color="auto" w:fill="auto"/>
            <w:vAlign w:val="center"/>
          </w:tcPr>
          <w:p w14:paraId="438AA69A">
            <w:pPr>
              <w:adjustRightInd w:val="0"/>
              <w:snapToGrid w:val="0"/>
              <w:spacing w:line="320" w:lineRule="exact"/>
              <w:jc w:val="center"/>
              <w:textAlignment w:val="baseline"/>
              <w:rPr>
                <w:rFonts w:eastAsiaTheme="minorEastAsia"/>
                <w:bCs/>
                <w:szCs w:val="20"/>
              </w:rPr>
            </w:pPr>
            <w:r>
              <w:rPr>
                <w:rFonts w:hint="eastAsia" w:eastAsiaTheme="minorEastAsia"/>
                <w:bCs/>
                <w:szCs w:val="20"/>
              </w:rPr>
              <w:t>工业总产值（亿元）</w:t>
            </w:r>
          </w:p>
        </w:tc>
        <w:tc>
          <w:tcPr>
            <w:tcW w:w="572" w:type="pct"/>
            <w:shd w:val="clear" w:color="auto" w:fill="auto"/>
            <w:vAlign w:val="center"/>
          </w:tcPr>
          <w:p w14:paraId="28F0DC8C">
            <w:pPr>
              <w:adjustRightInd w:val="0"/>
              <w:snapToGrid w:val="0"/>
              <w:spacing w:line="320" w:lineRule="exact"/>
              <w:jc w:val="center"/>
              <w:textAlignment w:val="baseline"/>
              <w:rPr>
                <w:rFonts w:eastAsiaTheme="minorEastAsia"/>
                <w:bCs/>
                <w:szCs w:val="20"/>
              </w:rPr>
            </w:pPr>
            <w:r>
              <w:rPr>
                <w:rFonts w:hint="eastAsia" w:eastAsiaTheme="minorEastAsia"/>
                <w:bCs/>
                <w:szCs w:val="20"/>
              </w:rPr>
              <w:t>3</w:t>
            </w:r>
            <w:r>
              <w:rPr>
                <w:rFonts w:eastAsiaTheme="minorEastAsia"/>
                <w:bCs/>
                <w:szCs w:val="20"/>
              </w:rPr>
              <w:t>00</w:t>
            </w:r>
          </w:p>
        </w:tc>
        <w:tc>
          <w:tcPr>
            <w:tcW w:w="572" w:type="pct"/>
            <w:shd w:val="clear" w:color="auto" w:fill="auto"/>
            <w:vAlign w:val="center"/>
          </w:tcPr>
          <w:p w14:paraId="30007FAD">
            <w:pPr>
              <w:adjustRightInd w:val="0"/>
              <w:snapToGrid w:val="0"/>
              <w:spacing w:line="320" w:lineRule="exact"/>
              <w:jc w:val="center"/>
              <w:textAlignment w:val="baseline"/>
              <w:rPr>
                <w:rFonts w:eastAsiaTheme="minorEastAsia"/>
                <w:bCs/>
                <w:szCs w:val="20"/>
              </w:rPr>
            </w:pPr>
            <w:r>
              <w:rPr>
                <w:rFonts w:hint="eastAsia" w:eastAsiaTheme="minorEastAsia"/>
                <w:bCs/>
                <w:szCs w:val="20"/>
              </w:rPr>
              <w:t>500</w:t>
            </w:r>
          </w:p>
        </w:tc>
        <w:tc>
          <w:tcPr>
            <w:tcW w:w="496" w:type="pct"/>
            <w:shd w:val="clear" w:color="auto" w:fill="auto"/>
            <w:vAlign w:val="center"/>
          </w:tcPr>
          <w:p w14:paraId="0221212A">
            <w:pPr>
              <w:adjustRightInd w:val="0"/>
              <w:snapToGrid w:val="0"/>
              <w:spacing w:line="320" w:lineRule="exact"/>
              <w:jc w:val="center"/>
              <w:textAlignment w:val="baseline"/>
              <w:rPr>
                <w:rFonts w:eastAsiaTheme="minorEastAsia"/>
                <w:bCs/>
                <w:szCs w:val="20"/>
              </w:rPr>
            </w:pPr>
            <w:r>
              <w:rPr>
                <w:rFonts w:hint="eastAsia" w:eastAsiaTheme="minorEastAsia"/>
                <w:bCs/>
                <w:szCs w:val="20"/>
              </w:rPr>
              <w:t>800</w:t>
            </w:r>
          </w:p>
        </w:tc>
        <w:tc>
          <w:tcPr>
            <w:tcW w:w="860" w:type="pct"/>
            <w:shd w:val="clear" w:color="auto" w:fill="auto"/>
            <w:vAlign w:val="center"/>
          </w:tcPr>
          <w:p w14:paraId="470CEE95">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53BA2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2506C016">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59F55C6C">
            <w:pPr>
              <w:adjustRightInd w:val="0"/>
              <w:snapToGrid w:val="0"/>
              <w:spacing w:line="320" w:lineRule="exact"/>
              <w:jc w:val="center"/>
              <w:textAlignment w:val="baseline"/>
              <w:rPr>
                <w:rFonts w:eastAsiaTheme="minorEastAsia"/>
                <w:bCs/>
                <w:szCs w:val="20"/>
              </w:rPr>
            </w:pPr>
            <w:r>
              <w:rPr>
                <w:rFonts w:hint="eastAsia" w:eastAsiaTheme="minorEastAsia"/>
                <w:bCs/>
                <w:szCs w:val="20"/>
              </w:rPr>
              <w:t>工业增加值（亿元）</w:t>
            </w:r>
          </w:p>
        </w:tc>
        <w:tc>
          <w:tcPr>
            <w:tcW w:w="572" w:type="pct"/>
            <w:shd w:val="clear" w:color="auto" w:fill="auto"/>
            <w:vAlign w:val="center"/>
          </w:tcPr>
          <w:p w14:paraId="70F34A5C">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r>
              <w:rPr>
                <w:rFonts w:eastAsiaTheme="minorEastAsia"/>
                <w:bCs/>
                <w:szCs w:val="20"/>
              </w:rPr>
              <w:t>0</w:t>
            </w:r>
          </w:p>
        </w:tc>
        <w:tc>
          <w:tcPr>
            <w:tcW w:w="572" w:type="pct"/>
            <w:shd w:val="clear" w:color="auto" w:fill="auto"/>
            <w:vAlign w:val="center"/>
          </w:tcPr>
          <w:p w14:paraId="2CBFDC88">
            <w:pPr>
              <w:adjustRightInd w:val="0"/>
              <w:snapToGrid w:val="0"/>
              <w:spacing w:line="320" w:lineRule="exact"/>
              <w:jc w:val="center"/>
              <w:textAlignment w:val="baseline"/>
              <w:rPr>
                <w:rFonts w:eastAsiaTheme="minorEastAsia"/>
                <w:bCs/>
                <w:szCs w:val="20"/>
              </w:rPr>
            </w:pPr>
            <w:r>
              <w:rPr>
                <w:rFonts w:hint="eastAsia" w:eastAsiaTheme="minorEastAsia"/>
                <w:bCs/>
                <w:szCs w:val="20"/>
              </w:rPr>
              <w:t>200</w:t>
            </w:r>
          </w:p>
        </w:tc>
        <w:tc>
          <w:tcPr>
            <w:tcW w:w="496" w:type="pct"/>
            <w:shd w:val="clear" w:color="auto" w:fill="auto"/>
            <w:vAlign w:val="center"/>
          </w:tcPr>
          <w:p w14:paraId="40605A97">
            <w:pPr>
              <w:adjustRightInd w:val="0"/>
              <w:snapToGrid w:val="0"/>
              <w:spacing w:line="320" w:lineRule="exact"/>
              <w:jc w:val="center"/>
              <w:textAlignment w:val="baseline"/>
              <w:rPr>
                <w:rFonts w:eastAsiaTheme="minorEastAsia"/>
                <w:bCs/>
                <w:szCs w:val="20"/>
              </w:rPr>
            </w:pPr>
            <w:r>
              <w:rPr>
                <w:rFonts w:hint="eastAsia" w:eastAsiaTheme="minorEastAsia"/>
                <w:bCs/>
                <w:szCs w:val="20"/>
              </w:rPr>
              <w:t>350</w:t>
            </w:r>
          </w:p>
        </w:tc>
        <w:tc>
          <w:tcPr>
            <w:tcW w:w="860" w:type="pct"/>
            <w:shd w:val="clear" w:color="auto" w:fill="auto"/>
            <w:vAlign w:val="center"/>
          </w:tcPr>
          <w:p w14:paraId="3B982158">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4CF12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745376E4">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48EBEFB8">
            <w:pPr>
              <w:adjustRightInd w:val="0"/>
              <w:snapToGrid w:val="0"/>
              <w:spacing w:line="320" w:lineRule="exact"/>
              <w:jc w:val="center"/>
              <w:textAlignment w:val="baseline"/>
              <w:rPr>
                <w:rFonts w:eastAsiaTheme="minorEastAsia"/>
                <w:bCs/>
                <w:szCs w:val="20"/>
              </w:rPr>
            </w:pPr>
            <w:r>
              <w:rPr>
                <w:rFonts w:hint="eastAsia" w:eastAsiaTheme="minorEastAsia"/>
                <w:bCs/>
                <w:szCs w:val="20"/>
              </w:rPr>
              <w:t>税收总额（亿元）</w:t>
            </w:r>
          </w:p>
        </w:tc>
        <w:tc>
          <w:tcPr>
            <w:tcW w:w="572" w:type="pct"/>
            <w:shd w:val="clear" w:color="auto" w:fill="auto"/>
            <w:vAlign w:val="center"/>
          </w:tcPr>
          <w:p w14:paraId="16F8A3A3">
            <w:pPr>
              <w:adjustRightInd w:val="0"/>
              <w:snapToGrid w:val="0"/>
              <w:spacing w:line="320" w:lineRule="exact"/>
              <w:jc w:val="center"/>
              <w:textAlignment w:val="baseline"/>
              <w:rPr>
                <w:rFonts w:eastAsiaTheme="minorEastAsia"/>
                <w:bCs/>
                <w:szCs w:val="20"/>
              </w:rPr>
            </w:pPr>
            <w:r>
              <w:rPr>
                <w:rFonts w:hint="eastAsia" w:eastAsiaTheme="minorEastAsia"/>
                <w:bCs/>
                <w:szCs w:val="20"/>
              </w:rPr>
              <w:t>5</w:t>
            </w:r>
          </w:p>
        </w:tc>
        <w:tc>
          <w:tcPr>
            <w:tcW w:w="572" w:type="pct"/>
            <w:shd w:val="clear" w:color="auto" w:fill="auto"/>
            <w:vAlign w:val="center"/>
          </w:tcPr>
          <w:p w14:paraId="3A713FFE">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p>
        </w:tc>
        <w:tc>
          <w:tcPr>
            <w:tcW w:w="496" w:type="pct"/>
            <w:shd w:val="clear" w:color="auto" w:fill="auto"/>
            <w:vAlign w:val="center"/>
          </w:tcPr>
          <w:p w14:paraId="4FCBCB2C">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860" w:type="pct"/>
            <w:shd w:val="clear" w:color="auto" w:fill="auto"/>
            <w:vAlign w:val="center"/>
          </w:tcPr>
          <w:p w14:paraId="670AC5EA">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3E6D5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77E73D2A">
            <w:pPr>
              <w:adjustRightInd w:val="0"/>
              <w:snapToGrid w:val="0"/>
              <w:spacing w:line="320" w:lineRule="exact"/>
              <w:jc w:val="center"/>
              <w:textAlignment w:val="baseline"/>
              <w:rPr>
                <w:rFonts w:eastAsiaTheme="minorEastAsia"/>
                <w:bCs/>
                <w:szCs w:val="20"/>
              </w:rPr>
            </w:pPr>
            <w:r>
              <w:rPr>
                <w:rFonts w:hint="eastAsia" w:eastAsiaTheme="minorEastAsia"/>
                <w:bCs/>
                <w:szCs w:val="20"/>
              </w:rPr>
              <w:t>规模目标</w:t>
            </w:r>
          </w:p>
        </w:tc>
        <w:tc>
          <w:tcPr>
            <w:tcW w:w="1857" w:type="pct"/>
            <w:shd w:val="clear" w:color="auto" w:fill="auto"/>
            <w:vAlign w:val="center"/>
          </w:tcPr>
          <w:p w14:paraId="4F3AE5E5">
            <w:pPr>
              <w:adjustRightInd w:val="0"/>
              <w:snapToGrid w:val="0"/>
              <w:spacing w:line="320" w:lineRule="exact"/>
              <w:jc w:val="center"/>
              <w:textAlignment w:val="baseline"/>
              <w:rPr>
                <w:rFonts w:eastAsiaTheme="minorEastAsia"/>
                <w:bCs/>
                <w:szCs w:val="20"/>
              </w:rPr>
            </w:pPr>
            <w:r>
              <w:rPr>
                <w:rFonts w:hint="eastAsia" w:eastAsiaTheme="minorEastAsia"/>
                <w:bCs/>
                <w:szCs w:val="20"/>
              </w:rPr>
              <w:t>本地矿山开采荒料（万</w:t>
            </w:r>
            <w:r>
              <w:rPr>
                <w:rFonts w:eastAsiaTheme="minorEastAsia"/>
                <w:bCs/>
                <w:szCs w:val="20"/>
              </w:rPr>
              <w:t>m³</w:t>
            </w:r>
            <w:r>
              <w:rPr>
                <w:rFonts w:hint="eastAsia" w:eastAsiaTheme="minorEastAsia"/>
                <w:bCs/>
                <w:szCs w:val="20"/>
              </w:rPr>
              <w:t>）</w:t>
            </w:r>
          </w:p>
        </w:tc>
        <w:tc>
          <w:tcPr>
            <w:tcW w:w="572" w:type="pct"/>
            <w:shd w:val="clear" w:color="auto" w:fill="auto"/>
            <w:vAlign w:val="center"/>
          </w:tcPr>
          <w:p w14:paraId="2AEA3BB9">
            <w:pPr>
              <w:adjustRightInd w:val="0"/>
              <w:snapToGrid w:val="0"/>
              <w:spacing w:line="320" w:lineRule="exact"/>
              <w:jc w:val="center"/>
              <w:textAlignment w:val="baseline"/>
              <w:rPr>
                <w:rFonts w:eastAsiaTheme="minorEastAsia"/>
                <w:bCs/>
                <w:szCs w:val="20"/>
              </w:rPr>
            </w:pPr>
            <w:r>
              <w:rPr>
                <w:rFonts w:hint="eastAsia" w:eastAsiaTheme="minorEastAsia"/>
                <w:bCs/>
                <w:szCs w:val="20"/>
              </w:rPr>
              <w:t>44</w:t>
            </w:r>
            <w:r>
              <w:rPr>
                <w:rFonts w:eastAsiaTheme="minorEastAsia"/>
                <w:bCs/>
                <w:szCs w:val="20"/>
              </w:rPr>
              <w:t>0</w:t>
            </w:r>
          </w:p>
        </w:tc>
        <w:tc>
          <w:tcPr>
            <w:tcW w:w="572" w:type="pct"/>
            <w:shd w:val="clear" w:color="auto" w:fill="auto"/>
            <w:vAlign w:val="center"/>
          </w:tcPr>
          <w:p w14:paraId="55E9A180">
            <w:pPr>
              <w:adjustRightInd w:val="0"/>
              <w:snapToGrid w:val="0"/>
              <w:spacing w:line="320" w:lineRule="exact"/>
              <w:jc w:val="center"/>
              <w:textAlignment w:val="baseline"/>
              <w:rPr>
                <w:rFonts w:eastAsiaTheme="minorEastAsia"/>
                <w:bCs/>
                <w:szCs w:val="20"/>
              </w:rPr>
            </w:pPr>
            <w:r>
              <w:rPr>
                <w:rFonts w:hint="eastAsia" w:eastAsiaTheme="minorEastAsia"/>
                <w:bCs/>
                <w:szCs w:val="20"/>
              </w:rPr>
              <w:t>530</w:t>
            </w:r>
          </w:p>
        </w:tc>
        <w:tc>
          <w:tcPr>
            <w:tcW w:w="496" w:type="pct"/>
            <w:shd w:val="clear" w:color="auto" w:fill="auto"/>
            <w:vAlign w:val="center"/>
          </w:tcPr>
          <w:p w14:paraId="44E7E344">
            <w:pPr>
              <w:adjustRightInd w:val="0"/>
              <w:snapToGrid w:val="0"/>
              <w:spacing w:line="320" w:lineRule="exact"/>
              <w:jc w:val="center"/>
              <w:textAlignment w:val="baseline"/>
              <w:rPr>
                <w:rFonts w:eastAsiaTheme="minorEastAsia"/>
                <w:bCs/>
                <w:szCs w:val="20"/>
              </w:rPr>
            </w:pPr>
            <w:r>
              <w:rPr>
                <w:rFonts w:hint="eastAsia" w:eastAsiaTheme="minorEastAsia"/>
                <w:bCs/>
                <w:szCs w:val="20"/>
              </w:rPr>
              <w:t>530</w:t>
            </w:r>
          </w:p>
        </w:tc>
        <w:tc>
          <w:tcPr>
            <w:tcW w:w="860" w:type="pct"/>
            <w:shd w:val="clear" w:color="auto" w:fill="auto"/>
            <w:vAlign w:val="center"/>
          </w:tcPr>
          <w:p w14:paraId="4B2D10FC">
            <w:pPr>
              <w:adjustRightInd w:val="0"/>
              <w:snapToGrid w:val="0"/>
              <w:spacing w:line="320" w:lineRule="exact"/>
              <w:jc w:val="center"/>
              <w:textAlignment w:val="baseline"/>
              <w:rPr>
                <w:rFonts w:eastAsiaTheme="minorEastAsia"/>
                <w:bCs/>
                <w:szCs w:val="20"/>
              </w:rPr>
            </w:pPr>
            <w:r>
              <w:rPr>
                <w:rFonts w:hint="eastAsia" w:eastAsiaTheme="minorEastAsia"/>
                <w:bCs/>
                <w:szCs w:val="20"/>
              </w:rPr>
              <w:t>控制性指标</w:t>
            </w:r>
          </w:p>
        </w:tc>
      </w:tr>
      <w:tr w14:paraId="21F7F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301D3373">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15856D08">
            <w:pPr>
              <w:adjustRightInd w:val="0"/>
              <w:snapToGrid w:val="0"/>
              <w:spacing w:line="320" w:lineRule="exact"/>
              <w:jc w:val="center"/>
              <w:textAlignment w:val="baseline"/>
              <w:rPr>
                <w:rFonts w:eastAsiaTheme="minorEastAsia"/>
                <w:bCs/>
                <w:szCs w:val="20"/>
              </w:rPr>
            </w:pPr>
            <w:r>
              <w:rPr>
                <w:rFonts w:hint="eastAsia" w:eastAsiaTheme="minorEastAsia"/>
                <w:bCs/>
                <w:szCs w:val="20"/>
              </w:rPr>
              <w:t xml:space="preserve">       外部荒料（万</w:t>
            </w:r>
            <w:r>
              <w:rPr>
                <w:rFonts w:eastAsiaTheme="minorEastAsia"/>
                <w:bCs/>
                <w:szCs w:val="20"/>
              </w:rPr>
              <w:t>m³</w:t>
            </w:r>
            <w:r>
              <w:rPr>
                <w:rFonts w:hint="eastAsia" w:eastAsiaTheme="minorEastAsia"/>
                <w:bCs/>
                <w:szCs w:val="20"/>
              </w:rPr>
              <w:t>）</w:t>
            </w:r>
          </w:p>
        </w:tc>
        <w:tc>
          <w:tcPr>
            <w:tcW w:w="572" w:type="pct"/>
            <w:shd w:val="clear" w:color="auto" w:fill="auto"/>
            <w:vAlign w:val="center"/>
          </w:tcPr>
          <w:p w14:paraId="7AE9CDD4">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572" w:type="pct"/>
            <w:shd w:val="clear" w:color="auto" w:fill="auto"/>
            <w:vAlign w:val="center"/>
          </w:tcPr>
          <w:p w14:paraId="7AD51405">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496" w:type="pct"/>
            <w:shd w:val="clear" w:color="auto" w:fill="auto"/>
            <w:vAlign w:val="center"/>
          </w:tcPr>
          <w:p w14:paraId="5DD50EEB">
            <w:pPr>
              <w:adjustRightInd w:val="0"/>
              <w:snapToGrid w:val="0"/>
              <w:spacing w:line="320" w:lineRule="exact"/>
              <w:jc w:val="center"/>
              <w:textAlignment w:val="baseline"/>
              <w:rPr>
                <w:rFonts w:eastAsiaTheme="minorEastAsia"/>
                <w:bCs/>
                <w:szCs w:val="20"/>
              </w:rPr>
            </w:pPr>
            <w:r>
              <w:rPr>
                <w:rFonts w:hint="eastAsia" w:eastAsiaTheme="minorEastAsia"/>
                <w:bCs/>
                <w:szCs w:val="20"/>
              </w:rPr>
              <w:t>50</w:t>
            </w:r>
          </w:p>
        </w:tc>
        <w:tc>
          <w:tcPr>
            <w:tcW w:w="860" w:type="pct"/>
            <w:shd w:val="clear" w:color="auto" w:fill="auto"/>
            <w:vAlign w:val="center"/>
          </w:tcPr>
          <w:p w14:paraId="5A6B5CDA">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67735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320119E3">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056660C6">
            <w:pPr>
              <w:adjustRightInd w:val="0"/>
              <w:snapToGrid w:val="0"/>
              <w:spacing w:line="320" w:lineRule="exact"/>
              <w:jc w:val="center"/>
              <w:textAlignment w:val="baseline"/>
              <w:rPr>
                <w:rFonts w:eastAsiaTheme="minorEastAsia"/>
                <w:bCs/>
                <w:szCs w:val="20"/>
              </w:rPr>
            </w:pPr>
            <w:r>
              <w:rPr>
                <w:rFonts w:hint="eastAsia" w:eastAsiaTheme="minorEastAsia"/>
                <w:bCs/>
                <w:szCs w:val="20"/>
              </w:rPr>
              <w:t>板材产品（万</w:t>
            </w:r>
            <w:r>
              <w:rPr>
                <w:rFonts w:eastAsiaTheme="minorEastAsia"/>
                <w:bCs/>
                <w:szCs w:val="20"/>
              </w:rPr>
              <w:t>m²</w:t>
            </w:r>
            <w:r>
              <w:rPr>
                <w:rFonts w:hint="eastAsia" w:eastAsiaTheme="minorEastAsia"/>
                <w:bCs/>
                <w:szCs w:val="20"/>
              </w:rPr>
              <w:t>）</w:t>
            </w:r>
          </w:p>
        </w:tc>
        <w:tc>
          <w:tcPr>
            <w:tcW w:w="572" w:type="pct"/>
            <w:shd w:val="clear" w:color="auto" w:fill="auto"/>
            <w:vAlign w:val="center"/>
          </w:tcPr>
          <w:p w14:paraId="138DA47F">
            <w:pPr>
              <w:adjustRightInd w:val="0"/>
              <w:snapToGrid w:val="0"/>
              <w:spacing w:line="320" w:lineRule="exact"/>
              <w:jc w:val="center"/>
              <w:textAlignment w:val="baseline"/>
              <w:rPr>
                <w:rFonts w:eastAsiaTheme="minorEastAsia"/>
                <w:bCs/>
                <w:szCs w:val="20"/>
              </w:rPr>
            </w:pPr>
            <w:r>
              <w:rPr>
                <w:rFonts w:hint="eastAsia" w:eastAsiaTheme="minorEastAsia"/>
                <w:bCs/>
                <w:szCs w:val="20"/>
              </w:rPr>
              <w:t>180</w:t>
            </w:r>
            <w:r>
              <w:rPr>
                <w:rFonts w:eastAsiaTheme="minorEastAsia"/>
                <w:bCs/>
                <w:szCs w:val="20"/>
              </w:rPr>
              <w:t>00</w:t>
            </w:r>
          </w:p>
        </w:tc>
        <w:tc>
          <w:tcPr>
            <w:tcW w:w="572" w:type="pct"/>
            <w:shd w:val="clear" w:color="auto" w:fill="auto"/>
            <w:vAlign w:val="center"/>
          </w:tcPr>
          <w:p w14:paraId="6ECE7FA2">
            <w:pPr>
              <w:adjustRightInd w:val="0"/>
              <w:snapToGrid w:val="0"/>
              <w:spacing w:line="320" w:lineRule="exact"/>
              <w:jc w:val="center"/>
              <w:textAlignment w:val="baseline"/>
              <w:rPr>
                <w:rFonts w:eastAsiaTheme="minorEastAsia"/>
                <w:bCs/>
                <w:szCs w:val="20"/>
              </w:rPr>
            </w:pPr>
            <w:r>
              <w:rPr>
                <w:rFonts w:hint="eastAsia" w:eastAsiaTheme="minorEastAsia"/>
                <w:bCs/>
                <w:szCs w:val="20"/>
              </w:rPr>
              <w:t>20000</w:t>
            </w:r>
          </w:p>
        </w:tc>
        <w:tc>
          <w:tcPr>
            <w:tcW w:w="496" w:type="pct"/>
            <w:shd w:val="clear" w:color="auto" w:fill="auto"/>
            <w:vAlign w:val="center"/>
          </w:tcPr>
          <w:p w14:paraId="3C40C8B6">
            <w:pPr>
              <w:adjustRightInd w:val="0"/>
              <w:snapToGrid w:val="0"/>
              <w:spacing w:line="320" w:lineRule="exact"/>
              <w:jc w:val="center"/>
              <w:textAlignment w:val="baseline"/>
              <w:rPr>
                <w:rFonts w:eastAsiaTheme="minorEastAsia"/>
                <w:bCs/>
                <w:szCs w:val="20"/>
              </w:rPr>
            </w:pPr>
            <w:r>
              <w:rPr>
                <w:rFonts w:hint="eastAsia" w:eastAsiaTheme="minorEastAsia"/>
                <w:bCs/>
                <w:szCs w:val="20"/>
              </w:rPr>
              <w:t>20000</w:t>
            </w:r>
          </w:p>
        </w:tc>
        <w:tc>
          <w:tcPr>
            <w:tcW w:w="860" w:type="pct"/>
            <w:shd w:val="clear" w:color="auto" w:fill="auto"/>
            <w:vAlign w:val="center"/>
          </w:tcPr>
          <w:p w14:paraId="530FA872">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223A8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78AA7032">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5A3BD34B">
            <w:pPr>
              <w:adjustRightInd w:val="0"/>
              <w:snapToGrid w:val="0"/>
              <w:spacing w:line="320" w:lineRule="exact"/>
              <w:jc w:val="center"/>
              <w:textAlignment w:val="baseline"/>
              <w:rPr>
                <w:rFonts w:eastAsiaTheme="minorEastAsia"/>
                <w:bCs/>
                <w:szCs w:val="20"/>
              </w:rPr>
            </w:pPr>
            <w:r>
              <w:rPr>
                <w:rFonts w:hint="eastAsia" w:eastAsiaTheme="minorEastAsia"/>
                <w:bCs/>
                <w:szCs w:val="20"/>
              </w:rPr>
              <w:t>石雕石刻等异型产品（亿元）</w:t>
            </w:r>
          </w:p>
        </w:tc>
        <w:tc>
          <w:tcPr>
            <w:tcW w:w="572" w:type="pct"/>
            <w:shd w:val="clear" w:color="auto" w:fill="auto"/>
            <w:vAlign w:val="center"/>
          </w:tcPr>
          <w:p w14:paraId="7D981B44">
            <w:pPr>
              <w:adjustRightInd w:val="0"/>
              <w:snapToGrid w:val="0"/>
              <w:spacing w:line="320" w:lineRule="exact"/>
              <w:jc w:val="center"/>
              <w:textAlignment w:val="baseline"/>
              <w:rPr>
                <w:rFonts w:eastAsiaTheme="minorEastAsia"/>
                <w:bCs/>
                <w:szCs w:val="20"/>
              </w:rPr>
            </w:pPr>
            <w:r>
              <w:rPr>
                <w:rFonts w:hint="eastAsia" w:eastAsiaTheme="minorEastAsia"/>
                <w:bCs/>
                <w:szCs w:val="20"/>
              </w:rPr>
              <w:t>40</w:t>
            </w:r>
          </w:p>
        </w:tc>
        <w:tc>
          <w:tcPr>
            <w:tcW w:w="572" w:type="pct"/>
            <w:shd w:val="clear" w:color="auto" w:fill="auto"/>
            <w:vAlign w:val="center"/>
          </w:tcPr>
          <w:p w14:paraId="0EE57FC5">
            <w:pPr>
              <w:adjustRightInd w:val="0"/>
              <w:snapToGrid w:val="0"/>
              <w:spacing w:line="320" w:lineRule="exact"/>
              <w:jc w:val="center"/>
              <w:textAlignment w:val="baseline"/>
              <w:rPr>
                <w:rFonts w:eastAsiaTheme="minorEastAsia"/>
                <w:bCs/>
                <w:szCs w:val="20"/>
              </w:rPr>
            </w:pPr>
            <w:r>
              <w:rPr>
                <w:rFonts w:hint="eastAsia" w:eastAsiaTheme="minorEastAsia"/>
                <w:bCs/>
                <w:szCs w:val="20"/>
              </w:rPr>
              <w:t>70</w:t>
            </w:r>
          </w:p>
        </w:tc>
        <w:tc>
          <w:tcPr>
            <w:tcW w:w="496" w:type="pct"/>
            <w:shd w:val="clear" w:color="auto" w:fill="auto"/>
            <w:vAlign w:val="center"/>
          </w:tcPr>
          <w:p w14:paraId="5DF4E97A">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860" w:type="pct"/>
            <w:shd w:val="clear" w:color="auto" w:fill="auto"/>
            <w:vAlign w:val="center"/>
          </w:tcPr>
          <w:p w14:paraId="5D27172F">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1F666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03C0B75B">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3087E962">
            <w:pPr>
              <w:adjustRightInd w:val="0"/>
              <w:snapToGrid w:val="0"/>
              <w:spacing w:line="320" w:lineRule="exact"/>
              <w:jc w:val="center"/>
              <w:textAlignment w:val="baseline"/>
              <w:rPr>
                <w:rFonts w:eastAsiaTheme="minorEastAsia"/>
                <w:bCs/>
                <w:szCs w:val="20"/>
              </w:rPr>
            </w:pPr>
            <w:r>
              <w:rPr>
                <w:rFonts w:hint="eastAsia" w:eastAsiaTheme="minorEastAsia"/>
                <w:bCs/>
                <w:szCs w:val="20"/>
              </w:rPr>
              <w:t>石材工程服务（亿元）</w:t>
            </w:r>
          </w:p>
        </w:tc>
        <w:tc>
          <w:tcPr>
            <w:tcW w:w="572" w:type="pct"/>
            <w:shd w:val="clear" w:color="auto" w:fill="auto"/>
            <w:vAlign w:val="center"/>
          </w:tcPr>
          <w:p w14:paraId="03ACE4EA">
            <w:pPr>
              <w:adjustRightInd w:val="0"/>
              <w:snapToGrid w:val="0"/>
              <w:spacing w:line="320" w:lineRule="exact"/>
              <w:jc w:val="center"/>
              <w:textAlignment w:val="baseline"/>
              <w:rPr>
                <w:rFonts w:eastAsiaTheme="minorEastAsia"/>
                <w:bCs/>
                <w:szCs w:val="20"/>
              </w:rPr>
            </w:pPr>
            <w:r>
              <w:rPr>
                <w:rFonts w:hint="eastAsia" w:eastAsiaTheme="minorEastAsia"/>
                <w:bCs/>
                <w:szCs w:val="20"/>
              </w:rPr>
              <w:t>2</w:t>
            </w:r>
            <w:r>
              <w:rPr>
                <w:rFonts w:eastAsiaTheme="minorEastAsia"/>
                <w:bCs/>
                <w:szCs w:val="20"/>
              </w:rPr>
              <w:t>0</w:t>
            </w:r>
          </w:p>
        </w:tc>
        <w:tc>
          <w:tcPr>
            <w:tcW w:w="572" w:type="pct"/>
            <w:shd w:val="clear" w:color="auto" w:fill="auto"/>
            <w:vAlign w:val="center"/>
          </w:tcPr>
          <w:p w14:paraId="6E886F3A">
            <w:pPr>
              <w:adjustRightInd w:val="0"/>
              <w:snapToGrid w:val="0"/>
              <w:spacing w:line="320" w:lineRule="exact"/>
              <w:jc w:val="center"/>
              <w:textAlignment w:val="baseline"/>
              <w:rPr>
                <w:rFonts w:eastAsiaTheme="minorEastAsia"/>
                <w:bCs/>
                <w:szCs w:val="20"/>
              </w:rPr>
            </w:pPr>
            <w:r>
              <w:rPr>
                <w:rFonts w:hint="eastAsia" w:eastAsiaTheme="minorEastAsia"/>
                <w:bCs/>
                <w:szCs w:val="20"/>
              </w:rPr>
              <w:t>50</w:t>
            </w:r>
          </w:p>
        </w:tc>
        <w:tc>
          <w:tcPr>
            <w:tcW w:w="496" w:type="pct"/>
            <w:shd w:val="clear" w:color="auto" w:fill="auto"/>
            <w:vAlign w:val="center"/>
          </w:tcPr>
          <w:p w14:paraId="1AEA3AA7">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860" w:type="pct"/>
            <w:shd w:val="clear" w:color="auto" w:fill="auto"/>
            <w:vAlign w:val="center"/>
          </w:tcPr>
          <w:p w14:paraId="59AC90FC">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6C4AD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72282C9F">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7D721288">
            <w:pPr>
              <w:adjustRightInd w:val="0"/>
              <w:snapToGrid w:val="0"/>
              <w:spacing w:line="320" w:lineRule="exact"/>
              <w:jc w:val="center"/>
              <w:textAlignment w:val="baseline"/>
              <w:rPr>
                <w:rFonts w:eastAsiaTheme="minorEastAsia"/>
                <w:bCs/>
                <w:szCs w:val="20"/>
              </w:rPr>
            </w:pPr>
            <w:r>
              <w:rPr>
                <w:rFonts w:hint="eastAsia" w:eastAsiaTheme="minorEastAsia"/>
                <w:bCs/>
                <w:szCs w:val="20"/>
              </w:rPr>
              <w:t>物流、机械等配套产业（亿元）</w:t>
            </w:r>
          </w:p>
        </w:tc>
        <w:tc>
          <w:tcPr>
            <w:tcW w:w="572" w:type="pct"/>
            <w:shd w:val="clear" w:color="auto" w:fill="auto"/>
            <w:vAlign w:val="center"/>
          </w:tcPr>
          <w:p w14:paraId="45933C7B">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p>
        </w:tc>
        <w:tc>
          <w:tcPr>
            <w:tcW w:w="572" w:type="pct"/>
            <w:shd w:val="clear" w:color="auto" w:fill="auto"/>
            <w:vAlign w:val="center"/>
          </w:tcPr>
          <w:p w14:paraId="295FFD49">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496" w:type="pct"/>
            <w:shd w:val="clear" w:color="auto" w:fill="auto"/>
            <w:vAlign w:val="center"/>
          </w:tcPr>
          <w:p w14:paraId="7684121B">
            <w:pPr>
              <w:adjustRightInd w:val="0"/>
              <w:snapToGrid w:val="0"/>
              <w:spacing w:line="320" w:lineRule="exact"/>
              <w:jc w:val="center"/>
              <w:textAlignment w:val="baseline"/>
              <w:rPr>
                <w:rFonts w:eastAsiaTheme="minorEastAsia"/>
                <w:bCs/>
                <w:szCs w:val="20"/>
              </w:rPr>
            </w:pPr>
            <w:r>
              <w:rPr>
                <w:rFonts w:hint="eastAsia" w:eastAsiaTheme="minorEastAsia"/>
                <w:bCs/>
                <w:szCs w:val="20"/>
              </w:rPr>
              <w:t>50</w:t>
            </w:r>
          </w:p>
        </w:tc>
        <w:tc>
          <w:tcPr>
            <w:tcW w:w="860" w:type="pct"/>
            <w:shd w:val="clear" w:color="auto" w:fill="auto"/>
            <w:vAlign w:val="center"/>
          </w:tcPr>
          <w:p w14:paraId="5D89279B">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064CE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4218163A">
            <w:pPr>
              <w:adjustRightInd w:val="0"/>
              <w:snapToGrid w:val="0"/>
              <w:spacing w:line="320" w:lineRule="exact"/>
              <w:jc w:val="center"/>
              <w:textAlignment w:val="baseline"/>
              <w:rPr>
                <w:rFonts w:eastAsiaTheme="minorEastAsia"/>
                <w:bCs/>
                <w:szCs w:val="20"/>
              </w:rPr>
            </w:pPr>
            <w:r>
              <w:rPr>
                <w:rFonts w:hint="eastAsia" w:eastAsiaTheme="minorEastAsia"/>
                <w:bCs/>
                <w:szCs w:val="20"/>
              </w:rPr>
              <w:t>结构目标</w:t>
            </w:r>
          </w:p>
        </w:tc>
        <w:tc>
          <w:tcPr>
            <w:tcW w:w="1857" w:type="pct"/>
            <w:shd w:val="clear" w:color="auto" w:fill="auto"/>
            <w:vAlign w:val="center"/>
          </w:tcPr>
          <w:p w14:paraId="3970302B">
            <w:pPr>
              <w:adjustRightInd w:val="0"/>
              <w:snapToGrid w:val="0"/>
              <w:spacing w:line="320" w:lineRule="exact"/>
              <w:jc w:val="center"/>
              <w:textAlignment w:val="baseline"/>
              <w:rPr>
                <w:rFonts w:eastAsiaTheme="minorEastAsia"/>
                <w:bCs/>
                <w:szCs w:val="20"/>
              </w:rPr>
            </w:pPr>
            <w:r>
              <w:rPr>
                <w:rFonts w:hint="eastAsia" w:eastAsiaTheme="minorEastAsia"/>
                <w:bCs/>
                <w:szCs w:val="20"/>
              </w:rPr>
              <w:t>企业总数（家）</w:t>
            </w:r>
          </w:p>
        </w:tc>
        <w:tc>
          <w:tcPr>
            <w:tcW w:w="572" w:type="pct"/>
            <w:shd w:val="clear" w:color="auto" w:fill="auto"/>
            <w:vAlign w:val="center"/>
          </w:tcPr>
          <w:p w14:paraId="7F60C8C5">
            <w:pPr>
              <w:adjustRightInd w:val="0"/>
              <w:snapToGrid w:val="0"/>
              <w:spacing w:line="320" w:lineRule="exact"/>
              <w:jc w:val="center"/>
              <w:textAlignment w:val="baseline"/>
              <w:rPr>
                <w:rFonts w:eastAsiaTheme="minorEastAsia"/>
                <w:bCs/>
                <w:szCs w:val="20"/>
              </w:rPr>
            </w:pPr>
            <w:r>
              <w:rPr>
                <w:rFonts w:hint="eastAsia" w:eastAsiaTheme="minorEastAsia"/>
                <w:bCs/>
                <w:szCs w:val="20"/>
              </w:rPr>
              <w:t>200</w:t>
            </w:r>
          </w:p>
        </w:tc>
        <w:tc>
          <w:tcPr>
            <w:tcW w:w="572" w:type="pct"/>
            <w:shd w:val="clear" w:color="auto" w:fill="auto"/>
            <w:vAlign w:val="center"/>
          </w:tcPr>
          <w:p w14:paraId="269B25CC">
            <w:pPr>
              <w:adjustRightInd w:val="0"/>
              <w:snapToGrid w:val="0"/>
              <w:spacing w:line="320" w:lineRule="exact"/>
              <w:jc w:val="center"/>
              <w:textAlignment w:val="baseline"/>
              <w:rPr>
                <w:rFonts w:eastAsiaTheme="minorEastAsia"/>
                <w:bCs/>
                <w:szCs w:val="20"/>
              </w:rPr>
            </w:pPr>
            <w:r>
              <w:rPr>
                <w:rFonts w:hint="eastAsia" w:eastAsiaTheme="minorEastAsia"/>
                <w:bCs/>
                <w:szCs w:val="20"/>
              </w:rPr>
              <w:t>300</w:t>
            </w:r>
          </w:p>
        </w:tc>
        <w:tc>
          <w:tcPr>
            <w:tcW w:w="496" w:type="pct"/>
            <w:shd w:val="clear" w:color="auto" w:fill="auto"/>
            <w:vAlign w:val="center"/>
          </w:tcPr>
          <w:p w14:paraId="1D86A806">
            <w:pPr>
              <w:adjustRightInd w:val="0"/>
              <w:snapToGrid w:val="0"/>
              <w:spacing w:line="320" w:lineRule="exact"/>
              <w:jc w:val="center"/>
              <w:textAlignment w:val="baseline"/>
              <w:rPr>
                <w:rFonts w:eastAsiaTheme="minorEastAsia"/>
                <w:bCs/>
                <w:szCs w:val="20"/>
              </w:rPr>
            </w:pPr>
            <w:r>
              <w:rPr>
                <w:rFonts w:hint="eastAsia" w:eastAsiaTheme="minorEastAsia"/>
                <w:bCs/>
                <w:szCs w:val="20"/>
              </w:rPr>
              <w:t>500</w:t>
            </w:r>
          </w:p>
        </w:tc>
        <w:tc>
          <w:tcPr>
            <w:tcW w:w="860" w:type="pct"/>
            <w:shd w:val="clear" w:color="auto" w:fill="auto"/>
            <w:vAlign w:val="center"/>
          </w:tcPr>
          <w:p w14:paraId="33CA8258">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25E37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7EB8F784">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5F512BE6">
            <w:pPr>
              <w:adjustRightInd w:val="0"/>
              <w:snapToGrid w:val="0"/>
              <w:spacing w:line="320" w:lineRule="exact"/>
              <w:jc w:val="center"/>
              <w:textAlignment w:val="baseline"/>
              <w:rPr>
                <w:rFonts w:eastAsiaTheme="minorEastAsia"/>
                <w:bCs/>
                <w:szCs w:val="20"/>
              </w:rPr>
            </w:pPr>
            <w:r>
              <w:rPr>
                <w:rFonts w:hint="eastAsia" w:eastAsiaTheme="minorEastAsia"/>
                <w:bCs/>
                <w:szCs w:val="20"/>
              </w:rPr>
              <w:t>深加工产品占比例率（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4FFCA3BC">
            <w:pPr>
              <w:adjustRightInd w:val="0"/>
              <w:snapToGrid w:val="0"/>
              <w:spacing w:line="320" w:lineRule="exact"/>
              <w:jc w:val="center"/>
              <w:textAlignment w:val="baseline"/>
              <w:rPr>
                <w:rFonts w:eastAsiaTheme="minorEastAsia"/>
                <w:bCs/>
                <w:szCs w:val="20"/>
              </w:rPr>
            </w:pPr>
            <w:r>
              <w:rPr>
                <w:rFonts w:hint="eastAsia" w:eastAsiaTheme="minorEastAsia"/>
                <w:bCs/>
                <w:szCs w:val="20"/>
              </w:rPr>
              <w:t>＞80</w:t>
            </w:r>
          </w:p>
        </w:tc>
        <w:tc>
          <w:tcPr>
            <w:tcW w:w="572" w:type="pct"/>
            <w:shd w:val="clear" w:color="auto" w:fill="auto"/>
            <w:vAlign w:val="center"/>
          </w:tcPr>
          <w:p w14:paraId="57BC23A9">
            <w:pPr>
              <w:adjustRightInd w:val="0"/>
              <w:snapToGrid w:val="0"/>
              <w:spacing w:line="320" w:lineRule="exact"/>
              <w:jc w:val="center"/>
              <w:textAlignment w:val="baseline"/>
              <w:rPr>
                <w:rFonts w:eastAsiaTheme="minorEastAsia"/>
                <w:bCs/>
                <w:szCs w:val="20"/>
              </w:rPr>
            </w:pPr>
            <w:r>
              <w:rPr>
                <w:rFonts w:hint="eastAsia" w:eastAsiaTheme="minorEastAsia"/>
                <w:bCs/>
                <w:szCs w:val="20"/>
              </w:rPr>
              <w:t>＞90</w:t>
            </w:r>
          </w:p>
        </w:tc>
        <w:tc>
          <w:tcPr>
            <w:tcW w:w="496" w:type="pct"/>
            <w:shd w:val="clear" w:color="auto" w:fill="auto"/>
            <w:vAlign w:val="center"/>
          </w:tcPr>
          <w:p w14:paraId="4A78CFEB">
            <w:pPr>
              <w:adjustRightInd w:val="0"/>
              <w:snapToGrid w:val="0"/>
              <w:spacing w:line="320" w:lineRule="exact"/>
              <w:jc w:val="center"/>
              <w:textAlignment w:val="baseline"/>
              <w:rPr>
                <w:rFonts w:eastAsiaTheme="minorEastAsia"/>
                <w:bCs/>
                <w:szCs w:val="20"/>
              </w:rPr>
            </w:pPr>
            <w:r>
              <w:rPr>
                <w:rFonts w:hint="eastAsia" w:eastAsiaTheme="minorEastAsia"/>
                <w:bCs/>
                <w:szCs w:val="20"/>
              </w:rPr>
              <w:t>＞95</w:t>
            </w:r>
          </w:p>
        </w:tc>
        <w:tc>
          <w:tcPr>
            <w:tcW w:w="860" w:type="pct"/>
            <w:shd w:val="clear" w:color="auto" w:fill="auto"/>
            <w:vAlign w:val="center"/>
          </w:tcPr>
          <w:p w14:paraId="1F265CCA">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71827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4EB1DA24">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0F21E5D6">
            <w:pPr>
              <w:adjustRightInd w:val="0"/>
              <w:snapToGrid w:val="0"/>
              <w:spacing w:line="320" w:lineRule="exact"/>
              <w:jc w:val="center"/>
              <w:textAlignment w:val="baseline"/>
              <w:rPr>
                <w:rFonts w:eastAsiaTheme="minorEastAsia"/>
                <w:bCs/>
                <w:szCs w:val="20"/>
              </w:rPr>
            </w:pPr>
            <w:r>
              <w:rPr>
                <w:rFonts w:hint="eastAsia" w:eastAsiaTheme="minorEastAsia"/>
                <w:bCs/>
                <w:szCs w:val="20"/>
              </w:rPr>
              <w:t>企业研发设计中心（家）</w:t>
            </w:r>
          </w:p>
        </w:tc>
        <w:tc>
          <w:tcPr>
            <w:tcW w:w="572" w:type="pct"/>
            <w:shd w:val="clear" w:color="auto" w:fill="auto"/>
            <w:vAlign w:val="center"/>
          </w:tcPr>
          <w:p w14:paraId="52BE7873">
            <w:pPr>
              <w:adjustRightInd w:val="0"/>
              <w:snapToGrid w:val="0"/>
              <w:spacing w:line="320" w:lineRule="exact"/>
              <w:jc w:val="center"/>
              <w:textAlignment w:val="baseline"/>
              <w:rPr>
                <w:rFonts w:eastAsiaTheme="minorEastAsia"/>
                <w:bCs/>
                <w:szCs w:val="20"/>
              </w:rPr>
            </w:pPr>
            <w:r>
              <w:rPr>
                <w:rFonts w:hint="eastAsia" w:eastAsiaTheme="minorEastAsia"/>
                <w:bCs/>
                <w:szCs w:val="20"/>
              </w:rPr>
              <w:t>＞5</w:t>
            </w:r>
          </w:p>
        </w:tc>
        <w:tc>
          <w:tcPr>
            <w:tcW w:w="572" w:type="pct"/>
            <w:shd w:val="clear" w:color="auto" w:fill="auto"/>
            <w:vAlign w:val="center"/>
          </w:tcPr>
          <w:p w14:paraId="278CC30A">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p>
        </w:tc>
        <w:tc>
          <w:tcPr>
            <w:tcW w:w="496" w:type="pct"/>
            <w:shd w:val="clear" w:color="auto" w:fill="auto"/>
            <w:vAlign w:val="center"/>
          </w:tcPr>
          <w:p w14:paraId="2EC0FC1B">
            <w:pPr>
              <w:adjustRightInd w:val="0"/>
              <w:snapToGrid w:val="0"/>
              <w:spacing w:line="320" w:lineRule="exact"/>
              <w:jc w:val="center"/>
              <w:textAlignment w:val="baseline"/>
              <w:rPr>
                <w:rFonts w:eastAsiaTheme="minorEastAsia"/>
                <w:bCs/>
                <w:szCs w:val="20"/>
              </w:rPr>
            </w:pPr>
            <w:r>
              <w:rPr>
                <w:rFonts w:hint="eastAsia" w:eastAsiaTheme="minorEastAsia"/>
                <w:bCs/>
                <w:szCs w:val="20"/>
              </w:rPr>
              <w:t>＞15</w:t>
            </w:r>
          </w:p>
        </w:tc>
        <w:tc>
          <w:tcPr>
            <w:tcW w:w="860" w:type="pct"/>
            <w:shd w:val="clear" w:color="auto" w:fill="auto"/>
            <w:vAlign w:val="center"/>
          </w:tcPr>
          <w:p w14:paraId="5A6C563D">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77480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4FA94AA4">
            <w:pPr>
              <w:adjustRightInd w:val="0"/>
              <w:snapToGrid w:val="0"/>
              <w:spacing w:line="320" w:lineRule="exact"/>
              <w:jc w:val="center"/>
              <w:textAlignment w:val="baseline"/>
              <w:rPr>
                <w:rFonts w:eastAsiaTheme="minorEastAsia"/>
                <w:bCs/>
                <w:szCs w:val="20"/>
              </w:rPr>
            </w:pPr>
            <w:r>
              <w:rPr>
                <w:rFonts w:hint="eastAsia" w:eastAsiaTheme="minorEastAsia"/>
                <w:bCs/>
                <w:szCs w:val="20"/>
              </w:rPr>
              <w:t>资源综合利用及环保目标</w:t>
            </w:r>
          </w:p>
        </w:tc>
        <w:tc>
          <w:tcPr>
            <w:tcW w:w="1857" w:type="pct"/>
            <w:shd w:val="clear" w:color="auto" w:fill="auto"/>
            <w:vAlign w:val="center"/>
          </w:tcPr>
          <w:p w14:paraId="60BE10DA">
            <w:pPr>
              <w:adjustRightInd w:val="0"/>
              <w:snapToGrid w:val="0"/>
              <w:spacing w:line="320" w:lineRule="exact"/>
              <w:jc w:val="center"/>
              <w:textAlignment w:val="baseline"/>
              <w:rPr>
                <w:rFonts w:eastAsiaTheme="minorEastAsia"/>
                <w:bCs/>
                <w:szCs w:val="20"/>
              </w:rPr>
            </w:pPr>
            <w:r>
              <w:rPr>
                <w:rFonts w:hint="eastAsia" w:eastAsiaTheme="minorEastAsia"/>
                <w:bCs/>
                <w:szCs w:val="20"/>
              </w:rPr>
              <w:t>固体废物综合处置率（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46080A95">
            <w:pPr>
              <w:adjustRightInd w:val="0"/>
              <w:snapToGrid w:val="0"/>
              <w:spacing w:line="320" w:lineRule="exact"/>
              <w:jc w:val="center"/>
              <w:textAlignment w:val="baseline"/>
              <w:rPr>
                <w:rFonts w:eastAsiaTheme="minorEastAsia"/>
                <w:bCs/>
                <w:szCs w:val="20"/>
              </w:rPr>
            </w:pPr>
            <w:r>
              <w:rPr>
                <w:rFonts w:hint="eastAsia" w:eastAsiaTheme="minorEastAsia"/>
                <w:bCs/>
                <w:szCs w:val="20"/>
              </w:rPr>
              <w:t>95</w:t>
            </w:r>
          </w:p>
        </w:tc>
        <w:tc>
          <w:tcPr>
            <w:tcW w:w="572" w:type="pct"/>
            <w:shd w:val="clear" w:color="auto" w:fill="auto"/>
            <w:vAlign w:val="center"/>
          </w:tcPr>
          <w:p w14:paraId="7343E9C8">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496" w:type="pct"/>
            <w:shd w:val="clear" w:color="auto" w:fill="auto"/>
            <w:vAlign w:val="center"/>
          </w:tcPr>
          <w:p w14:paraId="7D727610">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860" w:type="pct"/>
            <w:shd w:val="clear" w:color="auto" w:fill="auto"/>
          </w:tcPr>
          <w:p w14:paraId="77B610CE">
            <w:pPr>
              <w:adjustRightInd w:val="0"/>
              <w:snapToGrid w:val="0"/>
              <w:spacing w:line="320" w:lineRule="exact"/>
              <w:jc w:val="center"/>
              <w:textAlignment w:val="baseline"/>
              <w:rPr>
                <w:rFonts w:eastAsiaTheme="minorEastAsia"/>
                <w:bCs/>
                <w:szCs w:val="20"/>
              </w:rPr>
            </w:pPr>
            <w:r>
              <w:rPr>
                <w:rFonts w:hint="eastAsia" w:eastAsiaTheme="minorEastAsia"/>
                <w:bCs/>
                <w:szCs w:val="20"/>
              </w:rPr>
              <w:t>控制性指标</w:t>
            </w:r>
          </w:p>
        </w:tc>
      </w:tr>
      <w:tr w14:paraId="30FA9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425C907F">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2E03409B">
            <w:pPr>
              <w:adjustRightInd w:val="0"/>
              <w:snapToGrid w:val="0"/>
              <w:spacing w:line="320" w:lineRule="exact"/>
              <w:jc w:val="center"/>
              <w:textAlignment w:val="baseline"/>
              <w:rPr>
                <w:rFonts w:eastAsiaTheme="minorEastAsia"/>
                <w:bCs/>
                <w:szCs w:val="20"/>
              </w:rPr>
            </w:pPr>
            <w:r>
              <w:rPr>
                <w:rFonts w:hint="eastAsia" w:eastAsiaTheme="minorEastAsia"/>
                <w:bCs/>
                <w:szCs w:val="20"/>
              </w:rPr>
              <w:t>工业废水循环利用率（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2D9C4038">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572" w:type="pct"/>
            <w:shd w:val="clear" w:color="auto" w:fill="auto"/>
            <w:vAlign w:val="center"/>
          </w:tcPr>
          <w:p w14:paraId="466C7BE3">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496" w:type="pct"/>
            <w:shd w:val="clear" w:color="auto" w:fill="auto"/>
            <w:vAlign w:val="center"/>
          </w:tcPr>
          <w:p w14:paraId="372042FE">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860" w:type="pct"/>
            <w:shd w:val="clear" w:color="auto" w:fill="auto"/>
          </w:tcPr>
          <w:p w14:paraId="2C1436BB">
            <w:pPr>
              <w:adjustRightInd w:val="0"/>
              <w:snapToGrid w:val="0"/>
              <w:spacing w:line="320" w:lineRule="exact"/>
              <w:jc w:val="center"/>
              <w:textAlignment w:val="baseline"/>
              <w:rPr>
                <w:rFonts w:eastAsiaTheme="minorEastAsia"/>
                <w:bCs/>
                <w:szCs w:val="20"/>
              </w:rPr>
            </w:pPr>
            <w:r>
              <w:rPr>
                <w:rFonts w:hint="eastAsia" w:eastAsiaTheme="minorEastAsia"/>
                <w:bCs/>
                <w:szCs w:val="20"/>
              </w:rPr>
              <w:t>控制性指标</w:t>
            </w:r>
          </w:p>
        </w:tc>
      </w:tr>
      <w:tr w14:paraId="02DD5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612DA9B6">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45ADD1F6">
            <w:pPr>
              <w:adjustRightInd w:val="0"/>
              <w:snapToGrid w:val="0"/>
              <w:spacing w:line="320" w:lineRule="exact"/>
              <w:jc w:val="center"/>
              <w:textAlignment w:val="baseline"/>
              <w:rPr>
                <w:rFonts w:eastAsiaTheme="minorEastAsia"/>
                <w:bCs/>
                <w:szCs w:val="20"/>
              </w:rPr>
            </w:pPr>
            <w:r>
              <w:rPr>
                <w:rFonts w:hint="eastAsia" w:eastAsiaTheme="minorEastAsia"/>
                <w:bCs/>
                <w:szCs w:val="20"/>
              </w:rPr>
              <w:t>废水排放达标率（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06142FD9">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572" w:type="pct"/>
            <w:shd w:val="clear" w:color="auto" w:fill="auto"/>
            <w:vAlign w:val="center"/>
          </w:tcPr>
          <w:p w14:paraId="5DD2F38C">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496" w:type="pct"/>
            <w:shd w:val="clear" w:color="auto" w:fill="auto"/>
            <w:vAlign w:val="center"/>
          </w:tcPr>
          <w:p w14:paraId="73279FFE">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860" w:type="pct"/>
            <w:shd w:val="clear" w:color="auto" w:fill="auto"/>
          </w:tcPr>
          <w:p w14:paraId="509A4DA0">
            <w:pPr>
              <w:adjustRightInd w:val="0"/>
              <w:snapToGrid w:val="0"/>
              <w:spacing w:line="320" w:lineRule="exact"/>
              <w:jc w:val="center"/>
              <w:textAlignment w:val="baseline"/>
              <w:rPr>
                <w:rFonts w:eastAsiaTheme="minorEastAsia"/>
                <w:bCs/>
                <w:szCs w:val="20"/>
              </w:rPr>
            </w:pPr>
            <w:r>
              <w:rPr>
                <w:rFonts w:hint="eastAsia" w:eastAsiaTheme="minorEastAsia"/>
                <w:bCs/>
                <w:szCs w:val="20"/>
              </w:rPr>
              <w:t>控制性指标</w:t>
            </w:r>
          </w:p>
        </w:tc>
      </w:tr>
      <w:tr w14:paraId="0EABD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0FDD9B1E">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357EC72A">
            <w:pPr>
              <w:adjustRightInd w:val="0"/>
              <w:snapToGrid w:val="0"/>
              <w:spacing w:line="320" w:lineRule="exact"/>
              <w:jc w:val="center"/>
              <w:textAlignment w:val="baseline"/>
              <w:rPr>
                <w:rFonts w:eastAsiaTheme="minorEastAsia"/>
                <w:bCs/>
                <w:szCs w:val="20"/>
              </w:rPr>
            </w:pPr>
            <w:r>
              <w:rPr>
                <w:rFonts w:hint="eastAsia" w:eastAsiaTheme="minorEastAsia"/>
                <w:bCs/>
                <w:szCs w:val="20"/>
              </w:rPr>
              <w:t>矿山生态环境恢复治理率（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19D748BE">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572" w:type="pct"/>
            <w:shd w:val="clear" w:color="auto" w:fill="auto"/>
            <w:vAlign w:val="center"/>
          </w:tcPr>
          <w:p w14:paraId="319D6297">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496" w:type="pct"/>
            <w:shd w:val="clear" w:color="auto" w:fill="auto"/>
            <w:vAlign w:val="center"/>
          </w:tcPr>
          <w:p w14:paraId="6E0B1880">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860" w:type="pct"/>
            <w:shd w:val="clear" w:color="auto" w:fill="auto"/>
            <w:vAlign w:val="center"/>
          </w:tcPr>
          <w:p w14:paraId="13D7A2B7">
            <w:pPr>
              <w:adjustRightInd w:val="0"/>
              <w:snapToGrid w:val="0"/>
              <w:spacing w:line="320" w:lineRule="exact"/>
              <w:jc w:val="center"/>
              <w:textAlignment w:val="baseline"/>
              <w:rPr>
                <w:rFonts w:eastAsiaTheme="minorEastAsia"/>
                <w:bCs/>
                <w:szCs w:val="20"/>
              </w:rPr>
            </w:pPr>
            <w:r>
              <w:rPr>
                <w:rFonts w:hint="eastAsia" w:eastAsiaTheme="minorEastAsia"/>
                <w:bCs/>
                <w:szCs w:val="20"/>
              </w:rPr>
              <w:t>控制性指标</w:t>
            </w:r>
          </w:p>
        </w:tc>
      </w:tr>
      <w:tr w14:paraId="6AA9C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6BE66BBF">
            <w:pPr>
              <w:adjustRightInd w:val="0"/>
              <w:snapToGrid w:val="0"/>
              <w:spacing w:line="320" w:lineRule="exact"/>
              <w:jc w:val="center"/>
              <w:textAlignment w:val="baseline"/>
              <w:rPr>
                <w:rFonts w:eastAsiaTheme="minorEastAsia"/>
                <w:bCs/>
                <w:szCs w:val="20"/>
              </w:rPr>
            </w:pPr>
            <w:r>
              <w:rPr>
                <w:rFonts w:hint="eastAsia" w:eastAsiaTheme="minorEastAsia"/>
                <w:bCs/>
                <w:szCs w:val="20"/>
              </w:rPr>
              <w:t>就业目标</w:t>
            </w:r>
          </w:p>
        </w:tc>
        <w:tc>
          <w:tcPr>
            <w:tcW w:w="1857" w:type="pct"/>
            <w:shd w:val="clear" w:color="auto" w:fill="auto"/>
            <w:vAlign w:val="center"/>
          </w:tcPr>
          <w:p w14:paraId="527E074A">
            <w:pPr>
              <w:adjustRightInd w:val="0"/>
              <w:snapToGrid w:val="0"/>
              <w:spacing w:line="320" w:lineRule="exact"/>
              <w:jc w:val="center"/>
              <w:textAlignment w:val="baseline"/>
              <w:rPr>
                <w:rFonts w:eastAsiaTheme="minorEastAsia"/>
                <w:bCs/>
                <w:szCs w:val="20"/>
              </w:rPr>
            </w:pPr>
            <w:r>
              <w:rPr>
                <w:rFonts w:hint="eastAsia" w:eastAsiaTheme="minorEastAsia"/>
                <w:bCs/>
                <w:szCs w:val="20"/>
              </w:rPr>
              <w:t>技术工人（人）</w:t>
            </w:r>
          </w:p>
        </w:tc>
        <w:tc>
          <w:tcPr>
            <w:tcW w:w="572" w:type="pct"/>
            <w:shd w:val="clear" w:color="auto" w:fill="auto"/>
            <w:vAlign w:val="center"/>
          </w:tcPr>
          <w:p w14:paraId="79BA273D">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r>
              <w:rPr>
                <w:rFonts w:eastAsiaTheme="minorEastAsia"/>
                <w:bCs/>
                <w:szCs w:val="20"/>
              </w:rPr>
              <w:t>000</w:t>
            </w:r>
          </w:p>
        </w:tc>
        <w:tc>
          <w:tcPr>
            <w:tcW w:w="572" w:type="pct"/>
            <w:shd w:val="clear" w:color="auto" w:fill="auto"/>
            <w:vAlign w:val="center"/>
          </w:tcPr>
          <w:p w14:paraId="1113C2FA">
            <w:pPr>
              <w:adjustRightInd w:val="0"/>
              <w:snapToGrid w:val="0"/>
              <w:spacing w:line="320" w:lineRule="exact"/>
              <w:jc w:val="center"/>
              <w:textAlignment w:val="baseline"/>
              <w:rPr>
                <w:rFonts w:eastAsiaTheme="minorEastAsia"/>
                <w:bCs/>
                <w:szCs w:val="20"/>
              </w:rPr>
            </w:pPr>
            <w:r>
              <w:rPr>
                <w:rFonts w:hint="eastAsia" w:eastAsiaTheme="minorEastAsia"/>
                <w:bCs/>
                <w:szCs w:val="20"/>
              </w:rPr>
              <w:t>30</w:t>
            </w:r>
            <w:r>
              <w:rPr>
                <w:rFonts w:eastAsiaTheme="minorEastAsia"/>
                <w:bCs/>
                <w:szCs w:val="20"/>
              </w:rPr>
              <w:t>000</w:t>
            </w:r>
          </w:p>
        </w:tc>
        <w:tc>
          <w:tcPr>
            <w:tcW w:w="496" w:type="pct"/>
            <w:shd w:val="clear" w:color="auto" w:fill="auto"/>
            <w:vAlign w:val="center"/>
          </w:tcPr>
          <w:p w14:paraId="29FDA855">
            <w:pPr>
              <w:adjustRightInd w:val="0"/>
              <w:snapToGrid w:val="0"/>
              <w:spacing w:line="320" w:lineRule="exact"/>
              <w:jc w:val="center"/>
              <w:textAlignment w:val="baseline"/>
              <w:rPr>
                <w:rFonts w:eastAsiaTheme="minorEastAsia"/>
                <w:bCs/>
                <w:szCs w:val="20"/>
              </w:rPr>
            </w:pPr>
            <w:r>
              <w:rPr>
                <w:rFonts w:hint="eastAsia" w:eastAsiaTheme="minorEastAsia"/>
                <w:bCs/>
                <w:szCs w:val="20"/>
              </w:rPr>
              <w:t>3</w:t>
            </w:r>
            <w:r>
              <w:rPr>
                <w:rFonts w:eastAsiaTheme="minorEastAsia"/>
                <w:bCs/>
                <w:szCs w:val="20"/>
              </w:rPr>
              <w:t>000</w:t>
            </w:r>
            <w:r>
              <w:rPr>
                <w:rFonts w:hint="eastAsia" w:eastAsiaTheme="minorEastAsia"/>
                <w:bCs/>
                <w:szCs w:val="20"/>
              </w:rPr>
              <w:t>0</w:t>
            </w:r>
          </w:p>
        </w:tc>
        <w:tc>
          <w:tcPr>
            <w:tcW w:w="860" w:type="pct"/>
            <w:shd w:val="clear" w:color="auto" w:fill="auto"/>
            <w:vAlign w:val="center"/>
          </w:tcPr>
          <w:p w14:paraId="3FC9E319">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32E33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411A6FCC">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30D848F9">
            <w:pPr>
              <w:adjustRightInd w:val="0"/>
              <w:snapToGrid w:val="0"/>
              <w:spacing w:line="320" w:lineRule="exact"/>
              <w:jc w:val="center"/>
              <w:textAlignment w:val="baseline"/>
              <w:rPr>
                <w:rFonts w:eastAsiaTheme="minorEastAsia"/>
                <w:bCs/>
                <w:szCs w:val="20"/>
              </w:rPr>
            </w:pPr>
            <w:r>
              <w:rPr>
                <w:rFonts w:hint="eastAsia" w:eastAsiaTheme="minorEastAsia"/>
                <w:bCs/>
                <w:szCs w:val="20"/>
              </w:rPr>
              <w:t>从事配套服务业的劳动者（人）</w:t>
            </w:r>
          </w:p>
        </w:tc>
        <w:tc>
          <w:tcPr>
            <w:tcW w:w="572" w:type="pct"/>
            <w:shd w:val="clear" w:color="auto" w:fill="auto"/>
            <w:vAlign w:val="center"/>
          </w:tcPr>
          <w:p w14:paraId="5F356856">
            <w:pPr>
              <w:adjustRightInd w:val="0"/>
              <w:snapToGrid w:val="0"/>
              <w:spacing w:line="320" w:lineRule="exact"/>
              <w:jc w:val="center"/>
              <w:textAlignment w:val="baseline"/>
              <w:rPr>
                <w:rFonts w:eastAsiaTheme="minorEastAsia"/>
                <w:bCs/>
                <w:szCs w:val="20"/>
              </w:rPr>
            </w:pPr>
            <w:r>
              <w:rPr>
                <w:rFonts w:hint="eastAsia" w:eastAsiaTheme="minorEastAsia"/>
                <w:bCs/>
                <w:szCs w:val="20"/>
              </w:rPr>
              <w:t>40</w:t>
            </w:r>
            <w:r>
              <w:rPr>
                <w:rFonts w:eastAsiaTheme="minorEastAsia"/>
                <w:bCs/>
                <w:szCs w:val="20"/>
              </w:rPr>
              <w:t>000</w:t>
            </w:r>
          </w:p>
        </w:tc>
        <w:tc>
          <w:tcPr>
            <w:tcW w:w="572" w:type="pct"/>
            <w:shd w:val="clear" w:color="auto" w:fill="auto"/>
            <w:vAlign w:val="center"/>
          </w:tcPr>
          <w:p w14:paraId="55AA9A24">
            <w:pPr>
              <w:adjustRightInd w:val="0"/>
              <w:snapToGrid w:val="0"/>
              <w:spacing w:line="320" w:lineRule="exact"/>
              <w:jc w:val="center"/>
              <w:textAlignment w:val="baseline"/>
              <w:rPr>
                <w:rFonts w:eastAsiaTheme="minorEastAsia"/>
                <w:bCs/>
                <w:szCs w:val="20"/>
              </w:rPr>
            </w:pPr>
            <w:r>
              <w:rPr>
                <w:rFonts w:hint="eastAsia" w:eastAsiaTheme="minorEastAsia"/>
                <w:bCs/>
                <w:szCs w:val="20"/>
              </w:rPr>
              <w:t>8</w:t>
            </w:r>
            <w:r>
              <w:rPr>
                <w:rFonts w:eastAsiaTheme="minorEastAsia"/>
                <w:bCs/>
                <w:szCs w:val="20"/>
              </w:rPr>
              <w:t>000</w:t>
            </w:r>
            <w:r>
              <w:rPr>
                <w:rFonts w:hint="eastAsia" w:eastAsiaTheme="minorEastAsia"/>
                <w:bCs/>
                <w:szCs w:val="20"/>
              </w:rPr>
              <w:t>0</w:t>
            </w:r>
          </w:p>
        </w:tc>
        <w:tc>
          <w:tcPr>
            <w:tcW w:w="496" w:type="pct"/>
            <w:shd w:val="clear" w:color="auto" w:fill="auto"/>
            <w:vAlign w:val="center"/>
          </w:tcPr>
          <w:p w14:paraId="58075D0D">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r>
              <w:rPr>
                <w:rFonts w:eastAsiaTheme="minorEastAsia"/>
                <w:bCs/>
                <w:szCs w:val="20"/>
              </w:rPr>
              <w:t>000</w:t>
            </w:r>
          </w:p>
        </w:tc>
        <w:tc>
          <w:tcPr>
            <w:tcW w:w="860" w:type="pct"/>
            <w:shd w:val="clear" w:color="auto" w:fill="auto"/>
            <w:vAlign w:val="center"/>
          </w:tcPr>
          <w:p w14:paraId="7BA6E481">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5D99E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restart"/>
            <w:shd w:val="clear" w:color="auto" w:fill="auto"/>
            <w:vAlign w:val="center"/>
          </w:tcPr>
          <w:p w14:paraId="2B10FC33">
            <w:pPr>
              <w:adjustRightInd w:val="0"/>
              <w:snapToGrid w:val="0"/>
              <w:spacing w:line="320" w:lineRule="exact"/>
              <w:jc w:val="center"/>
              <w:textAlignment w:val="baseline"/>
              <w:rPr>
                <w:rFonts w:eastAsiaTheme="minorEastAsia"/>
                <w:bCs/>
                <w:szCs w:val="20"/>
              </w:rPr>
            </w:pPr>
            <w:r>
              <w:rPr>
                <w:rFonts w:hint="eastAsia" w:eastAsiaTheme="minorEastAsia"/>
                <w:bCs/>
                <w:szCs w:val="20"/>
              </w:rPr>
              <w:t>智能化、信息化建设目标</w:t>
            </w:r>
          </w:p>
        </w:tc>
        <w:tc>
          <w:tcPr>
            <w:tcW w:w="1857" w:type="pct"/>
            <w:shd w:val="clear" w:color="auto" w:fill="auto"/>
            <w:vAlign w:val="center"/>
          </w:tcPr>
          <w:p w14:paraId="5C3708F2">
            <w:pPr>
              <w:adjustRightInd w:val="0"/>
              <w:snapToGrid w:val="0"/>
              <w:spacing w:line="320" w:lineRule="exact"/>
              <w:jc w:val="center"/>
              <w:textAlignment w:val="baseline"/>
              <w:rPr>
                <w:rFonts w:eastAsiaTheme="minorEastAsia"/>
                <w:bCs/>
                <w:szCs w:val="20"/>
              </w:rPr>
            </w:pPr>
            <w:r>
              <w:rPr>
                <w:rFonts w:hint="eastAsia" w:eastAsiaTheme="minorEastAsia"/>
                <w:bCs/>
                <w:szCs w:val="20"/>
              </w:rPr>
              <w:t>园区</w:t>
            </w:r>
            <w:r>
              <w:rPr>
                <w:rFonts w:eastAsiaTheme="minorEastAsia"/>
                <w:bCs/>
                <w:szCs w:val="20"/>
              </w:rPr>
              <w:t>5G</w:t>
            </w:r>
            <w:r>
              <w:rPr>
                <w:rFonts w:hint="eastAsia" w:eastAsiaTheme="minorEastAsia"/>
                <w:bCs/>
                <w:szCs w:val="20"/>
              </w:rPr>
              <w:t>网络覆盖率（</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766CC2CD">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572" w:type="pct"/>
            <w:shd w:val="clear" w:color="auto" w:fill="auto"/>
            <w:vAlign w:val="center"/>
          </w:tcPr>
          <w:p w14:paraId="3470E384">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496" w:type="pct"/>
            <w:shd w:val="clear" w:color="auto" w:fill="auto"/>
            <w:vAlign w:val="center"/>
          </w:tcPr>
          <w:p w14:paraId="3A5DA3B1">
            <w:pPr>
              <w:adjustRightInd w:val="0"/>
              <w:snapToGrid w:val="0"/>
              <w:spacing w:line="320" w:lineRule="exact"/>
              <w:jc w:val="center"/>
              <w:textAlignment w:val="baseline"/>
              <w:rPr>
                <w:rFonts w:eastAsiaTheme="minorEastAsia"/>
                <w:bCs/>
                <w:szCs w:val="20"/>
              </w:rPr>
            </w:pPr>
            <w:r>
              <w:rPr>
                <w:rFonts w:eastAsiaTheme="minorEastAsia"/>
                <w:bCs/>
                <w:szCs w:val="20"/>
              </w:rPr>
              <w:t>100</w:t>
            </w:r>
          </w:p>
        </w:tc>
        <w:tc>
          <w:tcPr>
            <w:tcW w:w="860" w:type="pct"/>
            <w:shd w:val="clear" w:color="auto" w:fill="auto"/>
            <w:vAlign w:val="center"/>
          </w:tcPr>
          <w:p w14:paraId="6F67FA45">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579C0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754E9948">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107BC83B">
            <w:pPr>
              <w:adjustRightInd w:val="0"/>
              <w:snapToGrid w:val="0"/>
              <w:spacing w:line="320" w:lineRule="exact"/>
              <w:jc w:val="center"/>
              <w:textAlignment w:val="baseline"/>
              <w:rPr>
                <w:rFonts w:eastAsiaTheme="minorEastAsia"/>
                <w:bCs/>
                <w:szCs w:val="20"/>
              </w:rPr>
            </w:pPr>
            <w:r>
              <w:rPr>
                <w:rFonts w:hint="eastAsia" w:eastAsiaTheme="minorEastAsia"/>
                <w:bCs/>
                <w:szCs w:val="20"/>
              </w:rPr>
              <w:t>省级智能制造示范企业</w:t>
            </w:r>
          </w:p>
        </w:tc>
        <w:tc>
          <w:tcPr>
            <w:tcW w:w="572" w:type="pct"/>
            <w:shd w:val="clear" w:color="auto" w:fill="auto"/>
            <w:vAlign w:val="center"/>
          </w:tcPr>
          <w:p w14:paraId="665E4E25">
            <w:pPr>
              <w:adjustRightInd w:val="0"/>
              <w:snapToGrid w:val="0"/>
              <w:spacing w:line="320" w:lineRule="exact"/>
              <w:jc w:val="center"/>
              <w:textAlignment w:val="baseline"/>
              <w:rPr>
                <w:rFonts w:eastAsiaTheme="minorEastAsia"/>
                <w:bCs/>
                <w:szCs w:val="20"/>
              </w:rPr>
            </w:pPr>
            <w:r>
              <w:rPr>
                <w:rFonts w:eastAsiaTheme="minorEastAsia"/>
                <w:bCs/>
                <w:szCs w:val="20"/>
              </w:rPr>
              <w:t>3</w:t>
            </w:r>
          </w:p>
        </w:tc>
        <w:tc>
          <w:tcPr>
            <w:tcW w:w="572" w:type="pct"/>
            <w:shd w:val="clear" w:color="auto" w:fill="auto"/>
            <w:vAlign w:val="center"/>
          </w:tcPr>
          <w:p w14:paraId="0A147DA4">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p>
        </w:tc>
        <w:tc>
          <w:tcPr>
            <w:tcW w:w="496" w:type="pct"/>
            <w:shd w:val="clear" w:color="auto" w:fill="auto"/>
            <w:vAlign w:val="center"/>
          </w:tcPr>
          <w:p w14:paraId="6D3F0885">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860" w:type="pct"/>
            <w:shd w:val="clear" w:color="auto" w:fill="auto"/>
            <w:vAlign w:val="center"/>
          </w:tcPr>
          <w:p w14:paraId="0A507C9B">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r w14:paraId="0FEFB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43" w:type="pct"/>
            <w:vMerge w:val="continue"/>
            <w:shd w:val="clear" w:color="auto" w:fill="auto"/>
            <w:vAlign w:val="center"/>
          </w:tcPr>
          <w:p w14:paraId="39B87AB9">
            <w:pPr>
              <w:adjustRightInd w:val="0"/>
              <w:snapToGrid w:val="0"/>
              <w:spacing w:line="320" w:lineRule="exact"/>
              <w:jc w:val="center"/>
              <w:textAlignment w:val="baseline"/>
              <w:rPr>
                <w:rFonts w:eastAsiaTheme="minorEastAsia"/>
                <w:bCs/>
                <w:szCs w:val="20"/>
              </w:rPr>
            </w:pPr>
          </w:p>
        </w:tc>
        <w:tc>
          <w:tcPr>
            <w:tcW w:w="1857" w:type="pct"/>
            <w:shd w:val="clear" w:color="auto" w:fill="auto"/>
            <w:vAlign w:val="center"/>
          </w:tcPr>
          <w:p w14:paraId="485F0402">
            <w:pPr>
              <w:adjustRightInd w:val="0"/>
              <w:snapToGrid w:val="0"/>
              <w:spacing w:line="320" w:lineRule="exact"/>
              <w:jc w:val="center"/>
              <w:textAlignment w:val="baseline"/>
              <w:rPr>
                <w:rFonts w:eastAsiaTheme="minorEastAsia"/>
                <w:bCs/>
                <w:szCs w:val="20"/>
              </w:rPr>
            </w:pPr>
            <w:r>
              <w:rPr>
                <w:rFonts w:hint="eastAsia" w:eastAsiaTheme="minorEastAsia"/>
                <w:bCs/>
                <w:szCs w:val="20"/>
              </w:rPr>
              <w:t>数字化建设投入占销售收入比重（</w:t>
            </w:r>
            <w:r>
              <w:rPr>
                <w:rFonts w:eastAsiaTheme="minorEastAsia"/>
                <w:bCs/>
                <w:szCs w:val="20"/>
              </w:rPr>
              <w:t>%</w:t>
            </w:r>
            <w:r>
              <w:rPr>
                <w:rFonts w:hint="eastAsia" w:eastAsiaTheme="minorEastAsia"/>
                <w:bCs/>
                <w:szCs w:val="20"/>
              </w:rPr>
              <w:t>）</w:t>
            </w:r>
          </w:p>
        </w:tc>
        <w:tc>
          <w:tcPr>
            <w:tcW w:w="572" w:type="pct"/>
            <w:shd w:val="clear" w:color="auto" w:fill="auto"/>
            <w:vAlign w:val="center"/>
          </w:tcPr>
          <w:p w14:paraId="6A0134E1">
            <w:pPr>
              <w:adjustRightInd w:val="0"/>
              <w:snapToGrid w:val="0"/>
              <w:spacing w:line="320" w:lineRule="exact"/>
              <w:jc w:val="center"/>
              <w:textAlignment w:val="baseline"/>
              <w:rPr>
                <w:rFonts w:eastAsiaTheme="minorEastAsia"/>
                <w:bCs/>
                <w:szCs w:val="20"/>
              </w:rPr>
            </w:pPr>
            <w:r>
              <w:rPr>
                <w:rFonts w:eastAsiaTheme="minorEastAsia"/>
                <w:bCs/>
                <w:szCs w:val="20"/>
              </w:rPr>
              <w:t>10</w:t>
            </w:r>
          </w:p>
        </w:tc>
        <w:tc>
          <w:tcPr>
            <w:tcW w:w="572" w:type="pct"/>
            <w:shd w:val="clear" w:color="auto" w:fill="auto"/>
            <w:vAlign w:val="center"/>
          </w:tcPr>
          <w:p w14:paraId="64C4AB9F">
            <w:pPr>
              <w:adjustRightInd w:val="0"/>
              <w:snapToGrid w:val="0"/>
              <w:spacing w:line="320" w:lineRule="exact"/>
              <w:jc w:val="center"/>
              <w:textAlignment w:val="baseline"/>
              <w:rPr>
                <w:rFonts w:eastAsiaTheme="minorEastAsia"/>
                <w:bCs/>
                <w:szCs w:val="20"/>
              </w:rPr>
            </w:pPr>
            <w:r>
              <w:rPr>
                <w:rFonts w:eastAsiaTheme="minorEastAsia"/>
                <w:bCs/>
                <w:szCs w:val="20"/>
              </w:rPr>
              <w:t>1</w:t>
            </w:r>
            <w:r>
              <w:rPr>
                <w:rFonts w:hint="eastAsia" w:eastAsiaTheme="minorEastAsia"/>
                <w:bCs/>
                <w:szCs w:val="20"/>
              </w:rPr>
              <w:t>5</w:t>
            </w:r>
          </w:p>
        </w:tc>
        <w:tc>
          <w:tcPr>
            <w:tcW w:w="496" w:type="pct"/>
            <w:shd w:val="clear" w:color="auto" w:fill="auto"/>
            <w:vAlign w:val="center"/>
          </w:tcPr>
          <w:p w14:paraId="7139A4F8">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860" w:type="pct"/>
            <w:shd w:val="clear" w:color="auto" w:fill="auto"/>
            <w:vAlign w:val="center"/>
          </w:tcPr>
          <w:p w14:paraId="0F3832F6">
            <w:pPr>
              <w:adjustRightInd w:val="0"/>
              <w:snapToGrid w:val="0"/>
              <w:spacing w:line="320" w:lineRule="exact"/>
              <w:jc w:val="center"/>
              <w:textAlignment w:val="baseline"/>
              <w:rPr>
                <w:rFonts w:eastAsiaTheme="minorEastAsia"/>
                <w:bCs/>
                <w:szCs w:val="20"/>
              </w:rPr>
            </w:pPr>
            <w:r>
              <w:rPr>
                <w:rFonts w:hint="eastAsia" w:eastAsiaTheme="minorEastAsia"/>
                <w:bCs/>
                <w:szCs w:val="20"/>
              </w:rPr>
              <w:t>预期性指标</w:t>
            </w:r>
          </w:p>
        </w:tc>
      </w:tr>
    </w:tbl>
    <w:p w14:paraId="7E2DE44C">
      <w:pPr>
        <w:keepNext/>
        <w:keepLines/>
        <w:widowControl/>
        <w:numPr>
          <w:ilvl w:val="2"/>
          <w:numId w:val="1"/>
        </w:numPr>
        <w:spacing w:before="120" w:after="120" w:line="360" w:lineRule="auto"/>
        <w:jc w:val="left"/>
        <w:outlineLvl w:val="2"/>
        <w:rPr>
          <w:rFonts w:eastAsiaTheme="minorEastAsia"/>
          <w:b/>
          <w:bCs/>
          <w:sz w:val="24"/>
        </w:rPr>
      </w:pPr>
      <w:bookmarkStart w:id="78" w:name="_Toc206494921"/>
      <w:r>
        <w:rPr>
          <w:rFonts w:hint="eastAsia" w:eastAsiaTheme="minorEastAsia"/>
          <w:b/>
          <w:bCs/>
          <w:sz w:val="24"/>
        </w:rPr>
        <w:t>发展定位</w:t>
      </w:r>
      <w:bookmarkEnd w:id="78"/>
    </w:p>
    <w:p w14:paraId="751F75CB">
      <w:pPr>
        <w:spacing w:line="360" w:lineRule="auto"/>
        <w:ind w:firstLine="480" w:firstLineChars="200"/>
        <w:rPr>
          <w:rFonts w:eastAsiaTheme="minorEastAsia"/>
          <w:sz w:val="24"/>
        </w:rPr>
      </w:pPr>
      <w:r>
        <w:rPr>
          <w:rFonts w:hint="eastAsia" w:eastAsiaTheme="minorEastAsia"/>
          <w:sz w:val="24"/>
        </w:rPr>
        <w:t>（1）经济定位</w:t>
      </w:r>
    </w:p>
    <w:p w14:paraId="787BD372">
      <w:pPr>
        <w:spacing w:line="360" w:lineRule="auto"/>
        <w:ind w:firstLine="482" w:firstLineChars="200"/>
        <w:rPr>
          <w:rFonts w:eastAsiaTheme="minorEastAsia"/>
          <w:sz w:val="24"/>
        </w:rPr>
      </w:pPr>
      <w:r>
        <w:rPr>
          <w:rFonts w:hint="eastAsia" w:eastAsiaTheme="minorEastAsia"/>
          <w:b/>
          <w:sz w:val="24"/>
        </w:rPr>
        <w:t>随县经济社会高质量发展的支柱产业和城市名片。</w:t>
      </w:r>
      <w:r>
        <w:rPr>
          <w:rFonts w:hint="eastAsia" w:eastAsiaTheme="minorEastAsia"/>
          <w:sz w:val="24"/>
        </w:rPr>
        <w:t>依托资源和产业基础优势，优化布局结构、企业结构，引入新技术、新工艺、新模式，加快随县石材产业供给侧结构性改革，构建新业态，再创石材行业新辉煌。通过石材与旅游、建筑业、机械等相关产业的融合发展，以及与美丽乡村建设、第三产业发展等结合，形成随县完善产业体系，五年打造五百亿元产业，十年打造千亿元产业，带动全县经济结构的全面优化与升级。</w:t>
      </w:r>
    </w:p>
    <w:p w14:paraId="6C193108">
      <w:pPr>
        <w:spacing w:line="360" w:lineRule="auto"/>
        <w:ind w:firstLine="480" w:firstLineChars="200"/>
        <w:rPr>
          <w:rFonts w:eastAsiaTheme="minorEastAsia"/>
          <w:sz w:val="24"/>
        </w:rPr>
      </w:pPr>
      <w:r>
        <w:rPr>
          <w:rFonts w:hint="eastAsia" w:eastAsiaTheme="minorEastAsia"/>
          <w:sz w:val="24"/>
        </w:rPr>
        <w:t>（2）产业定位</w:t>
      </w:r>
    </w:p>
    <w:p w14:paraId="7CCEBD2C">
      <w:pPr>
        <w:spacing w:line="360" w:lineRule="auto"/>
        <w:ind w:firstLine="482" w:firstLineChars="200"/>
        <w:rPr>
          <w:rFonts w:eastAsiaTheme="minorEastAsia"/>
          <w:sz w:val="24"/>
        </w:rPr>
      </w:pPr>
      <w:r>
        <w:rPr>
          <w:rFonts w:hint="eastAsia" w:eastAsiaTheme="minorEastAsia"/>
          <w:b/>
          <w:sz w:val="24"/>
        </w:rPr>
        <w:t>集群定位：</w:t>
      </w:r>
      <w:r>
        <w:rPr>
          <w:rFonts w:hint="eastAsia" w:eastAsiaTheme="minorEastAsia"/>
          <w:sz w:val="24"/>
        </w:rPr>
        <w:t>打造“华中顶尖、全国一流、世界知名”的石材产业综合集群以及全国绿色矿业发展示范区、石材行业矿产资源高效开发利用示范基地。</w:t>
      </w:r>
    </w:p>
    <w:p w14:paraId="2134A765">
      <w:pPr>
        <w:spacing w:line="360" w:lineRule="auto"/>
        <w:ind w:firstLine="480" w:firstLineChars="200"/>
        <w:rPr>
          <w:rFonts w:eastAsiaTheme="minorEastAsia"/>
          <w:sz w:val="24"/>
        </w:rPr>
      </w:pPr>
      <w:r>
        <w:rPr>
          <w:rFonts w:hint="eastAsia" w:eastAsiaTheme="minorEastAsia"/>
          <w:sz w:val="24"/>
        </w:rPr>
        <w:t>——行业整体规模达到国内前列，市场以华中地区、长江经济带为主，覆盖全国，积极开拓“一带一路”国际市场。</w:t>
      </w:r>
    </w:p>
    <w:p w14:paraId="4F6DC35E">
      <w:pPr>
        <w:spacing w:line="360" w:lineRule="auto"/>
        <w:ind w:firstLine="480" w:firstLineChars="200"/>
        <w:rPr>
          <w:rFonts w:eastAsiaTheme="minorEastAsia"/>
          <w:sz w:val="24"/>
        </w:rPr>
      </w:pPr>
      <w:r>
        <w:rPr>
          <w:rFonts w:hint="eastAsia" w:eastAsiaTheme="minorEastAsia"/>
          <w:sz w:val="24"/>
        </w:rPr>
        <w:t>——产业体系完善，集荒料开采、交易、产品加工、创意设计、施工安装、商贸会展、机械装备、新一代信息化智能化技术以及工业互联网等功能于一体，突出以技术、服务、整体解决方案为特色的专业化协作完善的综合型石材产业集群。</w:t>
      </w:r>
    </w:p>
    <w:p w14:paraId="1B8B2512">
      <w:pPr>
        <w:spacing w:line="360" w:lineRule="auto"/>
        <w:ind w:firstLine="480" w:firstLineChars="200"/>
        <w:rPr>
          <w:rFonts w:eastAsiaTheme="minorEastAsia"/>
          <w:sz w:val="24"/>
        </w:rPr>
      </w:pPr>
      <w:r>
        <w:rPr>
          <w:rFonts w:hint="eastAsia" w:eastAsiaTheme="minorEastAsia"/>
          <w:sz w:val="24"/>
        </w:rPr>
        <w:t>——绿色、低碳、数字化制造特色最鲜明的产业集群。全面建设绿色矿山、绿色园区、绿色能源、绿色供应链，构建石材资源绿色开发、加工环保节能低碳、空间布局合理、新一代信息化数字化技术运用效果最突出产区。将信息化、数字化等现代信息技术充分应用于开采、加工、商贸以及园区的基础设施和管理之中，以平台经济理念构建全新的商业模式，打造生态环境优美、运行智慧高效的全国石材绿色低碳发展示范基地。</w:t>
      </w:r>
    </w:p>
    <w:p w14:paraId="63AA8814">
      <w:pPr>
        <w:spacing w:line="360" w:lineRule="auto"/>
        <w:ind w:firstLine="482" w:firstLineChars="200"/>
        <w:rPr>
          <w:rFonts w:eastAsiaTheme="minorEastAsia"/>
          <w:sz w:val="24"/>
        </w:rPr>
      </w:pPr>
      <w:r>
        <w:rPr>
          <w:rFonts w:hint="eastAsia" w:eastAsiaTheme="minorEastAsia"/>
          <w:b/>
          <w:sz w:val="24"/>
        </w:rPr>
        <w:t>产品定位：</w:t>
      </w:r>
      <w:r>
        <w:rPr>
          <w:rFonts w:hint="eastAsia" w:eastAsiaTheme="minorEastAsia"/>
          <w:sz w:val="24"/>
        </w:rPr>
        <w:t>主要发展满足终端市场需求的系列化、标准化、定制化的精深加工产品及整体解决方案，并配套完善的应用服务。</w:t>
      </w:r>
    </w:p>
    <w:p w14:paraId="5023E9AA">
      <w:pPr>
        <w:spacing w:line="360" w:lineRule="auto"/>
        <w:ind w:firstLine="480" w:firstLineChars="200"/>
        <w:rPr>
          <w:rFonts w:eastAsiaTheme="minorEastAsia"/>
          <w:sz w:val="24"/>
        </w:rPr>
      </w:pPr>
      <w:r>
        <w:rPr>
          <w:rFonts w:hint="eastAsia" w:eastAsiaTheme="minorEastAsia"/>
          <w:sz w:val="24"/>
        </w:rPr>
        <w:t>——石材品种以花岗石为主，配套发展大理石等各类品种，具体产品品种包括建筑装饰板材、市政工程用规格板、工程板以及标准化制品、创意设计精深加工产品、石材保温装饰一体板、异型石材、石雕石刻等高附加值产品。</w:t>
      </w:r>
    </w:p>
    <w:p w14:paraId="0947E455">
      <w:pPr>
        <w:spacing w:line="360" w:lineRule="auto"/>
        <w:ind w:firstLine="480" w:firstLineChars="200"/>
        <w:rPr>
          <w:rFonts w:eastAsiaTheme="minorEastAsia"/>
          <w:sz w:val="24"/>
        </w:rPr>
      </w:pPr>
      <w:r>
        <w:rPr>
          <w:rFonts w:hint="eastAsia" w:eastAsiaTheme="minorEastAsia"/>
          <w:sz w:val="24"/>
        </w:rPr>
        <w:t>——提供从装饰设计、物流配送、安装、防护、保养、维修的全套工程服务。</w:t>
      </w:r>
    </w:p>
    <w:p w14:paraId="5D97AEF6">
      <w:pPr>
        <w:spacing w:line="360" w:lineRule="auto"/>
        <w:ind w:firstLine="482" w:firstLineChars="200"/>
        <w:rPr>
          <w:rFonts w:eastAsiaTheme="minorEastAsia"/>
          <w:sz w:val="24"/>
        </w:rPr>
      </w:pPr>
      <w:r>
        <w:rPr>
          <w:rFonts w:hint="eastAsia" w:eastAsiaTheme="minorEastAsia"/>
          <w:b/>
          <w:sz w:val="24"/>
        </w:rPr>
        <w:t>市场定位：</w:t>
      </w:r>
      <w:r>
        <w:rPr>
          <w:rFonts w:hint="eastAsia" w:eastAsiaTheme="minorEastAsia"/>
          <w:sz w:val="24"/>
        </w:rPr>
        <w:t>随县石材产品主要面向国内市场，以随县所在的湖北省和中部地区为主，核心市场包括随州市、武汉市及武汉都市圈，郑州市及郑州都市圈等。积极开拓合理运距范围内的全国市场，重点开发长江经济带、京津冀城市群、粤港澳大湾区、成渝经济圈等。</w:t>
      </w:r>
    </w:p>
    <w:p w14:paraId="4436630E">
      <w:pPr>
        <w:spacing w:line="360" w:lineRule="auto"/>
        <w:ind w:firstLine="482" w:firstLineChars="200"/>
        <w:rPr>
          <w:rFonts w:eastAsiaTheme="minorEastAsia"/>
          <w:sz w:val="24"/>
        </w:rPr>
      </w:pPr>
      <w:r>
        <w:rPr>
          <w:rFonts w:hint="eastAsia" w:eastAsiaTheme="minorEastAsia"/>
          <w:b/>
          <w:sz w:val="24"/>
        </w:rPr>
        <w:t>技术定位：</w:t>
      </w:r>
      <w:r>
        <w:rPr>
          <w:rFonts w:hint="eastAsia" w:eastAsiaTheme="minorEastAsia"/>
          <w:sz w:val="24"/>
        </w:rPr>
        <w:t>矿山开采、石材加工、废弃物综合利用等环节工艺技术、装备达到国内一流水平；数字化智能化信息化技术全面推广达到国内一流；技术、装备、工艺研发、标准规范编制水平达到国内一流。</w:t>
      </w:r>
    </w:p>
    <w:p w14:paraId="320F521A">
      <w:pPr>
        <w:keepNext/>
        <w:keepLines/>
        <w:widowControl/>
        <w:numPr>
          <w:ilvl w:val="2"/>
          <w:numId w:val="1"/>
        </w:numPr>
        <w:spacing w:before="120" w:after="120" w:line="360" w:lineRule="auto"/>
        <w:jc w:val="left"/>
        <w:outlineLvl w:val="2"/>
        <w:rPr>
          <w:rFonts w:eastAsiaTheme="minorEastAsia"/>
          <w:b/>
          <w:bCs/>
          <w:sz w:val="24"/>
        </w:rPr>
      </w:pPr>
      <w:bookmarkStart w:id="79" w:name="_Toc206494922"/>
      <w:r>
        <w:rPr>
          <w:rFonts w:hint="eastAsia" w:eastAsiaTheme="minorEastAsia"/>
          <w:b/>
          <w:bCs/>
          <w:sz w:val="24"/>
        </w:rPr>
        <w:t>规划范围与时限</w:t>
      </w:r>
      <w:bookmarkEnd w:id="79"/>
    </w:p>
    <w:p w14:paraId="63B2C2FC">
      <w:pPr>
        <w:spacing w:line="360" w:lineRule="auto"/>
        <w:ind w:firstLine="480" w:firstLineChars="200"/>
        <w:rPr>
          <w:rFonts w:eastAsiaTheme="minorEastAsia"/>
          <w:sz w:val="24"/>
        </w:rPr>
      </w:pPr>
      <w:r>
        <w:rPr>
          <w:rFonts w:hint="eastAsia" w:eastAsiaTheme="minorEastAsia"/>
          <w:sz w:val="24"/>
        </w:rPr>
        <w:t>（1）规划范围</w:t>
      </w:r>
    </w:p>
    <w:p w14:paraId="340A4D32">
      <w:pPr>
        <w:spacing w:line="360" w:lineRule="auto"/>
        <w:ind w:firstLine="480" w:firstLineChars="200"/>
        <w:rPr>
          <w:rFonts w:eastAsiaTheme="minorEastAsia"/>
          <w:sz w:val="24"/>
        </w:rPr>
      </w:pPr>
      <w:r>
        <w:rPr>
          <w:rFonts w:hint="eastAsia" w:eastAsiaTheme="minorEastAsia"/>
          <w:sz w:val="24"/>
        </w:rPr>
        <w:t>本次规划范围为随县行政辖区内石材矿山开采、加工、商贸物流以及相关产业，规划的主要产业聚集区包括吴山闽商石材产业园、万和石材产业园、草店石材产业园和太白顶石材产业园共四个石材加工组团。地理位置图见附图1。</w:t>
      </w:r>
    </w:p>
    <w:p w14:paraId="4DEEB04A">
      <w:pPr>
        <w:spacing w:line="360" w:lineRule="auto"/>
        <w:ind w:firstLine="480" w:firstLineChars="200"/>
        <w:rPr>
          <w:rFonts w:eastAsiaTheme="minorEastAsia"/>
          <w:sz w:val="24"/>
        </w:rPr>
      </w:pPr>
      <w:r>
        <w:rPr>
          <w:rFonts w:hint="eastAsia" w:eastAsiaTheme="minorEastAsia"/>
          <w:sz w:val="24"/>
        </w:rPr>
        <w:t>（2）规划时限</w:t>
      </w:r>
    </w:p>
    <w:p w14:paraId="47819341">
      <w:pPr>
        <w:spacing w:line="360" w:lineRule="auto"/>
        <w:ind w:firstLine="480" w:firstLineChars="200"/>
        <w:rPr>
          <w:rFonts w:eastAsiaTheme="minorEastAsia"/>
          <w:sz w:val="24"/>
        </w:rPr>
      </w:pPr>
      <w:r>
        <w:rPr>
          <w:rFonts w:hint="eastAsia" w:eastAsiaTheme="minorEastAsia"/>
          <w:sz w:val="24"/>
        </w:rPr>
        <w:t>规划时限：2024~2035年，其中近期2024至2025年，中期2026至2030年，远期至2035年。</w:t>
      </w:r>
    </w:p>
    <w:p w14:paraId="4EE6E28F">
      <w:pPr>
        <w:keepNext/>
        <w:keepLines/>
        <w:widowControl/>
        <w:numPr>
          <w:ilvl w:val="2"/>
          <w:numId w:val="1"/>
        </w:numPr>
        <w:spacing w:before="120" w:after="120" w:line="360" w:lineRule="auto"/>
        <w:jc w:val="left"/>
        <w:outlineLvl w:val="2"/>
        <w:rPr>
          <w:rFonts w:eastAsiaTheme="minorEastAsia"/>
          <w:b/>
          <w:bCs/>
          <w:sz w:val="24"/>
        </w:rPr>
      </w:pPr>
      <w:bookmarkStart w:id="80" w:name="_Toc206494923"/>
      <w:r>
        <w:rPr>
          <w:rFonts w:hint="eastAsia" w:eastAsiaTheme="minorEastAsia"/>
          <w:b/>
          <w:bCs/>
          <w:sz w:val="24"/>
        </w:rPr>
        <w:t>规划产业设计</w:t>
      </w:r>
      <w:bookmarkEnd w:id="80"/>
    </w:p>
    <w:p w14:paraId="0FF599D9">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发展策略</w:t>
      </w:r>
    </w:p>
    <w:p w14:paraId="05B5DFAE">
      <w:pPr>
        <w:spacing w:line="360" w:lineRule="auto"/>
        <w:ind w:firstLine="480" w:firstLineChars="200"/>
        <w:rPr>
          <w:rFonts w:eastAsiaTheme="minorEastAsia"/>
          <w:sz w:val="24"/>
        </w:rPr>
      </w:pPr>
      <w:r>
        <w:rPr>
          <w:rFonts w:hint="eastAsia" w:eastAsiaTheme="minorEastAsia"/>
          <w:sz w:val="24"/>
        </w:rPr>
        <w:t>坚持国家未来发展政策要求和市场需求为导向，结合随县自身资源条件、竞争环境、发展基础等实际特点，借鉴其他先进石材产业集群发展经验，随县石材需要主导产业的根本上转型升级，配套产业及生产性服务业的支撑，商业模式创新（价值链高端），构筑创新型产业生态体系，培育随县石材产业竞争核心优势，总体概括为：“一个核心，三个重点，三大转型，四张名片”的“</w:t>
      </w:r>
      <w:r>
        <w:rPr>
          <w:rFonts w:hint="eastAsia" w:eastAsiaTheme="minorEastAsia"/>
          <w:b/>
          <w:sz w:val="24"/>
        </w:rPr>
        <w:t>1334</w:t>
      </w:r>
      <w:r>
        <w:rPr>
          <w:rFonts w:hint="eastAsia" w:eastAsiaTheme="minorEastAsia"/>
          <w:sz w:val="24"/>
        </w:rPr>
        <w:t>”发展策略。</w:t>
      </w:r>
    </w:p>
    <w:p w14:paraId="04EC7EB3">
      <w:pPr>
        <w:spacing w:line="360" w:lineRule="auto"/>
        <w:ind w:firstLine="482" w:firstLineChars="200"/>
        <w:rPr>
          <w:rFonts w:eastAsiaTheme="minorEastAsia"/>
          <w:sz w:val="24"/>
        </w:rPr>
      </w:pPr>
      <w:r>
        <w:rPr>
          <w:rFonts w:hint="eastAsia" w:eastAsiaTheme="minorEastAsia"/>
          <w:b/>
          <w:sz w:val="24"/>
        </w:rPr>
        <w:t>一个核心</w:t>
      </w:r>
      <w:r>
        <w:rPr>
          <w:rFonts w:hint="eastAsia" w:eastAsiaTheme="minorEastAsia"/>
          <w:sz w:val="24"/>
        </w:rPr>
        <w:t>：以打造随县石材转型升级、绿色低碳、高效高质支柱产业为核心，带动全县经济社会高质量发展。明确石材产业在县域经济中的定位，围绕产业链、产业价值链完善与提升，以石材资源的高效开发利用为切入点，通过技术进步、生态低碳高效开发、文化渗透、服务支撑等体系建设为石材产业赋能，推动以产品加工制造为核心价值向文化增值、绿色增值、服务增值的运营模式转型，树立区域品牌，培育随县石材产业竞争新优势。</w:t>
      </w:r>
    </w:p>
    <w:p w14:paraId="2DAD35E9">
      <w:pPr>
        <w:spacing w:line="360" w:lineRule="auto"/>
        <w:ind w:firstLine="482" w:firstLineChars="200"/>
        <w:rPr>
          <w:rFonts w:eastAsiaTheme="minorEastAsia"/>
          <w:sz w:val="24"/>
        </w:rPr>
      </w:pPr>
      <w:r>
        <w:rPr>
          <w:rFonts w:hint="eastAsia" w:eastAsiaTheme="minorEastAsia"/>
          <w:b/>
          <w:sz w:val="24"/>
        </w:rPr>
        <w:t>三个重点：</w:t>
      </w:r>
      <w:r>
        <w:rPr>
          <w:rFonts w:hint="eastAsia" w:eastAsiaTheme="minorEastAsia"/>
          <w:sz w:val="24"/>
        </w:rPr>
        <w:t>突出抓好“资源、布局、创新”三个重点。资源开发是基础，加快资源开发整合进度，建设绿色矿山，创建国家级矿山绿色示范区，合理设置矿权，控制总量，实现有序、科学、高效开发。优化空间布局促进产业结构升级，按功能明确、专业协作、因地制宜原则，形成“4”大石材加工组团，吴山、万和、草店和太白顶。同时，加强重点组团内部布局优化，集约化利用土地，优化功能分区，完善基础设施。推动石材加工企业“一企一策”改造提升。加快技术升级与商业模式创新，实施创新驱动战略。以技术研发、产品创意设计、建筑装饰设计为引领，以装备水平及工艺优化升级为支撑，通过新型商业模式，适应新的市场环境，提升产区综合竞争力。</w:t>
      </w:r>
    </w:p>
    <w:p w14:paraId="128E56EC">
      <w:pPr>
        <w:spacing w:line="360" w:lineRule="auto"/>
        <w:ind w:firstLine="482" w:firstLineChars="200"/>
        <w:rPr>
          <w:rFonts w:eastAsiaTheme="minorEastAsia"/>
          <w:sz w:val="24"/>
        </w:rPr>
      </w:pPr>
      <w:r>
        <w:rPr>
          <w:rFonts w:hint="eastAsia" w:eastAsiaTheme="minorEastAsia"/>
          <w:b/>
          <w:sz w:val="24"/>
        </w:rPr>
        <w:t>三大转型：</w:t>
      </w:r>
      <w:r>
        <w:rPr>
          <w:rFonts w:hint="eastAsia" w:eastAsiaTheme="minorEastAsia"/>
          <w:sz w:val="24"/>
        </w:rPr>
        <w:t>实现资源开发利用由传统粗放式向生态化、集约化绿色矿山、绿色矿区转型；产品结构由单一化、初级同质化向多样化、定制化、个性化、整体解决方案方向转型；商业模式由传统制造向“研发设计引领+柔性制造+工程服务”型的高附加值、价值链高端转型。</w:t>
      </w:r>
    </w:p>
    <w:p w14:paraId="5760997F">
      <w:pPr>
        <w:spacing w:line="360" w:lineRule="auto"/>
        <w:ind w:firstLine="482" w:firstLineChars="200"/>
        <w:rPr>
          <w:rFonts w:eastAsiaTheme="minorEastAsia"/>
          <w:b/>
          <w:sz w:val="24"/>
        </w:rPr>
      </w:pPr>
      <w:r>
        <w:rPr>
          <w:rFonts w:hint="eastAsia" w:eastAsiaTheme="minorEastAsia"/>
          <w:b/>
          <w:sz w:val="24"/>
        </w:rPr>
        <w:t>四张名片：</w:t>
      </w:r>
    </w:p>
    <w:p w14:paraId="6E36C3C2">
      <w:pPr>
        <w:spacing w:line="360" w:lineRule="auto"/>
        <w:ind w:firstLine="480" w:firstLineChars="200"/>
        <w:rPr>
          <w:rFonts w:eastAsiaTheme="minorEastAsia"/>
          <w:sz w:val="24"/>
        </w:rPr>
      </w:pPr>
      <w:r>
        <w:rPr>
          <w:rFonts w:hint="eastAsia" w:eastAsiaTheme="minorEastAsia"/>
          <w:sz w:val="24"/>
        </w:rPr>
        <w:t>——</w:t>
      </w:r>
      <w:r>
        <w:rPr>
          <w:rFonts w:hint="eastAsia" w:eastAsiaTheme="minorEastAsia"/>
          <w:b/>
          <w:sz w:val="24"/>
        </w:rPr>
        <w:t>石材资源高效开发利用示范基地</w:t>
      </w:r>
      <w:r>
        <w:rPr>
          <w:rFonts w:hint="eastAsia" w:eastAsiaTheme="minorEastAsia"/>
          <w:sz w:val="24"/>
        </w:rPr>
        <w:t>。石材行业中经济社会效益领先、技术先进、产品配套齐全、规模最大石材产业集群。从矿山开采、产品加工，到研发、创意设计、标准，以及终端服务、品牌、整体解决方案，形成完善产业链和产业价值链，产业结构合理。全部矿山达到国家级绿色矿山标准。</w:t>
      </w:r>
    </w:p>
    <w:p w14:paraId="465C7134">
      <w:pPr>
        <w:spacing w:line="360" w:lineRule="auto"/>
        <w:ind w:firstLine="480" w:firstLineChars="200"/>
        <w:rPr>
          <w:rFonts w:eastAsiaTheme="minorEastAsia"/>
          <w:sz w:val="24"/>
        </w:rPr>
      </w:pPr>
      <w:r>
        <w:rPr>
          <w:rFonts w:hint="eastAsia" w:eastAsiaTheme="minorEastAsia"/>
          <w:sz w:val="24"/>
        </w:rPr>
        <w:t>——</w:t>
      </w:r>
      <w:r>
        <w:rPr>
          <w:rFonts w:hint="eastAsia" w:eastAsiaTheme="minorEastAsia"/>
          <w:b/>
          <w:sz w:val="24"/>
        </w:rPr>
        <w:t>绿色低碳名片</w:t>
      </w:r>
      <w:r>
        <w:rPr>
          <w:rFonts w:hint="eastAsia" w:eastAsiaTheme="minorEastAsia"/>
          <w:sz w:val="24"/>
        </w:rPr>
        <w:t>。石材产业的生态环保、节能降碳水平处于国内领先。加工方面，在全产区内推广清洁生产，部分优秀企业达到国家级行业绿色工厂，通过绿色建材产品认证。在循环利用方面，矿山开采产生废石、加工产生的废料无害化处置。工业废水零排放、粉尘、噪声全达标。积极响应国家“双控双碳”新政策要求，推广新能源汽车运输、轨道运输等，将随县石材园区建设成为中国石材业内以绿色低碳为特征的园区，成为全国石材绿色低碳发展的示范。</w:t>
      </w:r>
    </w:p>
    <w:p w14:paraId="5C637AE0">
      <w:pPr>
        <w:spacing w:line="360" w:lineRule="auto"/>
        <w:ind w:firstLine="480" w:firstLineChars="200"/>
        <w:rPr>
          <w:rFonts w:eastAsiaTheme="minorEastAsia"/>
          <w:sz w:val="24"/>
        </w:rPr>
      </w:pPr>
      <w:r>
        <w:rPr>
          <w:rFonts w:hint="eastAsia" w:eastAsiaTheme="minorEastAsia"/>
          <w:sz w:val="24"/>
        </w:rPr>
        <w:t>——</w:t>
      </w:r>
      <w:r>
        <w:rPr>
          <w:rFonts w:hint="eastAsia" w:eastAsiaTheme="minorEastAsia"/>
          <w:b/>
          <w:sz w:val="24"/>
        </w:rPr>
        <w:t>文化名片</w:t>
      </w:r>
      <w:r>
        <w:rPr>
          <w:rFonts w:hint="eastAsia" w:eastAsiaTheme="minorEastAsia"/>
          <w:sz w:val="24"/>
        </w:rPr>
        <w:t>。将随县石材产品通过融入炎帝等地域特色、文化内涵元素、设计理念，通过以石材为主基材的浮雕、碑刻、壁画、拼花等多种艺术形式展示随县旅游品牌、历史文化元素等，打造石文化名片。</w:t>
      </w:r>
    </w:p>
    <w:p w14:paraId="021F3476">
      <w:pPr>
        <w:spacing w:line="360" w:lineRule="auto"/>
        <w:ind w:firstLine="480" w:firstLineChars="200"/>
        <w:rPr>
          <w:rFonts w:eastAsiaTheme="minorEastAsia"/>
          <w:sz w:val="24"/>
        </w:rPr>
      </w:pPr>
      <w:r>
        <w:rPr>
          <w:rFonts w:hint="eastAsia" w:eastAsiaTheme="minorEastAsia"/>
          <w:sz w:val="24"/>
        </w:rPr>
        <w:t>——</w:t>
      </w:r>
      <w:r>
        <w:rPr>
          <w:rFonts w:hint="eastAsia" w:eastAsiaTheme="minorEastAsia"/>
          <w:b/>
          <w:sz w:val="24"/>
        </w:rPr>
        <w:t>智慧名片</w:t>
      </w:r>
      <w:r>
        <w:rPr>
          <w:rFonts w:hint="eastAsia" w:eastAsiaTheme="minorEastAsia"/>
          <w:sz w:val="24"/>
        </w:rPr>
        <w:t>。选择“5G+” “互联网+”的产业升级新路径，建成数字化矿山开采模式，建成智慧物流、智能工厂，打造智慧园区，形成智能化生产、个性化定制和服务化延伸等应用模式，用新引擎、新模式、新生态助力当地石材产业的高质量发展，为石材产业发展提供新的动能。</w:t>
      </w:r>
    </w:p>
    <w:p w14:paraId="410657C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产业体系设计</w:t>
      </w:r>
    </w:p>
    <w:p w14:paraId="39E05EE7">
      <w:pPr>
        <w:spacing w:line="360" w:lineRule="auto"/>
        <w:ind w:firstLine="480" w:firstLineChars="200"/>
        <w:rPr>
          <w:rFonts w:eastAsiaTheme="minorEastAsia"/>
          <w:sz w:val="24"/>
        </w:rPr>
      </w:pPr>
      <w:r>
        <w:rPr>
          <w:rFonts w:hint="eastAsia" w:eastAsiaTheme="minorEastAsia"/>
          <w:sz w:val="24"/>
        </w:rPr>
        <w:t>按照随县石材产业发展的总体思路和基本原则，从空间整治、资源开发、生产加工、循环经济、配套服务、商贸集散、文化旅游等多个角度对随县石材产业进行系统构建，形成“</w:t>
      </w:r>
      <w:r>
        <w:rPr>
          <w:rFonts w:hint="eastAsia" w:eastAsiaTheme="minorEastAsia"/>
          <w:b/>
          <w:sz w:val="24"/>
        </w:rPr>
        <w:t>125</w:t>
      </w:r>
      <w:r>
        <w:rPr>
          <w:rFonts w:hint="eastAsia" w:eastAsiaTheme="minorEastAsia"/>
          <w:sz w:val="24"/>
        </w:rPr>
        <w:t>”的产业体系：</w:t>
      </w:r>
    </w:p>
    <w:p w14:paraId="3CEF8DC3">
      <w:pPr>
        <w:spacing w:line="360" w:lineRule="auto"/>
        <w:ind w:firstLine="482" w:firstLineChars="200"/>
        <w:rPr>
          <w:rFonts w:eastAsiaTheme="minorEastAsia"/>
          <w:b/>
          <w:sz w:val="24"/>
        </w:rPr>
      </w:pPr>
      <w:r>
        <w:rPr>
          <w:rFonts w:hint="eastAsia" w:eastAsiaTheme="minorEastAsia"/>
          <w:b/>
          <w:sz w:val="24"/>
        </w:rPr>
        <w:t>（1）“1”——一条主产业链，即“生产+服务”的石材全产业链</w:t>
      </w:r>
    </w:p>
    <w:p w14:paraId="4B6AED53">
      <w:pPr>
        <w:spacing w:line="360" w:lineRule="auto"/>
        <w:ind w:firstLine="480" w:firstLineChars="200"/>
        <w:rPr>
          <w:rFonts w:eastAsiaTheme="minorEastAsia"/>
          <w:sz w:val="24"/>
        </w:rPr>
      </w:pPr>
      <w:r>
        <w:rPr>
          <w:rFonts w:hint="eastAsia" w:eastAsiaTheme="minorEastAsia"/>
          <w:sz w:val="24"/>
        </w:rPr>
        <w:t>主要包含：石材矿山绿色开采——荒料交易——产品加工（各类板材、异型材、石雕石刻）——贸易展销（专业市场、商贸展示、创意设计…）——外部销售市场及工程服务（经销商、装饰装修工程、物流贸易企业、采购商）——配套产品及安装服务等。</w:t>
      </w:r>
    </w:p>
    <w:p w14:paraId="7071B740">
      <w:pPr>
        <w:spacing w:line="360" w:lineRule="auto"/>
        <w:ind w:firstLine="482" w:firstLineChars="200"/>
        <w:rPr>
          <w:rFonts w:eastAsiaTheme="minorEastAsia"/>
          <w:b/>
          <w:sz w:val="24"/>
        </w:rPr>
      </w:pPr>
      <w:r>
        <w:rPr>
          <w:rFonts w:hint="eastAsia" w:eastAsiaTheme="minorEastAsia"/>
          <w:b/>
          <w:sz w:val="24"/>
        </w:rPr>
        <w:t>（2）“2”——二条配套产业链，即“静脉产业链”和“生产性服务业产业链”</w:t>
      </w:r>
    </w:p>
    <w:p w14:paraId="63D1DA10">
      <w:pPr>
        <w:spacing w:line="360" w:lineRule="auto"/>
        <w:ind w:firstLine="480" w:firstLineChars="200"/>
        <w:rPr>
          <w:rFonts w:eastAsiaTheme="minorEastAsia"/>
          <w:sz w:val="24"/>
        </w:rPr>
      </w:pPr>
      <w:r>
        <w:rPr>
          <w:rFonts w:hint="eastAsia" w:eastAsiaTheme="minorEastAsia"/>
          <w:sz w:val="24"/>
        </w:rPr>
        <w:t>①静脉产业链主要是对石材开采、加工过程中产生的废水、固体废弃物等进行循环再利用，例如，矿山碎石、边角废料——路沿石、石雕石刻、广场石——建筑骨料——商品混凝土——建筑构件及工程；加工厂碎石、边角料——广场砖、园林砖、拼花——建筑骨料；石粉、锯底泥——人造石、加气砖、泡沫陶瓷、真石漆、仿石漆等新型产品——混凝土原料——陶瓷原料——生态治理工程回填——无害化处理（专用排土场）。</w:t>
      </w:r>
    </w:p>
    <w:p w14:paraId="00FD2542">
      <w:pPr>
        <w:spacing w:line="360" w:lineRule="auto"/>
        <w:ind w:firstLine="480" w:firstLineChars="200"/>
        <w:rPr>
          <w:rFonts w:eastAsiaTheme="minorEastAsia"/>
          <w:sz w:val="24"/>
        </w:rPr>
      </w:pPr>
      <w:r>
        <w:rPr>
          <w:rFonts w:hint="eastAsia" w:eastAsiaTheme="minorEastAsia"/>
          <w:sz w:val="24"/>
        </w:rPr>
        <w:t>②生产性服务业产业链是指为石材产业配套服务的相关内容，培育新的经济增长点。包括专业市场（石材展示交易、石材加工及应用相关配件产品销售）——机械、汽车配件、维修服务——金融服务——技术研发、工程设计、中介技术服务、电子商务、互联网平台——建筑装饰设计（人才培养、创意创新）——工程安装配套产品——相关建材配套产品交易——物流运输——工程安装服务——工程维护（石材护理）。</w:t>
      </w:r>
    </w:p>
    <w:p w14:paraId="70A99CC2">
      <w:pPr>
        <w:spacing w:line="360" w:lineRule="auto"/>
        <w:ind w:firstLine="482" w:firstLineChars="200"/>
        <w:rPr>
          <w:rFonts w:eastAsiaTheme="minorEastAsia"/>
          <w:b/>
          <w:sz w:val="24"/>
        </w:rPr>
      </w:pPr>
      <w:r>
        <w:rPr>
          <w:rFonts w:hint="eastAsia" w:eastAsiaTheme="minorEastAsia"/>
          <w:b/>
          <w:sz w:val="24"/>
        </w:rPr>
        <w:t>（3）“5”——五大产业板块</w:t>
      </w:r>
    </w:p>
    <w:p w14:paraId="550E45B9">
      <w:pPr>
        <w:spacing w:line="360" w:lineRule="auto"/>
        <w:ind w:firstLine="480" w:firstLineChars="200"/>
        <w:rPr>
          <w:rFonts w:eastAsiaTheme="minorEastAsia"/>
          <w:sz w:val="24"/>
        </w:rPr>
      </w:pPr>
      <w:r>
        <w:rPr>
          <w:rFonts w:hint="eastAsia" w:eastAsiaTheme="minorEastAsia"/>
          <w:sz w:val="24"/>
        </w:rPr>
        <w:t>五大产业板块包括荒料资源板块、精深加工板块、循环经济产业板块、商贸及生产性服务业板块、石材金融板块。</w:t>
      </w:r>
    </w:p>
    <w:p w14:paraId="4D8DE6B1">
      <w:pPr>
        <w:spacing w:line="360" w:lineRule="auto"/>
        <w:ind w:firstLine="480" w:firstLineChars="200"/>
        <w:rPr>
          <w:rFonts w:eastAsiaTheme="minorEastAsia"/>
          <w:sz w:val="24"/>
        </w:rPr>
      </w:pPr>
      <w:r>
        <w:rPr>
          <w:rFonts w:hint="eastAsia" w:eastAsiaTheme="minorEastAsia"/>
          <w:sz w:val="24"/>
        </w:rPr>
        <w:t>①荒料资源板块：规范、科学开发利用吴山、万和石材矿山，提高荒料利用率，以建立绿色矿山、发展绿色矿业为目标，采用先进开采工艺和装备，实现产业发展与生态环境的和谐统一，形成高效、绿色、智能矿山开采格局。加强本地荒料开采的总量控制，初期以本地“黄金麻”“白麻”等产品为主。其次，建立石材资源交易平台和专业市场，引进名贵品种的大理石、花岗石、砂岩、景观石等品种的荒料、大板、条板、坯料，逐步形成以本地花岗石为主，国内外优质花岗石、大理石品种为辅的资源供应体系。</w:t>
      </w:r>
    </w:p>
    <w:p w14:paraId="02A13047">
      <w:pPr>
        <w:spacing w:line="360" w:lineRule="auto"/>
        <w:ind w:firstLine="480" w:firstLineChars="200"/>
        <w:rPr>
          <w:rFonts w:eastAsiaTheme="minorEastAsia"/>
          <w:sz w:val="24"/>
        </w:rPr>
      </w:pPr>
      <w:r>
        <w:rPr>
          <w:rFonts w:hint="eastAsia" w:eastAsiaTheme="minorEastAsia"/>
          <w:sz w:val="24"/>
        </w:rPr>
        <w:t>②石材精深加工板块：依托随县石材产业新城和吴山、万和、草店、太白顶等乡镇石材产业园的建设，实现石材集约化、规模化生产，围绕不同层次市场需求，发展系列化、多元化的板材、异形、创意设计产品等不同用途的产品，包括规模化大板、规格板、条板等各类板材、保温装饰一体板和栏杆、雕刻、拼花、工艺品、壁画等异型石材等。不断提高质量，加强产品检验检测，树立随县石材区域品牌。</w:t>
      </w:r>
    </w:p>
    <w:p w14:paraId="5A0EEFE7">
      <w:pPr>
        <w:spacing w:line="360" w:lineRule="auto"/>
        <w:ind w:firstLine="480" w:firstLineChars="200"/>
        <w:rPr>
          <w:rFonts w:eastAsiaTheme="minorEastAsia"/>
          <w:sz w:val="24"/>
        </w:rPr>
      </w:pPr>
      <w:r>
        <w:rPr>
          <w:rFonts w:hint="eastAsia" w:eastAsiaTheme="minorEastAsia"/>
          <w:sz w:val="24"/>
        </w:rPr>
        <w:t>③循环经济产业板块：创造条件，将固废处理、生态环境恢复治理、污染治理等工程进行系统地、产业化的谋划、设计，将资源化利用与无害处理相结合，构建新的产业。以废弃物生产相关产品代替目前以天然矿产资源为原料的同类产品，用于建筑、市政工程、交通、水利设施建设。在园区内设立以集中处理固体废弃物的循环经济产业项目，重点针对矿山开发和产品制造过程中产生的各类废土、废石、边角料、石粉、石泥等，根据不同固体废弃物的理化性质和品位，生产蒸压加气砖、发泡陶瓷、马赛克、石米、机制骨料等产品。积极谋划随州建筑骨料、商品混凝土、建筑构件、装配式建筑生产基地，布局在随县或随州市，服务于全随州建筑、市政市场需求，将固废利用产业做成一条龙的建筑服务产业。</w:t>
      </w:r>
    </w:p>
    <w:p w14:paraId="5EC700CE">
      <w:pPr>
        <w:spacing w:line="360" w:lineRule="auto"/>
        <w:ind w:firstLine="480" w:firstLineChars="200"/>
        <w:rPr>
          <w:rFonts w:eastAsiaTheme="minorEastAsia"/>
          <w:sz w:val="24"/>
        </w:rPr>
      </w:pPr>
      <w:r>
        <w:rPr>
          <w:rFonts w:hint="eastAsia" w:eastAsiaTheme="minorEastAsia"/>
          <w:sz w:val="24"/>
        </w:rPr>
        <w:t>④生产性服务业板块：围绕石材产业链及上下游相关产业的发展需求，积极培育现代物流、电子商务、展会论坛、石材交易市场、技术服务、研发设计、教育培训、数据及网络服务等。其次，发展与产业发展配套的机汽修及配件、磨具磨料、刀具、锯片、金刚石工具等销售，积极引进发展新能源、包装材料、锯片、刀具等生产企业落地。全面提升园区产业发展水平，实现园区从前期以单一的石材初加工产品生产、销售为主，向以“石材（及装配式建筑）全链条服务”为主的业态转变，培育产业新的增长点。</w:t>
      </w:r>
    </w:p>
    <w:p w14:paraId="33813A00">
      <w:pPr>
        <w:spacing w:line="360" w:lineRule="auto"/>
        <w:ind w:firstLine="480" w:firstLineChars="200"/>
        <w:rPr>
          <w:rFonts w:eastAsiaTheme="minorEastAsia"/>
          <w:sz w:val="24"/>
        </w:rPr>
      </w:pPr>
      <w:r>
        <w:rPr>
          <w:rFonts w:hint="eastAsia" w:eastAsiaTheme="minorEastAsia"/>
          <w:sz w:val="24"/>
        </w:rPr>
        <w:t>⑤石材金融板块：成立石材绿色低碳开发基金，政府引导、引进金融机构、战略投资机构、大型国有企业、当地骨干企业发起成立石材基金，专业从事区内外的资源整合、矿山生态修复治理、园区基础设施建设、园区土地整理、光伏新能源低碳项目、智慧物流、国内外石材交易与结算中心、电子商务平台、技术攻关等业务，开展以石材为主营业务的资本运作和产业动作。</w:t>
      </w:r>
    </w:p>
    <w:p w14:paraId="3CCCFEAD">
      <w:pPr>
        <w:spacing w:line="360" w:lineRule="auto"/>
        <w:jc w:val="center"/>
        <w:rPr>
          <w:rFonts w:eastAsiaTheme="minorEastAsia"/>
          <w:sz w:val="24"/>
        </w:rPr>
      </w:pPr>
      <w:r>
        <w:drawing>
          <wp:inline distT="0" distB="0" distL="0" distR="0">
            <wp:extent cx="5278120" cy="32581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8120" cy="3258506"/>
                    </a:xfrm>
                    <a:prstGeom prst="rect">
                      <a:avLst/>
                    </a:prstGeom>
                  </pic:spPr>
                </pic:pic>
              </a:graphicData>
            </a:graphic>
          </wp:inline>
        </w:drawing>
      </w:r>
    </w:p>
    <w:p w14:paraId="4457DF54">
      <w:pPr>
        <w:spacing w:line="360" w:lineRule="auto"/>
        <w:jc w:val="center"/>
        <w:rPr>
          <w:rFonts w:eastAsiaTheme="minorEastAsia"/>
          <w:sz w:val="24"/>
        </w:rPr>
      </w:pPr>
      <w:r>
        <w:rPr>
          <w:rFonts w:hint="eastAsia" w:eastAsiaTheme="minorEastAsia"/>
          <w:b/>
          <w:szCs w:val="21"/>
        </w:rPr>
        <w:t>图2.1.6-1    随县石材产业各细分链条</w:t>
      </w:r>
    </w:p>
    <w:p w14:paraId="47D5102B">
      <w:pPr>
        <w:spacing w:line="360" w:lineRule="auto"/>
        <w:jc w:val="center"/>
        <w:rPr>
          <w:rFonts w:eastAsiaTheme="minorEastAsia"/>
          <w:sz w:val="24"/>
        </w:rPr>
      </w:pPr>
      <w:r>
        <w:drawing>
          <wp:inline distT="0" distB="0" distL="0" distR="0">
            <wp:extent cx="5278120" cy="31400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78120" cy="3140604"/>
                    </a:xfrm>
                    <a:prstGeom prst="rect">
                      <a:avLst/>
                    </a:prstGeom>
                  </pic:spPr>
                </pic:pic>
              </a:graphicData>
            </a:graphic>
          </wp:inline>
        </w:drawing>
      </w:r>
    </w:p>
    <w:p w14:paraId="7C953067">
      <w:pPr>
        <w:spacing w:line="360" w:lineRule="auto"/>
        <w:ind w:firstLine="422"/>
        <w:jc w:val="center"/>
        <w:rPr>
          <w:rFonts w:eastAsiaTheme="minorEastAsia"/>
          <w:b/>
          <w:szCs w:val="21"/>
        </w:rPr>
      </w:pPr>
      <w:r>
        <w:rPr>
          <w:rFonts w:hint="eastAsia" w:eastAsiaTheme="minorEastAsia"/>
          <w:b/>
          <w:szCs w:val="21"/>
        </w:rPr>
        <w:t xml:space="preserve">图2.1.6-2   </w:t>
      </w:r>
      <w:r>
        <w:rPr>
          <w:rFonts w:eastAsiaTheme="minorEastAsia"/>
          <w:b/>
          <w:szCs w:val="21"/>
        </w:rPr>
        <w:t xml:space="preserve"> </w:t>
      </w:r>
      <w:r>
        <w:rPr>
          <w:rFonts w:hint="eastAsia" w:eastAsiaTheme="minorEastAsia"/>
          <w:b/>
          <w:szCs w:val="21"/>
        </w:rPr>
        <w:t>随县石材产业体系</w:t>
      </w:r>
    </w:p>
    <w:p w14:paraId="5338AC95">
      <w:pPr>
        <w:keepNext/>
        <w:keepLines/>
        <w:widowControl/>
        <w:numPr>
          <w:ilvl w:val="2"/>
          <w:numId w:val="1"/>
        </w:numPr>
        <w:spacing w:before="120" w:after="120" w:line="360" w:lineRule="auto"/>
        <w:jc w:val="left"/>
        <w:outlineLvl w:val="2"/>
        <w:rPr>
          <w:rFonts w:eastAsiaTheme="minorEastAsia"/>
          <w:b/>
          <w:bCs/>
          <w:sz w:val="24"/>
        </w:rPr>
      </w:pPr>
      <w:bookmarkStart w:id="81" w:name="_Toc206494924"/>
      <w:r>
        <w:rPr>
          <w:rFonts w:hint="eastAsia" w:eastAsiaTheme="minorEastAsia"/>
          <w:b/>
          <w:bCs/>
          <w:sz w:val="24"/>
        </w:rPr>
        <w:t>规划产业布局</w:t>
      </w:r>
      <w:bookmarkEnd w:id="81"/>
    </w:p>
    <w:p w14:paraId="220F0C0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布局思路</w:t>
      </w:r>
    </w:p>
    <w:p w14:paraId="1CCE9716">
      <w:pPr>
        <w:spacing w:line="360" w:lineRule="auto"/>
        <w:ind w:firstLine="480" w:firstLineChars="200"/>
        <w:rPr>
          <w:rFonts w:eastAsiaTheme="minorEastAsia"/>
          <w:sz w:val="24"/>
        </w:rPr>
      </w:pPr>
      <w:r>
        <w:rPr>
          <w:rFonts w:hint="eastAsia" w:eastAsiaTheme="minorEastAsia"/>
          <w:sz w:val="24"/>
        </w:rPr>
        <w:t>坚持规划引领。在县国土空间规划的指引下，结合随县石材产业需求，提出合理的空间需求和布局格局，通过区域国土空间管治，保障石材产业长远有序发展。</w:t>
      </w:r>
    </w:p>
    <w:p w14:paraId="001FD904">
      <w:pPr>
        <w:spacing w:line="360" w:lineRule="auto"/>
        <w:ind w:firstLine="480" w:firstLineChars="200"/>
        <w:rPr>
          <w:rFonts w:eastAsiaTheme="minorEastAsia"/>
          <w:sz w:val="24"/>
        </w:rPr>
      </w:pPr>
      <w:r>
        <w:rPr>
          <w:rFonts w:hint="eastAsia" w:eastAsiaTheme="minorEastAsia"/>
          <w:sz w:val="24"/>
        </w:rPr>
        <w:t>结合现有基础。经过了十余年的发展和持续投入，吴山、万和等区域已经形成了较大规模的生产加工业，具备了一定的基础设施条件，在未来的发展阶段，通过整改提升现有相关设施，实现以较小的投入换取最大的效益。</w:t>
      </w:r>
    </w:p>
    <w:p w14:paraId="44EA0086">
      <w:pPr>
        <w:spacing w:line="360" w:lineRule="auto"/>
        <w:ind w:firstLine="480" w:firstLineChars="200"/>
        <w:rPr>
          <w:rFonts w:eastAsiaTheme="minorEastAsia"/>
          <w:sz w:val="24"/>
        </w:rPr>
      </w:pPr>
      <w:r>
        <w:rPr>
          <w:rFonts w:hint="eastAsia" w:eastAsiaTheme="minorEastAsia"/>
          <w:sz w:val="24"/>
        </w:rPr>
        <w:t>园区支撑城镇发展。将石材产业园的建设与附近城镇搬迁、基础设施改造等新型城镇化建设结合，共享城建基础设施，构建产业共生共赢体系。</w:t>
      </w:r>
    </w:p>
    <w:p w14:paraId="6F6BFEDA">
      <w:pPr>
        <w:spacing w:line="360" w:lineRule="auto"/>
        <w:ind w:firstLine="480" w:firstLineChars="200"/>
        <w:rPr>
          <w:rFonts w:eastAsiaTheme="minorEastAsia"/>
          <w:sz w:val="24"/>
        </w:rPr>
      </w:pPr>
      <w:r>
        <w:rPr>
          <w:rFonts w:hint="eastAsia" w:eastAsiaTheme="minorEastAsia"/>
          <w:sz w:val="24"/>
        </w:rPr>
        <w:t>矿山就近布局综合利用项目。根据矿山碎石加工生产线布局特点，充分利用矿山附近位置，就近布局综合利用项目，既可以减少运输成本，又能最大程度减少生产噪声对周边的影响。</w:t>
      </w:r>
    </w:p>
    <w:p w14:paraId="55F9EF09">
      <w:pPr>
        <w:spacing w:line="360" w:lineRule="auto"/>
        <w:ind w:firstLine="480" w:firstLineChars="200"/>
        <w:rPr>
          <w:rFonts w:eastAsiaTheme="minorEastAsia"/>
          <w:sz w:val="24"/>
        </w:rPr>
      </w:pPr>
      <w:r>
        <w:rPr>
          <w:rFonts w:hint="eastAsia" w:eastAsiaTheme="minorEastAsia"/>
          <w:sz w:val="24"/>
        </w:rPr>
        <w:t>依托交通布局长远谋划发展。吴山石材物流园是随县石材的对外对内集散中心，特别是铁路运输专线建成之后，将极大地推动随县石材的内外运输。应充分测算物流园的承载能力，将生产要素向物流园附近提前布局。此外，围绕着石材大道，未来延伸产业发展空间。</w:t>
      </w:r>
    </w:p>
    <w:p w14:paraId="1C61A9D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布局方案</w:t>
      </w:r>
    </w:p>
    <w:p w14:paraId="20724046">
      <w:pPr>
        <w:spacing w:line="360" w:lineRule="auto"/>
        <w:ind w:firstLine="482" w:firstLineChars="200"/>
        <w:rPr>
          <w:rFonts w:eastAsiaTheme="minorEastAsia"/>
          <w:sz w:val="24"/>
        </w:rPr>
      </w:pPr>
      <w:r>
        <w:rPr>
          <w:rFonts w:hint="eastAsia" w:eastAsiaTheme="minorEastAsia"/>
          <w:b/>
          <w:sz w:val="24"/>
        </w:rPr>
        <w:t>随县产业聚集区总体布局：</w:t>
      </w:r>
      <w:r>
        <w:rPr>
          <w:rFonts w:hint="eastAsia" w:eastAsiaTheme="minorEastAsia"/>
          <w:sz w:val="24"/>
        </w:rPr>
        <w:t>规划“四轮驱动”的产业总体布局，其中，“四轮”是指吴山石材产业园、万和石材产业园、草店石材产业园和太白顶石材产业园四个加工组团。</w:t>
      </w:r>
    </w:p>
    <w:p w14:paraId="3FFC1424">
      <w:pPr>
        <w:spacing w:line="360" w:lineRule="auto"/>
        <w:ind w:firstLine="482" w:firstLineChars="200"/>
        <w:rPr>
          <w:rFonts w:eastAsiaTheme="minorEastAsia"/>
          <w:sz w:val="24"/>
        </w:rPr>
      </w:pPr>
      <w:r>
        <w:rPr>
          <w:rFonts w:hint="eastAsia" w:eastAsiaTheme="minorEastAsia"/>
          <w:b/>
          <w:sz w:val="24"/>
        </w:rPr>
        <w:t>交通物流设施布局。</w:t>
      </w:r>
      <w:r>
        <w:rPr>
          <w:rFonts w:hint="eastAsia" w:eastAsiaTheme="minorEastAsia"/>
          <w:sz w:val="24"/>
        </w:rPr>
        <w:t>规划“一园一铁一通道”的交通物流运输布局。其中：“一园”：是指随县（吴山）国际石材现代物流产业园。该物流园位于吴山镇，主要提供荒料交易、石材产品、建筑骨料等仓储和对外展示功能。“一铁”：是指铁路运输专线。按照“按股出资、合股建设、合作管理、共享收益”的模式，规划建设全长15.5公里的石材铁路运输专线，此专用线路自吴山镇物流园引出，连接到随阳店站。“一通道”：是指吴山连接万和的石材公路运输通道。打通万和到吴山的石材运输通道，进一步改造、优化现有公路通道。</w:t>
      </w:r>
    </w:p>
    <w:p w14:paraId="6CD8463A">
      <w:pPr>
        <w:spacing w:line="360" w:lineRule="auto"/>
        <w:ind w:firstLine="482" w:firstLineChars="200"/>
        <w:rPr>
          <w:rFonts w:eastAsiaTheme="minorEastAsia"/>
          <w:sz w:val="24"/>
        </w:rPr>
      </w:pPr>
      <w:r>
        <w:rPr>
          <w:rFonts w:hint="eastAsia" w:eastAsiaTheme="minorEastAsia"/>
          <w:b/>
          <w:sz w:val="24"/>
        </w:rPr>
        <w:t>综合利用产业布局。</w:t>
      </w:r>
      <w:r>
        <w:rPr>
          <w:rFonts w:hint="eastAsia" w:eastAsiaTheme="minorEastAsia"/>
          <w:sz w:val="24"/>
        </w:rPr>
        <w:t>近期，机制砂、锯泥综合利用等项目总体上以因地制宜，就地布局为主要原则，远期考虑依托市场布局大型综合基地。四个组团内各规划一个的综合利用功能区，所有机制砂综合利用项目均布局在该功能区内，其他石材加工企业内不再布局综合利用项目。每个组团骨料、机制砂企业数量控制在1-2家，单体生产线最低规模200万吨/年。锯泥综合利用项目控制企业数量控制在2-3家。以股份制公司或集团公司的形式，建设规模化、多品种、多生产线的生产基地。</w:t>
      </w:r>
    </w:p>
    <w:p w14:paraId="211B04BB">
      <w:pPr>
        <w:keepNext/>
        <w:keepLines/>
        <w:widowControl/>
        <w:numPr>
          <w:ilvl w:val="2"/>
          <w:numId w:val="1"/>
        </w:numPr>
        <w:spacing w:before="120" w:after="120" w:line="360" w:lineRule="auto"/>
        <w:jc w:val="left"/>
        <w:outlineLvl w:val="2"/>
        <w:rPr>
          <w:rFonts w:eastAsiaTheme="minorEastAsia"/>
          <w:b/>
          <w:bCs/>
          <w:sz w:val="24"/>
        </w:rPr>
      </w:pPr>
      <w:bookmarkStart w:id="82" w:name="_Toc206494925"/>
      <w:r>
        <w:rPr>
          <w:rFonts w:hint="eastAsia" w:eastAsiaTheme="minorEastAsia"/>
          <w:b/>
          <w:bCs/>
          <w:sz w:val="24"/>
        </w:rPr>
        <w:t>规划主要任务</w:t>
      </w:r>
      <w:bookmarkEnd w:id="82"/>
    </w:p>
    <w:p w14:paraId="6B1F7F4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资源高效开发，构建矿山开采治理新局面</w:t>
      </w:r>
    </w:p>
    <w:p w14:paraId="0F737B4A">
      <w:pPr>
        <w:spacing w:line="360" w:lineRule="auto"/>
        <w:ind w:firstLine="480" w:firstLineChars="200"/>
        <w:rPr>
          <w:rFonts w:eastAsiaTheme="minorEastAsia"/>
          <w:sz w:val="24"/>
        </w:rPr>
      </w:pPr>
      <w:r>
        <w:rPr>
          <w:rFonts w:hint="eastAsia" w:eastAsiaTheme="minorEastAsia"/>
          <w:sz w:val="24"/>
        </w:rPr>
        <w:t>（1）加强地质基础工作，为科学高效开发提供决策依据</w:t>
      </w:r>
    </w:p>
    <w:p w14:paraId="0CCC0650">
      <w:pPr>
        <w:spacing w:line="360" w:lineRule="auto"/>
        <w:ind w:firstLine="480" w:firstLineChars="200"/>
        <w:rPr>
          <w:rFonts w:eastAsiaTheme="minorEastAsia"/>
          <w:sz w:val="24"/>
        </w:rPr>
      </w:pPr>
      <w:r>
        <w:rPr>
          <w:rFonts w:hint="eastAsia" w:eastAsiaTheme="minorEastAsia"/>
          <w:sz w:val="24"/>
        </w:rPr>
        <w:t>随县花岗石资源丰富，但地质勘查程度相对较低，缺少系统科学地质勘查。“十四五”期间结合《随县矿产资源总体规划（2021-2025年）》的总体要求，县政府安排专项资金，或鼓励企业资本参与，加强全县域内石材资源勘查。构建石材资源分布、储量、矿体形态、花色品种、地质构造及开采技术条件等信息资料库。</w:t>
      </w:r>
    </w:p>
    <w:p w14:paraId="3D9C9B0F">
      <w:pPr>
        <w:spacing w:line="360" w:lineRule="auto"/>
        <w:ind w:firstLine="480" w:firstLineChars="200"/>
        <w:rPr>
          <w:rFonts w:eastAsiaTheme="minorEastAsia"/>
          <w:sz w:val="24"/>
        </w:rPr>
      </w:pPr>
      <w:r>
        <w:rPr>
          <w:rFonts w:hint="eastAsia" w:eastAsiaTheme="minorEastAsia"/>
          <w:sz w:val="24"/>
        </w:rPr>
        <w:t>（2）建设绿色矿山，高标准打造绿色开采示范基地</w:t>
      </w:r>
    </w:p>
    <w:p w14:paraId="33394365">
      <w:pPr>
        <w:spacing w:line="360" w:lineRule="auto"/>
        <w:ind w:firstLine="480" w:firstLineChars="200"/>
        <w:rPr>
          <w:rFonts w:eastAsiaTheme="minorEastAsia"/>
          <w:sz w:val="24"/>
        </w:rPr>
      </w:pPr>
      <w:r>
        <w:rPr>
          <w:rFonts w:hint="eastAsia" w:eastAsiaTheme="minorEastAsia"/>
          <w:sz w:val="24"/>
        </w:rPr>
        <w:t>随县石材绿色矿山应严格按照《石材行业绿色矿山建设规范》的相关要求，从矿区环境、资源开发方式、资源综合利用、节能减排、科技创新与数字矿山、企业管理与企业形象等方面，全面推进矿山的绿色建设，尽快完成省级绿色矿山甚至国家级的评审、验收、入库。建议各矿山做好总体开发利用规划方案。</w:t>
      </w:r>
    </w:p>
    <w:p w14:paraId="3594CC45">
      <w:pPr>
        <w:spacing w:line="360" w:lineRule="auto"/>
        <w:ind w:firstLine="480" w:firstLineChars="200"/>
        <w:rPr>
          <w:rFonts w:eastAsiaTheme="minorEastAsia"/>
          <w:sz w:val="24"/>
        </w:rPr>
      </w:pPr>
      <w:r>
        <w:rPr>
          <w:rFonts w:hint="eastAsia" w:eastAsiaTheme="minorEastAsia"/>
          <w:sz w:val="24"/>
        </w:rPr>
        <w:t>（3）引进外部品种，建立多元化荒料供应渠道</w:t>
      </w:r>
    </w:p>
    <w:p w14:paraId="6FA76CB9">
      <w:pPr>
        <w:spacing w:line="360" w:lineRule="auto"/>
        <w:ind w:firstLine="480" w:firstLineChars="200"/>
        <w:rPr>
          <w:rFonts w:eastAsiaTheme="minorEastAsia"/>
          <w:sz w:val="24"/>
        </w:rPr>
      </w:pPr>
      <w:r>
        <w:rPr>
          <w:rFonts w:hint="eastAsia" w:eastAsiaTheme="minorEastAsia"/>
          <w:sz w:val="24"/>
        </w:rPr>
        <w:t>在本地石材资源的基础上，加强引进国内、国际优质大理石、花岗石等荒料，构建多渠道资源通道。中长期规划建设随县石材荒料专业交易市场，选址在吴山物流园内。</w:t>
      </w:r>
    </w:p>
    <w:p w14:paraId="65698BD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加快园区改造，营造整洁有序优质环境</w:t>
      </w:r>
    </w:p>
    <w:p w14:paraId="79437F6F">
      <w:pPr>
        <w:spacing w:line="360" w:lineRule="auto"/>
        <w:ind w:firstLine="480" w:firstLineChars="200"/>
        <w:rPr>
          <w:rFonts w:eastAsiaTheme="minorEastAsia"/>
          <w:sz w:val="24"/>
        </w:rPr>
      </w:pPr>
      <w:r>
        <w:rPr>
          <w:rFonts w:hint="eastAsia" w:eastAsiaTheme="minorEastAsia"/>
          <w:sz w:val="24"/>
        </w:rPr>
        <w:t>（1）梳理吴山产业园用地现状，优化功能布局</w:t>
      </w:r>
    </w:p>
    <w:p w14:paraId="28D988DD">
      <w:pPr>
        <w:spacing w:line="360" w:lineRule="auto"/>
        <w:ind w:firstLine="480" w:firstLineChars="200"/>
        <w:rPr>
          <w:rFonts w:eastAsiaTheme="minorEastAsia"/>
          <w:sz w:val="24"/>
        </w:rPr>
      </w:pPr>
      <w:r>
        <w:rPr>
          <w:rFonts w:hint="eastAsia" w:eastAsiaTheme="minorEastAsia"/>
          <w:sz w:val="24"/>
        </w:rPr>
        <w:t>①加强用地布局优化，梳理集约高效用地。</w:t>
      </w:r>
    </w:p>
    <w:p w14:paraId="44658640">
      <w:pPr>
        <w:spacing w:line="360" w:lineRule="auto"/>
        <w:ind w:firstLine="480" w:firstLineChars="200"/>
        <w:rPr>
          <w:rFonts w:eastAsiaTheme="minorEastAsia"/>
          <w:sz w:val="24"/>
        </w:rPr>
      </w:pPr>
      <w:r>
        <w:rPr>
          <w:rFonts w:hint="eastAsia" w:eastAsiaTheme="minorEastAsia"/>
          <w:sz w:val="24"/>
        </w:rPr>
        <w:t>加强土地利用的优化、整理，对现有企业占地进行全面梳理，规范用地，合理确定各企业占地指标，应退尽退，应用尽用，提高土地利用效率；优化功能区布局，完善生产区、配套设施区、基础设施用地、生态保护区、绿色景观区等布置，规范和明确用地功能。基础设施完善工程，梳理和优化交通运输、电力、给排水等设施。</w:t>
      </w:r>
    </w:p>
    <w:p w14:paraId="206D986D">
      <w:pPr>
        <w:spacing w:line="360" w:lineRule="auto"/>
        <w:ind w:firstLine="480" w:firstLineChars="200"/>
        <w:rPr>
          <w:rFonts w:eastAsiaTheme="minorEastAsia"/>
          <w:sz w:val="24"/>
        </w:rPr>
      </w:pPr>
      <w:r>
        <w:rPr>
          <w:rFonts w:hint="eastAsia" w:eastAsiaTheme="minorEastAsia"/>
          <w:sz w:val="24"/>
        </w:rPr>
        <w:t>②园区形象改造。各石材企业根据园区控制性规划和“一企一策”规划，优化厂内布局，规范荒料、产品、设备存放与管理，改造围墙、大门以及厂区绿色。推进园区绿色、美化、亮丽工程；加快企业绿色、生态、低碳、智慧化技术改造，积极推广光伏绿色能源，推广电力汽车、叉车等新能源车运输。推广太阳能路灯等新能源照明。支持企业加快生产过程中三废处理改造，开发清洁生产达标工程，鼓励企业建设绿色工厂、智能工厂。</w:t>
      </w:r>
    </w:p>
    <w:p w14:paraId="0ED4B149">
      <w:pPr>
        <w:spacing w:line="360" w:lineRule="auto"/>
        <w:ind w:firstLine="480" w:firstLineChars="200"/>
        <w:rPr>
          <w:rFonts w:eastAsiaTheme="minorEastAsia"/>
          <w:sz w:val="24"/>
        </w:rPr>
      </w:pPr>
      <w:r>
        <w:rPr>
          <w:rFonts w:hint="eastAsia" w:eastAsiaTheme="minorEastAsia"/>
          <w:sz w:val="24"/>
        </w:rPr>
        <w:t>③规划新的功能区。吴山铁路物流园建设。围绕铁路专用线，建设大型综合物流园。主要内容包括：建筑砂石骨料储库及装车系统；石材荒料装卸系统及专业荒料堆场；石材产品货场；停车场；保税仓库等硬件设施，建设物流管理系统、智慧物流、物流信息系统等软件设施；改造扩建吴山循环经济区，针对砂石、石粉综合利用，进一步完善现有砂石生产项目，加快推进石粉提纯生产陶瓷原料、石粉商品混凝土项目、石粉生产广场砖、路缘石等新型建材项目、石粉生产泡沫陶瓷等综合利用项目落地；新规划钾长石加工片区，生产不同品级的长石粉，与锯泥石粉料提纯结合，开发陶瓷专用原料，对接陶瓷产业集群，打造陶瓷标准化原料基地。</w:t>
      </w:r>
    </w:p>
    <w:p w14:paraId="558D9C3A">
      <w:pPr>
        <w:spacing w:line="360" w:lineRule="auto"/>
        <w:ind w:firstLine="480" w:firstLineChars="200"/>
        <w:rPr>
          <w:rFonts w:eastAsiaTheme="minorEastAsia"/>
          <w:sz w:val="24"/>
        </w:rPr>
      </w:pPr>
      <w:r>
        <w:rPr>
          <w:rFonts w:hint="eastAsia" w:eastAsiaTheme="minorEastAsia"/>
          <w:sz w:val="24"/>
        </w:rPr>
        <w:t>统筹协调园区建设与周边水库、山地的环境生态，改造厂区和园区公共区域绿色景观，配套建设铁路运输专线、智慧物流园等。</w:t>
      </w:r>
    </w:p>
    <w:p w14:paraId="018D97C2">
      <w:pPr>
        <w:spacing w:line="360" w:lineRule="auto"/>
        <w:ind w:firstLine="480" w:firstLineChars="200"/>
        <w:rPr>
          <w:rFonts w:eastAsiaTheme="minorEastAsia"/>
          <w:sz w:val="24"/>
        </w:rPr>
      </w:pPr>
      <w:r>
        <w:rPr>
          <w:rFonts w:hint="eastAsia" w:eastAsiaTheme="minorEastAsia"/>
          <w:sz w:val="24"/>
        </w:rPr>
        <w:t>（2）整合万和产业园，提高工业用地利用效率</w:t>
      </w:r>
    </w:p>
    <w:p w14:paraId="1645FE3D">
      <w:pPr>
        <w:spacing w:line="360" w:lineRule="auto"/>
        <w:ind w:firstLine="480" w:firstLineChars="200"/>
        <w:rPr>
          <w:rFonts w:eastAsiaTheme="minorEastAsia"/>
          <w:sz w:val="24"/>
        </w:rPr>
      </w:pPr>
      <w:r>
        <w:rPr>
          <w:rFonts w:hint="eastAsia" w:eastAsiaTheme="minorEastAsia"/>
          <w:sz w:val="24"/>
        </w:rPr>
        <w:t>①整体优化整个产业园片区结构。针对现有企业分布零散，布局不合理等问题，重点是按土地空间利用规划的要求，规范园区用地，合理确定园区范围。现有园区之外企业，限期搬迁进入园区，园区之外不再发展石材企业。对现有石材企业合理确定占地指标，应退尽退，提高土地利用效率。</w:t>
      </w:r>
    </w:p>
    <w:p w14:paraId="4F625B71">
      <w:pPr>
        <w:spacing w:line="360" w:lineRule="auto"/>
        <w:ind w:firstLine="480" w:firstLineChars="200"/>
        <w:rPr>
          <w:rFonts w:eastAsiaTheme="minorEastAsia"/>
          <w:sz w:val="24"/>
        </w:rPr>
      </w:pPr>
      <w:r>
        <w:rPr>
          <w:rFonts w:hint="eastAsia" w:eastAsiaTheme="minorEastAsia"/>
          <w:sz w:val="24"/>
        </w:rPr>
        <w:t>②完善基础设施工程。梳理和优化交通运输、电力、给排水等设施，加强S264道园区部分道路升级改造，加快吴山——万和石材通道建设。</w:t>
      </w:r>
    </w:p>
    <w:p w14:paraId="22C53164">
      <w:pPr>
        <w:spacing w:line="360" w:lineRule="auto"/>
        <w:ind w:firstLine="480" w:firstLineChars="200"/>
        <w:rPr>
          <w:rFonts w:eastAsiaTheme="minorEastAsia"/>
          <w:sz w:val="24"/>
        </w:rPr>
      </w:pPr>
      <w:r>
        <w:rPr>
          <w:rFonts w:hint="eastAsia" w:eastAsiaTheme="minorEastAsia"/>
          <w:sz w:val="24"/>
        </w:rPr>
        <w:t>③园区形象改造工程。各石材企业根据园区控制性规划，优化厂内布局，规范荒料、产品、设备存放与管理，改造围墙、大门以及厂区绿色。推进园区绿色、美化、亮丽工程。加快企业绿色、生态、低碳、智慧化技术改造，积极推广光伏绿色能源，推广电力汽车、叉车等新能源车运输，推广太阳能路灯等新能源照明，支持企业加快生产过程中三废处理改造，开发清洁生产达标工程，鼓励企业建设绿色工厂、智能工厂。</w:t>
      </w:r>
    </w:p>
    <w:p w14:paraId="726A2941">
      <w:pPr>
        <w:spacing w:line="360" w:lineRule="auto"/>
        <w:ind w:firstLine="480" w:firstLineChars="200"/>
        <w:rPr>
          <w:rFonts w:eastAsiaTheme="minorEastAsia"/>
          <w:sz w:val="24"/>
        </w:rPr>
      </w:pPr>
      <w:r>
        <w:rPr>
          <w:rFonts w:hint="eastAsia" w:eastAsiaTheme="minorEastAsia"/>
          <w:sz w:val="24"/>
        </w:rPr>
        <w:t>（3）优化提升草店产业园和太白顶产业园</w:t>
      </w:r>
    </w:p>
    <w:p w14:paraId="64F36CDF">
      <w:pPr>
        <w:spacing w:line="360" w:lineRule="auto"/>
        <w:ind w:firstLine="480" w:firstLineChars="200"/>
        <w:rPr>
          <w:rFonts w:eastAsiaTheme="minorEastAsia"/>
          <w:sz w:val="24"/>
        </w:rPr>
      </w:pPr>
      <w:r>
        <w:rPr>
          <w:rFonts w:hint="eastAsia" w:eastAsiaTheme="minorEastAsia"/>
          <w:sz w:val="24"/>
        </w:rPr>
        <w:t>以企业改造提升为主，公共设施改造为辅。</w:t>
      </w:r>
    </w:p>
    <w:p w14:paraId="02121E54">
      <w:pPr>
        <w:spacing w:line="360" w:lineRule="auto"/>
        <w:ind w:firstLine="480" w:firstLineChars="200"/>
        <w:rPr>
          <w:rFonts w:eastAsiaTheme="minorEastAsia"/>
          <w:sz w:val="24"/>
        </w:rPr>
      </w:pPr>
      <w:r>
        <w:rPr>
          <w:rFonts w:hint="eastAsia" w:eastAsiaTheme="minorEastAsia"/>
          <w:sz w:val="24"/>
        </w:rPr>
        <w:t>企业内部生产设施布局进一步优化，荒料堆场、生产车间、办公设施、产品堆场、原辅材料库等，按照现代化企业进行规范改造。</w:t>
      </w:r>
    </w:p>
    <w:p w14:paraId="1DB2E5CC">
      <w:pPr>
        <w:spacing w:line="360" w:lineRule="auto"/>
        <w:ind w:firstLine="480" w:firstLineChars="200"/>
        <w:rPr>
          <w:rFonts w:eastAsiaTheme="minorEastAsia"/>
          <w:sz w:val="24"/>
        </w:rPr>
      </w:pPr>
      <w:r>
        <w:rPr>
          <w:rFonts w:hint="eastAsia" w:eastAsiaTheme="minorEastAsia"/>
          <w:sz w:val="24"/>
        </w:rPr>
        <w:t>基础设施完善工程。重点是交通道路、给排水等设施改造。</w:t>
      </w:r>
    </w:p>
    <w:p w14:paraId="0603BDCB">
      <w:pPr>
        <w:spacing w:line="360" w:lineRule="auto"/>
        <w:ind w:firstLine="480" w:firstLineChars="200"/>
        <w:rPr>
          <w:rFonts w:eastAsiaTheme="minorEastAsia"/>
          <w:sz w:val="24"/>
        </w:rPr>
      </w:pPr>
      <w:r>
        <w:rPr>
          <w:rFonts w:hint="eastAsia" w:eastAsiaTheme="minorEastAsia"/>
          <w:sz w:val="24"/>
        </w:rPr>
        <w:t>因地制宜适度布局废物综合利用项目。</w:t>
      </w:r>
    </w:p>
    <w:p w14:paraId="68BB7935">
      <w:pPr>
        <w:spacing w:line="360" w:lineRule="auto"/>
        <w:ind w:firstLine="480" w:firstLineChars="200"/>
        <w:rPr>
          <w:rFonts w:eastAsiaTheme="minorEastAsia"/>
          <w:sz w:val="24"/>
        </w:rPr>
      </w:pPr>
      <w:r>
        <w:rPr>
          <w:rFonts w:hint="eastAsia" w:eastAsiaTheme="minorEastAsia"/>
          <w:sz w:val="24"/>
        </w:rPr>
        <w:t>企业形象改造工程。对办公楼、围墙、大门以及厂区绿色进一步完善。推进片区绿色、美化、亮丽工程。加快企业绿色、生态、低碳、智慧化技术改造。</w:t>
      </w:r>
    </w:p>
    <w:p w14:paraId="2BE30705">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坚持创新驱动，加快培育行业新质生产力</w:t>
      </w:r>
    </w:p>
    <w:p w14:paraId="5C947D07">
      <w:pPr>
        <w:spacing w:line="360" w:lineRule="auto"/>
        <w:ind w:firstLine="480" w:firstLineChars="200"/>
        <w:rPr>
          <w:rFonts w:eastAsiaTheme="minorEastAsia"/>
          <w:sz w:val="24"/>
        </w:rPr>
      </w:pPr>
      <w:r>
        <w:rPr>
          <w:rFonts w:hint="eastAsia" w:eastAsiaTheme="minorEastAsia"/>
          <w:sz w:val="24"/>
        </w:rPr>
        <w:t>（1）提升创新意识，建立石材技术创新体系</w:t>
      </w:r>
    </w:p>
    <w:p w14:paraId="34EC3BE3">
      <w:pPr>
        <w:spacing w:line="360" w:lineRule="auto"/>
        <w:ind w:firstLine="480" w:firstLineChars="200"/>
        <w:rPr>
          <w:rFonts w:eastAsiaTheme="minorEastAsia"/>
          <w:sz w:val="24"/>
        </w:rPr>
      </w:pPr>
      <w:r>
        <w:rPr>
          <w:rFonts w:hint="eastAsia" w:eastAsiaTheme="minorEastAsia"/>
          <w:sz w:val="24"/>
        </w:rPr>
        <w:t>①鼓励和支持企业成为科研创新主体。</w:t>
      </w:r>
    </w:p>
    <w:p w14:paraId="4C533FF5">
      <w:pPr>
        <w:spacing w:line="360" w:lineRule="auto"/>
        <w:ind w:firstLine="480" w:firstLineChars="200"/>
        <w:rPr>
          <w:rFonts w:eastAsiaTheme="minorEastAsia"/>
          <w:sz w:val="24"/>
        </w:rPr>
      </w:pPr>
      <w:r>
        <w:rPr>
          <w:rFonts w:hint="eastAsia" w:eastAsiaTheme="minorEastAsia"/>
          <w:sz w:val="24"/>
        </w:rPr>
        <w:t>②创立上下游企业与科研单位联合的产业技术创新联盟。</w:t>
      </w:r>
    </w:p>
    <w:p w14:paraId="4D5FAFC2">
      <w:pPr>
        <w:spacing w:line="360" w:lineRule="auto"/>
        <w:ind w:firstLine="480" w:firstLineChars="200"/>
        <w:rPr>
          <w:rFonts w:eastAsiaTheme="minorEastAsia"/>
          <w:sz w:val="24"/>
        </w:rPr>
      </w:pPr>
      <w:r>
        <w:rPr>
          <w:rFonts w:hint="eastAsia" w:eastAsiaTheme="minorEastAsia"/>
          <w:sz w:val="24"/>
        </w:rPr>
        <w:t>③建立石材研究院等产学研相结合的工程研发中心。</w:t>
      </w:r>
    </w:p>
    <w:p w14:paraId="7130AE07">
      <w:pPr>
        <w:spacing w:line="360" w:lineRule="auto"/>
        <w:ind w:firstLine="480" w:firstLineChars="200"/>
        <w:rPr>
          <w:rFonts w:eastAsiaTheme="minorEastAsia"/>
          <w:sz w:val="24"/>
        </w:rPr>
      </w:pPr>
      <w:r>
        <w:rPr>
          <w:rFonts w:hint="eastAsia" w:eastAsiaTheme="minorEastAsia"/>
          <w:sz w:val="24"/>
        </w:rPr>
        <w:t>（2）推进智能制造，提高行业两化融合水平</w:t>
      </w:r>
    </w:p>
    <w:p w14:paraId="07F50BEB">
      <w:pPr>
        <w:spacing w:line="360" w:lineRule="auto"/>
        <w:ind w:firstLine="480" w:firstLineChars="200"/>
        <w:rPr>
          <w:rFonts w:eastAsiaTheme="minorEastAsia"/>
          <w:sz w:val="24"/>
        </w:rPr>
      </w:pPr>
      <w:r>
        <w:rPr>
          <w:rFonts w:hint="eastAsia" w:eastAsiaTheme="minorEastAsia"/>
          <w:sz w:val="24"/>
        </w:rPr>
        <w:t xml:space="preserve">①提高行业生产加工智能化水平。积极推动随县石材产业链条各环节自动化、数字化、智能化、智慧化水平的提高。       </w:t>
      </w:r>
    </w:p>
    <w:p w14:paraId="66EAE2CC">
      <w:pPr>
        <w:spacing w:line="360" w:lineRule="auto"/>
        <w:ind w:firstLine="480" w:firstLineChars="200"/>
        <w:rPr>
          <w:rFonts w:eastAsiaTheme="minorEastAsia"/>
          <w:sz w:val="24"/>
        </w:rPr>
      </w:pPr>
      <w:r>
        <w:rPr>
          <w:rFonts w:hint="eastAsia" w:eastAsiaTheme="minorEastAsia"/>
          <w:sz w:val="24"/>
        </w:rPr>
        <w:t>②推动石材园区信息化工作建设。</w:t>
      </w:r>
    </w:p>
    <w:p w14:paraId="3D16CAF5">
      <w:pPr>
        <w:spacing w:line="360" w:lineRule="auto"/>
        <w:ind w:firstLine="480" w:firstLineChars="200"/>
        <w:rPr>
          <w:rFonts w:eastAsiaTheme="minorEastAsia"/>
          <w:sz w:val="24"/>
        </w:rPr>
      </w:pPr>
      <w:r>
        <w:rPr>
          <w:rFonts w:hint="eastAsia" w:eastAsiaTheme="minorEastAsia"/>
          <w:sz w:val="24"/>
        </w:rPr>
        <w:t>③完善随县石材园区的通信管网、数据中心等基础设施。</w:t>
      </w:r>
    </w:p>
    <w:p w14:paraId="1AFCEF96">
      <w:pPr>
        <w:spacing w:line="360" w:lineRule="auto"/>
        <w:ind w:firstLine="480" w:firstLineChars="200"/>
        <w:rPr>
          <w:rFonts w:eastAsiaTheme="minorEastAsia"/>
          <w:sz w:val="24"/>
        </w:rPr>
      </w:pPr>
      <w:r>
        <w:rPr>
          <w:rFonts w:hint="eastAsia" w:eastAsiaTheme="minorEastAsia"/>
          <w:sz w:val="24"/>
        </w:rPr>
        <w:t>④设备升级更新改造，提升行业整体技术水平。</w:t>
      </w:r>
    </w:p>
    <w:p w14:paraId="4026D621">
      <w:pPr>
        <w:spacing w:line="360" w:lineRule="auto"/>
        <w:ind w:firstLine="480" w:firstLineChars="200"/>
        <w:rPr>
          <w:rFonts w:eastAsiaTheme="minorEastAsia"/>
          <w:sz w:val="24"/>
        </w:rPr>
      </w:pPr>
      <w:r>
        <w:rPr>
          <w:rFonts w:hint="eastAsia" w:eastAsiaTheme="minorEastAsia"/>
          <w:sz w:val="24"/>
        </w:rPr>
        <w:t>（3）文化创意赋能，发展壮大石文化产业</w:t>
      </w:r>
    </w:p>
    <w:p w14:paraId="0514D6C8">
      <w:pPr>
        <w:spacing w:line="360" w:lineRule="auto"/>
        <w:ind w:firstLine="480" w:firstLineChars="200"/>
        <w:rPr>
          <w:rFonts w:eastAsiaTheme="minorEastAsia"/>
          <w:sz w:val="24"/>
        </w:rPr>
      </w:pPr>
      <w:r>
        <w:rPr>
          <w:rFonts w:hint="eastAsia" w:eastAsiaTheme="minorEastAsia"/>
          <w:sz w:val="24"/>
        </w:rPr>
        <w:t>①壮大石雕石刻产业。</w:t>
      </w:r>
    </w:p>
    <w:p w14:paraId="61ED25B5">
      <w:pPr>
        <w:spacing w:line="360" w:lineRule="auto"/>
        <w:ind w:firstLine="480" w:firstLineChars="200"/>
        <w:rPr>
          <w:rFonts w:eastAsiaTheme="minorEastAsia"/>
          <w:sz w:val="24"/>
        </w:rPr>
      </w:pPr>
      <w:r>
        <w:rPr>
          <w:rFonts w:hint="eastAsia" w:eastAsiaTheme="minorEastAsia"/>
          <w:sz w:val="24"/>
        </w:rPr>
        <w:t>②建设随县石材产业文化创意设计中心。</w:t>
      </w:r>
    </w:p>
    <w:p w14:paraId="03A1B4F1">
      <w:pPr>
        <w:spacing w:line="360" w:lineRule="auto"/>
        <w:ind w:firstLine="480" w:firstLineChars="200"/>
        <w:rPr>
          <w:rFonts w:eastAsiaTheme="minorEastAsia"/>
          <w:sz w:val="24"/>
        </w:rPr>
      </w:pPr>
      <w:r>
        <w:rPr>
          <w:rFonts w:hint="eastAsia" w:eastAsiaTheme="minorEastAsia"/>
          <w:sz w:val="24"/>
        </w:rPr>
        <w:t>③积极承办与石材文化相关的各类大型活动。</w:t>
      </w:r>
    </w:p>
    <w:p w14:paraId="392762B3">
      <w:pPr>
        <w:spacing w:line="360" w:lineRule="auto"/>
        <w:ind w:firstLine="480" w:firstLineChars="200"/>
        <w:rPr>
          <w:rFonts w:eastAsiaTheme="minorEastAsia"/>
          <w:sz w:val="24"/>
        </w:rPr>
      </w:pPr>
      <w:r>
        <w:rPr>
          <w:rFonts w:hint="eastAsia" w:eastAsiaTheme="minorEastAsia"/>
          <w:sz w:val="24"/>
        </w:rPr>
        <w:t>④打造石材文化主题公园。</w:t>
      </w:r>
    </w:p>
    <w:p w14:paraId="4F8999E9">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调整产业结构，推动产业转型提档升级</w:t>
      </w:r>
    </w:p>
    <w:p w14:paraId="4BAE39FA">
      <w:pPr>
        <w:spacing w:line="360" w:lineRule="auto"/>
        <w:ind w:firstLine="480" w:firstLineChars="200"/>
        <w:rPr>
          <w:rFonts w:eastAsiaTheme="minorEastAsia"/>
          <w:sz w:val="24"/>
        </w:rPr>
      </w:pPr>
      <w:r>
        <w:rPr>
          <w:rFonts w:hint="eastAsia" w:eastAsiaTheme="minorEastAsia"/>
          <w:sz w:val="24"/>
        </w:rPr>
        <w:t>（1）调整业态结构，大力发展石材商贸、物流等生产性服务业</w:t>
      </w:r>
    </w:p>
    <w:p w14:paraId="5BF221CD">
      <w:pPr>
        <w:spacing w:line="360" w:lineRule="auto"/>
        <w:ind w:firstLine="480" w:firstLineChars="200"/>
        <w:rPr>
          <w:rFonts w:eastAsiaTheme="minorEastAsia"/>
          <w:sz w:val="24"/>
        </w:rPr>
      </w:pPr>
      <w:r>
        <w:rPr>
          <w:rFonts w:hint="eastAsia" w:eastAsiaTheme="minorEastAsia"/>
          <w:sz w:val="24"/>
        </w:rPr>
        <w:t>①发展石材商贸，包括石材荒料交易、板材仓储交易、产品展销、金融服务、商贸会展等业务。</w:t>
      </w:r>
    </w:p>
    <w:p w14:paraId="0C43EAFE">
      <w:pPr>
        <w:spacing w:line="360" w:lineRule="auto"/>
        <w:ind w:firstLine="480" w:firstLineChars="200"/>
        <w:rPr>
          <w:rFonts w:eastAsiaTheme="minorEastAsia"/>
          <w:sz w:val="24"/>
        </w:rPr>
      </w:pPr>
      <w:r>
        <w:rPr>
          <w:rFonts w:hint="eastAsia" w:eastAsiaTheme="minorEastAsia"/>
          <w:sz w:val="24"/>
        </w:rPr>
        <w:t>②发展工程服务业。以引进独立公司或与建筑公司、设计机构合作，组建石材装饰装修工程公司，以终端市场服务为导向，开展石材幕墙设计及施工、室内装修设计及施工、广场铺设设计及施工、石材护理等工程业务。通过为研发设计与终端消费市场提供服务，使随县石材处于产业价值链高端，提升石材产业核心价值。</w:t>
      </w:r>
    </w:p>
    <w:p w14:paraId="66C59D5A">
      <w:pPr>
        <w:spacing w:line="360" w:lineRule="auto"/>
        <w:ind w:firstLine="480" w:firstLineChars="200"/>
        <w:rPr>
          <w:rFonts w:eastAsiaTheme="minorEastAsia"/>
          <w:sz w:val="24"/>
        </w:rPr>
      </w:pPr>
      <w:r>
        <w:rPr>
          <w:rFonts w:hint="eastAsia" w:eastAsiaTheme="minorEastAsia"/>
          <w:sz w:val="24"/>
        </w:rPr>
        <w:t>③发展配套产业。建立随县石材智慧物流体系。规范磨具磨料及机械维修等业务。加快石材护理产业发展。</w:t>
      </w:r>
    </w:p>
    <w:p w14:paraId="20F6BA94">
      <w:pPr>
        <w:spacing w:line="360" w:lineRule="auto"/>
        <w:ind w:firstLine="480" w:firstLineChars="200"/>
        <w:rPr>
          <w:rFonts w:eastAsiaTheme="minorEastAsia"/>
          <w:sz w:val="24"/>
        </w:rPr>
      </w:pPr>
      <w:r>
        <w:rPr>
          <w:rFonts w:hint="eastAsia" w:eastAsiaTheme="minorEastAsia"/>
          <w:sz w:val="24"/>
        </w:rPr>
        <w:t>（2）优化企业结构，培育龙头标杆企业</w:t>
      </w:r>
    </w:p>
    <w:p w14:paraId="69B1D3D1">
      <w:pPr>
        <w:spacing w:line="360" w:lineRule="auto"/>
        <w:ind w:firstLine="480" w:firstLineChars="200"/>
        <w:rPr>
          <w:rFonts w:eastAsiaTheme="minorEastAsia"/>
          <w:sz w:val="24"/>
        </w:rPr>
      </w:pPr>
      <w:r>
        <w:rPr>
          <w:rFonts w:hint="eastAsia" w:eastAsiaTheme="minorEastAsia"/>
          <w:sz w:val="24"/>
        </w:rPr>
        <w:t>①积极培育本地龙头企业。</w:t>
      </w:r>
    </w:p>
    <w:p w14:paraId="73DC53D3">
      <w:pPr>
        <w:spacing w:line="360" w:lineRule="auto"/>
        <w:ind w:firstLine="480" w:firstLineChars="200"/>
        <w:rPr>
          <w:rFonts w:eastAsiaTheme="minorEastAsia"/>
          <w:sz w:val="24"/>
        </w:rPr>
      </w:pPr>
      <w:r>
        <w:rPr>
          <w:rFonts w:hint="eastAsia" w:eastAsiaTheme="minorEastAsia"/>
          <w:sz w:val="24"/>
        </w:rPr>
        <w:t>②引进行业内大型石材企业。</w:t>
      </w:r>
    </w:p>
    <w:p w14:paraId="17841AF7">
      <w:pPr>
        <w:spacing w:line="360" w:lineRule="auto"/>
        <w:ind w:firstLine="480" w:firstLineChars="200"/>
        <w:rPr>
          <w:rFonts w:eastAsiaTheme="minorEastAsia"/>
          <w:sz w:val="24"/>
        </w:rPr>
      </w:pPr>
      <w:r>
        <w:rPr>
          <w:rFonts w:hint="eastAsia" w:eastAsiaTheme="minorEastAsia"/>
          <w:sz w:val="24"/>
        </w:rPr>
        <w:t>③扶持“专精特新”中小型企业。</w:t>
      </w:r>
    </w:p>
    <w:p w14:paraId="79E0E99F">
      <w:pPr>
        <w:spacing w:line="360" w:lineRule="auto"/>
        <w:ind w:firstLine="480" w:firstLineChars="200"/>
        <w:rPr>
          <w:rFonts w:eastAsiaTheme="minorEastAsia"/>
          <w:sz w:val="24"/>
        </w:rPr>
      </w:pPr>
      <w:r>
        <w:rPr>
          <w:rFonts w:hint="eastAsia" w:eastAsiaTheme="minorEastAsia"/>
          <w:sz w:val="24"/>
        </w:rPr>
        <w:t>④关停淘汰落后企业。</w:t>
      </w:r>
    </w:p>
    <w:p w14:paraId="4021110B">
      <w:pPr>
        <w:spacing w:line="360" w:lineRule="auto"/>
        <w:ind w:firstLine="480" w:firstLineChars="200"/>
        <w:rPr>
          <w:rFonts w:eastAsiaTheme="minorEastAsia"/>
          <w:sz w:val="24"/>
        </w:rPr>
      </w:pPr>
      <w:r>
        <w:rPr>
          <w:rFonts w:hint="eastAsia" w:eastAsiaTheme="minorEastAsia"/>
          <w:sz w:val="24"/>
        </w:rPr>
        <w:t>（3）丰富产品结构，满足多样化、定制化需求</w:t>
      </w:r>
    </w:p>
    <w:p w14:paraId="7CE165FC">
      <w:pPr>
        <w:spacing w:line="360" w:lineRule="auto"/>
        <w:ind w:firstLine="480" w:firstLineChars="200"/>
        <w:rPr>
          <w:rFonts w:eastAsiaTheme="minorEastAsia"/>
          <w:sz w:val="24"/>
        </w:rPr>
      </w:pPr>
      <w:r>
        <w:rPr>
          <w:rFonts w:hint="eastAsia" w:eastAsiaTheme="minorEastAsia"/>
          <w:sz w:val="24"/>
        </w:rPr>
        <w:t>①发展高质量、系列化、标准化建筑内外装饰部品化产品。</w:t>
      </w:r>
    </w:p>
    <w:p w14:paraId="5CDC9053">
      <w:pPr>
        <w:spacing w:line="360" w:lineRule="auto"/>
        <w:ind w:firstLine="480" w:firstLineChars="200"/>
        <w:rPr>
          <w:rFonts w:eastAsiaTheme="minorEastAsia"/>
          <w:sz w:val="24"/>
        </w:rPr>
      </w:pPr>
      <w:r>
        <w:rPr>
          <w:rFonts w:hint="eastAsia" w:eastAsiaTheme="minorEastAsia"/>
          <w:sz w:val="24"/>
        </w:rPr>
        <w:t>②发展高附加值、含有创意设计、体现石文化理念的多元化异型石雕石刻产品。</w:t>
      </w:r>
    </w:p>
    <w:p w14:paraId="0F74D74D">
      <w:pPr>
        <w:spacing w:line="360" w:lineRule="auto"/>
        <w:ind w:firstLine="480" w:firstLineChars="200"/>
        <w:rPr>
          <w:rFonts w:eastAsiaTheme="minorEastAsia"/>
          <w:sz w:val="24"/>
        </w:rPr>
      </w:pPr>
      <w:r>
        <w:rPr>
          <w:rFonts w:hint="eastAsia" w:eastAsiaTheme="minorEastAsia"/>
          <w:sz w:val="24"/>
        </w:rPr>
        <w:t>③充分利用小规格石料，生产量大面广的广场、公园、景区等公共服务设施产品。</w:t>
      </w:r>
    </w:p>
    <w:p w14:paraId="291AE4E3">
      <w:pPr>
        <w:spacing w:line="360" w:lineRule="auto"/>
        <w:ind w:firstLine="480" w:firstLineChars="200"/>
        <w:rPr>
          <w:rFonts w:eastAsiaTheme="minorEastAsia"/>
          <w:sz w:val="24"/>
        </w:rPr>
      </w:pPr>
      <w:r>
        <w:rPr>
          <w:rFonts w:hint="eastAsia" w:eastAsiaTheme="minorEastAsia"/>
          <w:sz w:val="24"/>
        </w:rPr>
        <w:t>④提供整体解决方案。</w:t>
      </w:r>
    </w:p>
    <w:p w14:paraId="398DA8B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发展循环经济，提高资源综合利用水平</w:t>
      </w:r>
    </w:p>
    <w:p w14:paraId="409D95A0">
      <w:pPr>
        <w:spacing w:line="360" w:lineRule="auto"/>
        <w:ind w:firstLine="480" w:firstLineChars="200"/>
        <w:rPr>
          <w:rFonts w:eastAsiaTheme="minorEastAsia"/>
          <w:sz w:val="24"/>
        </w:rPr>
      </w:pPr>
      <w:r>
        <w:rPr>
          <w:rFonts w:hint="eastAsia" w:eastAsiaTheme="minorEastAsia"/>
          <w:sz w:val="24"/>
        </w:rPr>
        <w:t>（1）提高工艺技术，从源头减少废石产生量</w:t>
      </w:r>
    </w:p>
    <w:p w14:paraId="4EEDBCEE">
      <w:pPr>
        <w:spacing w:line="360" w:lineRule="auto"/>
        <w:ind w:firstLine="480" w:firstLineChars="200"/>
        <w:rPr>
          <w:rFonts w:eastAsiaTheme="minorEastAsia"/>
          <w:sz w:val="24"/>
        </w:rPr>
      </w:pPr>
      <w:r>
        <w:rPr>
          <w:rFonts w:hint="eastAsia" w:eastAsiaTheme="minorEastAsia"/>
          <w:sz w:val="24"/>
        </w:rPr>
        <w:t>①提高矿山开采的成荒率。</w:t>
      </w:r>
    </w:p>
    <w:p w14:paraId="068F5B77">
      <w:pPr>
        <w:spacing w:line="360" w:lineRule="auto"/>
        <w:ind w:firstLine="480" w:firstLineChars="200"/>
        <w:rPr>
          <w:rFonts w:eastAsiaTheme="minorEastAsia"/>
          <w:sz w:val="24"/>
        </w:rPr>
      </w:pPr>
      <w:r>
        <w:rPr>
          <w:rFonts w:hint="eastAsia" w:eastAsiaTheme="minorEastAsia"/>
          <w:sz w:val="24"/>
        </w:rPr>
        <w:t>②提高石材制品的实际成材率。</w:t>
      </w:r>
    </w:p>
    <w:p w14:paraId="3F16611A">
      <w:pPr>
        <w:spacing w:line="360" w:lineRule="auto"/>
        <w:ind w:firstLine="480" w:firstLineChars="200"/>
        <w:rPr>
          <w:rFonts w:eastAsiaTheme="minorEastAsia"/>
          <w:sz w:val="24"/>
        </w:rPr>
      </w:pPr>
      <w:r>
        <w:rPr>
          <w:rFonts w:hint="eastAsia" w:eastAsiaTheme="minorEastAsia"/>
          <w:sz w:val="24"/>
        </w:rPr>
        <w:t>（2）加强分类回收，实现废石资源综合利用</w:t>
      </w:r>
    </w:p>
    <w:p w14:paraId="34E2AB47">
      <w:pPr>
        <w:spacing w:line="360" w:lineRule="auto"/>
        <w:ind w:firstLine="480" w:firstLineChars="200"/>
        <w:rPr>
          <w:rFonts w:eastAsiaTheme="minorEastAsia"/>
          <w:sz w:val="24"/>
        </w:rPr>
      </w:pPr>
      <w:r>
        <w:rPr>
          <w:rFonts w:hint="eastAsia" w:eastAsiaTheme="minorEastAsia"/>
          <w:sz w:val="24"/>
        </w:rPr>
        <w:t xml:space="preserve">①矿山剥离表土处理及利用。 </w:t>
      </w:r>
    </w:p>
    <w:p w14:paraId="1D4BDDCD">
      <w:pPr>
        <w:spacing w:line="360" w:lineRule="auto"/>
        <w:ind w:firstLine="480" w:firstLineChars="200"/>
        <w:rPr>
          <w:rFonts w:eastAsiaTheme="minorEastAsia"/>
          <w:sz w:val="24"/>
        </w:rPr>
      </w:pPr>
      <w:r>
        <w:rPr>
          <w:rFonts w:hint="eastAsia" w:eastAsiaTheme="minorEastAsia"/>
          <w:sz w:val="24"/>
        </w:rPr>
        <w:t>②矿山开采过程中废石处理及利用。</w:t>
      </w:r>
    </w:p>
    <w:p w14:paraId="32F64EC3">
      <w:pPr>
        <w:spacing w:line="360" w:lineRule="auto"/>
        <w:ind w:firstLine="480" w:firstLineChars="200"/>
        <w:rPr>
          <w:rFonts w:eastAsiaTheme="minorEastAsia"/>
          <w:sz w:val="24"/>
        </w:rPr>
      </w:pPr>
      <w:r>
        <w:rPr>
          <w:rFonts w:hint="eastAsia" w:eastAsiaTheme="minorEastAsia"/>
          <w:sz w:val="24"/>
        </w:rPr>
        <w:t>③加工边角料处理及利用。</w:t>
      </w:r>
    </w:p>
    <w:p w14:paraId="3969FC86">
      <w:pPr>
        <w:spacing w:line="360" w:lineRule="auto"/>
        <w:ind w:firstLine="480" w:firstLineChars="200"/>
        <w:rPr>
          <w:rFonts w:eastAsiaTheme="minorEastAsia"/>
          <w:sz w:val="24"/>
        </w:rPr>
      </w:pPr>
      <w:r>
        <w:rPr>
          <w:rFonts w:hint="eastAsia" w:eastAsiaTheme="minorEastAsia"/>
          <w:sz w:val="24"/>
        </w:rPr>
        <w:t>④锯切石粉处理及利用。</w:t>
      </w:r>
    </w:p>
    <w:p w14:paraId="3AEA1244">
      <w:pPr>
        <w:spacing w:line="360" w:lineRule="auto"/>
        <w:ind w:firstLine="480" w:firstLineChars="200"/>
        <w:rPr>
          <w:rFonts w:eastAsiaTheme="minorEastAsia"/>
          <w:sz w:val="24"/>
        </w:rPr>
      </w:pPr>
      <w:r>
        <w:rPr>
          <w:rFonts w:hint="eastAsia" w:eastAsiaTheme="minorEastAsia"/>
          <w:sz w:val="24"/>
        </w:rPr>
        <w:t>（3）加强组织协调 ，构建资源循环型产业体系</w:t>
      </w:r>
    </w:p>
    <w:p w14:paraId="6C6EB534">
      <w:pPr>
        <w:spacing w:line="360" w:lineRule="auto"/>
        <w:ind w:firstLine="480" w:firstLineChars="200"/>
        <w:rPr>
          <w:rFonts w:eastAsiaTheme="minorEastAsia"/>
          <w:sz w:val="24"/>
        </w:rPr>
      </w:pPr>
      <w:r>
        <w:rPr>
          <w:rFonts w:hint="eastAsia" w:eastAsiaTheme="minorEastAsia"/>
          <w:sz w:val="24"/>
        </w:rPr>
        <w:t>①全盘统筹谋划，用石材碎石替代部分砂石骨料原矿。</w:t>
      </w:r>
    </w:p>
    <w:p w14:paraId="1B50E367">
      <w:pPr>
        <w:spacing w:line="360" w:lineRule="auto"/>
        <w:ind w:firstLine="480" w:firstLineChars="200"/>
        <w:rPr>
          <w:rFonts w:eastAsiaTheme="minorEastAsia"/>
          <w:sz w:val="24"/>
        </w:rPr>
      </w:pPr>
      <w:r>
        <w:rPr>
          <w:rFonts w:hint="eastAsia" w:eastAsiaTheme="minorEastAsia"/>
          <w:sz w:val="24"/>
        </w:rPr>
        <w:t>②争取政策支持，建设随州预拌混凝土基地。</w:t>
      </w:r>
    </w:p>
    <w:p w14:paraId="7E041FE5">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多业融合联动，做大做强石材集群经济</w:t>
      </w:r>
    </w:p>
    <w:p w14:paraId="0ABC4B77">
      <w:pPr>
        <w:spacing w:line="360" w:lineRule="auto"/>
        <w:ind w:firstLine="480" w:firstLineChars="200"/>
        <w:rPr>
          <w:rFonts w:eastAsiaTheme="minorEastAsia"/>
          <w:sz w:val="24"/>
        </w:rPr>
      </w:pPr>
      <w:r>
        <w:rPr>
          <w:rFonts w:hint="eastAsia" w:eastAsiaTheme="minorEastAsia"/>
          <w:sz w:val="24"/>
        </w:rPr>
        <w:t>（1）产城融合发展，将产业园建设与随县新型城镇化建设、乡村振兴战略相结合</w:t>
      </w:r>
    </w:p>
    <w:p w14:paraId="4F82A489">
      <w:pPr>
        <w:spacing w:line="360" w:lineRule="auto"/>
        <w:ind w:firstLine="480" w:firstLineChars="200"/>
        <w:rPr>
          <w:rFonts w:eastAsiaTheme="minorEastAsia"/>
          <w:sz w:val="24"/>
        </w:rPr>
      </w:pPr>
      <w:r>
        <w:rPr>
          <w:rFonts w:hint="eastAsia" w:eastAsiaTheme="minorEastAsia"/>
          <w:sz w:val="24"/>
        </w:rPr>
        <w:t>以石材产业园建设带动城镇化改造，打造吴山、万和石材特色小镇。将石材相关基础设施建设与城镇村庄建设、改造统一规划，同步落实，尤其是公路交通、水电设施等，推动随县城镇基础条件改善。以吴山、万和石材产业园的整合建设为契机，开展城镇、村庄整体风貌设计，建构“石材文化”特色，用石材表述乡镇文化、特性和精神内涵。注重石材产业园总体规划与城镇发展规划的多规衔接，加强对城镇空间立体性、平面协调性、风貌整体性的规划管控。</w:t>
      </w:r>
    </w:p>
    <w:p w14:paraId="17ADA37B">
      <w:pPr>
        <w:spacing w:line="360" w:lineRule="auto"/>
        <w:ind w:firstLine="480" w:firstLineChars="200"/>
        <w:rPr>
          <w:rFonts w:eastAsiaTheme="minorEastAsia"/>
          <w:sz w:val="24"/>
        </w:rPr>
      </w:pPr>
      <w:r>
        <w:rPr>
          <w:rFonts w:hint="eastAsia" w:eastAsiaTheme="minorEastAsia"/>
          <w:sz w:val="24"/>
        </w:rPr>
        <w:t>（2）工旅融合发展，加强石材与旅游产业融合</w:t>
      </w:r>
    </w:p>
    <w:p w14:paraId="66BFBA53">
      <w:pPr>
        <w:spacing w:line="360" w:lineRule="auto"/>
        <w:ind w:firstLine="480" w:firstLineChars="200"/>
        <w:rPr>
          <w:rFonts w:eastAsiaTheme="minorEastAsia"/>
          <w:sz w:val="24"/>
        </w:rPr>
      </w:pPr>
      <w:r>
        <w:rPr>
          <w:rFonts w:hint="eastAsia" w:eastAsiaTheme="minorEastAsia"/>
          <w:sz w:val="24"/>
        </w:rPr>
        <w:t>①打造石材矿山公园。</w:t>
      </w:r>
      <w:r>
        <w:rPr>
          <w:rFonts w:eastAsiaTheme="minorEastAsia"/>
          <w:sz w:val="24"/>
        </w:rPr>
        <w:t xml:space="preserve">  </w:t>
      </w:r>
    </w:p>
    <w:p w14:paraId="71F2C909">
      <w:pPr>
        <w:spacing w:line="360" w:lineRule="auto"/>
        <w:ind w:firstLine="480" w:firstLineChars="200"/>
        <w:rPr>
          <w:rFonts w:eastAsiaTheme="minorEastAsia"/>
          <w:sz w:val="24"/>
        </w:rPr>
      </w:pPr>
      <w:r>
        <w:rPr>
          <w:rFonts w:hint="eastAsia" w:eastAsiaTheme="minorEastAsia"/>
          <w:sz w:val="24"/>
        </w:rPr>
        <w:t>②丰富旅游产品。</w:t>
      </w:r>
    </w:p>
    <w:p w14:paraId="40B9CAF7">
      <w:pPr>
        <w:spacing w:line="360" w:lineRule="auto"/>
        <w:ind w:firstLine="480" w:firstLineChars="200"/>
        <w:rPr>
          <w:rFonts w:eastAsiaTheme="minorEastAsia"/>
          <w:sz w:val="24"/>
        </w:rPr>
      </w:pPr>
      <w:r>
        <w:rPr>
          <w:rFonts w:hint="eastAsia" w:eastAsiaTheme="minorEastAsia"/>
          <w:sz w:val="24"/>
        </w:rPr>
        <w:t>③在旅游设施中体现随县石材元素。</w:t>
      </w:r>
    </w:p>
    <w:p w14:paraId="45C773D7">
      <w:pPr>
        <w:spacing w:line="360" w:lineRule="auto"/>
        <w:ind w:firstLine="480" w:firstLineChars="200"/>
        <w:rPr>
          <w:rFonts w:eastAsiaTheme="minorEastAsia"/>
          <w:sz w:val="24"/>
        </w:rPr>
      </w:pPr>
      <w:r>
        <w:rPr>
          <w:rFonts w:hint="eastAsia" w:eastAsiaTheme="minorEastAsia"/>
          <w:sz w:val="24"/>
        </w:rPr>
        <w:t>（3）石材牵引带动，发展绿色建材、装配式建筑关联产业</w:t>
      </w:r>
    </w:p>
    <w:p w14:paraId="6C11AFB1">
      <w:pPr>
        <w:spacing w:line="360" w:lineRule="auto"/>
        <w:ind w:firstLine="480" w:firstLineChars="200"/>
        <w:rPr>
          <w:rFonts w:eastAsiaTheme="minorEastAsia"/>
          <w:sz w:val="24"/>
        </w:rPr>
      </w:pPr>
      <w:r>
        <w:rPr>
          <w:rFonts w:hint="eastAsia" w:eastAsiaTheme="minorEastAsia"/>
          <w:sz w:val="24"/>
        </w:rPr>
        <w:t>围绕着石材产业发展主链条，带动绿色建材、装配式建筑产业发展，在园区内设置钢结构挂件、陶瓷砖、卫浴、五金件等销售加工区域。促进石材产业与随县、随州市建筑业联动，立足全市确保资源供给平稳、生态环境保护平稳，促使政府资源管理部门严格限制天然砂石骨料矿山开采，减少对生态环境破坏，为随县加大矿山固废资源利用创造条件。其次，全市范围内整合建筑骨料、混凝土生产企业资源，鼓励支持利用随县砂石骨料。支持随县大型建筑混凝土及装配式建筑基地（砂石骨料——商品混凝土——建筑水泥制品——装配式建筑系列项目），提升建筑业整体专业化水平和装配式建筑业、绿色建筑、绿色城市发展。</w:t>
      </w:r>
    </w:p>
    <w:p w14:paraId="36527B72">
      <w:pPr>
        <w:spacing w:line="360" w:lineRule="auto"/>
        <w:ind w:firstLine="480" w:firstLineChars="200"/>
        <w:rPr>
          <w:rFonts w:eastAsiaTheme="minorEastAsia"/>
          <w:sz w:val="24"/>
        </w:rPr>
      </w:pPr>
      <w:r>
        <w:rPr>
          <w:rFonts w:hint="eastAsia" w:eastAsiaTheme="minorEastAsia"/>
          <w:sz w:val="24"/>
        </w:rPr>
        <w:t>（4）商服融合发展，带动第三产业繁荣</w:t>
      </w:r>
    </w:p>
    <w:p w14:paraId="4DD175F8">
      <w:pPr>
        <w:spacing w:line="360" w:lineRule="auto"/>
        <w:ind w:firstLine="480" w:firstLineChars="200"/>
        <w:rPr>
          <w:rFonts w:eastAsiaTheme="minorEastAsia"/>
          <w:sz w:val="24"/>
        </w:rPr>
      </w:pPr>
      <w:r>
        <w:rPr>
          <w:rFonts w:hint="eastAsia" w:eastAsiaTheme="minorEastAsia"/>
          <w:sz w:val="24"/>
        </w:rPr>
        <w:t>配备酒店、餐饮、娱乐设施，壮大县域第三产业，带动县域经济“烟火气”的提升。鼓励农民利用现有条件积极参与石材产业发展，积极从事相关配套服务业，包括物流运输、餐饮住宿、营销推广等。将园区部分功能向附近村庄承包，这些村庄农户通过自建宿舍住所，出租给厂区工人，实现多方共赢。</w:t>
      </w:r>
    </w:p>
    <w:p w14:paraId="28B06972">
      <w:pPr>
        <w:keepNext/>
        <w:keepLines/>
        <w:widowControl/>
        <w:numPr>
          <w:ilvl w:val="2"/>
          <w:numId w:val="1"/>
        </w:numPr>
        <w:spacing w:before="120" w:after="120" w:line="360" w:lineRule="auto"/>
        <w:jc w:val="left"/>
        <w:outlineLvl w:val="2"/>
        <w:rPr>
          <w:rFonts w:eastAsiaTheme="minorEastAsia"/>
          <w:b/>
          <w:bCs/>
          <w:sz w:val="24"/>
        </w:rPr>
      </w:pPr>
      <w:bookmarkStart w:id="83" w:name="_Toc206494926"/>
      <w:r>
        <w:rPr>
          <w:rFonts w:hint="eastAsia" w:eastAsiaTheme="minorEastAsia"/>
          <w:b/>
          <w:bCs/>
          <w:sz w:val="24"/>
        </w:rPr>
        <w:t>规划重点发展工程</w:t>
      </w:r>
      <w:bookmarkEnd w:id="83"/>
    </w:p>
    <w:p w14:paraId="1898A396">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石材矿产资源高效开发利用示范基地创建工程</w:t>
      </w:r>
    </w:p>
    <w:p w14:paraId="1DF0E491">
      <w:pPr>
        <w:spacing w:line="360" w:lineRule="auto"/>
        <w:ind w:firstLine="480" w:firstLineChars="200"/>
        <w:rPr>
          <w:rFonts w:eastAsiaTheme="minorEastAsia"/>
          <w:sz w:val="24"/>
        </w:rPr>
      </w:pPr>
      <w:r>
        <w:rPr>
          <w:rFonts w:hint="eastAsia" w:eastAsiaTheme="minorEastAsia"/>
          <w:sz w:val="24"/>
        </w:rPr>
        <w:t>（1）规范矿山开采秩序</w:t>
      </w:r>
    </w:p>
    <w:p w14:paraId="4C86A83B">
      <w:pPr>
        <w:spacing w:line="360" w:lineRule="auto"/>
        <w:ind w:firstLine="480" w:firstLineChars="200"/>
        <w:rPr>
          <w:rFonts w:eastAsiaTheme="minorEastAsia"/>
          <w:sz w:val="24"/>
        </w:rPr>
      </w:pPr>
      <w:r>
        <w:rPr>
          <w:rFonts w:hint="eastAsia" w:eastAsiaTheme="minorEastAsia"/>
          <w:sz w:val="24"/>
        </w:rPr>
        <w:t>①优化采场布置，制定矿区采掘进度计划并严格落实。</w:t>
      </w:r>
    </w:p>
    <w:p w14:paraId="14377280">
      <w:pPr>
        <w:spacing w:line="360" w:lineRule="auto"/>
        <w:ind w:firstLine="480" w:firstLineChars="200"/>
        <w:rPr>
          <w:rFonts w:eastAsiaTheme="minorEastAsia"/>
          <w:sz w:val="24"/>
        </w:rPr>
      </w:pPr>
      <w:r>
        <w:rPr>
          <w:rFonts w:hint="eastAsia" w:eastAsiaTheme="minorEastAsia"/>
          <w:sz w:val="24"/>
        </w:rPr>
        <w:t>②优化矿山开采工艺。</w:t>
      </w:r>
    </w:p>
    <w:p w14:paraId="39D49AA4">
      <w:pPr>
        <w:spacing w:line="360" w:lineRule="auto"/>
        <w:ind w:firstLine="480" w:firstLineChars="200"/>
        <w:rPr>
          <w:rFonts w:eastAsiaTheme="minorEastAsia"/>
          <w:sz w:val="24"/>
        </w:rPr>
      </w:pPr>
      <w:r>
        <w:rPr>
          <w:rFonts w:hint="eastAsia" w:eastAsiaTheme="minorEastAsia"/>
          <w:sz w:val="24"/>
        </w:rPr>
        <w:t>（2）规划建设废石场</w:t>
      </w:r>
    </w:p>
    <w:p w14:paraId="50FBBAE9">
      <w:pPr>
        <w:spacing w:line="360" w:lineRule="auto"/>
        <w:ind w:firstLine="480" w:firstLineChars="200"/>
        <w:rPr>
          <w:rFonts w:eastAsiaTheme="minorEastAsia"/>
          <w:sz w:val="24"/>
        </w:rPr>
      </w:pPr>
      <w:r>
        <w:rPr>
          <w:rFonts w:hint="eastAsia" w:eastAsiaTheme="minorEastAsia"/>
          <w:sz w:val="24"/>
        </w:rPr>
        <w:t>根据各矿区各采矿场分布情况，本着“集中、就近、不压矿、不影响开采”原则，在各矿区采矿边界外选择3-4处低洼冲沟地段作为废石场，并在废石场邻近区域建砂石加工厂。</w:t>
      </w:r>
    </w:p>
    <w:p w14:paraId="0FEA165A">
      <w:pPr>
        <w:spacing w:line="360" w:lineRule="auto"/>
        <w:ind w:firstLine="480" w:firstLineChars="200"/>
        <w:rPr>
          <w:rFonts w:eastAsiaTheme="minorEastAsia"/>
          <w:sz w:val="24"/>
        </w:rPr>
      </w:pPr>
      <w:r>
        <w:rPr>
          <w:rFonts w:hint="eastAsia" w:eastAsiaTheme="minorEastAsia"/>
          <w:sz w:val="24"/>
        </w:rPr>
        <w:t>（3）优化开拓运输系统</w:t>
      </w:r>
    </w:p>
    <w:p w14:paraId="3E74C813">
      <w:pPr>
        <w:spacing w:line="360" w:lineRule="auto"/>
        <w:ind w:firstLine="480" w:firstLineChars="200"/>
        <w:rPr>
          <w:rFonts w:eastAsiaTheme="minorEastAsia"/>
          <w:sz w:val="24"/>
        </w:rPr>
      </w:pPr>
      <w:r>
        <w:rPr>
          <w:rFonts w:hint="eastAsia" w:eastAsiaTheme="minorEastAsia"/>
          <w:sz w:val="24"/>
        </w:rPr>
        <w:t>①优化或新建运输道路。在各矿区原有开拓运输系统的基础上，统一矿区内开拓运输道路和与主干运输道路结点。矿山开拓运输系统主要采用公路开拓运输方案，干线矿山公路应达到矿山2级公路的要求，矿区内部开拓运输公路建设等级不得低于3级公路标准。</w:t>
      </w:r>
    </w:p>
    <w:p w14:paraId="22637B6D">
      <w:pPr>
        <w:spacing w:line="360" w:lineRule="auto"/>
        <w:ind w:firstLine="480" w:firstLineChars="200"/>
        <w:rPr>
          <w:rFonts w:eastAsiaTheme="minorEastAsia"/>
          <w:sz w:val="24"/>
        </w:rPr>
      </w:pPr>
      <w:r>
        <w:rPr>
          <w:rFonts w:hint="eastAsia" w:eastAsiaTheme="minorEastAsia"/>
          <w:sz w:val="24"/>
        </w:rPr>
        <w:t>②建设废石专用运输道路。各采场的废石严格通过废石专用运输道路运输至废石堆场。结合矿山整合的具体情况，干线公路应通过联络道抵达各采场。</w:t>
      </w:r>
    </w:p>
    <w:p w14:paraId="4855DCB6">
      <w:pPr>
        <w:spacing w:line="360" w:lineRule="auto"/>
        <w:ind w:firstLine="480" w:firstLineChars="200"/>
        <w:rPr>
          <w:rFonts w:eastAsiaTheme="minorEastAsia"/>
          <w:sz w:val="24"/>
        </w:rPr>
      </w:pPr>
      <w:r>
        <w:rPr>
          <w:rFonts w:hint="eastAsia" w:eastAsiaTheme="minorEastAsia"/>
          <w:sz w:val="24"/>
        </w:rPr>
        <w:t>③建设智慧调度系统。建设软件平台及应用平台，主要包括6大应用平台及5大底层功能平台，实现跨矿区之间的数据协同、联动指挥及运输调度等。</w:t>
      </w:r>
    </w:p>
    <w:p w14:paraId="3FA1100B">
      <w:pPr>
        <w:spacing w:line="360" w:lineRule="auto"/>
        <w:ind w:firstLine="480" w:firstLineChars="200"/>
        <w:rPr>
          <w:rFonts w:eastAsiaTheme="minorEastAsia"/>
          <w:sz w:val="24"/>
        </w:rPr>
      </w:pPr>
      <w:r>
        <w:rPr>
          <w:rFonts w:hint="eastAsia" w:eastAsiaTheme="minorEastAsia"/>
          <w:sz w:val="24"/>
        </w:rPr>
        <w:t>（4）加强矿山废水处理</w:t>
      </w:r>
    </w:p>
    <w:p w14:paraId="7D708AB1">
      <w:pPr>
        <w:spacing w:line="360" w:lineRule="auto"/>
        <w:ind w:firstLine="480" w:firstLineChars="200"/>
        <w:rPr>
          <w:rFonts w:eastAsiaTheme="minorEastAsia"/>
          <w:sz w:val="24"/>
        </w:rPr>
      </w:pPr>
      <w:r>
        <w:rPr>
          <w:rFonts w:hint="eastAsia" w:eastAsiaTheme="minorEastAsia"/>
          <w:sz w:val="24"/>
        </w:rPr>
        <w:t>采用源头治理、中段治理和末端治理相结合的方式，加强矿山生产废水处理工程的建设，同时建立全面的管理监督机制。</w:t>
      </w:r>
    </w:p>
    <w:p w14:paraId="20BED01C">
      <w:pPr>
        <w:spacing w:line="360" w:lineRule="auto"/>
        <w:ind w:firstLine="480" w:firstLineChars="200"/>
        <w:rPr>
          <w:rFonts w:eastAsiaTheme="minorEastAsia"/>
          <w:sz w:val="24"/>
        </w:rPr>
      </w:pPr>
      <w:r>
        <w:rPr>
          <w:rFonts w:hint="eastAsia" w:eastAsiaTheme="minorEastAsia"/>
          <w:sz w:val="24"/>
        </w:rPr>
        <w:t>矿区内部（源头治理）。各矿区必须在采区现场建立流畅的排水通道，建立临时生产废水汇集渠道和沉淀池，现场生产废水经有组织收集后，进入采场废水循环沉淀池，对沉淀的锯泥、石粉实行定期清理。临时废水循环沉淀池随着生产降段适时进行位置调整。</w:t>
      </w:r>
    </w:p>
    <w:p w14:paraId="5AADF0F7">
      <w:pPr>
        <w:spacing w:line="360" w:lineRule="auto"/>
        <w:ind w:firstLine="480" w:firstLineChars="200"/>
        <w:rPr>
          <w:rFonts w:eastAsiaTheme="minorEastAsia"/>
          <w:sz w:val="24"/>
        </w:rPr>
      </w:pPr>
      <w:r>
        <w:rPr>
          <w:rFonts w:hint="eastAsia" w:eastAsiaTheme="minorEastAsia"/>
          <w:sz w:val="24"/>
        </w:rPr>
        <w:t>矿区外部（中段治理）。建立雨污水分流的体系，建设采场建截水沟，对矿区外大气降水，通过建立导流系统直接排入下游河道，不进入采场内部。</w:t>
      </w:r>
    </w:p>
    <w:p w14:paraId="16B53B05">
      <w:pPr>
        <w:spacing w:line="360" w:lineRule="auto"/>
        <w:ind w:firstLine="480" w:firstLineChars="200"/>
        <w:rPr>
          <w:rFonts w:eastAsiaTheme="minorEastAsia"/>
          <w:sz w:val="24"/>
        </w:rPr>
      </w:pPr>
      <w:r>
        <w:rPr>
          <w:rFonts w:hint="eastAsia" w:eastAsiaTheme="minorEastAsia"/>
          <w:sz w:val="24"/>
        </w:rPr>
        <w:t>区域综合（末端治理）。在矿区分布范围内选择适合的位置建设拦污坝（污水处理站），经过矿山源头和中段处理后的废水，通过导流渠或管道输送到污水处理站，再经过超磁分离、多级沉淀过滤和生化处理后，达到国家规定排放标准后排放。对污水处理站中沉淀的石粉废石等进行定期清理，运至综合利用厂处置。</w:t>
      </w:r>
    </w:p>
    <w:p w14:paraId="16F78C8A">
      <w:pPr>
        <w:spacing w:line="360" w:lineRule="auto"/>
        <w:ind w:firstLine="480" w:firstLineChars="200"/>
        <w:rPr>
          <w:rFonts w:eastAsiaTheme="minorEastAsia"/>
          <w:sz w:val="24"/>
        </w:rPr>
      </w:pPr>
      <w:r>
        <w:rPr>
          <w:rFonts w:hint="eastAsia" w:eastAsiaTheme="minorEastAsia"/>
          <w:sz w:val="24"/>
        </w:rPr>
        <w:t>（5）建设矿山生态隔离廊道</w:t>
      </w:r>
    </w:p>
    <w:p w14:paraId="336D8B30">
      <w:pPr>
        <w:spacing w:line="360" w:lineRule="auto"/>
        <w:ind w:firstLine="480" w:firstLineChars="200"/>
        <w:rPr>
          <w:rFonts w:eastAsiaTheme="minorEastAsia"/>
          <w:sz w:val="24"/>
        </w:rPr>
      </w:pPr>
      <w:r>
        <w:rPr>
          <w:rFonts w:hint="eastAsia" w:eastAsiaTheme="minorEastAsia"/>
          <w:sz w:val="24"/>
        </w:rPr>
        <w:t>①重视矿山生态隔离廊道建设，在各矿区与石材工业园区之间，利用天然的沟谷、地表水体，以及矿区边上废弃的采场，规划建设矿山公园、公路两侧观赏树林、建筑小品、石材雕塑等，打造一条绿色景观带，既恢复治理了边坡、河道，消除安全隐患和环境污染，又创造了美观的生态、旅游、休闲环境。</w:t>
      </w:r>
    </w:p>
    <w:p w14:paraId="2C1C1C5E">
      <w:pPr>
        <w:spacing w:line="360" w:lineRule="auto"/>
        <w:ind w:firstLine="480" w:firstLineChars="200"/>
        <w:rPr>
          <w:rFonts w:eastAsiaTheme="minorEastAsia"/>
          <w:sz w:val="24"/>
        </w:rPr>
      </w:pPr>
      <w:r>
        <w:rPr>
          <w:rFonts w:hint="eastAsia" w:eastAsiaTheme="minorEastAsia"/>
          <w:sz w:val="24"/>
        </w:rPr>
        <w:t>在吴山园区与矿山开采区之间（矿山入口），规划建设矿山公园，对原有废石堆场、闭坑矿山、山谷进行安全治理，建设观景台、休憩亭台、廊道，种植观赏花草林木，结合雨水、矿山废水处理，建设景观水体，在矿区与园区之间形成生态隔离廊道。</w:t>
      </w:r>
    </w:p>
    <w:p w14:paraId="1F78672A">
      <w:pPr>
        <w:spacing w:line="360" w:lineRule="auto"/>
        <w:ind w:firstLine="480" w:firstLineChars="200"/>
        <w:rPr>
          <w:rFonts w:eastAsiaTheme="minorEastAsia"/>
          <w:sz w:val="24"/>
        </w:rPr>
      </w:pPr>
      <w:r>
        <w:rPr>
          <w:rFonts w:hint="eastAsia" w:eastAsiaTheme="minorEastAsia"/>
          <w:sz w:val="24"/>
        </w:rPr>
        <w:t>（6）加强闭坑矿山生态修复</w:t>
      </w:r>
    </w:p>
    <w:p w14:paraId="65DAFC5B">
      <w:pPr>
        <w:spacing w:line="360" w:lineRule="auto"/>
        <w:ind w:firstLine="480" w:firstLineChars="200"/>
        <w:rPr>
          <w:rFonts w:eastAsiaTheme="minorEastAsia"/>
          <w:sz w:val="24"/>
        </w:rPr>
      </w:pPr>
      <w:r>
        <w:rPr>
          <w:rFonts w:hint="eastAsia" w:eastAsiaTheme="minorEastAsia"/>
          <w:sz w:val="24"/>
        </w:rPr>
        <w:t>按照遵循“因害设防，因地制宜”“统筹兼顾，重点防护”的原则，全面完成吴山、万和、草店石材闭坑矿区矿山生态修复工作，做到安全、经济、可行，绿化与防护相结合，重点完成既有废石堆存处、开采边坡、平台的治理，完成挡土墙、削坡减载等工程措施。</w:t>
      </w:r>
    </w:p>
    <w:p w14:paraId="7CAC28DE">
      <w:pPr>
        <w:spacing w:line="360" w:lineRule="auto"/>
        <w:ind w:firstLine="480" w:firstLineChars="200"/>
        <w:rPr>
          <w:rFonts w:eastAsiaTheme="minorEastAsia"/>
          <w:sz w:val="24"/>
        </w:rPr>
      </w:pPr>
      <w:r>
        <w:rPr>
          <w:rFonts w:hint="eastAsia" w:eastAsiaTheme="minorEastAsia"/>
          <w:sz w:val="24"/>
        </w:rPr>
        <w:t>（7）建立数字化监控系统</w:t>
      </w:r>
    </w:p>
    <w:p w14:paraId="446F1478">
      <w:pPr>
        <w:spacing w:line="360" w:lineRule="auto"/>
        <w:ind w:firstLine="480" w:firstLineChars="200"/>
        <w:rPr>
          <w:rFonts w:eastAsiaTheme="minorEastAsia"/>
          <w:sz w:val="24"/>
        </w:rPr>
      </w:pPr>
      <w:r>
        <w:rPr>
          <w:rFonts w:hint="eastAsia" w:eastAsiaTheme="minorEastAsia"/>
          <w:sz w:val="24"/>
        </w:rPr>
        <w:t>建设矿区前端感知系统，包括视频监控系统建设、卡口与数字地磅建设、物联感知监测系统等。实现修复边坡、碎石沦落区等地质灾害修复敏感区的专业可视化监测设施，及时监测滑坡等安全隐患；建立复垦、复绿土地、智能喷淋系统，打造智能养护体系，对缺水、植被死亡等生态脆弱区进行及时养护、修复，保障矿山生态修复效果。</w:t>
      </w:r>
    </w:p>
    <w:p w14:paraId="319872D5">
      <w:pPr>
        <w:spacing w:line="360" w:lineRule="auto"/>
        <w:ind w:firstLine="480" w:firstLineChars="200"/>
        <w:rPr>
          <w:rFonts w:eastAsiaTheme="minorEastAsia"/>
          <w:sz w:val="24"/>
        </w:rPr>
      </w:pPr>
      <w:r>
        <w:rPr>
          <w:rFonts w:hint="eastAsia" w:eastAsiaTheme="minorEastAsia"/>
          <w:sz w:val="24"/>
        </w:rPr>
        <w:t>（8）工程目标</w:t>
      </w:r>
    </w:p>
    <w:p w14:paraId="50E5AB0D">
      <w:pPr>
        <w:spacing w:line="360" w:lineRule="auto"/>
        <w:ind w:firstLine="480" w:firstLineChars="200"/>
        <w:rPr>
          <w:rFonts w:eastAsiaTheme="minorEastAsia"/>
          <w:sz w:val="24"/>
        </w:rPr>
      </w:pPr>
      <w:r>
        <w:rPr>
          <w:rFonts w:hint="eastAsia" w:eastAsiaTheme="minorEastAsia"/>
          <w:sz w:val="24"/>
        </w:rPr>
        <w:t>通过对随县石材矿权的整合，修复历史遗留矿山生态环境，高标准建设绿色矿山样板工程，打造国家级绿色矿山，所有石材矿山均达到省级绿色矿山标准，进入省绿色矿山项目库，并争取在2025年1-2家入选国家绿色矿山建设示范。</w:t>
      </w:r>
    </w:p>
    <w:p w14:paraId="48E2F79A">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绿色低碳产业园示范工程</w:t>
      </w:r>
    </w:p>
    <w:p w14:paraId="290DC952">
      <w:pPr>
        <w:spacing w:line="360" w:lineRule="auto"/>
        <w:ind w:firstLine="480" w:firstLineChars="200"/>
        <w:rPr>
          <w:rFonts w:eastAsiaTheme="minorEastAsia"/>
          <w:sz w:val="24"/>
        </w:rPr>
      </w:pPr>
      <w:r>
        <w:rPr>
          <w:rFonts w:hint="eastAsia" w:eastAsiaTheme="minorEastAsia"/>
          <w:sz w:val="24"/>
        </w:rPr>
        <w:t>（1）加强“一企一策”改造，创建绿色工厂</w:t>
      </w:r>
    </w:p>
    <w:p w14:paraId="6518F82A">
      <w:pPr>
        <w:spacing w:line="360" w:lineRule="auto"/>
        <w:ind w:firstLine="480" w:firstLineChars="200"/>
        <w:rPr>
          <w:rFonts w:eastAsiaTheme="minorEastAsia"/>
          <w:sz w:val="24"/>
        </w:rPr>
      </w:pPr>
      <w:r>
        <w:rPr>
          <w:rFonts w:hint="eastAsia" w:eastAsiaTheme="minorEastAsia"/>
          <w:sz w:val="24"/>
        </w:rPr>
        <w:t>园区组织开展绿色工厂创建活动。鼓励优势企业优化石材产品制造流程，选用先进适用的清洁生产工艺技术和高效末端治理装备，减少生产过程中资源消耗和环境影响，营造良好职业卫生环境，实行清污分流、废水循环利用、固体废物资源化和无害化利用等。各企业按照“一企一策”规划方案，落实各自厂区建设。</w:t>
      </w:r>
    </w:p>
    <w:p w14:paraId="2040FF0E">
      <w:pPr>
        <w:spacing w:line="360" w:lineRule="auto"/>
        <w:ind w:firstLine="480" w:firstLineChars="200"/>
        <w:rPr>
          <w:rFonts w:eastAsiaTheme="minorEastAsia"/>
          <w:sz w:val="24"/>
        </w:rPr>
      </w:pPr>
      <w:r>
        <w:rPr>
          <w:rFonts w:hint="eastAsia" w:eastAsiaTheme="minorEastAsia"/>
          <w:sz w:val="24"/>
        </w:rPr>
        <w:t>（2）园区运输通道改扩建，推广绿色运输体系</w:t>
      </w:r>
    </w:p>
    <w:p w14:paraId="18D1AE4A">
      <w:pPr>
        <w:spacing w:line="360" w:lineRule="auto"/>
        <w:ind w:firstLine="480" w:firstLineChars="200"/>
        <w:rPr>
          <w:rFonts w:eastAsiaTheme="minorEastAsia"/>
          <w:sz w:val="24"/>
        </w:rPr>
      </w:pPr>
      <w:r>
        <w:rPr>
          <w:rFonts w:hint="eastAsia" w:eastAsiaTheme="minorEastAsia"/>
          <w:sz w:val="24"/>
        </w:rPr>
        <w:t>①新建吴山-万和石材大道。加强吴山与万和两大核心产区的联系，打通吴山-万和公路运输“大动脉”，按照双向2车道的标准，建设全长33.74公里的石材通道，破解石材运输“与民争路”矛盾。探索推动石材通道与县城直连贯通。</w:t>
      </w:r>
    </w:p>
    <w:p w14:paraId="12E3D8DA">
      <w:pPr>
        <w:spacing w:line="360" w:lineRule="auto"/>
        <w:ind w:firstLine="480" w:firstLineChars="200"/>
        <w:rPr>
          <w:rFonts w:eastAsiaTheme="minorEastAsia"/>
          <w:sz w:val="24"/>
        </w:rPr>
      </w:pPr>
      <w:r>
        <w:rPr>
          <w:rFonts w:hint="eastAsia" w:eastAsiaTheme="minorEastAsia"/>
          <w:sz w:val="24"/>
        </w:rPr>
        <w:t>②新建石材铁路运输专线。以“按股出资、合股建设、合作管理、共享收益”的模式，规划建设全长15.5公里的石材铁路专线，专线自汉丹线随阳店站东咽喉牵出线接轨，途经唐县镇、万福店农场、吴山镇等，初步估测本线设计近期输送能力2190万吨/年，设计通过能力24对，功能定位为服务随县地区石材资源集疏运的铁路专用线。加快专线的各项准备工作，争取早日开工建设，确保早日建成、发挥效益。</w:t>
      </w:r>
    </w:p>
    <w:p w14:paraId="5C671DCE">
      <w:pPr>
        <w:spacing w:line="360" w:lineRule="auto"/>
        <w:ind w:firstLine="480" w:firstLineChars="200"/>
        <w:rPr>
          <w:rFonts w:eastAsiaTheme="minorEastAsia"/>
          <w:sz w:val="24"/>
        </w:rPr>
      </w:pPr>
      <w:r>
        <w:rPr>
          <w:rFonts w:hint="eastAsia" w:eastAsiaTheme="minorEastAsia"/>
          <w:sz w:val="24"/>
        </w:rPr>
        <w:t>③加强矿山至园区公路的建设。针对石材行业重型物流运输的特点，高度重视矿山到园区公路的改造、路面硬化等问题，将部分矿山道路修建改造列入当地交通道路发展规划中，积极争取上级财政支持，建立完善的交通体系，满足石材产业的物流运输需求。</w:t>
      </w:r>
    </w:p>
    <w:p w14:paraId="60CEE1AC">
      <w:pPr>
        <w:spacing w:line="360" w:lineRule="auto"/>
        <w:ind w:firstLine="480" w:firstLineChars="200"/>
        <w:rPr>
          <w:rFonts w:eastAsiaTheme="minorEastAsia"/>
          <w:sz w:val="24"/>
        </w:rPr>
      </w:pPr>
      <w:r>
        <w:rPr>
          <w:rFonts w:hint="eastAsia" w:eastAsiaTheme="minorEastAsia"/>
          <w:sz w:val="24"/>
        </w:rPr>
        <w:t>④落实矿山主干道的硬化。加强矿山至国道运输道路的管理，道路两侧设置雨水沟和沉砂池并及时清理，对破损的路面及时进行修补，做好道路的冲洗、洒水、保洁及路边绿化等工作。</w:t>
      </w:r>
    </w:p>
    <w:p w14:paraId="2A61C831">
      <w:pPr>
        <w:spacing w:line="360" w:lineRule="auto"/>
        <w:ind w:firstLine="480" w:firstLineChars="200"/>
        <w:rPr>
          <w:rFonts w:eastAsiaTheme="minorEastAsia"/>
          <w:sz w:val="24"/>
        </w:rPr>
      </w:pPr>
      <w:r>
        <w:rPr>
          <w:rFonts w:hint="eastAsia" w:eastAsiaTheme="minorEastAsia"/>
          <w:sz w:val="24"/>
        </w:rPr>
        <w:t>⑤推广绿色运输体系。优化调整运输结构。加强多式联运，摸索适合随县石材运输特点的“公转铁”“公转水”路径，持续推动石材中长途公路货运向铁路、水运转移。大力发展集装箱运输、江海联运，加快推进铁路专用线、中转站台设施建设。推广绿色运输。</w:t>
      </w:r>
    </w:p>
    <w:p w14:paraId="12F92281">
      <w:pPr>
        <w:spacing w:line="360" w:lineRule="auto"/>
        <w:ind w:firstLine="480" w:firstLineChars="200"/>
        <w:rPr>
          <w:rFonts w:eastAsiaTheme="minorEastAsia"/>
          <w:sz w:val="24"/>
        </w:rPr>
      </w:pPr>
      <w:r>
        <w:rPr>
          <w:rFonts w:hint="eastAsia" w:eastAsiaTheme="minorEastAsia"/>
          <w:sz w:val="24"/>
        </w:rPr>
        <w:t>（3）产业园绿化景观提升工程</w:t>
      </w:r>
    </w:p>
    <w:p w14:paraId="56AA3916">
      <w:pPr>
        <w:spacing w:line="360" w:lineRule="auto"/>
        <w:ind w:firstLine="480" w:firstLineChars="200"/>
        <w:rPr>
          <w:rFonts w:eastAsiaTheme="minorEastAsia"/>
          <w:sz w:val="24"/>
        </w:rPr>
      </w:pPr>
      <w:r>
        <w:rPr>
          <w:rFonts w:hint="eastAsia" w:eastAsiaTheme="minorEastAsia"/>
          <w:sz w:val="24"/>
        </w:rPr>
        <w:t>在吴山、万和石材产业园主要运输道路上加装在线监控系统，形成产业园智慧管理体系；加装太阳能路灯，道路采用LED光源路灯双侧布灯方式，路灯杆装设于道路两侧绿化带内，为产业园“增亮减碳”。</w:t>
      </w:r>
    </w:p>
    <w:p w14:paraId="096DCE01">
      <w:pPr>
        <w:spacing w:line="360" w:lineRule="auto"/>
        <w:ind w:firstLine="480" w:firstLineChars="200"/>
        <w:rPr>
          <w:rFonts w:eastAsiaTheme="minorEastAsia"/>
          <w:sz w:val="24"/>
        </w:rPr>
      </w:pPr>
      <w:r>
        <w:rPr>
          <w:rFonts w:hint="eastAsia" w:eastAsiaTheme="minorEastAsia"/>
          <w:sz w:val="24"/>
        </w:rPr>
        <w:t>重点对吴山石材产业园、万和石材产业园进行道路绿化景观改造，道路两侧增绿，栽植常绿树、花灌木等。</w:t>
      </w:r>
    </w:p>
    <w:p w14:paraId="4AF55BAF">
      <w:pPr>
        <w:spacing w:line="360" w:lineRule="auto"/>
        <w:ind w:firstLine="480" w:firstLineChars="200"/>
        <w:rPr>
          <w:rFonts w:eastAsiaTheme="minorEastAsia"/>
          <w:sz w:val="24"/>
        </w:rPr>
      </w:pPr>
      <w:r>
        <w:rPr>
          <w:rFonts w:hint="eastAsia" w:eastAsiaTheme="minorEastAsia"/>
          <w:sz w:val="24"/>
        </w:rPr>
        <w:t>（4）配套基础设施和新能源设施改造升级</w:t>
      </w:r>
    </w:p>
    <w:p w14:paraId="19B71AC6">
      <w:pPr>
        <w:spacing w:line="360" w:lineRule="auto"/>
        <w:ind w:firstLine="480" w:firstLineChars="200"/>
        <w:rPr>
          <w:rFonts w:eastAsiaTheme="minorEastAsia"/>
          <w:sz w:val="24"/>
        </w:rPr>
      </w:pPr>
      <w:r>
        <w:rPr>
          <w:rFonts w:hint="eastAsia" w:eastAsiaTheme="minorEastAsia"/>
          <w:sz w:val="24"/>
        </w:rPr>
        <w:t>①按照高起点规划建设和改进园区基础设施。稳步推进基础设施建设工作，分批次、分地块做好给水、排水、通电、通路、通讯、通气、通暖、平整土地“七通一平”工作。</w:t>
      </w:r>
    </w:p>
    <w:p w14:paraId="04641055">
      <w:pPr>
        <w:spacing w:line="360" w:lineRule="auto"/>
        <w:ind w:firstLine="480" w:firstLineChars="200"/>
        <w:rPr>
          <w:rFonts w:eastAsiaTheme="minorEastAsia"/>
          <w:sz w:val="24"/>
        </w:rPr>
      </w:pPr>
      <w:r>
        <w:rPr>
          <w:rFonts w:hint="eastAsia" w:eastAsiaTheme="minorEastAsia"/>
          <w:sz w:val="24"/>
        </w:rPr>
        <w:t>②利用厂房建设屋顶分布式光伏发电系统。</w:t>
      </w:r>
    </w:p>
    <w:p w14:paraId="4A6689D0">
      <w:pPr>
        <w:spacing w:line="360" w:lineRule="auto"/>
        <w:ind w:firstLine="480" w:firstLineChars="200"/>
        <w:rPr>
          <w:rFonts w:eastAsiaTheme="minorEastAsia"/>
          <w:sz w:val="24"/>
        </w:rPr>
      </w:pPr>
      <w:r>
        <w:rPr>
          <w:rFonts w:hint="eastAsia" w:eastAsiaTheme="minorEastAsia"/>
          <w:sz w:val="24"/>
        </w:rPr>
        <w:t>③加强风电在矿山上的应用，随县风力资源比较丰富，在吴山、万和、草店等矿区附近已有风电机组建成。在合理论证的前提下，加强风电机组的建设，探索用电机制，为矿山开采用电提供保障。</w:t>
      </w:r>
    </w:p>
    <w:p w14:paraId="1FCC9FBD">
      <w:pPr>
        <w:spacing w:line="360" w:lineRule="auto"/>
        <w:ind w:firstLine="480" w:firstLineChars="200"/>
        <w:rPr>
          <w:rFonts w:eastAsiaTheme="minorEastAsia"/>
          <w:sz w:val="24"/>
        </w:rPr>
      </w:pPr>
      <w:r>
        <w:rPr>
          <w:rFonts w:hint="eastAsia" w:eastAsiaTheme="minorEastAsia"/>
          <w:sz w:val="24"/>
        </w:rPr>
        <w:t>（5）工程目标</w:t>
      </w:r>
    </w:p>
    <w:p w14:paraId="40544369">
      <w:pPr>
        <w:spacing w:line="360" w:lineRule="auto"/>
        <w:ind w:firstLine="480" w:firstLineChars="200"/>
        <w:rPr>
          <w:rFonts w:eastAsiaTheme="minorEastAsia"/>
          <w:sz w:val="24"/>
        </w:rPr>
      </w:pPr>
      <w:r>
        <w:rPr>
          <w:rFonts w:hint="eastAsia" w:eastAsiaTheme="minorEastAsia"/>
          <w:sz w:val="24"/>
        </w:rPr>
        <w:t>到2025年，随县石材的对外对内运输物流通道顺利打通，园区配套基础设施完善，行业污水、粉尘、噪声防治水平明显提升，形成布局合理、技术先进、功能完善、环境优美、文明富裕、经济与社会协调发展的现代化石材示范基地。积极申报工信部绿色工厂示范，目标到“十四五”末，争取建成国家级绿色循环经济产业园。</w:t>
      </w:r>
    </w:p>
    <w:p w14:paraId="41E44496">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循环经济固废综合利用工程</w:t>
      </w:r>
    </w:p>
    <w:p w14:paraId="5478691B">
      <w:pPr>
        <w:spacing w:line="360" w:lineRule="auto"/>
        <w:ind w:firstLine="480" w:firstLineChars="200"/>
        <w:rPr>
          <w:rFonts w:eastAsiaTheme="minorEastAsia"/>
          <w:sz w:val="24"/>
        </w:rPr>
      </w:pPr>
      <w:r>
        <w:rPr>
          <w:rFonts w:hint="eastAsia" w:eastAsiaTheme="minorEastAsia"/>
          <w:sz w:val="24"/>
        </w:rPr>
        <w:t>（1）固废综合利用产业体系与布局</w:t>
      </w:r>
    </w:p>
    <w:p w14:paraId="71EFCE4D">
      <w:pPr>
        <w:spacing w:line="360" w:lineRule="auto"/>
        <w:ind w:firstLine="480" w:firstLineChars="200"/>
        <w:rPr>
          <w:rFonts w:eastAsiaTheme="minorEastAsia"/>
          <w:sz w:val="24"/>
        </w:rPr>
      </w:pPr>
      <w:r>
        <w:rPr>
          <w:rFonts w:hint="eastAsia" w:eastAsiaTheme="minorEastAsia"/>
          <w:sz w:val="24"/>
        </w:rPr>
        <w:t>重点发展两大系列产品：资源化类项目和制品类项目。</w:t>
      </w:r>
    </w:p>
    <w:p w14:paraId="4CD2F6E2">
      <w:pPr>
        <w:spacing w:line="360" w:lineRule="auto"/>
        <w:ind w:firstLine="480" w:firstLineChars="200"/>
        <w:rPr>
          <w:rFonts w:eastAsiaTheme="minorEastAsia"/>
          <w:sz w:val="24"/>
        </w:rPr>
      </w:pPr>
      <w:r>
        <w:rPr>
          <w:rFonts w:hint="eastAsia" w:eastAsiaTheme="minorEastAsia"/>
          <w:sz w:val="24"/>
        </w:rPr>
        <w:t>①资源化类项目</w:t>
      </w:r>
    </w:p>
    <w:p w14:paraId="27643CE5">
      <w:pPr>
        <w:spacing w:line="360" w:lineRule="auto"/>
        <w:ind w:firstLine="480" w:firstLineChars="200"/>
        <w:rPr>
          <w:rFonts w:eastAsiaTheme="minorEastAsia"/>
          <w:sz w:val="24"/>
        </w:rPr>
      </w:pPr>
      <w:r>
        <w:rPr>
          <w:rFonts w:hint="eastAsia" w:eastAsiaTheme="minorEastAsia"/>
          <w:sz w:val="24"/>
        </w:rPr>
        <w:t>建筑砂石骨料产品：总体生产规模：年产各种砂石骨料3000万吨。其中吴山园区规划布置2-3家企业，年生产能力1500万吨。在铁路物流园布置大型储库和装运配套设施。万和产业园规划布置2-3家企业，年生产能力1000万吨。草店产业园和太白顶产业园各布置一家企业，生产能力300万吨。</w:t>
      </w:r>
    </w:p>
    <w:p w14:paraId="6CF56931">
      <w:pPr>
        <w:spacing w:line="360" w:lineRule="auto"/>
        <w:ind w:firstLine="480" w:firstLineChars="200"/>
        <w:rPr>
          <w:rFonts w:eastAsiaTheme="minorEastAsia"/>
          <w:sz w:val="24"/>
        </w:rPr>
      </w:pPr>
      <w:r>
        <w:rPr>
          <w:rFonts w:hint="eastAsia" w:eastAsiaTheme="minorEastAsia"/>
          <w:sz w:val="24"/>
        </w:rPr>
        <w:t>陶瓷原料产品（锯泥粉提纯项目）。该项目主要布局在吴山园区，考虑到与钾长石矿产开发相结合，依托铁路专用线的优势，在吴山园区打造专业化的陶瓷标准化原料基地。项目建设规模年产陶瓷原料粉100万吨，年消耗石粉110万吨。</w:t>
      </w:r>
    </w:p>
    <w:p w14:paraId="47CA72BC">
      <w:pPr>
        <w:spacing w:line="360" w:lineRule="auto"/>
        <w:ind w:firstLine="480" w:firstLineChars="200"/>
        <w:rPr>
          <w:rFonts w:eastAsiaTheme="minorEastAsia"/>
          <w:sz w:val="24"/>
        </w:rPr>
      </w:pPr>
      <w:r>
        <w:rPr>
          <w:rFonts w:hint="eastAsia" w:eastAsiaTheme="minorEastAsia"/>
          <w:sz w:val="24"/>
        </w:rPr>
        <w:t>混凝土填加料产品（锯泥粉提纯项目）。在吴山和万和园区分别布局一个项目，项目建设规模10万吨。远期，规划建设随州大型商业混凝土及构件基地，届时该类产品生产规模可不断扩大。</w:t>
      </w:r>
    </w:p>
    <w:p w14:paraId="0C1601A1">
      <w:pPr>
        <w:spacing w:line="360" w:lineRule="auto"/>
        <w:ind w:firstLine="480" w:firstLineChars="200"/>
        <w:rPr>
          <w:rFonts w:eastAsiaTheme="minorEastAsia"/>
          <w:sz w:val="24"/>
        </w:rPr>
      </w:pPr>
      <w:r>
        <w:rPr>
          <w:rFonts w:hint="eastAsia" w:eastAsiaTheme="minorEastAsia"/>
          <w:sz w:val="24"/>
        </w:rPr>
        <w:t>②固废制品类项目</w:t>
      </w:r>
    </w:p>
    <w:p w14:paraId="3FEF37D0">
      <w:pPr>
        <w:spacing w:line="360" w:lineRule="auto"/>
        <w:ind w:firstLine="480" w:firstLineChars="200"/>
        <w:rPr>
          <w:rFonts w:eastAsiaTheme="minorEastAsia"/>
          <w:sz w:val="24"/>
        </w:rPr>
      </w:pPr>
      <w:r>
        <w:rPr>
          <w:rFonts w:hint="eastAsia" w:eastAsiaTheme="minorEastAsia"/>
          <w:sz w:val="24"/>
        </w:rPr>
        <w:t>以免烧砖、透水砖、蒸压砖、加气混凝土砌块/板材为代表的新型建材项目可以消耗掉大量石粉锯泥废料，在这些产品中，花岗石锯切石粉、碎石尾矿粉可以作为主要原料，使用比例从50%-70%不等。此类项目主要布局在吴山和万和园区，靠近原料产地。</w:t>
      </w:r>
    </w:p>
    <w:p w14:paraId="3C5FC738">
      <w:pPr>
        <w:spacing w:line="360" w:lineRule="auto"/>
        <w:ind w:firstLine="480" w:firstLineChars="200"/>
        <w:rPr>
          <w:rFonts w:eastAsiaTheme="minorEastAsia"/>
          <w:sz w:val="24"/>
        </w:rPr>
      </w:pPr>
      <w:r>
        <w:rPr>
          <w:rFonts w:hint="eastAsia" w:eastAsiaTheme="minorEastAsia"/>
          <w:sz w:val="24"/>
        </w:rPr>
        <w:t>免烧砖、路缘石、广场砖项目。规划新建设一个年产5000万块免烧砖和5000万块透水砖项目，每年可消耗石粉约25万吨。</w:t>
      </w:r>
    </w:p>
    <w:p w14:paraId="615412DD">
      <w:pPr>
        <w:spacing w:line="360" w:lineRule="auto"/>
        <w:ind w:firstLine="480" w:firstLineChars="200"/>
        <w:rPr>
          <w:rFonts w:eastAsiaTheme="minorEastAsia"/>
          <w:sz w:val="24"/>
        </w:rPr>
      </w:pPr>
      <w:r>
        <w:rPr>
          <w:rFonts w:hint="eastAsia" w:eastAsiaTheme="minorEastAsia"/>
          <w:sz w:val="24"/>
        </w:rPr>
        <w:t>新建一条20万立方米的加气混凝土砌块生产线，共计年可利用石粉10万吨。</w:t>
      </w:r>
    </w:p>
    <w:p w14:paraId="2E48A4BB">
      <w:pPr>
        <w:spacing w:line="360" w:lineRule="auto"/>
        <w:ind w:firstLine="480" w:firstLineChars="200"/>
        <w:rPr>
          <w:rFonts w:eastAsiaTheme="minorEastAsia"/>
          <w:sz w:val="24"/>
        </w:rPr>
      </w:pPr>
      <w:r>
        <w:rPr>
          <w:rFonts w:hint="eastAsia" w:eastAsiaTheme="minorEastAsia"/>
          <w:sz w:val="24"/>
        </w:rPr>
        <w:t>新建一条年产5000万块蒸压砖生产线，年可利用石粉约20万吨。</w:t>
      </w:r>
    </w:p>
    <w:p w14:paraId="6B3580B2">
      <w:pPr>
        <w:spacing w:line="360" w:lineRule="auto"/>
        <w:ind w:firstLine="480" w:firstLineChars="200"/>
        <w:rPr>
          <w:rFonts w:eastAsiaTheme="minorEastAsia"/>
          <w:sz w:val="24"/>
        </w:rPr>
      </w:pPr>
      <w:r>
        <w:rPr>
          <w:rFonts w:hint="eastAsia" w:eastAsiaTheme="minorEastAsia"/>
          <w:sz w:val="24"/>
        </w:rPr>
        <w:t>装饰涂料。真石漆、仿真漆、染石漆、肌理漆等装饰涂料产品。真石漆、仿石漆等是一种装饰效果酷似大理石、花岗石的涂料。主要采用各种颜色的天然石粉配制而成，原料中天然彩石砂占到65%。</w:t>
      </w:r>
    </w:p>
    <w:p w14:paraId="7478BA10">
      <w:pPr>
        <w:spacing w:line="360" w:lineRule="auto"/>
        <w:ind w:firstLine="480" w:firstLineChars="200"/>
        <w:rPr>
          <w:rFonts w:eastAsiaTheme="minorEastAsia"/>
          <w:sz w:val="24"/>
        </w:rPr>
      </w:pPr>
      <w:r>
        <w:rPr>
          <w:rFonts w:hint="eastAsia" w:eastAsiaTheme="minorEastAsia"/>
          <w:sz w:val="24"/>
        </w:rPr>
        <w:t>发泡陶瓷。是一种采用先进的生产工艺和发泡技术经高温焙烧而成的高气孔率的闭孔陶瓷材料，近两年是陶瓷行业的热门产品。目前以花岗石废料生产发泡陶瓷轻质板材的技术已经趋向成熟，该种技术使得发泡陶瓷可以以陶瓷厂废料、煤渣、石材废渣等作为主要基体材料，生产出重量轻、强度高、防水、防潮、防火、抗震、隔热、隔音、组合性强、易于拌匀、适用面广的发泡陶瓷产品。</w:t>
      </w:r>
    </w:p>
    <w:p w14:paraId="3CE3CC14">
      <w:pPr>
        <w:spacing w:line="360" w:lineRule="auto"/>
        <w:ind w:firstLine="480" w:firstLineChars="200"/>
        <w:rPr>
          <w:rFonts w:eastAsiaTheme="minorEastAsia"/>
          <w:sz w:val="24"/>
        </w:rPr>
      </w:pPr>
      <w:r>
        <w:rPr>
          <w:rFonts w:hint="eastAsia" w:eastAsiaTheme="minorEastAsia"/>
          <w:sz w:val="24"/>
        </w:rPr>
        <w:t>③加快现有生产能力整合</w:t>
      </w:r>
    </w:p>
    <w:p w14:paraId="69C9CB3C">
      <w:pPr>
        <w:spacing w:line="360" w:lineRule="auto"/>
        <w:ind w:firstLine="480" w:firstLineChars="200"/>
        <w:rPr>
          <w:rFonts w:eastAsiaTheme="minorEastAsia"/>
          <w:sz w:val="24"/>
        </w:rPr>
      </w:pPr>
      <w:r>
        <w:rPr>
          <w:rFonts w:hint="eastAsia" w:eastAsiaTheme="minorEastAsia"/>
          <w:sz w:val="24"/>
        </w:rPr>
        <w:t>已建生产线改造提升，达到准入条件，可作为培育的重点企业。目前，已落地的综合利用项目包括：鑫峰环保建材公司（太白顶大岭矿区）、闽昌矿业公司（万和董家庄矿区）、鸿发矿业环保建材（草店白石岩矿区）、中润环保建材公司（吴山加工园区）等，共计年可处理废石料1000万吨。将这些项目纳入石材建筑砂石骨料项目的总体规划中，合理设置未来新上项目。</w:t>
      </w:r>
    </w:p>
    <w:p w14:paraId="1CF97114">
      <w:pPr>
        <w:spacing w:line="360" w:lineRule="auto"/>
        <w:ind w:firstLine="480" w:firstLineChars="200"/>
        <w:rPr>
          <w:rFonts w:eastAsiaTheme="minorEastAsia"/>
          <w:sz w:val="24"/>
        </w:rPr>
      </w:pPr>
      <w:r>
        <w:rPr>
          <w:rFonts w:hint="eastAsia" w:eastAsiaTheme="minorEastAsia"/>
          <w:sz w:val="24"/>
        </w:rPr>
        <w:t>在机制砂生产线方案方面，需采用高标准环保设计方案，引入全封闭储料罐、中转料仓，安装全套除尘设备等，实现全流程封闭；按步骤、分阶段进行场地硬化、净化、绿化、美化等工作。</w:t>
      </w:r>
    </w:p>
    <w:p w14:paraId="17481051">
      <w:pPr>
        <w:spacing w:line="360" w:lineRule="auto"/>
        <w:ind w:firstLine="480" w:firstLineChars="200"/>
        <w:rPr>
          <w:rFonts w:eastAsiaTheme="minorEastAsia"/>
          <w:sz w:val="24"/>
        </w:rPr>
      </w:pPr>
      <w:r>
        <w:rPr>
          <w:rFonts w:hint="eastAsia" w:eastAsiaTheme="minorEastAsia"/>
          <w:sz w:val="24"/>
        </w:rPr>
        <w:t>（2）园区成立废渣收集专业化公司</w:t>
      </w:r>
    </w:p>
    <w:p w14:paraId="5652C5B4">
      <w:pPr>
        <w:spacing w:line="360" w:lineRule="auto"/>
        <w:ind w:firstLine="480" w:firstLineChars="200"/>
        <w:rPr>
          <w:rFonts w:eastAsiaTheme="minorEastAsia"/>
          <w:sz w:val="24"/>
        </w:rPr>
      </w:pPr>
      <w:r>
        <w:rPr>
          <w:rFonts w:hint="eastAsia" w:eastAsiaTheme="minorEastAsia"/>
          <w:sz w:val="24"/>
        </w:rPr>
        <w:t>以环保防污染为原则，组建石材废渣专业收集和运输公司。运输车辆统一定制、标识、安装GPS，石材废渣清运实行全方位监控。专业公司与石材加工企业签订石材废渣清运协议，在源头上对石材废渣进行分类处理与清运。同时，加强与建设石材废渣综合利用项目的企业衔接，将石材废渣变为综合利用项目生产原料。</w:t>
      </w:r>
    </w:p>
    <w:p w14:paraId="153E0323">
      <w:pPr>
        <w:spacing w:line="360" w:lineRule="auto"/>
        <w:ind w:firstLine="480" w:firstLineChars="200"/>
        <w:rPr>
          <w:rFonts w:eastAsiaTheme="minorEastAsia"/>
          <w:sz w:val="24"/>
        </w:rPr>
      </w:pPr>
      <w:r>
        <w:rPr>
          <w:rFonts w:hint="eastAsia" w:eastAsiaTheme="minorEastAsia"/>
          <w:sz w:val="24"/>
        </w:rPr>
        <w:t>（3）工程目标</w:t>
      </w:r>
    </w:p>
    <w:p w14:paraId="40ADC477">
      <w:pPr>
        <w:spacing w:line="360" w:lineRule="auto"/>
        <w:ind w:firstLine="480" w:firstLineChars="200"/>
        <w:rPr>
          <w:rFonts w:eastAsiaTheme="minorEastAsia"/>
          <w:sz w:val="24"/>
        </w:rPr>
      </w:pPr>
      <w:r>
        <w:rPr>
          <w:rFonts w:hint="eastAsia" w:eastAsiaTheme="minorEastAsia"/>
          <w:sz w:val="24"/>
        </w:rPr>
        <w:t>到2030年，随县石材企业实现固体废物资源综合利用率85%以上，每年矿山开采新产生的废石、加工厂边角料、石粉等废弃物大部分转化为资源或者产品消耗，基本实现新增固体废弃物利用。</w:t>
      </w:r>
    </w:p>
    <w:p w14:paraId="7AC02DE3">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石材行业关键核心技术攻关工程</w:t>
      </w:r>
    </w:p>
    <w:p w14:paraId="68FA0CA7">
      <w:pPr>
        <w:spacing w:line="360" w:lineRule="auto"/>
        <w:ind w:firstLine="480" w:firstLineChars="200"/>
        <w:rPr>
          <w:rFonts w:eastAsiaTheme="minorEastAsia"/>
          <w:sz w:val="24"/>
        </w:rPr>
      </w:pPr>
      <w:r>
        <w:rPr>
          <w:rFonts w:hint="eastAsia" w:eastAsiaTheme="minorEastAsia"/>
          <w:sz w:val="24"/>
        </w:rPr>
        <w:t>（1）石材创意设计及装饰应用技术研发</w:t>
      </w:r>
    </w:p>
    <w:p w14:paraId="710F7609">
      <w:pPr>
        <w:spacing w:line="360" w:lineRule="auto"/>
        <w:ind w:firstLine="480" w:firstLineChars="200"/>
        <w:rPr>
          <w:rFonts w:eastAsiaTheme="minorEastAsia"/>
          <w:sz w:val="24"/>
        </w:rPr>
      </w:pPr>
      <w:r>
        <w:rPr>
          <w:rFonts w:hint="eastAsia" w:eastAsiaTheme="minorEastAsia"/>
          <w:sz w:val="24"/>
        </w:rPr>
        <w:t>提升石材工业设计、石材装饰创意、石材工程整体设计应用能力，重点为随县石材的工程服务能力，帮助企业申请“建筑幕墙工程设计与施工”“建筑装饰工程设计与施工”等资质，打造我国石材领域的工程服务品牌。</w:t>
      </w:r>
    </w:p>
    <w:p w14:paraId="1FB2370E">
      <w:pPr>
        <w:spacing w:line="360" w:lineRule="auto"/>
        <w:ind w:firstLine="480" w:firstLineChars="200"/>
        <w:rPr>
          <w:rFonts w:eastAsiaTheme="minorEastAsia"/>
          <w:sz w:val="24"/>
        </w:rPr>
      </w:pPr>
      <w:r>
        <w:rPr>
          <w:rFonts w:hint="eastAsia" w:eastAsiaTheme="minorEastAsia"/>
          <w:sz w:val="24"/>
        </w:rPr>
        <w:t>（2）石材装配式建筑部品研发</w:t>
      </w:r>
    </w:p>
    <w:p w14:paraId="5773099A">
      <w:pPr>
        <w:spacing w:line="360" w:lineRule="auto"/>
        <w:ind w:firstLine="480" w:firstLineChars="200"/>
        <w:rPr>
          <w:rFonts w:eastAsiaTheme="minorEastAsia"/>
          <w:sz w:val="24"/>
        </w:rPr>
      </w:pPr>
      <w:r>
        <w:rPr>
          <w:rFonts w:hint="eastAsia" w:eastAsiaTheme="minorEastAsia"/>
          <w:sz w:val="24"/>
        </w:rPr>
        <w:t>加强石材产品与装配式建筑产业发展的结合，重点突破围绕装配式建筑开发的装饰保温一体技术、装饰部品设计安装一体化技术等，积极发展复合板、保温装饰一体石材板、薄板及超薄复合板、石材建筑构件等多功能型产品。以空间为单位的整体装饰一站式服务产品设计与研发。</w:t>
      </w:r>
    </w:p>
    <w:p w14:paraId="4D20210C">
      <w:pPr>
        <w:spacing w:line="360" w:lineRule="auto"/>
        <w:ind w:firstLine="480" w:firstLineChars="200"/>
        <w:rPr>
          <w:rFonts w:eastAsiaTheme="minorEastAsia"/>
          <w:sz w:val="24"/>
        </w:rPr>
      </w:pPr>
      <w:r>
        <w:rPr>
          <w:rFonts w:hint="eastAsia" w:eastAsiaTheme="minorEastAsia"/>
          <w:sz w:val="24"/>
        </w:rPr>
        <w:t>（3）研究石材智能制造技术研发与推广</w:t>
      </w:r>
    </w:p>
    <w:p w14:paraId="68AC1938">
      <w:pPr>
        <w:spacing w:line="360" w:lineRule="auto"/>
        <w:ind w:firstLine="480" w:firstLineChars="200"/>
        <w:rPr>
          <w:rFonts w:eastAsiaTheme="minorEastAsia"/>
          <w:sz w:val="24"/>
        </w:rPr>
      </w:pPr>
      <w:r>
        <w:rPr>
          <w:rFonts w:hint="eastAsia" w:eastAsiaTheme="minorEastAsia"/>
          <w:sz w:val="24"/>
        </w:rPr>
        <w:t>针对矿山开采、板材加工、异形石材加工等各个工艺环节进行技术装备和智能制造工艺研发。</w:t>
      </w:r>
    </w:p>
    <w:p w14:paraId="20E870F3">
      <w:pPr>
        <w:spacing w:line="360" w:lineRule="auto"/>
        <w:ind w:firstLine="480" w:firstLineChars="200"/>
        <w:rPr>
          <w:rFonts w:eastAsiaTheme="minorEastAsia"/>
          <w:sz w:val="24"/>
        </w:rPr>
      </w:pPr>
      <w:r>
        <w:rPr>
          <w:rFonts w:hint="eastAsia" w:eastAsiaTheme="minorEastAsia"/>
          <w:sz w:val="24"/>
        </w:rPr>
        <w:t>（4）加强石材固废综合利用技术工艺研究</w:t>
      </w:r>
    </w:p>
    <w:p w14:paraId="12773928">
      <w:pPr>
        <w:spacing w:line="360" w:lineRule="auto"/>
        <w:ind w:firstLine="480" w:firstLineChars="200"/>
        <w:rPr>
          <w:rFonts w:eastAsiaTheme="minorEastAsia"/>
          <w:sz w:val="24"/>
        </w:rPr>
      </w:pPr>
      <w:r>
        <w:rPr>
          <w:rFonts w:hint="eastAsia" w:eastAsiaTheme="minorEastAsia"/>
          <w:sz w:val="24"/>
        </w:rPr>
        <w:t>围绕着废石、锯泥等进行检测和应用实验，发掘固废资源应用路径，开展基础应用研究。研发具体工艺路线，加快产业化转化。</w:t>
      </w:r>
    </w:p>
    <w:p w14:paraId="77C0B1A4">
      <w:pPr>
        <w:spacing w:line="360" w:lineRule="auto"/>
        <w:ind w:firstLine="480" w:firstLineChars="200"/>
        <w:rPr>
          <w:rFonts w:eastAsiaTheme="minorEastAsia"/>
          <w:sz w:val="24"/>
        </w:rPr>
      </w:pPr>
      <w:r>
        <w:rPr>
          <w:rFonts w:hint="eastAsia" w:eastAsiaTheme="minorEastAsia"/>
          <w:sz w:val="24"/>
        </w:rPr>
        <w:t>（5）工程目标</w:t>
      </w:r>
    </w:p>
    <w:p w14:paraId="43BCBA34">
      <w:pPr>
        <w:spacing w:line="360" w:lineRule="auto"/>
        <w:ind w:firstLine="480" w:firstLineChars="200"/>
        <w:rPr>
          <w:rFonts w:eastAsiaTheme="minorEastAsia"/>
          <w:sz w:val="24"/>
        </w:rPr>
      </w:pPr>
      <w:r>
        <w:rPr>
          <w:rFonts w:hint="eastAsia" w:eastAsiaTheme="minorEastAsia"/>
          <w:sz w:val="24"/>
        </w:rPr>
        <w:t>到2025年，争取有1-2家企业建成研发中心或产学研合作中心。引进1家独立研发机构或合作共建应用研发机构，5项以上技术研发成果产业化项目落地。</w:t>
      </w:r>
    </w:p>
    <w:p w14:paraId="153D3E82">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石材大数据信息化公共服务平台工程</w:t>
      </w:r>
    </w:p>
    <w:p w14:paraId="2F893D45">
      <w:pPr>
        <w:spacing w:line="360" w:lineRule="auto"/>
        <w:ind w:firstLine="480" w:firstLineChars="200"/>
        <w:rPr>
          <w:rFonts w:eastAsiaTheme="minorEastAsia"/>
          <w:sz w:val="24"/>
        </w:rPr>
      </w:pPr>
      <w:r>
        <w:rPr>
          <w:rFonts w:hint="eastAsia" w:eastAsiaTheme="minorEastAsia"/>
          <w:sz w:val="24"/>
        </w:rPr>
        <w:t>（1）随县石材及绿色建材电子商务交易平台</w:t>
      </w:r>
    </w:p>
    <w:p w14:paraId="7815823A">
      <w:pPr>
        <w:spacing w:line="360" w:lineRule="auto"/>
        <w:ind w:firstLine="480" w:firstLineChars="200"/>
        <w:rPr>
          <w:rFonts w:eastAsiaTheme="minorEastAsia"/>
          <w:sz w:val="24"/>
        </w:rPr>
      </w:pPr>
      <w:r>
        <w:rPr>
          <w:rFonts w:hint="eastAsia" w:eastAsiaTheme="minorEastAsia"/>
          <w:sz w:val="24"/>
        </w:rPr>
        <w:t>通过随县石材产业大数据信息化公共服务平台整合石材企业、设计公司、咨询服务公司等资源，将石材商品实现三维数字化，使不同品类、不同品牌、不同商户的石材商品在平台上呈现。</w:t>
      </w:r>
    </w:p>
    <w:p w14:paraId="7F521D71">
      <w:pPr>
        <w:spacing w:line="360" w:lineRule="auto"/>
        <w:ind w:firstLine="480" w:firstLineChars="200"/>
        <w:rPr>
          <w:rFonts w:eastAsiaTheme="minorEastAsia"/>
          <w:sz w:val="24"/>
        </w:rPr>
      </w:pPr>
      <w:r>
        <w:rPr>
          <w:rFonts w:hint="eastAsia" w:eastAsiaTheme="minorEastAsia"/>
          <w:sz w:val="24"/>
        </w:rPr>
        <w:t>（2）随县石材智慧物流平台</w:t>
      </w:r>
    </w:p>
    <w:p w14:paraId="0B4CE2CA">
      <w:pPr>
        <w:spacing w:line="360" w:lineRule="auto"/>
        <w:ind w:firstLine="480" w:firstLineChars="200"/>
        <w:rPr>
          <w:rFonts w:eastAsiaTheme="minorEastAsia"/>
          <w:sz w:val="24"/>
        </w:rPr>
      </w:pPr>
      <w:r>
        <w:rPr>
          <w:rFonts w:hint="eastAsia" w:eastAsiaTheme="minorEastAsia"/>
          <w:sz w:val="24"/>
        </w:rPr>
        <w:t>系统架构：在石材产业园建设物流指挥调度系统，对内建立专业的矿山荒料物流、废石运输物流、吴山物流园、万和物流园、草店物流、太白顶物流运输平台。对外建立全国物流信息互联系统，及时对接国内各石材园区物流信息、专业物流公司信息运营平台。</w:t>
      </w:r>
    </w:p>
    <w:p w14:paraId="5AD166AE">
      <w:pPr>
        <w:spacing w:line="360" w:lineRule="auto"/>
        <w:ind w:firstLine="480" w:firstLineChars="200"/>
        <w:rPr>
          <w:rFonts w:eastAsiaTheme="minorEastAsia"/>
          <w:sz w:val="24"/>
        </w:rPr>
      </w:pPr>
      <w:r>
        <w:rPr>
          <w:rFonts w:hint="eastAsia" w:eastAsiaTheme="minorEastAsia"/>
          <w:sz w:val="24"/>
        </w:rPr>
        <w:t>功能：对外及时处理货物运输供求信息、车辆信息供求、物流公司信息、网上接单报价、网上支付、物流追溯、用户评价。对内实时监测仓储信息、产品信息、车辆信息、需求信息以及实时监控、进行网上结算等。</w:t>
      </w:r>
    </w:p>
    <w:p w14:paraId="6F15ACAA">
      <w:pPr>
        <w:spacing w:line="360" w:lineRule="auto"/>
        <w:ind w:firstLine="480" w:firstLineChars="200"/>
        <w:rPr>
          <w:rFonts w:eastAsiaTheme="minorEastAsia"/>
          <w:sz w:val="24"/>
        </w:rPr>
      </w:pPr>
      <w:r>
        <w:rPr>
          <w:rFonts w:hint="eastAsia" w:eastAsiaTheme="minorEastAsia"/>
          <w:sz w:val="24"/>
        </w:rPr>
        <w:t>（3）探索石材产业链供应链一体化新型商业模式</w:t>
      </w:r>
    </w:p>
    <w:p w14:paraId="0AEF798C">
      <w:pPr>
        <w:spacing w:line="360" w:lineRule="auto"/>
        <w:ind w:firstLine="480" w:firstLineChars="200"/>
        <w:rPr>
          <w:rFonts w:eastAsiaTheme="minorEastAsia"/>
          <w:sz w:val="24"/>
        </w:rPr>
      </w:pPr>
      <w:r>
        <w:rPr>
          <w:rFonts w:hint="eastAsia" w:eastAsiaTheme="minorEastAsia"/>
          <w:sz w:val="24"/>
        </w:rPr>
        <w:t>按照“石材+工业互联网”思维，推进矿山开采、石材加工、石材销售、矿山修复、资源利用、石材工程项目、安装施工、物流运输等环节工业互联，实现石材产业全链条数字化转型，构建随县石材产业新业态。</w:t>
      </w:r>
    </w:p>
    <w:p w14:paraId="7A38756E">
      <w:pPr>
        <w:spacing w:line="360" w:lineRule="auto"/>
        <w:ind w:firstLine="480" w:firstLineChars="200"/>
        <w:rPr>
          <w:rFonts w:eastAsiaTheme="minorEastAsia"/>
          <w:sz w:val="24"/>
        </w:rPr>
      </w:pPr>
      <w:r>
        <w:rPr>
          <w:rFonts w:hint="eastAsia" w:eastAsiaTheme="minorEastAsia"/>
          <w:sz w:val="24"/>
        </w:rPr>
        <w:t>推动石材工业互联网项目平台建设，加快打造石材互联网生产、销售、监管一体化平台，整合用户需求、生产企业、设计公司、物流公司、施工安装公司、监理公司资源，以可视化、数字化、网络化技术以及建筑上的BIM技术，借鉴VR展厅、视频会议、APP等形式，引导线下客户向线上采购客户的转变。</w:t>
      </w:r>
    </w:p>
    <w:p w14:paraId="03E74200">
      <w:pPr>
        <w:spacing w:line="360" w:lineRule="auto"/>
        <w:ind w:firstLine="480" w:firstLineChars="200"/>
        <w:rPr>
          <w:rFonts w:eastAsiaTheme="minorEastAsia"/>
          <w:sz w:val="24"/>
        </w:rPr>
      </w:pPr>
      <w:r>
        <w:rPr>
          <w:rFonts w:hint="eastAsia" w:eastAsiaTheme="minorEastAsia"/>
          <w:sz w:val="24"/>
        </w:rPr>
        <w:t>（4）搭建新媒体传媒</w:t>
      </w:r>
    </w:p>
    <w:p w14:paraId="38571343">
      <w:pPr>
        <w:spacing w:line="360" w:lineRule="auto"/>
        <w:ind w:firstLine="480" w:firstLineChars="200"/>
        <w:rPr>
          <w:rFonts w:eastAsiaTheme="minorEastAsia"/>
          <w:sz w:val="24"/>
        </w:rPr>
      </w:pPr>
      <w:r>
        <w:rPr>
          <w:rFonts w:hint="eastAsia" w:eastAsiaTheme="minorEastAsia"/>
          <w:sz w:val="24"/>
        </w:rPr>
        <w:t>在大数据信息化平台上搭建新媒体门户，通过网络直播、短视频、虚拟现实（VR）等现代媒介及信息技术的应用，将向外界展示一个更加立体的随县石材产业新面貌。</w:t>
      </w:r>
    </w:p>
    <w:p w14:paraId="03B20E15">
      <w:pPr>
        <w:spacing w:line="360" w:lineRule="auto"/>
        <w:ind w:firstLine="480" w:firstLineChars="200"/>
        <w:rPr>
          <w:rFonts w:eastAsiaTheme="minorEastAsia"/>
          <w:sz w:val="24"/>
        </w:rPr>
      </w:pPr>
      <w:r>
        <w:rPr>
          <w:rFonts w:hint="eastAsia" w:eastAsiaTheme="minorEastAsia"/>
          <w:sz w:val="24"/>
        </w:rPr>
        <w:t>（5）工程目标</w:t>
      </w:r>
    </w:p>
    <w:p w14:paraId="5E7C36DA">
      <w:pPr>
        <w:spacing w:line="360" w:lineRule="auto"/>
        <w:ind w:firstLine="480" w:firstLineChars="200"/>
        <w:rPr>
          <w:rFonts w:eastAsiaTheme="minorEastAsia"/>
          <w:sz w:val="24"/>
        </w:rPr>
      </w:pPr>
      <w:r>
        <w:rPr>
          <w:rFonts w:hint="eastAsia" w:eastAsiaTheme="minorEastAsia"/>
          <w:sz w:val="24"/>
        </w:rPr>
        <w:t>到2025年，初步建成随县石材工业互联网平台，信息化、智慧化成为随县石材的突出特色，推动石材线上交易。</w:t>
      </w:r>
    </w:p>
    <w:p w14:paraId="3A7015C3">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“中国随县·世界石都”品牌创建工程</w:t>
      </w:r>
    </w:p>
    <w:p w14:paraId="6D51BD40">
      <w:pPr>
        <w:spacing w:line="360" w:lineRule="auto"/>
        <w:ind w:firstLine="480" w:firstLineChars="200"/>
        <w:rPr>
          <w:rFonts w:eastAsiaTheme="minorEastAsia"/>
          <w:sz w:val="24"/>
        </w:rPr>
      </w:pPr>
      <w:r>
        <w:rPr>
          <w:rFonts w:hint="eastAsia" w:eastAsiaTheme="minorEastAsia"/>
          <w:sz w:val="24"/>
        </w:rPr>
        <w:t>（1）打造知名企业品牌</w:t>
      </w:r>
    </w:p>
    <w:p w14:paraId="203001E0">
      <w:pPr>
        <w:spacing w:line="360" w:lineRule="auto"/>
        <w:ind w:firstLine="480" w:firstLineChars="200"/>
        <w:rPr>
          <w:rFonts w:eastAsiaTheme="minorEastAsia"/>
          <w:sz w:val="24"/>
        </w:rPr>
      </w:pPr>
      <w:r>
        <w:rPr>
          <w:rFonts w:hint="eastAsia" w:eastAsiaTheme="minorEastAsia"/>
          <w:sz w:val="24"/>
        </w:rPr>
        <w:t>鼓励随县石材企业重视自身品牌的建立，大力实施名企名品战略，支持企业根据自身的条件和特点，以及中长期发展战略，做好品牌定位，打好产品质量和服务基础，增加品牌策划投入，以发布新产品、参加国内外有影响的评比、广告宣传、促销活动、设置产品展示厅、专卖店等形式加强推广。扶持企业上市，对在A股港股新三板等交易市场成功上市的企业分别一次性给予100-200万元奖励。</w:t>
      </w:r>
    </w:p>
    <w:p w14:paraId="40BBAC8A">
      <w:pPr>
        <w:spacing w:line="360" w:lineRule="auto"/>
        <w:ind w:firstLine="480" w:firstLineChars="200"/>
        <w:rPr>
          <w:rFonts w:eastAsiaTheme="minorEastAsia"/>
          <w:sz w:val="24"/>
        </w:rPr>
      </w:pPr>
      <w:r>
        <w:rPr>
          <w:rFonts w:hint="eastAsia" w:eastAsiaTheme="minorEastAsia"/>
          <w:sz w:val="24"/>
        </w:rPr>
        <w:t>（2）申请“中国随县•世界石都”地理标志商标</w:t>
      </w:r>
    </w:p>
    <w:p w14:paraId="25FAC6E6">
      <w:pPr>
        <w:spacing w:line="360" w:lineRule="auto"/>
        <w:ind w:firstLine="480" w:firstLineChars="200"/>
        <w:rPr>
          <w:rFonts w:eastAsiaTheme="minorEastAsia"/>
          <w:sz w:val="24"/>
        </w:rPr>
      </w:pPr>
      <w:r>
        <w:rPr>
          <w:rFonts w:hint="eastAsia" w:eastAsiaTheme="minorEastAsia"/>
          <w:sz w:val="24"/>
        </w:rPr>
        <w:t>构建拥有行业影响力的石材品牌、全国影响力的装饰板材品牌、异型石材品牌，形成具有随县特色的石材产业品牌体系，在随县石材品牌在行业内产生一定影响力之后，向相关主管部门申请“随县石材”的地理标志，扩大产品的知名度。</w:t>
      </w:r>
    </w:p>
    <w:p w14:paraId="084A8524">
      <w:pPr>
        <w:spacing w:line="360" w:lineRule="auto"/>
        <w:ind w:firstLine="480" w:firstLineChars="200"/>
        <w:rPr>
          <w:rFonts w:eastAsiaTheme="minorEastAsia"/>
          <w:sz w:val="24"/>
        </w:rPr>
      </w:pPr>
      <w:r>
        <w:rPr>
          <w:rFonts w:hint="eastAsia" w:eastAsiaTheme="minorEastAsia"/>
          <w:sz w:val="24"/>
        </w:rPr>
        <w:t>（3）制定行业品牌推广方案</w:t>
      </w:r>
    </w:p>
    <w:p w14:paraId="734B27B5">
      <w:pPr>
        <w:spacing w:line="360" w:lineRule="auto"/>
        <w:ind w:firstLine="480" w:firstLineChars="200"/>
        <w:rPr>
          <w:rFonts w:eastAsiaTheme="minorEastAsia"/>
          <w:sz w:val="24"/>
        </w:rPr>
      </w:pPr>
      <w:r>
        <w:rPr>
          <w:rFonts w:hint="eastAsia" w:eastAsiaTheme="minorEastAsia"/>
          <w:sz w:val="24"/>
        </w:rPr>
        <w:t>加大对外宣传力度。充分利用当地媒体，加强新闻宣传力度。</w:t>
      </w:r>
    </w:p>
    <w:p w14:paraId="6E1867B0">
      <w:pPr>
        <w:spacing w:line="360" w:lineRule="auto"/>
        <w:ind w:firstLine="480" w:firstLineChars="200"/>
        <w:rPr>
          <w:rFonts w:eastAsiaTheme="minorEastAsia"/>
          <w:sz w:val="24"/>
        </w:rPr>
      </w:pPr>
      <w:r>
        <w:rPr>
          <w:rFonts w:hint="eastAsia" w:eastAsiaTheme="minorEastAsia"/>
          <w:sz w:val="24"/>
        </w:rPr>
        <w:t>借助网络平台，创新宣传方式。</w:t>
      </w:r>
    </w:p>
    <w:p w14:paraId="32CCE145">
      <w:pPr>
        <w:spacing w:line="360" w:lineRule="auto"/>
        <w:ind w:firstLine="480" w:firstLineChars="200"/>
        <w:rPr>
          <w:rFonts w:eastAsiaTheme="minorEastAsia"/>
          <w:sz w:val="24"/>
        </w:rPr>
      </w:pPr>
      <w:r>
        <w:rPr>
          <w:rFonts w:hint="eastAsia" w:eastAsiaTheme="minorEastAsia"/>
          <w:sz w:val="24"/>
        </w:rPr>
        <w:t>政府组团组织策划活动，面向全国、东亚、欧洲等市场，加大宣传推广；开展政府间对接、区域公关活动，增加创建“中国随县•世界石都”区域品牌的专项经费。组织随县企业参加全国各地知名石材展，通过参加国内有影响的厦门、水头、云浮、安顺等石材展会，布置展位对随县石材产品进行集中设计展示。</w:t>
      </w:r>
    </w:p>
    <w:p w14:paraId="6C1A16D4">
      <w:pPr>
        <w:spacing w:line="360" w:lineRule="auto"/>
        <w:ind w:firstLine="480" w:firstLineChars="200"/>
        <w:rPr>
          <w:rFonts w:eastAsiaTheme="minorEastAsia"/>
          <w:sz w:val="24"/>
        </w:rPr>
      </w:pPr>
      <w:r>
        <w:rPr>
          <w:rFonts w:hint="eastAsia" w:eastAsiaTheme="minorEastAsia"/>
          <w:sz w:val="24"/>
        </w:rPr>
        <w:t>（4）利用展会扩大知名度</w:t>
      </w:r>
    </w:p>
    <w:p w14:paraId="63DB40AB">
      <w:pPr>
        <w:spacing w:line="360" w:lineRule="auto"/>
        <w:ind w:firstLine="480" w:firstLineChars="200"/>
        <w:rPr>
          <w:rFonts w:eastAsiaTheme="minorEastAsia"/>
          <w:sz w:val="24"/>
        </w:rPr>
      </w:pPr>
      <w:r>
        <w:rPr>
          <w:rFonts w:hint="eastAsia" w:eastAsiaTheme="minorEastAsia"/>
          <w:sz w:val="24"/>
        </w:rPr>
        <w:t>围绕建筑工程，从石材产品、设计产品、技术研发、石材机械等方面入手，尽早举办首届随县国际石材博览会，邀请国内知名专家、企业和设计师参加，提高随县石材知名度。</w:t>
      </w:r>
    </w:p>
    <w:p w14:paraId="5FC25BD2">
      <w:pPr>
        <w:spacing w:line="360" w:lineRule="auto"/>
        <w:ind w:firstLine="480" w:firstLineChars="200"/>
        <w:rPr>
          <w:rFonts w:eastAsiaTheme="minorEastAsia"/>
          <w:sz w:val="24"/>
        </w:rPr>
      </w:pPr>
      <w:r>
        <w:rPr>
          <w:rFonts w:hint="eastAsia" w:eastAsiaTheme="minorEastAsia"/>
          <w:sz w:val="24"/>
        </w:rPr>
        <w:t>（5）鼓励随县石材企业积极参与行业标准规范制定</w:t>
      </w:r>
    </w:p>
    <w:p w14:paraId="5D5E78C7">
      <w:pPr>
        <w:spacing w:line="360" w:lineRule="auto"/>
        <w:ind w:firstLine="480" w:firstLineChars="200"/>
        <w:rPr>
          <w:rFonts w:eastAsiaTheme="minorEastAsia"/>
          <w:sz w:val="24"/>
        </w:rPr>
      </w:pPr>
      <w:r>
        <w:rPr>
          <w:rFonts w:hint="eastAsia" w:eastAsiaTheme="minorEastAsia"/>
          <w:sz w:val="24"/>
        </w:rPr>
        <w:t>行业标准代表着行业的秩序制定，鼓励随县石材企业积极参与石材行业的各项标准参编工作，围绕石材装备智能化、环保节能技术、石材工程服务技术等重要领域，扩大随县石材在我国石材行业里的影响力。对主导或参与石材标准制修订工作的石材企业，每主导或参与制修订一项国际标准、国家标准、行业标准、地方标准、团体标准、先进企业标准，分别一次性给予20万元、10万元、8万元、5万元、2万元、2万元奖励。</w:t>
      </w:r>
    </w:p>
    <w:p w14:paraId="4F53E1E9">
      <w:pPr>
        <w:spacing w:line="360" w:lineRule="auto"/>
        <w:ind w:firstLine="480" w:firstLineChars="200"/>
        <w:rPr>
          <w:rFonts w:eastAsiaTheme="minorEastAsia"/>
          <w:sz w:val="24"/>
        </w:rPr>
      </w:pPr>
      <w:r>
        <w:rPr>
          <w:rFonts w:hint="eastAsia" w:eastAsiaTheme="minorEastAsia"/>
          <w:sz w:val="24"/>
        </w:rPr>
        <w:t>（6）工程目标</w:t>
      </w:r>
    </w:p>
    <w:p w14:paraId="39A1BEC8">
      <w:pPr>
        <w:spacing w:line="360" w:lineRule="auto"/>
        <w:ind w:firstLine="480" w:firstLineChars="200"/>
        <w:rPr>
          <w:rFonts w:eastAsiaTheme="minorEastAsia"/>
          <w:sz w:val="24"/>
        </w:rPr>
      </w:pPr>
      <w:r>
        <w:rPr>
          <w:rFonts w:hint="eastAsia" w:eastAsiaTheme="minorEastAsia"/>
          <w:sz w:val="24"/>
        </w:rPr>
        <w:t>到2025年，随县“黄金麻”“白麻”石材品牌行业影响力更加突出，随县石材展成为行业的重要展会，争创上市企业，“中国随县•世界石都”成为我国石材行业的知名标签。</w:t>
      </w:r>
    </w:p>
    <w:p w14:paraId="47F06C1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石材职业教育培训工程</w:t>
      </w:r>
    </w:p>
    <w:p w14:paraId="63344E09">
      <w:pPr>
        <w:spacing w:line="360" w:lineRule="auto"/>
        <w:ind w:firstLine="480" w:firstLineChars="200"/>
        <w:rPr>
          <w:rFonts w:eastAsiaTheme="minorEastAsia"/>
          <w:sz w:val="24"/>
        </w:rPr>
      </w:pPr>
      <w:r>
        <w:rPr>
          <w:rFonts w:hint="eastAsia" w:eastAsiaTheme="minorEastAsia"/>
          <w:sz w:val="24"/>
        </w:rPr>
        <w:t>（1）建立职业教育院校/基地</w:t>
      </w:r>
    </w:p>
    <w:p w14:paraId="1FBE6C62">
      <w:pPr>
        <w:spacing w:line="360" w:lineRule="auto"/>
        <w:ind w:firstLine="480" w:firstLineChars="200"/>
        <w:rPr>
          <w:rFonts w:eastAsiaTheme="minorEastAsia"/>
          <w:sz w:val="24"/>
        </w:rPr>
      </w:pPr>
      <w:r>
        <w:rPr>
          <w:rFonts w:hint="eastAsia" w:eastAsiaTheme="minorEastAsia"/>
          <w:sz w:val="24"/>
        </w:rPr>
        <w:t>探索校政企合作办学模式，加强与随州职业技术学院、随县经贸中专学校等联合创办或单独创办石材行业职业教育，将石材专业列入职业教育招生计划，开设石材专业，培养石材工艺、设计等专业创新人才。联合我国其他发达城市高校和科研院所，实施产学研一体化教育模式，推进政府、企业、学校和研究机构的合作办学。</w:t>
      </w:r>
    </w:p>
    <w:p w14:paraId="2BF2333F">
      <w:pPr>
        <w:spacing w:line="360" w:lineRule="auto"/>
        <w:ind w:firstLine="480" w:firstLineChars="200"/>
        <w:rPr>
          <w:rFonts w:eastAsiaTheme="minorEastAsia"/>
          <w:sz w:val="24"/>
        </w:rPr>
      </w:pPr>
      <w:r>
        <w:rPr>
          <w:rFonts w:hint="eastAsia" w:eastAsiaTheme="minorEastAsia"/>
          <w:sz w:val="24"/>
        </w:rPr>
        <w:t>（2）建立石材从业人员技能培训和继续教育基地</w:t>
      </w:r>
    </w:p>
    <w:p w14:paraId="3BAEF774">
      <w:pPr>
        <w:spacing w:line="360" w:lineRule="auto"/>
        <w:ind w:firstLine="480" w:firstLineChars="200"/>
        <w:rPr>
          <w:rFonts w:eastAsiaTheme="minorEastAsia"/>
          <w:sz w:val="24"/>
        </w:rPr>
      </w:pPr>
      <w:r>
        <w:rPr>
          <w:rFonts w:hint="eastAsia" w:eastAsiaTheme="minorEastAsia"/>
          <w:sz w:val="24"/>
        </w:rPr>
        <w:t>鼓励行业协会、高等院校、科研机构和企业联合开展技术培训，提高石材开采、加工、养护、安装等实用技术工人技能和水平；组织企业管理专家、行业智库定期与本地企业家培训、交流与切磋，采用专家讲座、头脑风暴等形式，加强企业经营管理人才、国际贸易人才的基本素质、职业知识、专业知识和社会实践培训，尤其是石材基础、石材机械等专业知识。通过定期举办石材创意设计大赛搭建创意人才交流的平台，将创意人才培养列入政府计划，利用现有智力资源，与创意产业和文化主管部门合作，对已经有一定专业知识和专业技能的从业人员进行创意设计培训。</w:t>
      </w:r>
    </w:p>
    <w:p w14:paraId="0B1128B6">
      <w:pPr>
        <w:spacing w:line="360" w:lineRule="auto"/>
        <w:ind w:firstLine="480" w:firstLineChars="200"/>
        <w:rPr>
          <w:rFonts w:eastAsiaTheme="minorEastAsia"/>
          <w:sz w:val="24"/>
        </w:rPr>
      </w:pPr>
      <w:r>
        <w:rPr>
          <w:rFonts w:hint="eastAsia" w:eastAsiaTheme="minorEastAsia"/>
          <w:sz w:val="24"/>
        </w:rPr>
        <w:t>（3）鼓励企业建立石材实习教育基地</w:t>
      </w:r>
    </w:p>
    <w:p w14:paraId="6826656C">
      <w:pPr>
        <w:spacing w:line="360" w:lineRule="auto"/>
        <w:ind w:firstLine="480" w:firstLineChars="200"/>
        <w:rPr>
          <w:rFonts w:eastAsiaTheme="minorEastAsia"/>
          <w:sz w:val="24"/>
        </w:rPr>
      </w:pPr>
      <w:r>
        <w:rPr>
          <w:rFonts w:hint="eastAsia" w:eastAsiaTheme="minorEastAsia"/>
          <w:sz w:val="24"/>
        </w:rPr>
        <w:t>组织石材行业的专家学者，就石材开采、加工、设计、养护、安装等技能，开展专业培训活动。鼓励由企业建立的实习基地与福建、广东、山东等石材先进产区实习基地对接，进行区域间互访、学习、培训。</w:t>
      </w:r>
    </w:p>
    <w:p w14:paraId="7802B5BB">
      <w:pPr>
        <w:spacing w:line="360" w:lineRule="auto"/>
        <w:ind w:firstLine="480" w:firstLineChars="200"/>
        <w:rPr>
          <w:rFonts w:eastAsiaTheme="minorEastAsia"/>
          <w:sz w:val="24"/>
        </w:rPr>
      </w:pPr>
      <w:r>
        <w:rPr>
          <w:rFonts w:hint="eastAsia" w:eastAsiaTheme="minorEastAsia"/>
          <w:sz w:val="24"/>
        </w:rPr>
        <w:t>（4）支持创建创意设计大师工作室</w:t>
      </w:r>
    </w:p>
    <w:p w14:paraId="74A66B47">
      <w:pPr>
        <w:spacing w:line="360" w:lineRule="auto"/>
        <w:ind w:firstLine="480" w:firstLineChars="200"/>
        <w:rPr>
          <w:rFonts w:eastAsiaTheme="minorEastAsia"/>
          <w:sz w:val="24"/>
        </w:rPr>
      </w:pPr>
      <w:r>
        <w:rPr>
          <w:rFonts w:hint="eastAsia" w:eastAsiaTheme="minorEastAsia"/>
          <w:sz w:val="24"/>
        </w:rPr>
        <w:t>支持职业院校、技工院校、石材企业设立技能大师工作室，传承和发展石材工艺和文化，对成功申办国家级、省级技能大师工作室，县政府财政给予建设经费资助。</w:t>
      </w:r>
      <w:r>
        <w:rPr>
          <w:rFonts w:eastAsiaTheme="minorEastAsia"/>
          <w:sz w:val="24"/>
        </w:rPr>
        <w:t xml:space="preserve"> </w:t>
      </w:r>
    </w:p>
    <w:p w14:paraId="04072870">
      <w:pPr>
        <w:spacing w:line="360" w:lineRule="auto"/>
        <w:ind w:firstLine="480" w:firstLineChars="200"/>
        <w:rPr>
          <w:rFonts w:eastAsiaTheme="minorEastAsia"/>
          <w:sz w:val="24"/>
        </w:rPr>
      </w:pPr>
      <w:r>
        <w:rPr>
          <w:rFonts w:hint="eastAsia" w:eastAsiaTheme="minorEastAsia"/>
          <w:sz w:val="24"/>
        </w:rPr>
        <w:t>（5）工程目标</w:t>
      </w:r>
    </w:p>
    <w:p w14:paraId="2CE1930F">
      <w:pPr>
        <w:spacing w:line="360" w:lineRule="auto"/>
        <w:ind w:firstLine="480" w:firstLineChars="200"/>
        <w:rPr>
          <w:rFonts w:eastAsiaTheme="minorEastAsia"/>
          <w:sz w:val="24"/>
        </w:rPr>
      </w:pPr>
      <w:r>
        <w:rPr>
          <w:rFonts w:hint="eastAsia" w:eastAsiaTheme="minorEastAsia"/>
          <w:sz w:val="24"/>
        </w:rPr>
        <w:t>到2025年，建立石材职业培训机构，取得培训资质，2030年前建成1个石材专业职业学校。</w:t>
      </w:r>
    </w:p>
    <w:p w14:paraId="77C8665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84" w:name="_Toc206494927"/>
      <w:r>
        <w:rPr>
          <w:rFonts w:hint="eastAsia" w:eastAsiaTheme="minorEastAsia"/>
          <w:b/>
          <w:bCs/>
          <w:sz w:val="30"/>
          <w:szCs w:val="28"/>
        </w:rPr>
        <w:t>规划协调性分析</w:t>
      </w:r>
      <w:bookmarkEnd w:id="84"/>
    </w:p>
    <w:p w14:paraId="02A43FC3">
      <w:pPr>
        <w:keepNext/>
        <w:keepLines/>
        <w:widowControl/>
        <w:numPr>
          <w:ilvl w:val="2"/>
          <w:numId w:val="1"/>
        </w:numPr>
        <w:spacing w:before="120" w:after="120" w:line="360" w:lineRule="auto"/>
        <w:jc w:val="left"/>
        <w:outlineLvl w:val="2"/>
        <w:rPr>
          <w:rFonts w:eastAsiaTheme="minorEastAsia"/>
          <w:b/>
          <w:bCs/>
          <w:sz w:val="24"/>
        </w:rPr>
      </w:pPr>
      <w:bookmarkStart w:id="85" w:name="_Toc206494928"/>
      <w:r>
        <w:rPr>
          <w:rFonts w:hint="eastAsia" w:eastAsiaTheme="minorEastAsia"/>
          <w:b/>
          <w:bCs/>
          <w:sz w:val="24"/>
        </w:rPr>
        <w:t>与上位规划的协调性</w:t>
      </w:r>
      <w:bookmarkEnd w:id="85"/>
    </w:p>
    <w:p w14:paraId="131AC8C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与《湖北省绿色建材高质量发展“十四五”规划》的协调性</w:t>
      </w:r>
    </w:p>
    <w:p w14:paraId="51EC6D1F">
      <w:pPr>
        <w:spacing w:line="360" w:lineRule="auto"/>
        <w:ind w:firstLine="480" w:firstLineChars="200"/>
        <w:rPr>
          <w:rFonts w:eastAsiaTheme="minorEastAsia"/>
          <w:sz w:val="24"/>
        </w:rPr>
      </w:pPr>
      <w:r>
        <w:rPr>
          <w:rFonts w:hint="eastAsia" w:eastAsiaTheme="minorEastAsia"/>
          <w:sz w:val="24"/>
        </w:rPr>
        <w:t>根据《湖北省绿色建材高质量发展“十四五”规划》，文件要求如下：</w:t>
      </w:r>
    </w:p>
    <w:p w14:paraId="19A7FA88">
      <w:pPr>
        <w:spacing w:line="360" w:lineRule="auto"/>
        <w:ind w:firstLine="480" w:firstLineChars="200"/>
        <w:rPr>
          <w:rFonts w:eastAsiaTheme="minorEastAsia"/>
          <w:sz w:val="24"/>
        </w:rPr>
      </w:pPr>
      <w:r>
        <w:rPr>
          <w:rFonts w:hint="eastAsia" w:eastAsiaTheme="minorEastAsia"/>
          <w:sz w:val="24"/>
        </w:rPr>
        <w:t>（一）推动绿色建材产业高质量发展</w:t>
      </w:r>
    </w:p>
    <w:p w14:paraId="730A2060">
      <w:pPr>
        <w:spacing w:line="360" w:lineRule="auto"/>
        <w:ind w:firstLine="480" w:firstLineChars="200"/>
        <w:rPr>
          <w:rFonts w:eastAsiaTheme="minorEastAsia"/>
          <w:sz w:val="24"/>
        </w:rPr>
      </w:pPr>
      <w:r>
        <w:rPr>
          <w:rFonts w:hint="eastAsia" w:eastAsiaTheme="minorEastAsia"/>
          <w:sz w:val="24"/>
        </w:rPr>
        <w:t>石材产业高质量发展路径：坚持“建园扩链，铸造品牌”。即通过重点建设“六大石材产业园区”，构建绿色石材产业链，创新石材产业发展模式，铸造“湖北石材”品牌。具体发展思路如下：</w:t>
      </w:r>
    </w:p>
    <w:p w14:paraId="4B7B0ADE">
      <w:pPr>
        <w:spacing w:line="360" w:lineRule="auto"/>
        <w:ind w:firstLine="480" w:firstLineChars="200"/>
        <w:rPr>
          <w:rFonts w:eastAsiaTheme="minorEastAsia"/>
          <w:sz w:val="24"/>
        </w:rPr>
      </w:pPr>
      <w:r>
        <w:rPr>
          <w:rFonts w:hint="eastAsia" w:eastAsiaTheme="minorEastAsia"/>
          <w:sz w:val="24"/>
        </w:rPr>
        <w:t>一是打造绿色石材产业链。充分发挥湖北石材资源和石材产业优势，平衡生产发展与环境保护的关系，积极推进石材矿权整合；鼓励相关市、州科学编制重点石材园区建设规划；依托各石材产业园和产品重点流通城市，打造包括绿色矿山建设、石材开采、物流、粗加工、深加工、尾矿及废料综合利用为一体的产业链。</w:t>
      </w:r>
    </w:p>
    <w:p w14:paraId="18BE8B18">
      <w:pPr>
        <w:spacing w:line="360" w:lineRule="auto"/>
        <w:ind w:firstLine="480" w:firstLineChars="200"/>
        <w:rPr>
          <w:rFonts w:eastAsiaTheme="minorEastAsia"/>
          <w:sz w:val="24"/>
        </w:rPr>
      </w:pPr>
      <w:r>
        <w:rPr>
          <w:rFonts w:hint="eastAsia" w:eastAsiaTheme="minorEastAsia"/>
          <w:sz w:val="24"/>
        </w:rPr>
        <w:t>二是优化石材产业结构。积极开发和引进新产品，大力发展高附加值细分产业，引导我省石材产业以石材原料产品为主向深加工延伸。依托现有石材产业基础和优势，全方位构建完整产业生态，将湖北省石材产业打造为资源高效利用、绿色化特色鲜明的重点产业；大力推动石材聚集区提科学化、规范化建设。</w:t>
      </w:r>
    </w:p>
    <w:p w14:paraId="759C2E7D">
      <w:pPr>
        <w:spacing w:line="360" w:lineRule="auto"/>
        <w:ind w:firstLine="480" w:firstLineChars="200"/>
        <w:rPr>
          <w:rFonts w:eastAsiaTheme="minorEastAsia"/>
          <w:sz w:val="24"/>
        </w:rPr>
      </w:pPr>
      <w:r>
        <w:rPr>
          <w:rFonts w:hint="eastAsia" w:eastAsiaTheme="minorEastAsia"/>
          <w:sz w:val="24"/>
        </w:rPr>
        <w:t>三是打造“湖北石材”金字招牌。科学合理利用省内外石材产业资源，打造“知名产品+知名企业+知名产区”三位一体的产业品牌体系，全面提升“湖北石材”在全国品牌知名度和影响力。</w:t>
      </w:r>
    </w:p>
    <w:p w14:paraId="61F52D31">
      <w:pPr>
        <w:spacing w:line="360" w:lineRule="auto"/>
        <w:ind w:firstLine="480" w:firstLineChars="200"/>
        <w:rPr>
          <w:rFonts w:eastAsiaTheme="minorEastAsia"/>
          <w:sz w:val="24"/>
        </w:rPr>
      </w:pPr>
      <w:r>
        <w:rPr>
          <w:rFonts w:hint="eastAsia" w:eastAsiaTheme="minorEastAsia"/>
          <w:sz w:val="24"/>
        </w:rPr>
        <w:t>（六）提升绿色建材产业集中度</w:t>
      </w:r>
    </w:p>
    <w:p w14:paraId="3E6A8116">
      <w:pPr>
        <w:spacing w:line="360" w:lineRule="auto"/>
        <w:ind w:firstLine="480" w:firstLineChars="200"/>
        <w:rPr>
          <w:rFonts w:eastAsiaTheme="minorEastAsia"/>
          <w:sz w:val="24"/>
        </w:rPr>
      </w:pPr>
      <w:r>
        <w:rPr>
          <w:rFonts w:hint="eastAsia" w:eastAsiaTheme="minorEastAsia"/>
          <w:sz w:val="24"/>
        </w:rPr>
        <w:t>①优化建材产业布局</w:t>
      </w:r>
    </w:p>
    <w:p w14:paraId="766951B1">
      <w:pPr>
        <w:spacing w:line="360" w:lineRule="auto"/>
        <w:ind w:firstLine="480" w:firstLineChars="200"/>
        <w:rPr>
          <w:rFonts w:eastAsiaTheme="minorEastAsia"/>
          <w:sz w:val="24"/>
        </w:rPr>
      </w:pPr>
      <w:r>
        <w:rPr>
          <w:rFonts w:hint="eastAsia" w:eastAsiaTheme="minorEastAsia"/>
          <w:sz w:val="24"/>
        </w:rPr>
        <w:t>结合现有产业基础，打造十大建材产业集群。一是强化黄石、黄冈、鄂州、武汉、襄阳、荆门、宜昌等市水泥熟料及水泥产业集群。二是强化武汉、荆州、宜昌、咸宁、荆门等市玻璃深加工（功能性玻璃）产业集群。三是将荆州、鄂州、汉川等市建成蒸压加气混凝土板、自承重节能保温墙体材料等新型墙体材料产业集群。四是将黄冈、襄阳等市建成纸面石膏板、保温装饰一体化材料、新型防水材料、高档门窗等新型装饰装修材料产业集群。五是将宜昌市当阳市、黄冈市浠水县建成高档陶瓷产业集群。六是将通山大理石、麻城市花岗石、</w:t>
      </w:r>
      <w:r>
        <w:rPr>
          <w:rFonts w:hint="eastAsia" w:eastAsiaTheme="minorEastAsia"/>
          <w:b/>
          <w:sz w:val="24"/>
        </w:rPr>
        <w:t>随州市花岗石等建成石材产业集群</w:t>
      </w:r>
      <w:r>
        <w:rPr>
          <w:rFonts w:hint="eastAsia" w:eastAsiaTheme="minorEastAsia"/>
          <w:sz w:val="24"/>
        </w:rPr>
        <w:t>。七是将武汉、宜昌、襄阳建成装配式建筑构件、城市管廊、高性能混凝土产业集群。八是将宜昌建成石墨及石墨烯产业集群。九是将荆州、襄阳、鄂州建成摩擦材料、玻璃纤制品、耐火材料产业集群。十是将黄石、宜昌、荆门、黄冈、咸宁等市建成机制砂石产业集群。</w:t>
      </w:r>
    </w:p>
    <w:p w14:paraId="491E1AE6">
      <w:pPr>
        <w:spacing w:line="360" w:lineRule="auto"/>
        <w:ind w:firstLine="480" w:firstLineChars="200"/>
        <w:rPr>
          <w:rFonts w:eastAsiaTheme="minorEastAsia"/>
          <w:sz w:val="24"/>
        </w:rPr>
      </w:pPr>
      <w:r>
        <w:rPr>
          <w:rFonts w:hint="eastAsia" w:eastAsiaTheme="minorEastAsia"/>
          <w:sz w:val="24"/>
        </w:rPr>
        <w:t>湖北省绿色建材发展十四五期间拟谋划实施15项重点项目，总投资约493亿元，其中包括</w:t>
      </w:r>
      <w:r>
        <w:rPr>
          <w:rFonts w:hint="eastAsia" w:eastAsiaTheme="minorEastAsia"/>
          <w:b/>
          <w:sz w:val="24"/>
        </w:rPr>
        <w:t>随州石材园区建设</w:t>
      </w:r>
      <w:r>
        <w:rPr>
          <w:rFonts w:hint="eastAsia" w:eastAsiaTheme="minorEastAsia"/>
          <w:sz w:val="24"/>
        </w:rPr>
        <w:t>，主要建设内容包括：①基础设施：随县铁路专用线建设项目、石材大道交通建设项目；②园区建设：吴山石材特色小镇建设项目、随县石材物流园项目、万和镇“两园一区”项目；③循环利用：吴山石材循环综合利用项目、万和镇闽昌矿业循环经济开发项目。</w:t>
      </w:r>
    </w:p>
    <w:p w14:paraId="26D5F846">
      <w:pPr>
        <w:spacing w:line="360" w:lineRule="auto"/>
        <w:ind w:firstLine="480" w:firstLineChars="200"/>
        <w:rPr>
          <w:rFonts w:eastAsiaTheme="minorEastAsia"/>
          <w:sz w:val="24"/>
        </w:rPr>
      </w:pPr>
      <w:r>
        <w:rPr>
          <w:rFonts w:hint="eastAsia" w:eastAsiaTheme="minorEastAsia"/>
          <w:sz w:val="24"/>
        </w:rPr>
        <w:t>《规划》提出产业定位为打造“华中顶尖、全国一流、世界知名”的石材产业综合集群以及全国绿色矿业发展示范区、石材行业矿产资源高效开发利用示范基地。产品定位：主要发展满足终端市场需求的系列化、标准化、定制化的精深加工产品及整体解决方案，并配套完善的应用服务。提出三大转型其一：实现资源开发利用由传统粗放式向生态化、集约化绿色矿山、绿色矿区转型。建设五大产业板块，包括荒料资源板块、精深加工板块、循环经济产业板块、商贸及生产性服务业板块、石材金融板块。规划了“一园一铁一通道”的交通物流运输布局。符合文件中“构建绿色石材产业链，创新石材产业发展模式”、“大力推动石材聚集区提科学化、规范化建设”、“随州市花岗石等建成石材产业集群”等要求。因此，规划建设符合《湖北省绿色建材高质量发展“十四五”规划》的要求。</w:t>
      </w:r>
    </w:p>
    <w:p w14:paraId="1535FA6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与《随州市城乡总体规划(2016-2030)年》的协调性分析</w:t>
      </w:r>
    </w:p>
    <w:p w14:paraId="08521C2A">
      <w:pPr>
        <w:spacing w:line="360" w:lineRule="auto"/>
        <w:ind w:firstLine="480" w:firstLineChars="200"/>
        <w:rPr>
          <w:rFonts w:eastAsiaTheme="minorEastAsia"/>
          <w:sz w:val="24"/>
        </w:rPr>
      </w:pPr>
      <w:r>
        <w:rPr>
          <w:rFonts w:hint="eastAsia" w:eastAsiaTheme="minorEastAsia"/>
          <w:sz w:val="24"/>
        </w:rPr>
        <w:t>根据《随州市城乡总体规划(2016-2030)年》，文件中主要规划要求如下：</w:t>
      </w:r>
    </w:p>
    <w:p w14:paraId="1FCD3AE0">
      <w:pPr>
        <w:spacing w:line="360" w:lineRule="auto"/>
        <w:ind w:firstLine="480" w:firstLineChars="200"/>
        <w:rPr>
          <w:rFonts w:eastAsiaTheme="minorEastAsia"/>
          <w:sz w:val="24"/>
        </w:rPr>
      </w:pPr>
      <w:r>
        <w:rPr>
          <w:rFonts w:hint="eastAsia" w:eastAsiaTheme="minorEastAsia"/>
          <w:sz w:val="24"/>
        </w:rPr>
        <w:t>城乡空间结构规划：规划构筑“一主两翼，三轴多点”的市域城镇体系空间结构。一主是指随州市区，是带动全市发展的核心地区和全市工业化、城镇化、区域性中心城市建设的主要载体。两翼是指广水市区和随县县城（厉山镇）。三轴是指实现市域外联内聚的三条功能轴，包括武西发展轴、随州市区——广水发展轴、殷店——随州市区——洪山发展轴。多点是指支撑市域均衡发展的城镇节点，包括殷店镇、洪山镇两个市域次中心培育城镇和杨寨镇、小林镇、唐县镇、万和镇、郝店镇、长岭镇、府河镇、长岗镇、陈巷镇、武胜关镇、均川镇、安居镇、洛阳镇13个重点镇。</w:t>
      </w:r>
    </w:p>
    <w:p w14:paraId="2E7FCD87">
      <w:pPr>
        <w:spacing w:line="360" w:lineRule="auto"/>
        <w:ind w:firstLine="480" w:firstLineChars="200"/>
        <w:rPr>
          <w:rFonts w:eastAsiaTheme="minorEastAsia"/>
          <w:sz w:val="24"/>
        </w:rPr>
      </w:pPr>
      <w:r>
        <w:rPr>
          <w:rFonts w:hint="eastAsia" w:eastAsiaTheme="minorEastAsia"/>
          <w:sz w:val="24"/>
        </w:rPr>
        <w:t>集中建设区空间结构：规划形成“一主一副、双轴多组团”的多中心组团式结构。 “一主”是指依托现状随州高新区与老城区核心形成的综合型城市主中心。“一副”是指依托随州南站形成的综合型城市副中心。“双轴”是指沿交通大道、炎帝大道形成的南北向城市拓展主轴，以及沿随州站、随州南站间形成的东西向城市拓展主轴。“多组团”是指布局相对紧凑、功能相对独立的城市组团，包括老城组团、城东组团、擂鼓墩组团、城南组团、北部组团、淅河组团。此外，预留潜力空间与战略储备空间，应对远景弹性发展需求。</w:t>
      </w:r>
    </w:p>
    <w:p w14:paraId="34C3E3D0">
      <w:pPr>
        <w:spacing w:line="360" w:lineRule="auto"/>
        <w:ind w:firstLine="480" w:firstLineChars="200"/>
        <w:rPr>
          <w:rFonts w:eastAsiaTheme="minorEastAsia"/>
          <w:sz w:val="24"/>
        </w:rPr>
      </w:pPr>
      <w:r>
        <w:rPr>
          <w:rFonts w:hint="eastAsia" w:eastAsiaTheme="minorEastAsia"/>
          <w:sz w:val="24"/>
        </w:rPr>
        <w:t>分区指引：</w:t>
      </w:r>
    </w:p>
    <w:p w14:paraId="0582027B">
      <w:pPr>
        <w:spacing w:line="360" w:lineRule="auto"/>
        <w:ind w:firstLine="480" w:firstLineChars="200"/>
        <w:rPr>
          <w:rFonts w:eastAsiaTheme="minorEastAsia"/>
          <w:sz w:val="24"/>
        </w:rPr>
      </w:pPr>
      <w:r>
        <w:rPr>
          <w:rFonts w:hint="eastAsia" w:eastAsiaTheme="minorEastAsia"/>
          <w:sz w:val="24"/>
        </w:rPr>
        <w:t>（1）老城组团：规划人口10.5万人。功能定位为随州历史文化与城市格局传承保护区、全市传统商业中心、城市重要的公共活动区域和休闲旅游目的地。</w:t>
      </w:r>
    </w:p>
    <w:p w14:paraId="39E2ED14">
      <w:pPr>
        <w:spacing w:line="360" w:lineRule="auto"/>
        <w:ind w:firstLine="480" w:firstLineChars="200"/>
        <w:rPr>
          <w:rFonts w:eastAsiaTheme="minorEastAsia"/>
          <w:sz w:val="24"/>
        </w:rPr>
      </w:pPr>
      <w:r>
        <w:rPr>
          <w:rFonts w:hint="eastAsia" w:eastAsiaTheme="minorEastAsia"/>
          <w:sz w:val="24"/>
        </w:rPr>
        <w:t>（2）城东组团：规划人口50万人。功能定位为区域中心城市职能核心承载区、市级综合生活服务中心、新型现代生产服务中心。</w:t>
      </w:r>
    </w:p>
    <w:p w14:paraId="4D053A85">
      <w:pPr>
        <w:spacing w:line="360" w:lineRule="auto"/>
        <w:ind w:firstLine="480" w:firstLineChars="200"/>
        <w:rPr>
          <w:rFonts w:eastAsiaTheme="minorEastAsia"/>
          <w:sz w:val="24"/>
        </w:rPr>
      </w:pPr>
      <w:r>
        <w:rPr>
          <w:rFonts w:hint="eastAsia" w:eastAsiaTheme="minorEastAsia"/>
          <w:sz w:val="24"/>
        </w:rPr>
        <w:t>（3）擂鼓墩组团：规划人口11万人。功能定位为国家历史文化名城历史文化博览区、市域旅游服务核心区与接待中心、文化旅游产业集聚区。</w:t>
      </w:r>
    </w:p>
    <w:p w14:paraId="634A612C">
      <w:pPr>
        <w:spacing w:line="360" w:lineRule="auto"/>
        <w:ind w:firstLine="480" w:firstLineChars="200"/>
        <w:rPr>
          <w:rFonts w:eastAsiaTheme="minorEastAsia"/>
          <w:sz w:val="24"/>
        </w:rPr>
      </w:pPr>
      <w:r>
        <w:rPr>
          <w:rFonts w:hint="eastAsia" w:eastAsiaTheme="minorEastAsia"/>
          <w:sz w:val="24"/>
        </w:rPr>
        <w:t>（4）城南组团：规划人口17万人。功能定位为对接武汉合作窗口、区域交通枢纽、全市政治、商贸、文教中心，绿色生态新区。</w:t>
      </w:r>
    </w:p>
    <w:p w14:paraId="41871635">
      <w:pPr>
        <w:spacing w:line="360" w:lineRule="auto"/>
        <w:ind w:firstLine="480" w:firstLineChars="200"/>
        <w:rPr>
          <w:rFonts w:eastAsiaTheme="minorEastAsia"/>
          <w:sz w:val="24"/>
        </w:rPr>
      </w:pPr>
      <w:r>
        <w:rPr>
          <w:rFonts w:hint="eastAsia" w:eastAsiaTheme="minorEastAsia"/>
          <w:sz w:val="24"/>
        </w:rPr>
        <w:t>（5）北部组团：规划人口8万人。功能定位为集中建设区-厉山一体化发展示范区、市域现代制造业基地、绿色农产品加工基地。</w:t>
      </w:r>
    </w:p>
    <w:p w14:paraId="623134E8">
      <w:pPr>
        <w:spacing w:line="360" w:lineRule="auto"/>
        <w:ind w:firstLine="480" w:firstLineChars="200"/>
        <w:rPr>
          <w:rFonts w:eastAsiaTheme="minorEastAsia"/>
          <w:sz w:val="24"/>
        </w:rPr>
      </w:pPr>
      <w:r>
        <w:rPr>
          <w:rFonts w:hint="eastAsia" w:eastAsiaTheme="minorEastAsia"/>
          <w:sz w:val="24"/>
        </w:rPr>
        <w:t>（6）淅河组团：规划人口11.5万人。功能定位为市域战略性新兴产业基地、产城融合示范区和城乡统筹示范区。</w:t>
      </w:r>
    </w:p>
    <w:p w14:paraId="38718886">
      <w:pPr>
        <w:spacing w:line="360" w:lineRule="auto"/>
        <w:ind w:firstLine="480" w:firstLineChars="200"/>
        <w:rPr>
          <w:rFonts w:eastAsiaTheme="minorEastAsia"/>
          <w:sz w:val="24"/>
        </w:rPr>
      </w:pPr>
      <w:r>
        <w:rPr>
          <w:rFonts w:hint="eastAsia" w:eastAsiaTheme="minorEastAsia"/>
          <w:sz w:val="24"/>
        </w:rPr>
        <w:t>本次规范范围位于北部组团，规划产业定位为打造“华中顶尖、全国一流、世界知名”的石材产业综合集群以及全国绿色矿业发展示范区、石材行业矿产资源高效开发利用示范基地，符合北部组团中“市域现代制造业基地”的要求。因此，规划与《随州市城乡总体规划(2016-2030)年》的要求相符。</w:t>
      </w:r>
    </w:p>
    <w:p w14:paraId="14023393">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与《随州市国民经济和社会发展第十四个五年规划和2035年远景目标纲要》的协调性</w:t>
      </w:r>
    </w:p>
    <w:p w14:paraId="445840BF">
      <w:pPr>
        <w:spacing w:line="360" w:lineRule="auto"/>
        <w:ind w:firstLine="480" w:firstLineChars="200"/>
        <w:rPr>
          <w:rFonts w:eastAsiaTheme="minorEastAsia"/>
          <w:sz w:val="24"/>
        </w:rPr>
      </w:pPr>
      <w:r>
        <w:rPr>
          <w:rFonts w:hint="eastAsia" w:eastAsiaTheme="minorEastAsia"/>
          <w:sz w:val="24"/>
        </w:rPr>
        <w:t>根据2021年7月发布的《随州市国民经济和社会发展第十四个五年规划和2035年远景目标纲要》，文件要求如下：</w:t>
      </w:r>
    </w:p>
    <w:p w14:paraId="2ECA0AF9">
      <w:pPr>
        <w:spacing w:line="360" w:lineRule="auto"/>
        <w:ind w:firstLine="480" w:firstLineChars="200"/>
        <w:rPr>
          <w:rFonts w:eastAsiaTheme="minorEastAsia"/>
          <w:sz w:val="24"/>
        </w:rPr>
      </w:pPr>
      <w:r>
        <w:rPr>
          <w:rFonts w:hint="eastAsia" w:eastAsiaTheme="minorEastAsia"/>
          <w:sz w:val="24"/>
        </w:rPr>
        <w:t>四、转型发展传统产业：立足区域资源禀赋和产业比较优势，坚持有所为、有所不为，按照“进退并转、分类指导”的路子，推动传统产业转型升级，打造纺织服装、新型建材、冶金铸造三个百亿级产业集群。</w:t>
      </w:r>
    </w:p>
    <w:p w14:paraId="378F9D1E">
      <w:pPr>
        <w:spacing w:line="360" w:lineRule="auto"/>
        <w:ind w:firstLine="480" w:firstLineChars="200"/>
        <w:rPr>
          <w:rFonts w:eastAsiaTheme="minorEastAsia"/>
          <w:sz w:val="24"/>
        </w:rPr>
      </w:pPr>
      <w:r>
        <w:rPr>
          <w:rFonts w:hint="eastAsia" w:eastAsiaTheme="minorEastAsia"/>
          <w:sz w:val="24"/>
        </w:rPr>
        <w:t>新型建材。</w:t>
      </w:r>
      <w:r>
        <w:rPr>
          <w:rFonts w:hint="eastAsia" w:eastAsiaTheme="minorEastAsia"/>
          <w:b/>
          <w:sz w:val="24"/>
        </w:rPr>
        <w:t>规范发展石材产业</w:t>
      </w:r>
      <w:r>
        <w:rPr>
          <w:rFonts w:hint="eastAsia" w:eastAsiaTheme="minorEastAsia"/>
          <w:sz w:val="24"/>
        </w:rPr>
        <w:t>，引导随县石材资源向技术装备先进、资源利用率高、环境保护和安全生产达标的大型优势企业集聚，</w:t>
      </w:r>
      <w:r>
        <w:rPr>
          <w:rFonts w:hint="eastAsia" w:eastAsiaTheme="minorEastAsia"/>
          <w:b/>
          <w:sz w:val="24"/>
        </w:rPr>
        <w:t>推动石材企业由粗放经营型向精深加工型转变</w:t>
      </w:r>
      <w:r>
        <w:rPr>
          <w:rFonts w:hint="eastAsia" w:eastAsiaTheme="minorEastAsia"/>
          <w:sz w:val="24"/>
        </w:rPr>
        <w:t>，加快开发墙材新产品、新技术，扩大新型墙材生产规模，形成优势产业集群，</w:t>
      </w:r>
      <w:r>
        <w:rPr>
          <w:rFonts w:hint="eastAsia" w:eastAsiaTheme="minorEastAsia"/>
          <w:b/>
          <w:sz w:val="24"/>
        </w:rPr>
        <w:t>支持随县建设石材绿色循环产业园</w:t>
      </w:r>
      <w:r>
        <w:rPr>
          <w:rFonts w:hint="eastAsia" w:eastAsiaTheme="minorEastAsia"/>
          <w:sz w:val="24"/>
        </w:rPr>
        <w:t>。鼓励随州金环水泥转型升级，提高水泥自给率和产品竞争力，推广应用干混砂浆和特种保温砂浆。发展壮大涂布新材料、新型建筑防水材料，扶持培育新型建筑装饰装修材料，支持以金龙新材料、永阳材料、广净环保、大洋塑胶等企业为依托建设华中地区重要的环保材料研发生产基地、防水卷材基地、新型建材制造基地。</w:t>
      </w:r>
    </w:p>
    <w:p w14:paraId="05B2327C">
      <w:pPr>
        <w:spacing w:line="360" w:lineRule="auto"/>
        <w:ind w:firstLine="480" w:firstLineChars="200"/>
        <w:rPr>
          <w:rFonts w:eastAsiaTheme="minorEastAsia"/>
          <w:sz w:val="24"/>
        </w:rPr>
      </w:pPr>
      <w:r>
        <w:rPr>
          <w:rFonts w:hint="eastAsia" w:eastAsiaTheme="minorEastAsia"/>
          <w:sz w:val="24"/>
        </w:rPr>
        <w:t>《规划》提出产业定位为打造“华中顶尖、全国一流、世界知名”的石材产业综合集群以及全国绿色矿业发展示范区、石材行业矿产资源高效开发利用示范基地。提出三大转型其一：实现资源开发利用由传统粗放式向生态化、集约化绿色矿山、绿色矿区转型。建设五大产业板块，包括荒料资源板块、精深加工板块、循环经济产业板块、商贸及生产性服务业板块、石材金融板块。符合</w:t>
      </w:r>
      <w:r>
        <w:rPr>
          <w:rFonts w:eastAsiaTheme="minorEastAsia"/>
          <w:sz w:val="24"/>
        </w:rPr>
        <w:t>文件中的</w:t>
      </w:r>
      <w:r>
        <w:rPr>
          <w:rFonts w:hint="eastAsia" w:eastAsiaTheme="minorEastAsia"/>
          <w:sz w:val="24"/>
        </w:rPr>
        <w:t>“推动石材企业由粗放经营型向精深加工型转变”、“支持随县建设石材绿色循环产业园”的要求。因此，规划与《随州市国民经济和社会发展第十四个五年规划和2035年远景目标纲要》的要求相符。</w:t>
      </w:r>
    </w:p>
    <w:p w14:paraId="58563CB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与《随州市国土空间总体规划（2021-2035年）》的协调性</w:t>
      </w:r>
    </w:p>
    <w:p w14:paraId="123DF764">
      <w:pPr>
        <w:spacing w:line="360" w:lineRule="auto"/>
        <w:ind w:firstLine="480" w:firstLineChars="200"/>
        <w:rPr>
          <w:rFonts w:eastAsiaTheme="minorEastAsia"/>
          <w:sz w:val="24"/>
        </w:rPr>
      </w:pPr>
      <w:r>
        <w:rPr>
          <w:rFonts w:hint="eastAsia" w:eastAsiaTheme="minorEastAsia"/>
          <w:sz w:val="24"/>
        </w:rPr>
        <w:t>根据《随州市国土空间总体规划（2021-2035年）》：近期目标年为2025年，远期目标年为2035年，远景展望至2050年。包括曾都区、随县、广水市，总面积9613.92平方公里。</w:t>
      </w:r>
    </w:p>
    <w:p w14:paraId="362D0EF4">
      <w:pPr>
        <w:spacing w:line="360" w:lineRule="auto"/>
        <w:ind w:firstLine="480" w:firstLineChars="200"/>
        <w:rPr>
          <w:rFonts w:eastAsiaTheme="minorEastAsia"/>
          <w:sz w:val="24"/>
        </w:rPr>
      </w:pPr>
      <w:r>
        <w:rPr>
          <w:rFonts w:hint="eastAsia" w:eastAsiaTheme="minorEastAsia"/>
          <w:sz w:val="24"/>
        </w:rPr>
        <w:t>保障产业发展空间：完善制造业、现代服务业、文化旅游业等重点产业的空间布局。引导制造业、服务业集聚发展，提高产业能级和土地绩效；引导形成文旅融合的全域旅游格局。</w:t>
      </w:r>
    </w:p>
    <w:p w14:paraId="32D5F742">
      <w:pPr>
        <w:spacing w:line="360" w:lineRule="auto"/>
        <w:ind w:firstLine="480" w:firstLineChars="200"/>
        <w:rPr>
          <w:rFonts w:eastAsiaTheme="minorEastAsia"/>
          <w:sz w:val="24"/>
        </w:rPr>
      </w:pPr>
      <w:r>
        <w:rPr>
          <w:rFonts w:hint="eastAsia" w:eastAsiaTheme="minorEastAsia"/>
          <w:sz w:val="24"/>
        </w:rPr>
        <w:t>构筑制造业高质量发展格局：以随州高新区为引领，建设全市创新驱动发展示范区和高质量发展先行区；以曾都、</w:t>
      </w:r>
      <w:r>
        <w:rPr>
          <w:rFonts w:hint="eastAsia" w:eastAsiaTheme="minorEastAsia"/>
          <w:b/>
          <w:sz w:val="24"/>
        </w:rPr>
        <w:t>随县、</w:t>
      </w:r>
      <w:r>
        <w:rPr>
          <w:rFonts w:hint="eastAsia" w:eastAsiaTheme="minorEastAsia"/>
          <w:sz w:val="24"/>
        </w:rPr>
        <w:t>广水三个经济开发区为辅，</w:t>
      </w:r>
      <w:r>
        <w:rPr>
          <w:rFonts w:hint="eastAsia" w:eastAsiaTheme="minorEastAsia"/>
          <w:b/>
          <w:sz w:val="24"/>
        </w:rPr>
        <w:t>建设专业化示范园区</w:t>
      </w:r>
      <w:r>
        <w:rPr>
          <w:rFonts w:hint="eastAsia" w:eastAsiaTheme="minorEastAsia"/>
          <w:sz w:val="24"/>
        </w:rPr>
        <w:t>；</w:t>
      </w:r>
      <w:r>
        <w:rPr>
          <w:rFonts w:hint="eastAsia" w:eastAsiaTheme="minorEastAsia"/>
          <w:b/>
          <w:sz w:val="24"/>
        </w:rPr>
        <w:t>鼓励有条件的乡镇适度发展工业，形成多个特色产业集群</w:t>
      </w:r>
      <w:r>
        <w:rPr>
          <w:rFonts w:hint="eastAsia" w:eastAsiaTheme="minorEastAsia"/>
          <w:sz w:val="24"/>
        </w:rPr>
        <w:t>。加强工业用地管控，提高工业用地的集约节约水平。</w:t>
      </w:r>
    </w:p>
    <w:p w14:paraId="4F9C2DC6">
      <w:pPr>
        <w:spacing w:line="360" w:lineRule="auto"/>
        <w:ind w:firstLine="480" w:firstLineChars="200"/>
        <w:rPr>
          <w:rFonts w:eastAsiaTheme="minorEastAsia"/>
          <w:sz w:val="24"/>
        </w:rPr>
      </w:pPr>
      <w:r>
        <w:rPr>
          <w:rFonts w:hint="eastAsia" w:eastAsiaTheme="minorEastAsia"/>
          <w:sz w:val="24"/>
        </w:rPr>
        <w:t>《规划》提出产业定位为打造“华中顶尖、全国一流、世界知名”的石材产业综合集群以及全国绿色矿业发展示范区、石材行业矿产资源高效开发利用示范基地。随县产业聚集区总体布局：规划“四轮驱动”的产业总体布局，其中，“四轮”是指吴山石材产业园、万和石材产业园、草店石材产业园和太白顶石材产业园四个加工组团。提出三大转型其一：实现资源开发利用由传统粗放式向生态化、集约化绿色矿山、绿色矿区转型。建设五大产业板块，包括荒料资源板块、精深加工板块、循环经济产业板块、商贸及生产性服务业板块、石材金融板块。符合</w:t>
      </w:r>
      <w:r>
        <w:rPr>
          <w:rFonts w:eastAsiaTheme="minorEastAsia"/>
          <w:sz w:val="24"/>
        </w:rPr>
        <w:t>文件中的</w:t>
      </w:r>
      <w:r>
        <w:rPr>
          <w:rFonts w:hint="eastAsia" w:eastAsiaTheme="minorEastAsia"/>
          <w:sz w:val="24"/>
        </w:rPr>
        <w:t>“以曾都、随县、广水三个经济开发区为辅，建设专业化示范园区；鼓励有条件的乡镇适度发展工业，形成多个特色产业集群”的要求。因此，规划与《随州市国土空间总体规划（2021-2035年）》的要求相符。</w:t>
      </w:r>
    </w:p>
    <w:p w14:paraId="65BC90D7">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与《随县国民经济和社会发展第十四个五年规划和二〇三五年远景目标纲要》的协调性</w:t>
      </w:r>
    </w:p>
    <w:p w14:paraId="1F4BE6A7">
      <w:pPr>
        <w:spacing w:line="360" w:lineRule="auto"/>
        <w:ind w:firstLine="480" w:firstLineChars="200"/>
        <w:rPr>
          <w:rFonts w:eastAsiaTheme="minorEastAsia"/>
          <w:sz w:val="24"/>
        </w:rPr>
      </w:pPr>
      <w:r>
        <w:rPr>
          <w:rFonts w:hint="eastAsia" w:eastAsiaTheme="minorEastAsia"/>
          <w:sz w:val="24"/>
        </w:rPr>
        <w:t>根据《随县国民经济和社会发展第十四个五年规划和二〇三五年远景目标纲要》，文件要求如下：</w:t>
      </w:r>
    </w:p>
    <w:p w14:paraId="1AD1F6DE">
      <w:pPr>
        <w:spacing w:line="360" w:lineRule="auto"/>
        <w:ind w:firstLine="480" w:firstLineChars="200"/>
        <w:rPr>
          <w:rFonts w:eastAsiaTheme="minorEastAsia"/>
          <w:sz w:val="24"/>
        </w:rPr>
      </w:pPr>
      <w:r>
        <w:rPr>
          <w:rFonts w:hint="eastAsia" w:eastAsiaTheme="minorEastAsia"/>
          <w:sz w:val="24"/>
        </w:rPr>
        <w:t>第三章加快产业转型升级，构建支撑高质量发展的现代产业体系。充分分发挥企业主体作用，紧紧围绕现代农业、食品加工、汽车零部件制造、新能源、电子信息、生物医药、文化旅游、商贸物流、健康养生、</w:t>
      </w:r>
      <w:r>
        <w:rPr>
          <w:rFonts w:hint="eastAsia" w:eastAsiaTheme="minorEastAsia"/>
          <w:b/>
          <w:sz w:val="24"/>
        </w:rPr>
        <w:t>石材建材精深加工</w:t>
      </w:r>
      <w:r>
        <w:rPr>
          <w:rFonts w:hint="eastAsia" w:eastAsiaTheme="minorEastAsia"/>
          <w:sz w:val="24"/>
        </w:rPr>
        <w:t>等重点产业，完善产业链和供应链，加快构建符合随县发展实际的新型产业体系。</w:t>
      </w:r>
    </w:p>
    <w:p w14:paraId="5C88367D">
      <w:pPr>
        <w:spacing w:line="360" w:lineRule="auto"/>
        <w:ind w:firstLine="480" w:firstLineChars="200"/>
        <w:rPr>
          <w:rFonts w:eastAsiaTheme="minorEastAsia"/>
          <w:sz w:val="24"/>
        </w:rPr>
      </w:pPr>
      <w:r>
        <w:rPr>
          <w:rFonts w:hint="eastAsia" w:eastAsiaTheme="minorEastAsia"/>
          <w:sz w:val="24"/>
        </w:rPr>
        <w:t>一、提质发展现代制造业</w:t>
      </w:r>
    </w:p>
    <w:p w14:paraId="6C86546E">
      <w:pPr>
        <w:spacing w:line="360" w:lineRule="auto"/>
        <w:ind w:firstLine="480" w:firstLineChars="200"/>
        <w:rPr>
          <w:rFonts w:eastAsiaTheme="minorEastAsia"/>
          <w:sz w:val="24"/>
        </w:rPr>
      </w:pPr>
      <w:r>
        <w:rPr>
          <w:rFonts w:hint="eastAsia" w:eastAsiaTheme="minorEastAsia"/>
          <w:sz w:val="24"/>
        </w:rPr>
        <w:t>依据随县产业优势和资源禀赋，对接随州市打造“专汽之都、现代农港、谒祖圣地、风机名城”的发展规划，促进随县已形成的农产品加工产业、</w:t>
      </w:r>
      <w:r>
        <w:rPr>
          <w:rFonts w:hint="eastAsia" w:eastAsiaTheme="minorEastAsia"/>
          <w:b/>
          <w:sz w:val="24"/>
        </w:rPr>
        <w:t>矿产石材及建材产业</w:t>
      </w:r>
      <w:r>
        <w:rPr>
          <w:rFonts w:hint="eastAsia" w:eastAsiaTheme="minorEastAsia"/>
          <w:sz w:val="24"/>
        </w:rPr>
        <w:t>、汽车及零配件产业、纺织服装产业、医药化工产业、数字经济产业、新能源产业等支柱产业板块提质发展。力争到2025年，全县规模企业达到350家，规企产值争取突破800亿元，形成工业布局合理、产业门类齐全、新兴产业占比高、经济效益贡献强、绿色可持续发展高品质的工业体系。</w:t>
      </w:r>
    </w:p>
    <w:p w14:paraId="5FDEB0BC">
      <w:pPr>
        <w:spacing w:line="360" w:lineRule="auto"/>
        <w:ind w:firstLine="482" w:firstLineChars="200"/>
        <w:rPr>
          <w:rFonts w:eastAsiaTheme="minorEastAsia"/>
          <w:sz w:val="24"/>
        </w:rPr>
      </w:pPr>
      <w:r>
        <w:rPr>
          <w:rFonts w:hint="eastAsia" w:eastAsiaTheme="minorEastAsia"/>
          <w:b/>
          <w:sz w:val="24"/>
        </w:rPr>
        <w:t>石材产业。</w:t>
      </w:r>
      <w:r>
        <w:rPr>
          <w:rFonts w:hint="eastAsia" w:eastAsiaTheme="minorEastAsia"/>
          <w:sz w:val="24"/>
        </w:rPr>
        <w:t>坚持“生态优先绿色发展”的导向，推动石材产业高质量发展。在加强生态环境保护建设定力前提下，积极探索切合随县实际的开采模式，整合优质企业，集聚优质资源，实现集约化开采和加工，</w:t>
      </w:r>
      <w:r>
        <w:rPr>
          <w:rFonts w:hint="eastAsia" w:eastAsiaTheme="minorEastAsia"/>
          <w:b/>
          <w:sz w:val="24"/>
        </w:rPr>
        <w:t>推进石材企业由粗放经营型向精深加工型转变</w:t>
      </w:r>
      <w:r>
        <w:rPr>
          <w:rFonts w:hint="eastAsia" w:eastAsiaTheme="minorEastAsia"/>
          <w:sz w:val="24"/>
        </w:rPr>
        <w:t>。积极探索做好新一轮矿权整合，引导企业向技术装备先进、资源利用率高、环境保护和安全生产达标的大型优势企业集聚。</w:t>
      </w:r>
      <w:r>
        <w:rPr>
          <w:rFonts w:hint="eastAsia" w:eastAsiaTheme="minorEastAsia"/>
          <w:b/>
          <w:sz w:val="24"/>
        </w:rPr>
        <w:t>加快石材循环经济产业园、石材铁路专用线和石材物流园等基础设施建设</w:t>
      </w:r>
      <w:r>
        <w:rPr>
          <w:rFonts w:hint="eastAsia" w:eastAsiaTheme="minorEastAsia"/>
          <w:sz w:val="24"/>
        </w:rPr>
        <w:t>，推动石材尾料、锯泥锯粉等资源利用，延伸石材产业链条，提高产品附加值，建成高质量、高效益、低能耗、零污染的精深循环加工产业链</w:t>
      </w:r>
      <w:r>
        <w:rPr>
          <w:rFonts w:hint="eastAsia" w:eastAsiaTheme="minorEastAsia"/>
          <w:b/>
          <w:sz w:val="24"/>
        </w:rPr>
        <w:t>。加快石材产业技术、资金和人才等要素聚集，推动产业转型升级，全力构建现代绿色化石材产业集群。</w:t>
      </w:r>
    </w:p>
    <w:p w14:paraId="2978A659">
      <w:pPr>
        <w:spacing w:line="360" w:lineRule="auto"/>
        <w:ind w:firstLine="480" w:firstLineChars="200"/>
        <w:rPr>
          <w:rFonts w:eastAsiaTheme="minorEastAsia"/>
          <w:sz w:val="24"/>
        </w:rPr>
      </w:pPr>
      <w:r>
        <w:rPr>
          <w:rFonts w:hint="eastAsia" w:eastAsiaTheme="minorEastAsia"/>
          <w:sz w:val="24"/>
        </w:rPr>
        <w:t>《规划》提出产业定位为打造“华中顶尖、全国一流、世界知名”的石材产业综合集群以及全国绿色矿业发展示范区、石材行业矿产资源高效开发利用示范基地。产品定位：主要发展满足终端市场需求的系列化、标准化、定制化的精深加工产品及整体解决方案，并配套完善的应用服务。提出三大转型其一：实现资源开发利用由传统粗放式向生态化、集约化绿色矿山、绿色矿区转型。建设五大产业板块，包括荒料资源板块、精深加工板块、循环经济产业板块、商贸及生产性服务业板块、石材金融板块。规划了“一园一铁一通道”的交通物流运输布局。符合</w:t>
      </w:r>
      <w:r>
        <w:rPr>
          <w:rFonts w:eastAsiaTheme="minorEastAsia"/>
          <w:sz w:val="24"/>
        </w:rPr>
        <w:t>文件中的</w:t>
      </w:r>
      <w:r>
        <w:rPr>
          <w:rFonts w:hint="eastAsia" w:eastAsiaTheme="minorEastAsia"/>
          <w:sz w:val="24"/>
        </w:rPr>
        <w:t>“推进石材企业由粗放经营型向精深加工型转变”、“加快石材循环经济产业园、石材铁路专用线和石材物流园等基础设施建设”</w:t>
      </w:r>
      <w:r>
        <w:rPr>
          <w:rFonts w:eastAsiaTheme="minorEastAsia"/>
          <w:sz w:val="24"/>
        </w:rPr>
        <w:t>、</w:t>
      </w:r>
      <w:r>
        <w:rPr>
          <w:rFonts w:hint="eastAsia" w:eastAsiaTheme="minorEastAsia"/>
          <w:sz w:val="24"/>
        </w:rPr>
        <w:t>“加快石材产业技术、资金和人才等要素聚集，推动产业转型升级，全力构建现代绿色化石材产业集群”的要求。因此，规划与《随县国民经济和社会发展第十四个五年规划和二〇三五年远景目标纲要》的要求相符。</w:t>
      </w:r>
    </w:p>
    <w:p w14:paraId="6D9DA3C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与《随县城乡总体规划（2010—2030）》的协调性</w:t>
      </w:r>
    </w:p>
    <w:p w14:paraId="2B4551DF">
      <w:pPr>
        <w:spacing w:line="360" w:lineRule="auto"/>
        <w:ind w:firstLine="480" w:firstLineChars="200"/>
        <w:rPr>
          <w:rFonts w:eastAsiaTheme="minorEastAsia"/>
          <w:sz w:val="24"/>
        </w:rPr>
      </w:pPr>
      <w:r>
        <w:rPr>
          <w:rFonts w:hint="eastAsia" w:eastAsiaTheme="minorEastAsia"/>
          <w:sz w:val="24"/>
        </w:rPr>
        <w:t>根据《随县城乡总体规划（2010—2030）》：优化区域空间布局，构筑三大产业经济区：核心经济区（中部经济区）、北部经济区、南部经济区。</w:t>
      </w:r>
    </w:p>
    <w:p w14:paraId="7A026447">
      <w:pPr>
        <w:spacing w:line="360" w:lineRule="auto"/>
        <w:ind w:firstLine="480" w:firstLineChars="200"/>
        <w:rPr>
          <w:rFonts w:eastAsiaTheme="minorEastAsia"/>
          <w:sz w:val="24"/>
        </w:rPr>
      </w:pPr>
      <w:r>
        <w:rPr>
          <w:rFonts w:hint="eastAsia" w:eastAsiaTheme="minorEastAsia"/>
          <w:sz w:val="24"/>
        </w:rPr>
        <w:t>①核心经济区（中部经济区）</w:t>
      </w:r>
    </w:p>
    <w:p w14:paraId="63782DE1">
      <w:pPr>
        <w:spacing w:line="360" w:lineRule="auto"/>
        <w:ind w:firstLine="480" w:firstLineChars="200"/>
        <w:rPr>
          <w:rFonts w:eastAsiaTheme="minorEastAsia"/>
          <w:sz w:val="24"/>
        </w:rPr>
      </w:pPr>
      <w:r>
        <w:rPr>
          <w:rFonts w:hint="eastAsia" w:eastAsiaTheme="minorEastAsia"/>
          <w:sz w:val="24"/>
        </w:rPr>
        <w:t>区域范围：厉山、高城、新街、尚市、唐镇、万福、安居</w:t>
      </w:r>
    </w:p>
    <w:p w14:paraId="70B9E005">
      <w:pPr>
        <w:spacing w:line="360" w:lineRule="auto"/>
        <w:ind w:firstLine="480" w:firstLineChars="200"/>
        <w:rPr>
          <w:rFonts w:eastAsiaTheme="minorEastAsia"/>
          <w:sz w:val="24"/>
        </w:rPr>
      </w:pPr>
      <w:r>
        <w:rPr>
          <w:rFonts w:hint="eastAsia" w:eastAsiaTheme="minorEastAsia"/>
          <w:sz w:val="24"/>
        </w:rPr>
        <w:t>片区中心：县城（厉山）</w:t>
      </w:r>
    </w:p>
    <w:p w14:paraId="1A3D4213">
      <w:pPr>
        <w:spacing w:line="360" w:lineRule="auto"/>
        <w:ind w:firstLine="480" w:firstLineChars="200"/>
        <w:rPr>
          <w:rFonts w:eastAsiaTheme="minorEastAsia"/>
          <w:sz w:val="24"/>
        </w:rPr>
      </w:pPr>
      <w:r>
        <w:rPr>
          <w:rFonts w:hint="eastAsia" w:eastAsiaTheme="minorEastAsia"/>
          <w:sz w:val="24"/>
        </w:rPr>
        <w:t>主导职能：商贸综合服务、旅游、农产品深加工、高新技术产业研发加工，纺织服装加工、特色旅游观光农业</w:t>
      </w:r>
    </w:p>
    <w:p w14:paraId="311BA5E8">
      <w:pPr>
        <w:spacing w:line="360" w:lineRule="auto"/>
        <w:ind w:firstLine="480" w:firstLineChars="200"/>
        <w:rPr>
          <w:rFonts w:eastAsiaTheme="minorEastAsia"/>
          <w:sz w:val="24"/>
        </w:rPr>
      </w:pPr>
      <w:r>
        <w:rPr>
          <w:rFonts w:hint="eastAsia" w:eastAsiaTheme="minorEastAsia"/>
          <w:sz w:val="24"/>
        </w:rPr>
        <w:t>②北部经济区：</w:t>
      </w:r>
    </w:p>
    <w:p w14:paraId="57EAC2DC">
      <w:pPr>
        <w:spacing w:line="360" w:lineRule="auto"/>
        <w:ind w:firstLine="480" w:firstLineChars="200"/>
        <w:rPr>
          <w:rFonts w:eastAsiaTheme="minorEastAsia"/>
          <w:sz w:val="24"/>
        </w:rPr>
      </w:pPr>
      <w:r>
        <w:rPr>
          <w:rFonts w:hint="eastAsia" w:eastAsiaTheme="minorEastAsia"/>
          <w:sz w:val="24"/>
        </w:rPr>
        <w:t>区域范围：吴山、万和、殷店、草店、小林、淮河</w:t>
      </w:r>
    </w:p>
    <w:p w14:paraId="755B83C4">
      <w:pPr>
        <w:spacing w:line="360" w:lineRule="auto"/>
        <w:ind w:firstLine="480" w:firstLineChars="200"/>
        <w:rPr>
          <w:rFonts w:eastAsiaTheme="minorEastAsia"/>
          <w:sz w:val="24"/>
        </w:rPr>
      </w:pPr>
      <w:r>
        <w:rPr>
          <w:rFonts w:hint="eastAsia" w:eastAsiaTheme="minorEastAsia"/>
          <w:sz w:val="24"/>
        </w:rPr>
        <w:t>片区中心：殷店</w:t>
      </w:r>
    </w:p>
    <w:p w14:paraId="64E0C0B0">
      <w:pPr>
        <w:spacing w:line="360" w:lineRule="auto"/>
        <w:ind w:firstLine="480" w:firstLineChars="200"/>
        <w:rPr>
          <w:rFonts w:eastAsiaTheme="minorEastAsia"/>
          <w:sz w:val="24"/>
        </w:rPr>
      </w:pPr>
      <w:r>
        <w:rPr>
          <w:rFonts w:hint="eastAsia" w:eastAsiaTheme="minorEastAsia"/>
          <w:sz w:val="24"/>
        </w:rPr>
        <w:t>主导职能：旅游、农产品加工（以花生加工为主导）、物流贸易、食用菌研发加工、石材加工。</w:t>
      </w:r>
    </w:p>
    <w:p w14:paraId="036220AC">
      <w:pPr>
        <w:spacing w:line="360" w:lineRule="auto"/>
        <w:ind w:firstLine="480" w:firstLineChars="200"/>
        <w:rPr>
          <w:rFonts w:eastAsiaTheme="minorEastAsia"/>
          <w:sz w:val="24"/>
        </w:rPr>
      </w:pPr>
      <w:r>
        <w:rPr>
          <w:rFonts w:hint="eastAsia" w:eastAsiaTheme="minorEastAsia"/>
          <w:sz w:val="24"/>
        </w:rPr>
        <w:t>③南部经济区：</w:t>
      </w:r>
    </w:p>
    <w:p w14:paraId="7C1F9016">
      <w:pPr>
        <w:spacing w:line="360" w:lineRule="auto"/>
        <w:ind w:firstLine="480" w:firstLineChars="200"/>
        <w:rPr>
          <w:rFonts w:eastAsiaTheme="minorEastAsia"/>
          <w:sz w:val="24"/>
        </w:rPr>
      </w:pPr>
      <w:r>
        <w:rPr>
          <w:rFonts w:hint="eastAsia" w:eastAsiaTheme="minorEastAsia"/>
          <w:sz w:val="24"/>
        </w:rPr>
        <w:t>区域范围：洪山、环潭、长岗、三里岗、柳林、均川</w:t>
      </w:r>
    </w:p>
    <w:p w14:paraId="3AB13A2B">
      <w:pPr>
        <w:spacing w:line="360" w:lineRule="auto"/>
        <w:ind w:firstLine="480" w:firstLineChars="200"/>
        <w:rPr>
          <w:rFonts w:eastAsiaTheme="minorEastAsia"/>
          <w:sz w:val="24"/>
        </w:rPr>
      </w:pPr>
      <w:r>
        <w:rPr>
          <w:rFonts w:hint="eastAsia" w:eastAsiaTheme="minorEastAsia"/>
          <w:sz w:val="24"/>
        </w:rPr>
        <w:t>片区中心：洪山</w:t>
      </w:r>
    </w:p>
    <w:p w14:paraId="42CD5CA1">
      <w:pPr>
        <w:spacing w:line="360" w:lineRule="auto"/>
        <w:ind w:firstLine="480" w:firstLineChars="200"/>
        <w:rPr>
          <w:rFonts w:eastAsiaTheme="minorEastAsia"/>
          <w:sz w:val="24"/>
        </w:rPr>
      </w:pPr>
      <w:r>
        <w:rPr>
          <w:rFonts w:hint="eastAsia" w:eastAsiaTheme="minorEastAsia"/>
          <w:sz w:val="24"/>
        </w:rPr>
        <w:t>主导职能：旅游、渡假、科普、休闲服务、旅游产品加工、食用菌研发加工。</w:t>
      </w:r>
    </w:p>
    <w:p w14:paraId="66EAA814">
      <w:pPr>
        <w:spacing w:line="360" w:lineRule="auto"/>
        <w:ind w:firstLine="480" w:firstLineChars="200"/>
        <w:rPr>
          <w:rFonts w:eastAsiaTheme="minorEastAsia"/>
          <w:sz w:val="24"/>
        </w:rPr>
      </w:pPr>
      <w:r>
        <w:rPr>
          <w:rFonts w:hint="eastAsia" w:eastAsiaTheme="minorEastAsia"/>
          <w:sz w:val="24"/>
        </w:rPr>
        <w:t>本次规划产业定位为打造“华中顶尖、全国一流、世界知名”的石材产业综合集群以及全国绿色矿业发展示范区、石材行业矿产资源高效开发利用示范基地，属于《随县城乡总体规划（2010—2030）》中的北部经济区范围，符合主导职能石材加工行业要求。因此，规划符合《随县城乡总体规划（2010—2030）》的要求。</w:t>
      </w:r>
    </w:p>
    <w:p w14:paraId="67721DFE">
      <w:pPr>
        <w:keepNext/>
        <w:keepLines/>
        <w:widowControl/>
        <w:numPr>
          <w:ilvl w:val="2"/>
          <w:numId w:val="1"/>
        </w:numPr>
        <w:spacing w:before="120" w:after="120" w:line="360" w:lineRule="auto"/>
        <w:jc w:val="left"/>
        <w:outlineLvl w:val="2"/>
        <w:rPr>
          <w:rFonts w:eastAsiaTheme="minorEastAsia"/>
          <w:b/>
          <w:bCs/>
          <w:sz w:val="24"/>
        </w:rPr>
      </w:pPr>
      <w:bookmarkStart w:id="86" w:name="_Toc206494929"/>
      <w:r>
        <w:rPr>
          <w:rFonts w:hint="eastAsia" w:eastAsiaTheme="minorEastAsia"/>
          <w:b/>
          <w:bCs/>
          <w:sz w:val="24"/>
        </w:rPr>
        <w:t>与相关环境保护规划的符合性</w:t>
      </w:r>
      <w:bookmarkEnd w:id="86"/>
    </w:p>
    <w:p w14:paraId="1A9BAFF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ascii="Times New Roman" w:hAnsi="Times New Roman" w:eastAsiaTheme="minorEastAsia"/>
          <w:b w:val="0"/>
          <w:sz w:val="24"/>
          <w:szCs w:val="24"/>
        </w:rPr>
        <w:t>与《</w:t>
      </w:r>
      <w:r>
        <w:rPr>
          <w:rFonts w:hint="eastAsia" w:ascii="Times New Roman" w:hAnsi="Times New Roman" w:eastAsiaTheme="minorEastAsia"/>
          <w:b w:val="0"/>
          <w:sz w:val="24"/>
          <w:szCs w:val="24"/>
        </w:rPr>
        <w:t>随州市生态环境保护“十四五”规划</w:t>
      </w:r>
      <w:r>
        <w:rPr>
          <w:rFonts w:ascii="Times New Roman" w:hAnsi="Times New Roman" w:eastAsiaTheme="minorEastAsia"/>
          <w:b w:val="0"/>
          <w:sz w:val="24"/>
          <w:szCs w:val="24"/>
        </w:rPr>
        <w:t>》的</w:t>
      </w:r>
      <w:r>
        <w:rPr>
          <w:rFonts w:hint="eastAsia" w:ascii="Times New Roman" w:hAnsi="Times New Roman" w:eastAsiaTheme="minorEastAsia"/>
          <w:b w:val="0"/>
          <w:sz w:val="24"/>
          <w:szCs w:val="24"/>
        </w:rPr>
        <w:t>协调性</w:t>
      </w:r>
      <w:r>
        <w:rPr>
          <w:rFonts w:ascii="Times New Roman" w:hAnsi="Times New Roman" w:eastAsiaTheme="minorEastAsia"/>
          <w:b w:val="0"/>
          <w:sz w:val="24"/>
          <w:szCs w:val="24"/>
        </w:rPr>
        <w:t>分析</w:t>
      </w:r>
    </w:p>
    <w:p w14:paraId="5E247520">
      <w:pPr>
        <w:spacing w:line="360" w:lineRule="auto"/>
        <w:ind w:firstLine="480" w:firstLineChars="200"/>
        <w:rPr>
          <w:rFonts w:eastAsiaTheme="minorEastAsia"/>
          <w:sz w:val="24"/>
        </w:rPr>
      </w:pPr>
      <w:r>
        <w:rPr>
          <w:rFonts w:hint="eastAsia" w:eastAsiaTheme="minorEastAsia"/>
          <w:sz w:val="24"/>
        </w:rPr>
        <w:t>根据《随州市生态环境保护“十四五”规划》，文件要求如下：</w:t>
      </w:r>
    </w:p>
    <w:p w14:paraId="037D5ED0">
      <w:pPr>
        <w:spacing w:line="360" w:lineRule="auto"/>
        <w:ind w:firstLine="480" w:firstLineChars="200"/>
        <w:rPr>
          <w:rFonts w:eastAsiaTheme="minorEastAsia"/>
          <w:sz w:val="24"/>
        </w:rPr>
      </w:pPr>
      <w:r>
        <w:rPr>
          <w:rFonts w:hint="eastAsia" w:eastAsiaTheme="minorEastAsia"/>
          <w:sz w:val="24"/>
        </w:rPr>
        <w:t>加快推进绿色园区建设。全面推进产业集群整合升级，推进实施园区循环化改造，推进“绿色工厂”建设。高标准建设随州高新区青春化工园区、广水化工产业园及废钢、华中石材循环利用示范园区。</w:t>
      </w:r>
      <w:r>
        <w:rPr>
          <w:rFonts w:hint="eastAsia" w:eastAsiaTheme="minorEastAsia"/>
          <w:b/>
          <w:sz w:val="24"/>
        </w:rPr>
        <w:t>支持随县建设石材绿色循环产业园。</w:t>
      </w:r>
    </w:p>
    <w:p w14:paraId="50D1D381">
      <w:pPr>
        <w:spacing w:line="360" w:lineRule="auto"/>
        <w:ind w:firstLine="480" w:firstLineChars="200"/>
        <w:rPr>
          <w:rFonts w:eastAsiaTheme="minorEastAsia"/>
          <w:sz w:val="24"/>
        </w:rPr>
      </w:pPr>
      <w:r>
        <w:rPr>
          <w:rFonts w:hint="eastAsia" w:eastAsiaTheme="minorEastAsia"/>
          <w:sz w:val="24"/>
        </w:rPr>
        <w:t>加强大气面源污染治理。加强施工扬尘管控，规范渣土车辆密闭运输管理，严格执行施工过程“六个百分百”。加强道路扬尘综合治理，推进低尘机械化湿式清扫作业，推广主次干路高压冲洗与机扫联合作业模式，提高道路机械化清扫率。加强以矿山、城区、城乡结合部为重点的裸地和堆场扬尘污染控制，强化秸秆禁烧，持续实施餐饮油烟污染整治，持续巩固禁鞭成果。</w:t>
      </w:r>
    </w:p>
    <w:p w14:paraId="6F39C204">
      <w:pPr>
        <w:spacing w:line="360" w:lineRule="auto"/>
        <w:ind w:firstLine="480" w:firstLineChars="200"/>
        <w:rPr>
          <w:rFonts w:eastAsiaTheme="minorEastAsia"/>
          <w:sz w:val="24"/>
        </w:rPr>
      </w:pPr>
      <w:r>
        <w:rPr>
          <w:rFonts w:hint="eastAsia" w:eastAsiaTheme="minorEastAsia"/>
          <w:sz w:val="24"/>
        </w:rPr>
        <w:t>本次规划产业定位为打造“华中顶尖、全国一流、世界知名”的石材产业综合集群以及全国绿色矿业发展示范区、石材行业矿产资源高效开发利用示范基地。规划建设绿色、低碳、数字化制造特色最鲜明的产业集群：全面建设绿色矿山、绿色园区、绿色能源、绿色供应链，构建石材资源绿色开发、加工环保节能低碳、空间布局合理、新一代信息化数字化技术运用效果最突出产区。符合文件中“加快推进绿色园区建设”、“支持随县建设石材绿色循环产业园”的要求。因此，规划与《随州市生态环境保护“十四五”规划》的要求相符。</w:t>
      </w:r>
    </w:p>
    <w:p w14:paraId="14B7E67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与《大气污染防治行动计划》的协调性</w:t>
      </w:r>
    </w:p>
    <w:p w14:paraId="6E9A602D">
      <w:pPr>
        <w:spacing w:line="360" w:lineRule="auto"/>
        <w:ind w:firstLine="480" w:firstLineChars="200"/>
        <w:rPr>
          <w:rFonts w:eastAsiaTheme="minorEastAsia"/>
          <w:sz w:val="24"/>
        </w:rPr>
      </w:pPr>
      <w:r>
        <w:rPr>
          <w:rFonts w:hint="eastAsia" w:eastAsiaTheme="minorEastAsia"/>
          <w:sz w:val="24"/>
        </w:rPr>
        <w:t>为了改善我国大气环境质量，国务院于2013年9月发布实施了《国务院关于印发大气污染防治行动计划的通知》(国发[2013]37号)：第五大条“五、严格节能环保准入，优化产业空间布局”。第十七条相关规定(十七)强化节能环保指标约束。提高节能环保准入门槛，健全重点行业准入条件，公布符合准入条件的企业名单并实施动态管理。严格实施污染物排放总量控制，将二氧化硫、氮氧化物、烟粉尘和挥发性有机物排放是否符合总量控制要求作为建设项目环境影响评价审批的前置条件。</w:t>
      </w:r>
    </w:p>
    <w:p w14:paraId="15F305D2">
      <w:pPr>
        <w:spacing w:line="360" w:lineRule="auto"/>
        <w:ind w:firstLine="480" w:firstLineChars="200"/>
        <w:rPr>
          <w:rFonts w:eastAsiaTheme="minorEastAsia"/>
          <w:sz w:val="24"/>
        </w:rPr>
      </w:pPr>
      <w:r>
        <w:rPr>
          <w:rFonts w:hint="eastAsia" w:eastAsiaTheme="minorEastAsia"/>
          <w:sz w:val="24"/>
        </w:rPr>
        <w:t>2014年湖北省人民政府结合省内实际，发布了《省人民政府关于贯彻落实国务院大气污染防治行动计划的实施意见》（鄂政发〔2014〕6号）：总体目标：到2017年，全省城市环境空气质量总体得到改善，重污染天气大幅减少。力争到2022年，基本消除重污染天气，全省空气质量明显改善，地级及以上城市空气质量基本达到或优于国家空气质量二级标准。</w:t>
      </w:r>
    </w:p>
    <w:p w14:paraId="5D653CE8">
      <w:pPr>
        <w:spacing w:line="360" w:lineRule="auto"/>
        <w:ind w:firstLine="480" w:firstLineChars="200"/>
        <w:rPr>
          <w:rFonts w:eastAsiaTheme="minorEastAsia"/>
          <w:sz w:val="24"/>
        </w:rPr>
      </w:pPr>
      <w:r>
        <w:rPr>
          <w:rFonts w:hint="eastAsia" w:eastAsiaTheme="minorEastAsia"/>
          <w:sz w:val="24"/>
        </w:rPr>
        <w:t>（二）推进产业结构调整，切实转变经济发展方式。3.优化空间格局。强化主体功能区划的约束作用，以环境容量、生态承载力、污染物排放总量及生态安全为约束条件，科学制定重点行业发展规划，开展规划环境影响评价工作，优化区域工业布局，加快推进“两高一资”产业技术升级改造，严格禁止过剩产能新增项目用地。积极推进工业园区环境基础设施建设，发展循环经济，打造绿色、环保、可持续发展的生态工业园区。科学制定并严格实施城市规划，强化城市空间管制和绿地控制，规范各类产业园区及城市新城、新区设立和布局，禁止随意调整和修改城市规划，形成有利于大气污染物扩散的城市和区域空间格局。</w:t>
      </w:r>
    </w:p>
    <w:p w14:paraId="2074D7E8">
      <w:pPr>
        <w:spacing w:line="360" w:lineRule="auto"/>
        <w:ind w:firstLine="480" w:firstLineChars="200"/>
        <w:rPr>
          <w:rFonts w:eastAsiaTheme="minorEastAsia"/>
          <w:sz w:val="24"/>
        </w:rPr>
      </w:pPr>
      <w:r>
        <w:rPr>
          <w:rFonts w:hint="eastAsia" w:eastAsiaTheme="minorEastAsia"/>
          <w:sz w:val="24"/>
        </w:rPr>
        <w:t>（六）加强扬尘控制，深化面源污染治理。25.强化煤堆、料堆的监督管理。大型煤堆、料堆场应建立密闭料仓与传送装置，露天堆放的应加以覆盖或建设自动喷淋装置。对长期堆放的废弃物，应采取覆绿、铺装、硬化、定期喷洒抑尘剂或稳定剂等措施。积极推进粉煤灰、炉渣、矿渣的综合利用，减少堆放量。</w:t>
      </w:r>
    </w:p>
    <w:p w14:paraId="4DA327F0">
      <w:pPr>
        <w:spacing w:line="360" w:lineRule="auto"/>
        <w:ind w:firstLine="480" w:firstLineChars="200"/>
        <w:rPr>
          <w:rFonts w:eastAsiaTheme="minorEastAsia"/>
          <w:sz w:val="24"/>
        </w:rPr>
      </w:pPr>
      <w:r>
        <w:rPr>
          <w:rFonts w:hint="eastAsia" w:eastAsiaTheme="minorEastAsia"/>
          <w:sz w:val="24"/>
        </w:rPr>
        <w:t>规划园区重点发展石材加工产业、绿色循环产业。入区项目将严格实施污染物排放总量控制，将二氧化硫、氮氧化物、烟粉尘及挥发性有机物排放是否符合总量控制要求作为建设项目环境影响评价审批的前置条件。规划园区定位产业不属于两高项目。积极推进工业园区环境基础设施建设，发展循环经济，打造绿色、环保、可持续发展的生态工业园区。入区企业将积极开展清洁生产及技术改造项目，使用清洁能源，以降低对区域大气的污染程度。园区将加强企业准入门槛控制，避免将高污染企业引入园区，尤其禁止有严重大气污染的企业入驻。</w:t>
      </w:r>
    </w:p>
    <w:p w14:paraId="1EB3F8B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与《水污染防治行动计划》的协调性</w:t>
      </w:r>
    </w:p>
    <w:p w14:paraId="4317B27F">
      <w:pPr>
        <w:spacing w:line="360" w:lineRule="auto"/>
        <w:ind w:firstLine="480" w:firstLineChars="200"/>
        <w:rPr>
          <w:rFonts w:eastAsiaTheme="minorEastAsia"/>
          <w:sz w:val="24"/>
        </w:rPr>
      </w:pPr>
      <w:r>
        <w:rPr>
          <w:rFonts w:hint="eastAsia" w:eastAsiaTheme="minorEastAsia"/>
          <w:sz w:val="24"/>
        </w:rPr>
        <w:t>国务院于2015年4月发布实施了《关于印发水污染防治行动计划的通知》（国发〔2015〕17号），文件提出工作目标：到2020年，全国水环境质量得到阶段性改善，污染严重水体较大幅度减少，饮用水安全保障水平持续提升，地下水超采得到严格控制，地下水污染加剧趋势得到初步遏制，近岸海域环境质量稳中趋好，京津冀、长三角、珠三角等区域水生态环境状况有所好转。到2030年，力争全国水环境质量总体改善，水生态系统功能初步恢复。到本世纪中叶，生态环境质量全面改善，生态系统实现良性循环。</w:t>
      </w:r>
    </w:p>
    <w:p w14:paraId="739E53A4">
      <w:pPr>
        <w:spacing w:line="360" w:lineRule="auto"/>
        <w:ind w:firstLine="480" w:firstLineChars="200"/>
        <w:rPr>
          <w:rFonts w:eastAsiaTheme="minorEastAsia"/>
          <w:sz w:val="24"/>
        </w:rPr>
      </w:pPr>
      <w:r>
        <w:rPr>
          <w:rFonts w:hint="eastAsia" w:eastAsiaTheme="minorEastAsia"/>
          <w:sz w:val="24"/>
        </w:rPr>
        <w:t>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w:t>
      </w:r>
    </w:p>
    <w:p w14:paraId="505AADF2">
      <w:pPr>
        <w:spacing w:line="360" w:lineRule="auto"/>
        <w:ind w:firstLine="480" w:firstLineChars="200"/>
        <w:rPr>
          <w:rFonts w:eastAsiaTheme="minorEastAsia"/>
          <w:sz w:val="24"/>
        </w:rPr>
      </w:pPr>
      <w:r>
        <w:rPr>
          <w:rFonts w:hint="eastAsia" w:eastAsiaTheme="minorEastAsia"/>
          <w:sz w:val="24"/>
        </w:rPr>
        <w:t>强化城镇生活污染治理。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w:t>
      </w:r>
    </w:p>
    <w:p w14:paraId="7148BD10">
      <w:pPr>
        <w:spacing w:line="360" w:lineRule="auto"/>
        <w:ind w:firstLine="480" w:firstLineChars="200"/>
        <w:rPr>
          <w:rFonts w:eastAsiaTheme="minorEastAsia"/>
          <w:sz w:val="24"/>
        </w:rPr>
      </w:pPr>
      <w:r>
        <w:rPr>
          <w:rFonts w:hint="eastAsia" w:eastAsiaTheme="minorEastAsia"/>
          <w:sz w:val="24"/>
        </w:rPr>
        <w:t>全面加强配套管网建设。强化城中村、老旧城区和城乡结合部污水截流、收集。现有合流制排水系统应加快实施雨污分流改造，难以改造的，应采取截流、调蓄和治理等措施。新建污水处理设施的配套管网应同步设计、同步建设、同步投运。除干旱地区外，城镇新区建设均实行雨污分流，有条件的地区要推进初期雨水收集、处理和资源化利用。</w:t>
      </w:r>
    </w:p>
    <w:p w14:paraId="03364BE9">
      <w:pPr>
        <w:spacing w:line="360" w:lineRule="auto"/>
        <w:ind w:firstLine="480" w:firstLineChars="200"/>
        <w:rPr>
          <w:rFonts w:eastAsiaTheme="minorEastAsia"/>
          <w:sz w:val="24"/>
        </w:rPr>
      </w:pPr>
      <w:r>
        <w:rPr>
          <w:rFonts w:hint="eastAsia" w:eastAsiaTheme="minorEastAsia"/>
          <w:sz w:val="24"/>
        </w:rPr>
        <w:t>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p w14:paraId="1F920B8A">
      <w:pPr>
        <w:spacing w:line="360" w:lineRule="auto"/>
        <w:ind w:firstLine="480" w:firstLineChars="200"/>
        <w:rPr>
          <w:rFonts w:eastAsiaTheme="minorEastAsia"/>
          <w:sz w:val="24"/>
        </w:rPr>
      </w:pPr>
      <w:r>
        <w:rPr>
          <w:rFonts w:hint="eastAsia" w:eastAsiaTheme="minorEastAsia"/>
          <w:sz w:val="24"/>
        </w:rPr>
        <w:t>优化空间布局。合理确定发展布局、结构和规模。充分考虑水资源、水环境承载能力，以水定城、以水定地、以水定人、以水定产。</w:t>
      </w:r>
    </w:p>
    <w:p w14:paraId="14EDB2AD">
      <w:pPr>
        <w:spacing w:line="360" w:lineRule="auto"/>
        <w:ind w:firstLine="480" w:firstLineChars="200"/>
        <w:rPr>
          <w:rFonts w:eastAsiaTheme="minorEastAsia"/>
          <w:sz w:val="24"/>
        </w:rPr>
      </w:pPr>
      <w:r>
        <w:rPr>
          <w:rFonts w:hint="eastAsia" w:eastAsiaTheme="minorEastAsia"/>
          <w:sz w:val="24"/>
        </w:rPr>
        <w:t>2016年1月10日湖北省人民政府发布了《湖北省水污染防治行动计划工作方案》，方案总体目标：到2020年，全省水环境质量得到阶段性改善，优良水体比例增加，污染严重水体较大幅度减少，饮用水安全保障水平持续提升，地下水污染趋势得到基本控制。到2030年，力争全省水环境质量明显改善，水生态系统功能基本良好。到本世纪中叶，全省水生态环境质量全面改善，生态系统实现良性循环。</w:t>
      </w:r>
    </w:p>
    <w:p w14:paraId="1CF0507A">
      <w:pPr>
        <w:spacing w:line="360" w:lineRule="auto"/>
        <w:ind w:firstLine="480" w:firstLineChars="200"/>
        <w:rPr>
          <w:rFonts w:eastAsiaTheme="minorEastAsia"/>
          <w:sz w:val="24"/>
        </w:rPr>
      </w:pPr>
      <w:r>
        <w:rPr>
          <w:rFonts w:hint="eastAsia" w:eastAsiaTheme="minorEastAsia"/>
          <w:sz w:val="24"/>
        </w:rPr>
        <w:t>主要指标：到2020年，全省地表水水质优良(达到或优于Ⅲ类)比例总体达到88.6%，丧失使用功能(劣于Ⅴ类)的水体断面比例控制在6.1%以内，县级及以上城市集中式饮用水水源水质达标率达到100%，地级及以上城市建成区黑臭水体均控制在10%以内，地下水质量考核点位水质级别保持稳定。</w:t>
      </w:r>
    </w:p>
    <w:p w14:paraId="27DB3BC0">
      <w:pPr>
        <w:spacing w:line="360" w:lineRule="auto"/>
        <w:ind w:firstLine="480" w:firstLineChars="200"/>
        <w:rPr>
          <w:rFonts w:eastAsiaTheme="minorEastAsia"/>
          <w:sz w:val="24"/>
        </w:rPr>
      </w:pPr>
      <w:r>
        <w:rPr>
          <w:rFonts w:hint="eastAsia" w:eastAsiaTheme="minorEastAsia"/>
          <w:sz w:val="24"/>
        </w:rPr>
        <w:t>根据《随州市2024年环境状况公报》，随州市</w:t>
      </w:r>
      <w:r>
        <w:rPr>
          <w:rFonts w:eastAsiaTheme="minorEastAsia"/>
          <w:sz w:val="24"/>
        </w:rPr>
        <w:t>19</w:t>
      </w:r>
      <w:r>
        <w:rPr>
          <w:rFonts w:hint="eastAsia" w:eastAsiaTheme="minorEastAsia"/>
          <w:sz w:val="24"/>
        </w:rPr>
        <w:t>个地表水考核断面优良比例达</w:t>
      </w:r>
      <w:r>
        <w:rPr>
          <w:rFonts w:eastAsiaTheme="minorEastAsia"/>
          <w:sz w:val="24"/>
        </w:rPr>
        <w:t>100%</w:t>
      </w:r>
      <w:r>
        <w:rPr>
          <w:rFonts w:hint="eastAsia" w:eastAsiaTheme="minorEastAsia"/>
          <w:sz w:val="24"/>
        </w:rPr>
        <w:t>，6个国控断面比例达100%。3个县级以上城市集中式饮用水水源地水质达标率始终保持100%。规划提出企业建立工厂废水循环系统，生产污水经闭路收集系统进入处理设施，废水经处理后循环使用，不外排。鼓励企业采用净化更加有效和彻底的石材废水综合处理技术，推广污水塔式分离净化和循环利用系统，把石粉从污水中分离出来，分离后的清水循环再利用，石粉作为后续深加工的原材料。规划石材产业园区建设集中污水处理站，集中处理园区生活污水及部分企业的生产废水，工业废水经处理后回用，生活污水经处理后全部排入污水处理厂进一步处理。因此，规划符合《水污染防治行动计划》中要求。</w:t>
      </w:r>
    </w:p>
    <w:p w14:paraId="668D4B6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与《土壤污染防治行动计划》的协调性</w:t>
      </w:r>
    </w:p>
    <w:p w14:paraId="5B3AA6F5">
      <w:pPr>
        <w:spacing w:line="360" w:lineRule="auto"/>
        <w:ind w:firstLine="480" w:firstLineChars="200"/>
        <w:rPr>
          <w:rFonts w:eastAsiaTheme="minorEastAsia"/>
          <w:sz w:val="24"/>
        </w:rPr>
      </w:pPr>
      <w:r>
        <w:rPr>
          <w:rFonts w:hint="eastAsia" w:eastAsiaTheme="minorEastAsia"/>
          <w:sz w:val="24"/>
        </w:rPr>
        <w:t>2016年5月28日，国务院发布了《土壤污染防治行动计划》（国发〔2016〕31号），工作目标：到2020年，全国土壤污染加重趋势得到初步遏制，土壤环境质量总体保持稳定，农用地和建设用地土壤环境安全得到基本保障，土壤环境风险得到基本管控。到2030年，全国土壤环境质量稳中向好，农用地和建设用地土壤环境安全得到有效保障，土壤环境风险得到全面管控。到本世纪中叶，土壤环境质量全面改善，生态系统实现良性循环。</w:t>
      </w:r>
    </w:p>
    <w:p w14:paraId="03CB6851">
      <w:pPr>
        <w:spacing w:line="360" w:lineRule="auto"/>
        <w:ind w:firstLine="480" w:firstLineChars="200"/>
        <w:rPr>
          <w:rFonts w:eastAsiaTheme="minorEastAsia"/>
          <w:sz w:val="24"/>
        </w:rPr>
      </w:pPr>
      <w:r>
        <w:rPr>
          <w:rFonts w:hint="eastAsia" w:eastAsiaTheme="minorEastAsia"/>
          <w:sz w:val="24"/>
        </w:rPr>
        <w:t>主要指标：到2020年，受污染耕地安全利用率达到90%左右，污染地块安全利用率达到90%以上。到2030年，受污染耕地安全利用率达到95%以上，污染地块安全利用率达到95%以上。</w:t>
      </w:r>
    </w:p>
    <w:p w14:paraId="78664FB4">
      <w:pPr>
        <w:spacing w:line="360" w:lineRule="auto"/>
        <w:ind w:firstLine="480" w:firstLineChars="200"/>
        <w:rPr>
          <w:rFonts w:eastAsiaTheme="minorEastAsia"/>
          <w:sz w:val="24"/>
        </w:rPr>
      </w:pPr>
      <w:r>
        <w:rPr>
          <w:rFonts w:hint="eastAsia" w:eastAsiaTheme="minorEastAsia"/>
          <w:sz w:val="24"/>
        </w:rPr>
        <w:t>严格控制在优先保护类耕地集中区域新建有色金属冶炼、石油加工、化工、焦化、电镀、制革等行业企业，现有相关行业企业要采用新技术、新工艺，加快提标升级改造步伐。将建设用地土壤环境管理要求纳入城市规划和供地管理，土地开发利用必须符合土壤环境质量要求。</w:t>
      </w:r>
    </w:p>
    <w:p w14:paraId="5FB5C1E7">
      <w:pPr>
        <w:spacing w:line="360" w:lineRule="auto"/>
        <w:ind w:firstLine="480" w:firstLineChars="200"/>
        <w:rPr>
          <w:rFonts w:eastAsiaTheme="minorEastAsia"/>
          <w:sz w:val="24"/>
        </w:rPr>
      </w:pPr>
      <w:r>
        <w:rPr>
          <w:rFonts w:hint="eastAsia" w:eastAsiaTheme="minorEastAsia"/>
          <w:sz w:val="24"/>
        </w:rPr>
        <w:t>加强规划区划和建设项目布局论证，根据土壤等环境承载能力，合理确定区域功能定位、空间布局。鼓励工业企业集聚发展，提高土地节约集约利用水平，减少土壤污染。</w:t>
      </w:r>
    </w:p>
    <w:p w14:paraId="210EE8CF">
      <w:pPr>
        <w:spacing w:line="360" w:lineRule="auto"/>
        <w:ind w:firstLine="480" w:firstLineChars="200"/>
        <w:rPr>
          <w:rFonts w:eastAsiaTheme="minorEastAsia"/>
          <w:sz w:val="24"/>
        </w:rPr>
      </w:pPr>
      <w:r>
        <w:rPr>
          <w:rFonts w:hint="eastAsia" w:eastAsiaTheme="minorEastAsia"/>
          <w:sz w:val="24"/>
        </w:rPr>
        <w:t>加强工业废物处理处置。全面整治尾矿、煤矸石、工业副产石膏、粉煤灰、赤泥、冶炼渣、电石渣、铬渣、砷渣</w:t>
      </w:r>
      <w:r>
        <w:rPr>
          <w:rFonts w:hint="eastAsia" w:eastAsiaTheme="minorEastAsia"/>
          <w:sz w:val="24"/>
          <w:lang w:eastAsia="zh-CN"/>
        </w:rPr>
        <w:t>以及</w:t>
      </w:r>
      <w:r>
        <w:rPr>
          <w:rFonts w:hint="eastAsia" w:eastAsiaTheme="minorEastAsia"/>
          <w:sz w:val="24"/>
        </w:rPr>
        <w:t>脱硫、脱硝、除尘产生固体废物的堆放场所，完善防扬散、防流失、防渗漏等设施，制定整治方案并有序实施。加强工业固体废物综合利用。</w:t>
      </w:r>
    </w:p>
    <w:p w14:paraId="786FECF9">
      <w:pPr>
        <w:spacing w:line="360" w:lineRule="auto"/>
        <w:ind w:firstLine="480" w:firstLineChars="200"/>
        <w:rPr>
          <w:rFonts w:eastAsiaTheme="minorEastAsia"/>
          <w:sz w:val="24"/>
        </w:rPr>
      </w:pPr>
      <w:r>
        <w:rPr>
          <w:rFonts w:hint="eastAsia" w:eastAsiaTheme="minorEastAsia"/>
          <w:sz w:val="24"/>
        </w:rPr>
        <w:t>另外，《湖北省土壤污染防治行动计划工作方案》还要求：”统一规划、科学布局化工园区、工业园区等产业集聚区，严格落实国家相关政策和要求，鼓励新建工业企业入驻园区集聚发展，现有工业企业要结合推进新型城镇化、产业结构调整和化解过剩产能等要求，进行技术改造升级或入园进区，切实减少土壤污染”。</w:t>
      </w:r>
    </w:p>
    <w:p w14:paraId="74B8BEB8">
      <w:pPr>
        <w:spacing w:line="360" w:lineRule="auto"/>
        <w:ind w:firstLine="480" w:firstLineChars="200"/>
        <w:rPr>
          <w:rFonts w:eastAsiaTheme="minorEastAsia"/>
          <w:sz w:val="24"/>
        </w:rPr>
      </w:pPr>
      <w:r>
        <w:rPr>
          <w:rFonts w:hint="eastAsia" w:eastAsiaTheme="minorEastAsia"/>
          <w:sz w:val="24"/>
        </w:rPr>
        <w:t>根据现状监测，规划区域土壤环境满足环境质量标准要求，现状土壤环境质量较好；产业定位为石材加工产业、绿色循环产业等，不涉及应严格控制的有色金属冶炼、石油化工等行业，对土壤环境的影响可控，可切实减少土壤污染，符合《土壤</w:t>
      </w:r>
      <w:r>
        <w:rPr>
          <w:rFonts w:hint="eastAsia" w:eastAsiaTheme="minorEastAsia"/>
          <w:sz w:val="24"/>
          <w:lang w:eastAsia="zh-CN"/>
        </w:rPr>
        <w:t>污染防治</w:t>
      </w:r>
      <w:r>
        <w:rPr>
          <w:rFonts w:hint="eastAsia" w:eastAsiaTheme="minorEastAsia"/>
          <w:sz w:val="24"/>
        </w:rPr>
        <w:t>行动计划》要求。</w:t>
      </w:r>
    </w:p>
    <w:p w14:paraId="53CB3BC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与湖北省生态保护红线的协调性</w:t>
      </w:r>
    </w:p>
    <w:p w14:paraId="04E78453">
      <w:pPr>
        <w:spacing w:line="360" w:lineRule="auto"/>
        <w:ind w:firstLine="480" w:firstLineChars="200"/>
        <w:rPr>
          <w:rFonts w:eastAsiaTheme="minorEastAsia"/>
          <w:sz w:val="24"/>
        </w:rPr>
      </w:pPr>
      <w:r>
        <w:rPr>
          <w:rFonts w:hint="eastAsia" w:eastAsiaTheme="minorEastAsia"/>
          <w:sz w:val="24"/>
        </w:rPr>
        <w:t>根据《省人民政府关于发布湖北省生态保护红线的通知》（鄂政发[2018]30号）：湖北省生态保护红线总面积4.15万平方公里，占全省面积的22.30%。湖北省生态保护红线总体呈现“四屏三江一区”基本格局。“四屏”指鄂西南武陵山区、鄂西北秦巴山区、鄂东南幕阜山区、鄂东北大别山区四个生态屏障，主要生态功能为水源涵养、生物多样性维护和水土保持；“三江”指长江、汉江和清江干流的重要水域及岸线；“一区”指江汉平原为主的重要湖泊湿地，主要生态功能为生物多样性维护和洪水调蓄。</w:t>
      </w:r>
    </w:p>
    <w:p w14:paraId="2A224307">
      <w:pPr>
        <w:spacing w:line="360" w:lineRule="auto"/>
        <w:ind w:firstLine="480" w:firstLineChars="200"/>
        <w:rPr>
          <w:rFonts w:eastAsiaTheme="minorEastAsia"/>
          <w:sz w:val="24"/>
        </w:rPr>
      </w:pPr>
      <w:r>
        <w:rPr>
          <w:rFonts w:hint="eastAsia" w:eastAsiaTheme="minorEastAsia"/>
          <w:sz w:val="24"/>
        </w:rPr>
        <w:t>鄂北岗地水土保持生态保护红线。红线面积占该区国土面积的5.74%，主要分布在随州市全境和襄阳市、荆门市、孝感市的局部地方，主要包含京山对节白蜡省级自然保护区、中华山国家级森林公园、钟祥莫愁湖国家湿地公园、随州大洪山省级地质公园、大洪山国家级风景名胜区、惠亭水库中华鳖国家级水产种质资源保护区等保护地及生态功能极重要区与生态环境极敏感区。</w:t>
      </w:r>
    </w:p>
    <w:p w14:paraId="0D752CAA">
      <w:pPr>
        <w:spacing w:line="360" w:lineRule="auto"/>
        <w:ind w:firstLine="480" w:firstLineChars="200"/>
        <w:rPr>
          <w:rFonts w:eastAsiaTheme="minorEastAsia"/>
          <w:sz w:val="24"/>
        </w:rPr>
      </w:pPr>
      <w:r>
        <w:rPr>
          <w:rFonts w:hint="eastAsia" w:eastAsiaTheme="minorEastAsia"/>
          <w:sz w:val="24"/>
        </w:rPr>
        <w:t>规划涉及吴山石材产业园、万和石材产业园、草店石材产业园和太白顶石材产业园四个加工组团位于随县吴山镇、万和镇和草店镇，园区规划范围内无自然保护区、风景名胜区、无饮用水源保护区等生态敏感区，不在生态保护红线区一类和二内管控区范围内，因此四个规划园区不涉及生态红线；规划涉及的矿山开采、废石场等应严格落实矿山企业用地类型，避让生态保护红线，在此基础上，规划 符合湖北省生态保护红线要求。</w:t>
      </w:r>
    </w:p>
    <w:p w14:paraId="206BB793">
      <w:pPr>
        <w:keepNext/>
        <w:keepLines/>
        <w:widowControl/>
        <w:numPr>
          <w:ilvl w:val="2"/>
          <w:numId w:val="1"/>
        </w:numPr>
        <w:spacing w:before="120" w:after="120" w:line="360" w:lineRule="auto"/>
        <w:jc w:val="left"/>
        <w:outlineLvl w:val="2"/>
        <w:rPr>
          <w:rFonts w:eastAsiaTheme="minorEastAsia"/>
          <w:b/>
          <w:bCs/>
          <w:sz w:val="24"/>
        </w:rPr>
      </w:pPr>
      <w:bookmarkStart w:id="87" w:name="_Toc206494930"/>
      <w:r>
        <w:rPr>
          <w:rFonts w:hint="eastAsia" w:eastAsiaTheme="minorEastAsia"/>
          <w:b/>
          <w:bCs/>
          <w:sz w:val="24"/>
        </w:rPr>
        <w:t>与“三线一单”符合性分析</w:t>
      </w:r>
      <w:bookmarkEnd w:id="87"/>
    </w:p>
    <w:p w14:paraId="339B3031">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2021年6月25日，随州市人民政府发布了</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（随政发[2021]10号），根据该管控意见将全市环境管控单元划分为优先保护单元、重点管控单元和一般管控单元，实施分类管控。</w:t>
      </w:r>
    </w:p>
    <w:p w14:paraId="46750EDE">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规划区域主要涉及随州市随县吴山镇、万和镇和草店镇，</w:t>
      </w:r>
      <w:bookmarkStart w:id="88" w:name="_Hlk170738561"/>
      <w:r>
        <w:rPr>
          <w:rFonts w:hint="eastAsia" w:eastAsiaTheme="minorEastAsia"/>
          <w:kern w:val="0"/>
          <w:sz w:val="24"/>
        </w:rPr>
        <w:t>根据</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w:t>
      </w:r>
      <w:bookmarkEnd w:id="88"/>
      <w:r>
        <w:rPr>
          <w:rFonts w:hint="eastAsia" w:eastAsiaTheme="minorEastAsia"/>
          <w:kern w:val="0"/>
          <w:sz w:val="24"/>
        </w:rPr>
        <w:t>，规划区域与“随政发[2021]10号”的符合性分析见下表。</w:t>
      </w:r>
    </w:p>
    <w:p w14:paraId="52515DDE">
      <w:pPr>
        <w:spacing w:line="360" w:lineRule="auto"/>
        <w:ind w:firstLine="422" w:firstLineChars="200"/>
        <w:jc w:val="center"/>
        <w:rPr>
          <w:b/>
          <w:szCs w:val="21"/>
        </w:rPr>
      </w:pPr>
      <w:r>
        <w:rPr>
          <w:rFonts w:hint="eastAsia"/>
          <w:b/>
          <w:szCs w:val="21"/>
        </w:rPr>
        <w:t>表2.2.3</w:t>
      </w:r>
      <w:r>
        <w:rPr>
          <w:b/>
          <w:szCs w:val="21"/>
        </w:rPr>
        <w:t>-1</w:t>
      </w:r>
      <w:r>
        <w:rPr>
          <w:rFonts w:hint="eastAsia"/>
          <w:b/>
          <w:szCs w:val="21"/>
        </w:rPr>
        <w:t xml:space="preserve">  规划区域与湖北省及随州市生态环境总体准入要求的符合性分析</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848"/>
        <w:gridCol w:w="3972"/>
        <w:gridCol w:w="2126"/>
        <w:gridCol w:w="907"/>
      </w:tblGrid>
      <w:tr w14:paraId="2D839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tcBorders>
              <w:right w:val="single" w:color="auto" w:sz="4" w:space="0"/>
            </w:tcBorders>
            <w:vAlign w:val="center"/>
          </w:tcPr>
          <w:p w14:paraId="1BF8ACE1">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维度</w:t>
            </w:r>
          </w:p>
        </w:tc>
        <w:tc>
          <w:tcPr>
            <w:tcW w:w="848" w:type="dxa"/>
            <w:tcBorders>
              <w:left w:val="single" w:color="auto" w:sz="4" w:space="0"/>
            </w:tcBorders>
            <w:vAlign w:val="center"/>
          </w:tcPr>
          <w:p w14:paraId="2BB14490">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清单编制要求</w:t>
            </w:r>
          </w:p>
        </w:tc>
        <w:tc>
          <w:tcPr>
            <w:tcW w:w="3972" w:type="dxa"/>
            <w:vAlign w:val="center"/>
          </w:tcPr>
          <w:p w14:paraId="11DEE9AA">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准入清单</w:t>
            </w:r>
          </w:p>
        </w:tc>
        <w:tc>
          <w:tcPr>
            <w:tcW w:w="2126" w:type="dxa"/>
            <w:vAlign w:val="center"/>
          </w:tcPr>
          <w:p w14:paraId="23FAB0A8">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规划情况</w:t>
            </w:r>
          </w:p>
        </w:tc>
        <w:tc>
          <w:tcPr>
            <w:tcW w:w="907" w:type="dxa"/>
            <w:vAlign w:val="center"/>
          </w:tcPr>
          <w:p w14:paraId="17983A4C">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符合性</w:t>
            </w:r>
          </w:p>
        </w:tc>
      </w:tr>
      <w:tr w14:paraId="39D18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5"/>
            <w:vAlign w:val="center"/>
          </w:tcPr>
          <w:p w14:paraId="4D5574F5">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湖北省生态环境总体准入要求</w:t>
            </w:r>
          </w:p>
        </w:tc>
      </w:tr>
      <w:tr w14:paraId="1645A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19E36A2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关于空间</w:t>
            </w:r>
          </w:p>
          <w:p w14:paraId="57A74B7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布局约束生态环境总体准入</w:t>
            </w:r>
          </w:p>
          <w:p w14:paraId="1AF194D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要求</w:t>
            </w:r>
          </w:p>
        </w:tc>
        <w:tc>
          <w:tcPr>
            <w:tcW w:w="848" w:type="dxa"/>
            <w:vMerge w:val="restart"/>
            <w:tcBorders>
              <w:left w:val="single" w:color="auto" w:sz="4" w:space="0"/>
            </w:tcBorders>
            <w:vAlign w:val="center"/>
          </w:tcPr>
          <w:p w14:paraId="5B24AB9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禁止开发活动的要求</w:t>
            </w:r>
          </w:p>
        </w:tc>
        <w:tc>
          <w:tcPr>
            <w:tcW w:w="3972" w:type="dxa"/>
            <w:vAlign w:val="center"/>
          </w:tcPr>
          <w:p w14:paraId="3115EAF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禁止新建、改扩建国家产业政策明令淘汰的产品、技术、工艺、设备及行为的项目。禁止新建国家产业政策明令限制的产品、技术、工艺、设备及行为的项目。</w:t>
            </w:r>
          </w:p>
        </w:tc>
        <w:tc>
          <w:tcPr>
            <w:tcW w:w="2126" w:type="dxa"/>
            <w:vAlign w:val="center"/>
          </w:tcPr>
          <w:p w14:paraId="7D48DAC3">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入驻行业</w:t>
            </w:r>
            <w:r>
              <w:rPr>
                <w:rFonts w:ascii="Times New Roman" w:hAnsi="Times New Roman" w:cs="Times New Roman"/>
                <w:szCs w:val="21"/>
              </w:rPr>
              <w:t>准入要求，严格执行。</w:t>
            </w:r>
          </w:p>
        </w:tc>
        <w:tc>
          <w:tcPr>
            <w:tcW w:w="907" w:type="dxa"/>
            <w:vAlign w:val="center"/>
          </w:tcPr>
          <w:p w14:paraId="75502E6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9EA4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13CA8D5E">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6F25F46F">
            <w:pPr>
              <w:pStyle w:val="45"/>
              <w:spacing w:line="320" w:lineRule="exact"/>
              <w:contextualSpacing/>
              <w:jc w:val="center"/>
              <w:rPr>
                <w:rFonts w:ascii="Times New Roman" w:hAnsi="Times New Roman" w:cs="Times New Roman"/>
                <w:szCs w:val="21"/>
              </w:rPr>
            </w:pPr>
          </w:p>
        </w:tc>
        <w:tc>
          <w:tcPr>
            <w:tcW w:w="3972" w:type="dxa"/>
            <w:vAlign w:val="center"/>
          </w:tcPr>
          <w:p w14:paraId="3358B94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在居民住宅区等人员密集区域或者幼儿园、学校、医院、养老院、办公区等场所及其防护距离范围内，从事化工、制药、制革、生物发酵、饲料加工等企业以及垃圾处理厂、垃圾中转站、污水处理厂等产生恶臭气体的生产经营活动。</w:t>
            </w:r>
          </w:p>
        </w:tc>
        <w:tc>
          <w:tcPr>
            <w:tcW w:w="2126" w:type="dxa"/>
            <w:vAlign w:val="center"/>
          </w:tcPr>
          <w:p w14:paraId="1A09EE21">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生产经营活动</w:t>
            </w:r>
            <w:r>
              <w:rPr>
                <w:rFonts w:ascii="Times New Roman" w:hAnsi="Times New Roman" w:cs="Times New Roman"/>
                <w:szCs w:val="21"/>
              </w:rPr>
              <w:t>要求，严格执行。</w:t>
            </w:r>
          </w:p>
        </w:tc>
        <w:tc>
          <w:tcPr>
            <w:tcW w:w="907" w:type="dxa"/>
            <w:vAlign w:val="center"/>
          </w:tcPr>
          <w:p w14:paraId="3ADB250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44A3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1A237067">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37852EED">
            <w:pPr>
              <w:pStyle w:val="45"/>
              <w:spacing w:line="320" w:lineRule="exact"/>
              <w:contextualSpacing/>
              <w:jc w:val="center"/>
              <w:rPr>
                <w:rFonts w:ascii="Times New Roman" w:hAnsi="Times New Roman" w:cs="Times New Roman"/>
                <w:szCs w:val="21"/>
              </w:rPr>
            </w:pPr>
          </w:p>
        </w:tc>
        <w:tc>
          <w:tcPr>
            <w:tcW w:w="3972" w:type="dxa"/>
            <w:vAlign w:val="center"/>
          </w:tcPr>
          <w:p w14:paraId="2E971757">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禁止在土壤污染控制区内新建、改建、扩建与土壤污染控制或者修复无关的建筑物、设施，以及其他可能损害公众健康和生活环境的土地利用行为。</w:t>
            </w:r>
          </w:p>
        </w:tc>
        <w:tc>
          <w:tcPr>
            <w:tcW w:w="2126" w:type="dxa"/>
            <w:vAlign w:val="center"/>
          </w:tcPr>
          <w:p w14:paraId="24B42081">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建设活动</w:t>
            </w:r>
            <w:r>
              <w:rPr>
                <w:rFonts w:ascii="Times New Roman" w:hAnsi="Times New Roman" w:cs="Times New Roman"/>
                <w:szCs w:val="21"/>
              </w:rPr>
              <w:t>要求，严格执行。</w:t>
            </w:r>
          </w:p>
        </w:tc>
        <w:tc>
          <w:tcPr>
            <w:tcW w:w="907" w:type="dxa"/>
            <w:vAlign w:val="center"/>
          </w:tcPr>
          <w:p w14:paraId="3AC6AD2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57C25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5DE878B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关于耕地</w:t>
            </w:r>
          </w:p>
          <w:p w14:paraId="39608F5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空间布局</w:t>
            </w:r>
          </w:p>
          <w:p w14:paraId="7E82C3B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约束的准</w:t>
            </w:r>
          </w:p>
          <w:p w14:paraId="4BCA1B4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入要求</w:t>
            </w:r>
          </w:p>
        </w:tc>
        <w:tc>
          <w:tcPr>
            <w:tcW w:w="848" w:type="dxa"/>
            <w:vMerge w:val="restart"/>
            <w:tcBorders>
              <w:left w:val="single" w:color="auto" w:sz="4" w:space="0"/>
            </w:tcBorders>
            <w:vAlign w:val="center"/>
          </w:tcPr>
          <w:p w14:paraId="5C14B77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禁止开发活动的要求</w:t>
            </w:r>
          </w:p>
        </w:tc>
        <w:tc>
          <w:tcPr>
            <w:tcW w:w="3972" w:type="dxa"/>
            <w:vAlign w:val="center"/>
          </w:tcPr>
          <w:p w14:paraId="613E75A3">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在永久基本农田范围内投资建设除国家重大战略资源勘查项目、生态保护修复和环境治理项目、重大基础设施项目、军事国防项目以及农民基本生产生活等必要的民生项目以外的项目。除《自然资源部关于做好占用永久基本农田重大建设项目用地预审的通知》(自然资规[2018]3号)确定的六类重大建设项目，以及深度贫困地区、集中连片特困地区、国家扶贫开发工作重点县、省级以下基础设施、易地扶贫搬迁、民生发展等建设项目外，各类非农建设项目严禁占用永久基本农田。</w:t>
            </w:r>
          </w:p>
        </w:tc>
        <w:tc>
          <w:tcPr>
            <w:tcW w:w="2126" w:type="dxa"/>
            <w:vAlign w:val="center"/>
          </w:tcPr>
          <w:p w14:paraId="72CA7BD1">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建设活动</w:t>
            </w:r>
            <w:r>
              <w:rPr>
                <w:rFonts w:ascii="Times New Roman" w:hAnsi="Times New Roman" w:cs="Times New Roman"/>
                <w:szCs w:val="21"/>
              </w:rPr>
              <w:t>要求，</w:t>
            </w:r>
            <w:r>
              <w:rPr>
                <w:rFonts w:hint="eastAsia" w:ascii="Times New Roman" w:hAnsi="Times New Roman" w:cs="Times New Roman"/>
                <w:szCs w:val="21"/>
              </w:rPr>
              <w:t>禁止占用永久基本农田。</w:t>
            </w:r>
          </w:p>
        </w:tc>
        <w:tc>
          <w:tcPr>
            <w:tcW w:w="907" w:type="dxa"/>
            <w:vAlign w:val="center"/>
          </w:tcPr>
          <w:p w14:paraId="25546DC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4561D7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D201B7A">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524143BC">
            <w:pPr>
              <w:pStyle w:val="45"/>
              <w:spacing w:line="320" w:lineRule="exact"/>
              <w:contextualSpacing/>
              <w:jc w:val="center"/>
              <w:rPr>
                <w:rFonts w:ascii="Times New Roman" w:hAnsi="Times New Roman" w:cs="Times New Roman"/>
                <w:szCs w:val="21"/>
              </w:rPr>
            </w:pPr>
          </w:p>
        </w:tc>
        <w:tc>
          <w:tcPr>
            <w:tcW w:w="3972" w:type="dxa"/>
            <w:vAlign w:val="center"/>
          </w:tcPr>
          <w:p w14:paraId="4B70CBF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在农产品产地外围隔离带内，禁止新建、改建、扩建有色金属、制革、石油、矿山、煤炭、焦化、化工、医药、铅酸蓄电池和电镀等土壤污染高风险行业企业及排放重金属污染物的项目，严格控制城镇开发建设。对农产品产地区域和外围隔离带已建企业应限期关停搬迁。</w:t>
            </w:r>
          </w:p>
        </w:tc>
        <w:tc>
          <w:tcPr>
            <w:tcW w:w="2126" w:type="dxa"/>
            <w:vAlign w:val="center"/>
          </w:tcPr>
          <w:p w14:paraId="1EB4ED4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规划主导产业无有色金属、制革、石油、矿山、煤炭、焦化、化工、医药、铅酸蓄电池和电镀等土壤污染高风险行业企业及排放重金属污染物的项目。</w:t>
            </w:r>
          </w:p>
        </w:tc>
        <w:tc>
          <w:tcPr>
            <w:tcW w:w="907" w:type="dxa"/>
            <w:vAlign w:val="center"/>
          </w:tcPr>
          <w:p w14:paraId="59DA7B8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3FB33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6BDF89D">
            <w:pPr>
              <w:pStyle w:val="45"/>
              <w:spacing w:line="320" w:lineRule="exact"/>
              <w:contextualSpacing/>
              <w:jc w:val="center"/>
              <w:rPr>
                <w:rFonts w:ascii="Times New Roman" w:hAnsi="Times New Roman" w:cs="Times New Roman"/>
                <w:szCs w:val="21"/>
              </w:rPr>
            </w:pPr>
          </w:p>
        </w:tc>
        <w:tc>
          <w:tcPr>
            <w:tcW w:w="848" w:type="dxa"/>
            <w:tcBorders>
              <w:left w:val="single" w:color="auto" w:sz="4" w:space="0"/>
            </w:tcBorders>
            <w:vAlign w:val="center"/>
          </w:tcPr>
          <w:p w14:paraId="1E37121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限制开发活动的要求</w:t>
            </w:r>
          </w:p>
        </w:tc>
        <w:tc>
          <w:tcPr>
            <w:tcW w:w="3972" w:type="dxa"/>
            <w:vAlign w:val="center"/>
          </w:tcPr>
          <w:p w14:paraId="13BD59D0">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对清洁农产品产地实行分级管理及跟踪管控，属于永久基本农田的农产品产地按相关法律法规实行永久保护；无风险和中轻度污染风险的农产品产地周边地区采取环境准入限制；重度污染风险区的农产品产地，实行结构调整和退耕还林、还草，禁止种植食用农产品。</w:t>
            </w:r>
          </w:p>
        </w:tc>
        <w:tc>
          <w:tcPr>
            <w:tcW w:w="2126" w:type="dxa"/>
            <w:vAlign w:val="center"/>
          </w:tcPr>
          <w:p w14:paraId="34B0780D">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建设活动</w:t>
            </w:r>
            <w:r>
              <w:rPr>
                <w:rFonts w:ascii="Times New Roman" w:hAnsi="Times New Roman" w:cs="Times New Roman"/>
                <w:szCs w:val="21"/>
              </w:rPr>
              <w:t>要求，</w:t>
            </w:r>
            <w:r>
              <w:rPr>
                <w:rFonts w:hint="eastAsia" w:ascii="Times New Roman" w:hAnsi="Times New Roman" w:cs="Times New Roman"/>
                <w:szCs w:val="21"/>
              </w:rPr>
              <w:t>禁止占用永久基本农田，对园区集中生产区周边涉及的耕地按要求实施保护。</w:t>
            </w:r>
          </w:p>
        </w:tc>
        <w:tc>
          <w:tcPr>
            <w:tcW w:w="907" w:type="dxa"/>
            <w:vAlign w:val="center"/>
          </w:tcPr>
          <w:p w14:paraId="4713AA6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1A13C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tcBorders>
              <w:right w:val="single" w:color="auto" w:sz="4" w:space="0"/>
            </w:tcBorders>
            <w:vAlign w:val="center"/>
          </w:tcPr>
          <w:p w14:paraId="626EB44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关于污染</w:t>
            </w:r>
          </w:p>
          <w:p w14:paraId="1A4BA0E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物排放管</w:t>
            </w:r>
          </w:p>
          <w:p w14:paraId="2A66BDC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控的准入</w:t>
            </w:r>
          </w:p>
          <w:p w14:paraId="300A50E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要求</w:t>
            </w:r>
          </w:p>
        </w:tc>
        <w:tc>
          <w:tcPr>
            <w:tcW w:w="848" w:type="dxa"/>
            <w:tcBorders>
              <w:left w:val="single" w:color="auto" w:sz="4" w:space="0"/>
            </w:tcBorders>
            <w:vAlign w:val="center"/>
          </w:tcPr>
          <w:p w14:paraId="26D97F4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允许排放量要</w:t>
            </w:r>
          </w:p>
          <w:p w14:paraId="15D53A5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求</w:t>
            </w:r>
          </w:p>
        </w:tc>
        <w:tc>
          <w:tcPr>
            <w:tcW w:w="3972" w:type="dxa"/>
            <w:vAlign w:val="center"/>
          </w:tcPr>
          <w:p w14:paraId="04DECDC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上一年度环境空气质量年平均浓度不达标的城市、水环境质量未达到要求的市县，建设项目实施主要污染物2倍削减替代；细颗粒物（PM</w:t>
            </w:r>
            <w:r>
              <w:rPr>
                <w:rFonts w:hint="eastAsia" w:ascii="Times New Roman" w:hAnsi="Times New Roman" w:cs="Times New Roman"/>
                <w:szCs w:val="21"/>
                <w:vertAlign w:val="subscript"/>
              </w:rPr>
              <w:t>2.5</w:t>
            </w:r>
            <w:r>
              <w:rPr>
                <w:rFonts w:hint="eastAsia" w:ascii="Times New Roman" w:hAnsi="Times New Roman" w:cs="Times New Roman"/>
                <w:szCs w:val="21"/>
              </w:rPr>
              <w:t>）年平均浓度不达标的城市，建设项目实施二氧化硫、氮氧化物、烟粉尘、挥发性有机物四项污染物2倍削减替代。</w:t>
            </w:r>
          </w:p>
        </w:tc>
        <w:tc>
          <w:tcPr>
            <w:tcW w:w="2126" w:type="dxa"/>
            <w:vAlign w:val="center"/>
          </w:tcPr>
          <w:p w14:paraId="199E4C0D">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按污染物排放管控提出入驻企业主要污染物总量申请的要求。</w:t>
            </w:r>
          </w:p>
        </w:tc>
        <w:tc>
          <w:tcPr>
            <w:tcW w:w="907" w:type="dxa"/>
            <w:vAlign w:val="center"/>
          </w:tcPr>
          <w:p w14:paraId="6C713D8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D5FB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tcBorders>
              <w:right w:val="single" w:color="auto" w:sz="4" w:space="0"/>
            </w:tcBorders>
            <w:vAlign w:val="center"/>
          </w:tcPr>
          <w:p w14:paraId="57EA877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关于法定保护地的准入要求</w:t>
            </w:r>
          </w:p>
        </w:tc>
        <w:tc>
          <w:tcPr>
            <w:tcW w:w="848" w:type="dxa"/>
            <w:tcBorders>
              <w:left w:val="single" w:color="auto" w:sz="4" w:space="0"/>
            </w:tcBorders>
            <w:vAlign w:val="center"/>
          </w:tcPr>
          <w:p w14:paraId="060D5DB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风景名胜区</w:t>
            </w:r>
          </w:p>
        </w:tc>
        <w:tc>
          <w:tcPr>
            <w:tcW w:w="3972" w:type="dxa"/>
            <w:vAlign w:val="center"/>
          </w:tcPr>
          <w:p w14:paraId="7159E6DC">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在风景名胜区内禁止从事下列活动：</w:t>
            </w:r>
          </w:p>
          <w:p w14:paraId="36B6F1B2">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一）开山、采石、开矿、开荒、修坟立碑等破坏景观、植被和地形地貌的活动；（二）修建储存爆炸性、易燃性、放射性、毒害性、腐蚀性物品的设施；（三）填湖建房、围湖造田、筑坝拦汊以及以其他方式侵占和分割水面；（四）违反规定养殖、种植、放牧、狩猎、捕捞；（五）砍伐或者擅自移植古树名木；（六）在禁火区内吸烟、点火、烧香、燃放烟花爆竹或者孔明灯等带有明火的空中飘移物；（七）在景物、设施上刻划、涂污或者以其他方式损坏景物、设施；（八）乱扔垃圾；（九）法律法规规定的其他破坏景观、污染环境的活动。</w:t>
            </w:r>
          </w:p>
        </w:tc>
        <w:tc>
          <w:tcPr>
            <w:tcW w:w="2126" w:type="dxa"/>
            <w:vAlign w:val="center"/>
          </w:tcPr>
          <w:p w14:paraId="7231EDA7">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规划范围严格用地审批，按管控要求提出生产企业用地不得占用风景名胜区。</w:t>
            </w:r>
          </w:p>
        </w:tc>
        <w:tc>
          <w:tcPr>
            <w:tcW w:w="907" w:type="dxa"/>
            <w:vAlign w:val="center"/>
          </w:tcPr>
          <w:p w14:paraId="674DB29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4D649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5"/>
            <w:vAlign w:val="center"/>
          </w:tcPr>
          <w:p w14:paraId="0797824B">
            <w:pPr>
              <w:pStyle w:val="45"/>
              <w:spacing w:line="320" w:lineRule="exact"/>
              <w:contextualSpacing/>
              <w:jc w:val="center"/>
              <w:rPr>
                <w:rFonts w:ascii="Times New Roman" w:hAnsi="Times New Roman" w:cs="Times New Roman"/>
                <w:b/>
                <w:bCs/>
                <w:szCs w:val="21"/>
              </w:rPr>
            </w:pPr>
            <w:r>
              <w:rPr>
                <w:rFonts w:hint="eastAsia" w:ascii="Times New Roman" w:hAnsi="Times New Roman" w:cs="Times New Roman"/>
                <w:b/>
                <w:bCs/>
                <w:szCs w:val="21"/>
              </w:rPr>
              <w:t>随州市生态环境总体准入要求</w:t>
            </w:r>
          </w:p>
        </w:tc>
      </w:tr>
      <w:tr w14:paraId="0B091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7F93911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空间布局约束</w:t>
            </w:r>
          </w:p>
        </w:tc>
        <w:tc>
          <w:tcPr>
            <w:tcW w:w="848" w:type="dxa"/>
            <w:vMerge w:val="restart"/>
            <w:tcBorders>
              <w:left w:val="single" w:color="auto" w:sz="4" w:space="0"/>
            </w:tcBorders>
            <w:vAlign w:val="center"/>
          </w:tcPr>
          <w:p w14:paraId="02377D6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限制开发建设活动的要求</w:t>
            </w:r>
          </w:p>
        </w:tc>
        <w:tc>
          <w:tcPr>
            <w:tcW w:w="3972" w:type="dxa"/>
            <w:vAlign w:val="center"/>
          </w:tcPr>
          <w:p w14:paraId="2BEC450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除规划的集中供热热源外，其它区域不得新建燃煤锅炉。禁止直接燃用高灰分、高硫分煤炭。</w:t>
            </w:r>
          </w:p>
        </w:tc>
        <w:tc>
          <w:tcPr>
            <w:tcW w:w="2126" w:type="dxa"/>
            <w:vAlign w:val="center"/>
          </w:tcPr>
          <w:p w14:paraId="09C2E8C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规划园区不涉及燃煤锅炉。</w:t>
            </w:r>
            <w:r>
              <w:rPr>
                <w:rFonts w:ascii="Times New Roman" w:hAnsi="Times New Roman" w:cs="Times New Roman"/>
                <w:szCs w:val="21"/>
              </w:rPr>
              <w:t xml:space="preserve"> </w:t>
            </w:r>
          </w:p>
        </w:tc>
        <w:tc>
          <w:tcPr>
            <w:tcW w:w="907" w:type="dxa"/>
            <w:vAlign w:val="center"/>
          </w:tcPr>
          <w:p w14:paraId="41E3A91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0C3A6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0890B1CC">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73070969">
            <w:pPr>
              <w:pStyle w:val="45"/>
              <w:spacing w:line="320" w:lineRule="exact"/>
              <w:contextualSpacing/>
              <w:jc w:val="center"/>
              <w:rPr>
                <w:rFonts w:ascii="Times New Roman" w:hAnsi="Times New Roman" w:cs="Times New Roman"/>
                <w:szCs w:val="21"/>
              </w:rPr>
            </w:pPr>
          </w:p>
        </w:tc>
        <w:tc>
          <w:tcPr>
            <w:tcW w:w="3972" w:type="dxa"/>
            <w:vAlign w:val="center"/>
          </w:tcPr>
          <w:p w14:paraId="76FC4C7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严格限制在生态脆弱或环境敏感地区建设“两高”行业项目。</w:t>
            </w:r>
          </w:p>
        </w:tc>
        <w:tc>
          <w:tcPr>
            <w:tcW w:w="2126" w:type="dxa"/>
            <w:vAlign w:val="center"/>
          </w:tcPr>
          <w:p w14:paraId="2987E020">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园区规划定位为石材加工产业、绿色循环产业等，不涉及两高行业项目。</w:t>
            </w:r>
          </w:p>
        </w:tc>
        <w:tc>
          <w:tcPr>
            <w:tcW w:w="907" w:type="dxa"/>
            <w:vAlign w:val="center"/>
          </w:tcPr>
          <w:p w14:paraId="2D8D987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2C8F88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0A8ACE74">
            <w:pPr>
              <w:pStyle w:val="45"/>
              <w:spacing w:line="320" w:lineRule="exact"/>
              <w:contextualSpacing/>
              <w:jc w:val="center"/>
              <w:rPr>
                <w:rFonts w:ascii="Times New Roman" w:hAnsi="Times New Roman" w:cs="Times New Roman"/>
                <w:szCs w:val="21"/>
              </w:rPr>
            </w:pPr>
          </w:p>
        </w:tc>
        <w:tc>
          <w:tcPr>
            <w:tcW w:w="848" w:type="dxa"/>
            <w:tcBorders>
              <w:left w:val="single" w:color="auto" w:sz="4" w:space="0"/>
            </w:tcBorders>
            <w:vAlign w:val="center"/>
          </w:tcPr>
          <w:p w14:paraId="02FD229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不符合空间布局要求活动的退出要求</w:t>
            </w:r>
          </w:p>
        </w:tc>
        <w:tc>
          <w:tcPr>
            <w:tcW w:w="3972" w:type="dxa"/>
            <w:vAlign w:val="center"/>
          </w:tcPr>
          <w:p w14:paraId="0AC7761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新建不符合布局要求的项目，已建的项目调整到规划范围内。府河流域以及全市“重要水库”库区严格控制高耗水、高污染行业发展，严格控制石油加工、化学原料和化学制品制造、医药制造、化学纤维制造、有色金属冶炼、造纸、纺织印染等项目环境风险，合理布局生产装置及危险化学品仓储等设施。</w:t>
            </w:r>
          </w:p>
        </w:tc>
        <w:tc>
          <w:tcPr>
            <w:tcW w:w="2126" w:type="dxa"/>
            <w:vAlign w:val="center"/>
          </w:tcPr>
          <w:p w14:paraId="20BE8BF5">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入驻行业</w:t>
            </w:r>
            <w:r>
              <w:rPr>
                <w:rFonts w:ascii="Times New Roman" w:hAnsi="Times New Roman" w:cs="Times New Roman"/>
                <w:szCs w:val="21"/>
              </w:rPr>
              <w:t>准入要求，严格执行。</w:t>
            </w:r>
          </w:p>
        </w:tc>
        <w:tc>
          <w:tcPr>
            <w:tcW w:w="907" w:type="dxa"/>
            <w:vAlign w:val="center"/>
          </w:tcPr>
          <w:p w14:paraId="3FDE5F4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5D902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2AA29E8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污染物排放管控</w:t>
            </w:r>
          </w:p>
        </w:tc>
        <w:tc>
          <w:tcPr>
            <w:tcW w:w="848" w:type="dxa"/>
            <w:vMerge w:val="restart"/>
            <w:tcBorders>
              <w:left w:val="single" w:color="auto" w:sz="4" w:space="0"/>
            </w:tcBorders>
            <w:vAlign w:val="center"/>
          </w:tcPr>
          <w:p w14:paraId="647FE43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允许排放量要求</w:t>
            </w:r>
          </w:p>
        </w:tc>
        <w:tc>
          <w:tcPr>
            <w:tcW w:w="3972" w:type="dxa"/>
            <w:vAlign w:val="center"/>
          </w:tcPr>
          <w:p w14:paraId="067F9B00">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随州市、县级城市、乡镇污水处理率分别达到 95%、85%、75%。</w:t>
            </w:r>
          </w:p>
        </w:tc>
        <w:tc>
          <w:tcPr>
            <w:tcW w:w="2126" w:type="dxa"/>
            <w:vAlign w:val="center"/>
          </w:tcPr>
          <w:p w14:paraId="1E5113A8">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规划园区石材加工企业废水均处理后回用，生活污水处理后排入污水处理厂或综合利用不外排。</w:t>
            </w:r>
          </w:p>
        </w:tc>
        <w:tc>
          <w:tcPr>
            <w:tcW w:w="907" w:type="dxa"/>
            <w:vAlign w:val="center"/>
          </w:tcPr>
          <w:p w14:paraId="407AA85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567456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0B5B9B65">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4685F85B">
            <w:pPr>
              <w:pStyle w:val="45"/>
              <w:spacing w:line="320" w:lineRule="exact"/>
              <w:contextualSpacing/>
              <w:jc w:val="center"/>
              <w:rPr>
                <w:rFonts w:ascii="Times New Roman" w:hAnsi="Times New Roman" w:cs="Times New Roman"/>
                <w:szCs w:val="21"/>
              </w:rPr>
            </w:pPr>
          </w:p>
        </w:tc>
        <w:tc>
          <w:tcPr>
            <w:tcW w:w="3972" w:type="dxa"/>
            <w:vAlign w:val="center"/>
          </w:tcPr>
          <w:p w14:paraId="2A30064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畜禽规模化养殖场粪便利用率达到90%以上，所有规模养殖场粪污处理设施装备配套率达到95%以上。</w:t>
            </w:r>
          </w:p>
        </w:tc>
        <w:tc>
          <w:tcPr>
            <w:tcW w:w="2126" w:type="dxa"/>
            <w:vAlign w:val="center"/>
          </w:tcPr>
          <w:p w14:paraId="138BDE3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907" w:type="dxa"/>
            <w:vAlign w:val="center"/>
          </w:tcPr>
          <w:p w14:paraId="5508BAA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B255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2F80C56F">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1432E49E">
            <w:pPr>
              <w:pStyle w:val="45"/>
              <w:spacing w:line="320" w:lineRule="exact"/>
              <w:contextualSpacing/>
              <w:jc w:val="center"/>
              <w:rPr>
                <w:rFonts w:ascii="Times New Roman" w:hAnsi="Times New Roman" w:cs="Times New Roman"/>
                <w:szCs w:val="21"/>
              </w:rPr>
            </w:pPr>
          </w:p>
        </w:tc>
        <w:tc>
          <w:tcPr>
            <w:tcW w:w="3972" w:type="dxa"/>
            <w:vAlign w:val="center"/>
          </w:tcPr>
          <w:p w14:paraId="63B6CA06">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全市城市污泥无害化处理处置率达到90%以上，90%的行政村生活垃圾有效处理。</w:t>
            </w:r>
          </w:p>
        </w:tc>
        <w:tc>
          <w:tcPr>
            <w:tcW w:w="2126" w:type="dxa"/>
            <w:vAlign w:val="center"/>
          </w:tcPr>
          <w:p w14:paraId="6A9904A8">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按管控要求严格执行。</w:t>
            </w:r>
          </w:p>
        </w:tc>
        <w:tc>
          <w:tcPr>
            <w:tcW w:w="907" w:type="dxa"/>
            <w:vAlign w:val="center"/>
          </w:tcPr>
          <w:p w14:paraId="6F1C62F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41C66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8D4BB01">
            <w:pPr>
              <w:pStyle w:val="45"/>
              <w:spacing w:line="320" w:lineRule="exact"/>
              <w:contextualSpacing/>
              <w:jc w:val="center"/>
              <w:rPr>
                <w:rFonts w:ascii="Times New Roman" w:hAnsi="Times New Roman" w:cs="Times New Roman"/>
                <w:szCs w:val="21"/>
              </w:rPr>
            </w:pPr>
          </w:p>
        </w:tc>
        <w:tc>
          <w:tcPr>
            <w:tcW w:w="848" w:type="dxa"/>
            <w:tcBorders>
              <w:left w:val="single" w:color="auto" w:sz="4" w:space="0"/>
            </w:tcBorders>
            <w:vAlign w:val="center"/>
          </w:tcPr>
          <w:p w14:paraId="0F548AC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现有源提标升级改造</w:t>
            </w:r>
          </w:p>
        </w:tc>
        <w:tc>
          <w:tcPr>
            <w:tcW w:w="3972" w:type="dxa"/>
            <w:vAlign w:val="center"/>
          </w:tcPr>
          <w:p w14:paraId="7963590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现有城镇污水处理设施应限期开展提标升级改造，达到相应排放标准或再生利用要求。府河、广水河、应山河沿岸城市建成区，新建城镇污水处理设施要执行一级A排放标准。全市所有乡镇均具备污水收集处理能力。</w:t>
            </w:r>
          </w:p>
        </w:tc>
        <w:tc>
          <w:tcPr>
            <w:tcW w:w="2126" w:type="dxa"/>
            <w:vAlign w:val="center"/>
          </w:tcPr>
          <w:p w14:paraId="33496C03">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规划园区完善污水收集管网，确保园区生活污水应收尽收，并纳入污水处理厂进一步处理。</w:t>
            </w:r>
          </w:p>
        </w:tc>
        <w:tc>
          <w:tcPr>
            <w:tcW w:w="907" w:type="dxa"/>
            <w:vAlign w:val="center"/>
          </w:tcPr>
          <w:p w14:paraId="2E2F50C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25E2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5389380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环境风险防控</w:t>
            </w:r>
          </w:p>
        </w:tc>
        <w:tc>
          <w:tcPr>
            <w:tcW w:w="848" w:type="dxa"/>
            <w:vMerge w:val="restart"/>
            <w:tcBorders>
              <w:left w:val="single" w:color="auto" w:sz="4" w:space="0"/>
            </w:tcBorders>
            <w:vAlign w:val="center"/>
          </w:tcPr>
          <w:p w14:paraId="14DEDF9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联防联控要求</w:t>
            </w:r>
          </w:p>
        </w:tc>
        <w:tc>
          <w:tcPr>
            <w:tcW w:w="3972" w:type="dxa"/>
            <w:tcBorders>
              <w:bottom w:val="single" w:color="auto" w:sz="4" w:space="0"/>
            </w:tcBorders>
            <w:vAlign w:val="center"/>
          </w:tcPr>
          <w:p w14:paraId="218E6C82">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建立大气污染防治联防联控机制和区域联防联控格局。</w:t>
            </w:r>
          </w:p>
        </w:tc>
        <w:tc>
          <w:tcPr>
            <w:tcW w:w="2126" w:type="dxa"/>
            <w:tcBorders>
              <w:bottom w:val="single" w:color="auto" w:sz="4" w:space="0"/>
            </w:tcBorders>
            <w:vAlign w:val="center"/>
          </w:tcPr>
          <w:p w14:paraId="6F5EBECB">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按管控要求严格执行。</w:t>
            </w:r>
          </w:p>
        </w:tc>
        <w:tc>
          <w:tcPr>
            <w:tcW w:w="907" w:type="dxa"/>
            <w:tcBorders>
              <w:bottom w:val="single" w:color="auto" w:sz="4" w:space="0"/>
            </w:tcBorders>
            <w:vAlign w:val="center"/>
          </w:tcPr>
          <w:p w14:paraId="5AA21CF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3241D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5775C84D">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2F43278D">
            <w:pPr>
              <w:pStyle w:val="45"/>
              <w:spacing w:line="320" w:lineRule="exact"/>
              <w:contextualSpacing/>
              <w:jc w:val="center"/>
              <w:rPr>
                <w:rFonts w:ascii="Times New Roman" w:hAnsi="Times New Roman" w:cs="Times New Roman"/>
                <w:szCs w:val="21"/>
              </w:rPr>
            </w:pPr>
          </w:p>
        </w:tc>
        <w:tc>
          <w:tcPr>
            <w:tcW w:w="3972" w:type="dxa"/>
            <w:tcBorders>
              <w:bottom w:val="single" w:color="auto" w:sz="4" w:space="0"/>
            </w:tcBorders>
            <w:vAlign w:val="center"/>
          </w:tcPr>
          <w:p w14:paraId="494A00F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建立健全地下水污染风险防范体系和监测体系，建立地下水监测信息共享平台。</w:t>
            </w:r>
          </w:p>
        </w:tc>
        <w:tc>
          <w:tcPr>
            <w:tcW w:w="2126" w:type="dxa"/>
            <w:tcBorders>
              <w:bottom w:val="single" w:color="auto" w:sz="4" w:space="0"/>
            </w:tcBorders>
            <w:vAlign w:val="center"/>
          </w:tcPr>
          <w:p w14:paraId="142FBAEF">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按管控要求严格执行。</w:t>
            </w:r>
          </w:p>
        </w:tc>
        <w:tc>
          <w:tcPr>
            <w:tcW w:w="907" w:type="dxa"/>
            <w:tcBorders>
              <w:bottom w:val="single" w:color="auto" w:sz="4" w:space="0"/>
            </w:tcBorders>
            <w:vAlign w:val="center"/>
          </w:tcPr>
          <w:p w14:paraId="09ADAB4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51B46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AF76C82">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3C519064">
            <w:pPr>
              <w:pStyle w:val="45"/>
              <w:spacing w:line="320" w:lineRule="exact"/>
              <w:contextualSpacing/>
              <w:jc w:val="center"/>
              <w:rPr>
                <w:rFonts w:ascii="Times New Roman" w:hAnsi="Times New Roman" w:cs="Times New Roman"/>
                <w:szCs w:val="21"/>
              </w:rPr>
            </w:pPr>
          </w:p>
        </w:tc>
        <w:tc>
          <w:tcPr>
            <w:tcW w:w="3972" w:type="dxa"/>
            <w:tcBorders>
              <w:top w:val="single" w:color="auto" w:sz="4" w:space="0"/>
              <w:bottom w:val="single" w:color="auto" w:sz="4" w:space="0"/>
            </w:tcBorders>
            <w:vAlign w:val="center"/>
          </w:tcPr>
          <w:p w14:paraId="1544A58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建设土壤环境质量监测网络。实现土壤环境质量监测点位所有县（市、区）全覆盖。</w:t>
            </w:r>
          </w:p>
        </w:tc>
        <w:tc>
          <w:tcPr>
            <w:tcW w:w="2126" w:type="dxa"/>
            <w:tcBorders>
              <w:top w:val="single" w:color="auto" w:sz="4" w:space="0"/>
              <w:bottom w:val="single" w:color="auto" w:sz="4" w:space="0"/>
            </w:tcBorders>
            <w:vAlign w:val="center"/>
          </w:tcPr>
          <w:p w14:paraId="4A451714">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按管控要求严格执行。</w:t>
            </w:r>
          </w:p>
        </w:tc>
        <w:tc>
          <w:tcPr>
            <w:tcW w:w="907" w:type="dxa"/>
            <w:tcBorders>
              <w:top w:val="single" w:color="auto" w:sz="4" w:space="0"/>
              <w:bottom w:val="single" w:color="auto" w:sz="4" w:space="0"/>
            </w:tcBorders>
            <w:vAlign w:val="center"/>
          </w:tcPr>
          <w:p w14:paraId="64104C7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117EF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58030E2">
            <w:pPr>
              <w:pStyle w:val="45"/>
              <w:spacing w:line="320" w:lineRule="exact"/>
              <w:contextualSpacing/>
              <w:jc w:val="center"/>
              <w:rPr>
                <w:rFonts w:ascii="Times New Roman" w:hAnsi="Times New Roman" w:cs="Times New Roman"/>
                <w:szCs w:val="21"/>
              </w:rPr>
            </w:pPr>
          </w:p>
        </w:tc>
        <w:tc>
          <w:tcPr>
            <w:tcW w:w="848" w:type="dxa"/>
            <w:vMerge w:val="continue"/>
            <w:tcBorders>
              <w:left w:val="single" w:color="auto" w:sz="4" w:space="0"/>
            </w:tcBorders>
            <w:vAlign w:val="center"/>
          </w:tcPr>
          <w:p w14:paraId="7E3517E6">
            <w:pPr>
              <w:pStyle w:val="45"/>
              <w:spacing w:line="320" w:lineRule="exact"/>
              <w:contextualSpacing/>
              <w:jc w:val="center"/>
              <w:rPr>
                <w:rFonts w:ascii="Times New Roman" w:hAnsi="Times New Roman" w:cs="Times New Roman"/>
                <w:szCs w:val="21"/>
              </w:rPr>
            </w:pPr>
          </w:p>
        </w:tc>
        <w:tc>
          <w:tcPr>
            <w:tcW w:w="3972" w:type="dxa"/>
            <w:tcBorders>
              <w:top w:val="single" w:color="auto" w:sz="4" w:space="0"/>
              <w:bottom w:val="single" w:color="auto" w:sz="4" w:space="0"/>
            </w:tcBorders>
            <w:vAlign w:val="center"/>
          </w:tcPr>
          <w:p w14:paraId="6C95BD1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建立水环境联防联控综合协调机制，重点推进实施府河、澴河流域区域水环境分区管控。重点开展水污染风险防控，强化水环境应急管理，对涉危涉重重点行业的应急工作实行动态管理。</w:t>
            </w:r>
          </w:p>
        </w:tc>
        <w:tc>
          <w:tcPr>
            <w:tcW w:w="2126" w:type="dxa"/>
            <w:tcBorders>
              <w:top w:val="single" w:color="auto" w:sz="4" w:space="0"/>
              <w:bottom w:val="single" w:color="auto" w:sz="4" w:space="0"/>
            </w:tcBorders>
            <w:vAlign w:val="center"/>
          </w:tcPr>
          <w:p w14:paraId="0C8FE18F">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907" w:type="dxa"/>
            <w:tcBorders>
              <w:top w:val="single" w:color="auto" w:sz="4" w:space="0"/>
              <w:bottom w:val="single" w:color="auto" w:sz="4" w:space="0"/>
            </w:tcBorders>
            <w:vAlign w:val="center"/>
          </w:tcPr>
          <w:p w14:paraId="517BE97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073D2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restart"/>
            <w:tcBorders>
              <w:right w:val="single" w:color="auto" w:sz="4" w:space="0"/>
            </w:tcBorders>
            <w:vAlign w:val="center"/>
          </w:tcPr>
          <w:p w14:paraId="6DC2383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资源利用效率要求</w:t>
            </w:r>
          </w:p>
        </w:tc>
        <w:tc>
          <w:tcPr>
            <w:tcW w:w="848" w:type="dxa"/>
            <w:tcBorders>
              <w:left w:val="single" w:color="auto" w:sz="4" w:space="0"/>
              <w:bottom w:val="single" w:color="auto" w:sz="4" w:space="0"/>
            </w:tcBorders>
            <w:vAlign w:val="center"/>
          </w:tcPr>
          <w:p w14:paraId="6AAAF2E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水资源利用总量要求</w:t>
            </w:r>
          </w:p>
        </w:tc>
        <w:tc>
          <w:tcPr>
            <w:tcW w:w="3972" w:type="dxa"/>
            <w:tcBorders>
              <w:bottom w:val="single" w:color="auto" w:sz="4" w:space="0"/>
            </w:tcBorders>
            <w:vAlign w:val="center"/>
          </w:tcPr>
          <w:p w14:paraId="2C60943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到2030年，全市用水总量控制在12.88亿立方米以内。</w:t>
            </w:r>
          </w:p>
        </w:tc>
        <w:tc>
          <w:tcPr>
            <w:tcW w:w="2126" w:type="dxa"/>
            <w:tcBorders>
              <w:bottom w:val="single" w:color="auto" w:sz="4" w:space="0"/>
            </w:tcBorders>
            <w:vAlign w:val="center"/>
          </w:tcPr>
          <w:p w14:paraId="5C4483A0">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规划提出生产废水循环利用，严格控制用水总量。</w:t>
            </w:r>
          </w:p>
        </w:tc>
        <w:tc>
          <w:tcPr>
            <w:tcW w:w="907" w:type="dxa"/>
            <w:tcBorders>
              <w:bottom w:val="single" w:color="auto" w:sz="4" w:space="0"/>
            </w:tcBorders>
            <w:vAlign w:val="center"/>
          </w:tcPr>
          <w:p w14:paraId="357F89A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E4A7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75" w:type="dxa"/>
            <w:vMerge w:val="continue"/>
            <w:tcBorders>
              <w:right w:val="single" w:color="auto" w:sz="4" w:space="0"/>
            </w:tcBorders>
            <w:vAlign w:val="center"/>
          </w:tcPr>
          <w:p w14:paraId="3E89EA9E">
            <w:pPr>
              <w:pStyle w:val="45"/>
              <w:spacing w:line="320" w:lineRule="exact"/>
              <w:contextualSpacing/>
              <w:jc w:val="center"/>
              <w:rPr>
                <w:rFonts w:ascii="Times New Roman" w:hAnsi="Times New Roman" w:cs="Times New Roman"/>
                <w:szCs w:val="21"/>
              </w:rPr>
            </w:pPr>
          </w:p>
        </w:tc>
        <w:tc>
          <w:tcPr>
            <w:tcW w:w="848" w:type="dxa"/>
            <w:tcBorders>
              <w:top w:val="single" w:color="auto" w:sz="4" w:space="0"/>
              <w:left w:val="single" w:color="auto" w:sz="4" w:space="0"/>
            </w:tcBorders>
            <w:vAlign w:val="center"/>
          </w:tcPr>
          <w:p w14:paraId="2A96D55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禁燃区要求</w:t>
            </w:r>
          </w:p>
        </w:tc>
        <w:tc>
          <w:tcPr>
            <w:tcW w:w="3972" w:type="dxa"/>
            <w:tcBorders>
              <w:top w:val="single" w:color="auto" w:sz="4" w:space="0"/>
              <w:bottom w:val="single" w:color="auto" w:sz="12" w:space="0"/>
            </w:tcBorders>
            <w:vAlign w:val="center"/>
          </w:tcPr>
          <w:p w14:paraId="1BD3A66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禁止新建、扩建燃用高污染燃料的项目和设施，已建成的应逐步或依法限期改用天然气、电或者其他清洁能源。全市范围禁止新建20蒸吨/小时以下的燃煤锅炉。</w:t>
            </w:r>
          </w:p>
        </w:tc>
        <w:tc>
          <w:tcPr>
            <w:tcW w:w="2126" w:type="dxa"/>
            <w:tcBorders>
              <w:top w:val="single" w:color="auto" w:sz="4" w:space="0"/>
              <w:bottom w:val="single" w:color="auto" w:sz="12" w:space="0"/>
            </w:tcBorders>
            <w:vAlign w:val="center"/>
          </w:tcPr>
          <w:p w14:paraId="70E13D8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 xml:space="preserve">规划园区主要采用天然气和液化石油气、电作为能源，均为清洁能源。 </w:t>
            </w:r>
          </w:p>
        </w:tc>
        <w:tc>
          <w:tcPr>
            <w:tcW w:w="907" w:type="dxa"/>
            <w:tcBorders>
              <w:top w:val="single" w:color="auto" w:sz="4" w:space="0"/>
              <w:bottom w:val="single" w:color="auto" w:sz="12" w:space="0"/>
            </w:tcBorders>
            <w:vAlign w:val="center"/>
          </w:tcPr>
          <w:p w14:paraId="014AC0D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bl>
    <w:p w14:paraId="07AAC6F9">
      <w:pPr>
        <w:spacing w:line="360" w:lineRule="auto"/>
        <w:ind w:firstLine="422" w:firstLineChars="200"/>
        <w:jc w:val="center"/>
        <w:rPr>
          <w:b/>
          <w:szCs w:val="21"/>
        </w:rPr>
      </w:pPr>
      <w:r>
        <w:rPr>
          <w:rFonts w:hint="eastAsia"/>
          <w:b/>
          <w:szCs w:val="21"/>
        </w:rPr>
        <w:t>表2.2.3</w:t>
      </w:r>
      <w:r>
        <w:rPr>
          <w:b/>
          <w:szCs w:val="21"/>
        </w:rPr>
        <w:t>-</w:t>
      </w:r>
      <w:r>
        <w:rPr>
          <w:rFonts w:hint="eastAsia"/>
          <w:b/>
          <w:szCs w:val="21"/>
        </w:rPr>
        <w:t>2   规划园区与万和镇优先保护单元要求的符合性分析</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8"/>
        <w:gridCol w:w="4493"/>
        <w:gridCol w:w="2126"/>
        <w:gridCol w:w="893"/>
      </w:tblGrid>
      <w:tr w14:paraId="3AEC9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Align w:val="center"/>
          </w:tcPr>
          <w:p w14:paraId="4F4DF95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管控类型</w:t>
            </w:r>
          </w:p>
        </w:tc>
        <w:tc>
          <w:tcPr>
            <w:tcW w:w="4493" w:type="dxa"/>
            <w:vAlign w:val="center"/>
          </w:tcPr>
          <w:p w14:paraId="4F7934A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管控要求</w:t>
            </w:r>
          </w:p>
        </w:tc>
        <w:tc>
          <w:tcPr>
            <w:tcW w:w="2126" w:type="dxa"/>
            <w:vAlign w:val="center"/>
          </w:tcPr>
          <w:p w14:paraId="200221A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规划情况</w:t>
            </w:r>
          </w:p>
        </w:tc>
        <w:tc>
          <w:tcPr>
            <w:tcW w:w="893" w:type="dxa"/>
            <w:vAlign w:val="center"/>
          </w:tcPr>
          <w:p w14:paraId="5418D30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符合性</w:t>
            </w:r>
          </w:p>
        </w:tc>
      </w:tr>
      <w:tr w14:paraId="3733C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4FAA78E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空间布局约束</w:t>
            </w:r>
          </w:p>
        </w:tc>
        <w:tc>
          <w:tcPr>
            <w:tcW w:w="4493" w:type="dxa"/>
            <w:tcBorders>
              <w:bottom w:val="single" w:color="auto" w:sz="4" w:space="0"/>
            </w:tcBorders>
            <w:vAlign w:val="center"/>
          </w:tcPr>
          <w:p w14:paraId="4F3480F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1.单元内林地执行湖北省总体准入中关于自然生态空间、天然林、公益林等的准入要求。</w:t>
            </w:r>
          </w:p>
        </w:tc>
        <w:tc>
          <w:tcPr>
            <w:tcW w:w="2126" w:type="dxa"/>
            <w:tcBorders>
              <w:bottom w:val="single" w:color="auto" w:sz="4" w:space="0"/>
            </w:tcBorders>
            <w:vAlign w:val="center"/>
          </w:tcPr>
          <w:p w14:paraId="6D6B4BA1">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林</w:t>
            </w:r>
            <w:r>
              <w:rPr>
                <w:rFonts w:ascii="Times New Roman" w:hAnsi="Times New Roman" w:cs="Times New Roman"/>
                <w:szCs w:val="21"/>
              </w:rPr>
              <w:t>地准入要求，严格执行。</w:t>
            </w:r>
          </w:p>
        </w:tc>
        <w:tc>
          <w:tcPr>
            <w:tcW w:w="893" w:type="dxa"/>
            <w:tcBorders>
              <w:bottom w:val="single" w:color="auto" w:sz="4" w:space="0"/>
            </w:tcBorders>
            <w:vAlign w:val="center"/>
          </w:tcPr>
          <w:p w14:paraId="17D8FDD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6CD6E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696595B7">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6CF4254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随县石材循环经济产业园新建、改扩建项目应符合园区规划及规划环评（跟踪评价）中的准入要求。产业园内禁止小生产规模板材项目、禁止不采用湿切工艺、废水无沉淀处理工艺、打磨无除尘设施的项目引入。</w:t>
            </w:r>
          </w:p>
        </w:tc>
        <w:tc>
          <w:tcPr>
            <w:tcW w:w="2126" w:type="dxa"/>
            <w:tcBorders>
              <w:top w:val="single" w:color="auto" w:sz="4" w:space="0"/>
              <w:bottom w:val="single" w:color="auto" w:sz="4" w:space="0"/>
            </w:tcBorders>
            <w:vAlign w:val="center"/>
          </w:tcPr>
          <w:p w14:paraId="13B0714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本次规划对入驻的石材企业提出生态环境准入要求和负面清单，将小生产规模板材项目、不采用湿切工艺、废水无沉淀处理工艺、打磨无除尘设施的项目列入禁止类。</w:t>
            </w:r>
          </w:p>
        </w:tc>
        <w:tc>
          <w:tcPr>
            <w:tcW w:w="893" w:type="dxa"/>
            <w:tcBorders>
              <w:top w:val="single" w:color="auto" w:sz="4" w:space="0"/>
              <w:bottom w:val="single" w:color="auto" w:sz="4" w:space="0"/>
            </w:tcBorders>
            <w:vAlign w:val="center"/>
          </w:tcPr>
          <w:p w14:paraId="041BDF1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3DA0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5746C7B3">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7855BCE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3.单元内农业种植禁止使用剧毒、高残留的农药、兽药。水产养殖禁止养殖珍珠和在江河、湖库、输水渠等水体进行围栏围网养殖、投肥（粪）养殖。</w:t>
            </w:r>
          </w:p>
        </w:tc>
        <w:tc>
          <w:tcPr>
            <w:tcW w:w="2126" w:type="dxa"/>
            <w:tcBorders>
              <w:top w:val="single" w:color="auto" w:sz="4" w:space="0"/>
              <w:bottom w:val="single" w:color="auto" w:sz="4" w:space="0"/>
            </w:tcBorders>
            <w:vAlign w:val="center"/>
          </w:tcPr>
          <w:p w14:paraId="515EE86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893" w:type="dxa"/>
            <w:tcBorders>
              <w:top w:val="single" w:color="auto" w:sz="4" w:space="0"/>
              <w:bottom w:val="single" w:color="auto" w:sz="4" w:space="0"/>
            </w:tcBorders>
            <w:vAlign w:val="center"/>
          </w:tcPr>
          <w:p w14:paraId="4BDC6334">
            <w:pPr>
              <w:pStyle w:val="45"/>
              <w:spacing w:line="320" w:lineRule="exact"/>
              <w:contextualSpacing/>
              <w:jc w:val="center"/>
              <w:rPr>
                <w:rFonts w:ascii="Times New Roman" w:hAnsi="Times New Roman" w:cs="Times New Roman"/>
                <w:szCs w:val="21"/>
              </w:rPr>
            </w:pPr>
          </w:p>
        </w:tc>
      </w:tr>
      <w:tr w14:paraId="0D27D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5E4FF4C2">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000000" w:sz="12" w:space="0"/>
            </w:tcBorders>
            <w:vAlign w:val="center"/>
          </w:tcPr>
          <w:p w14:paraId="67028E2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4.单元内的农用地执行湖北省总体准入中关于耕地空间布局约束的准入要求。</w:t>
            </w:r>
          </w:p>
        </w:tc>
        <w:tc>
          <w:tcPr>
            <w:tcW w:w="2126" w:type="dxa"/>
            <w:tcBorders>
              <w:top w:val="single" w:color="auto" w:sz="4" w:space="0"/>
              <w:bottom w:val="single" w:color="000000" w:sz="12" w:space="0"/>
            </w:tcBorders>
            <w:vAlign w:val="center"/>
          </w:tcPr>
          <w:p w14:paraId="0E3B8832">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按管控要求提出农用地准入要求，严格执行。</w:t>
            </w:r>
          </w:p>
        </w:tc>
        <w:tc>
          <w:tcPr>
            <w:tcW w:w="893" w:type="dxa"/>
            <w:tcBorders>
              <w:top w:val="single" w:color="auto" w:sz="4" w:space="0"/>
              <w:bottom w:val="single" w:color="000000" w:sz="12" w:space="0"/>
            </w:tcBorders>
            <w:vAlign w:val="center"/>
          </w:tcPr>
          <w:p w14:paraId="2EE847B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bl>
    <w:p w14:paraId="2DE3807A">
      <w:pPr>
        <w:spacing w:line="360" w:lineRule="auto"/>
        <w:ind w:firstLine="422" w:firstLineChars="200"/>
        <w:jc w:val="center"/>
        <w:rPr>
          <w:b/>
          <w:szCs w:val="21"/>
        </w:rPr>
      </w:pPr>
      <w:r>
        <w:rPr>
          <w:rFonts w:hint="eastAsia"/>
          <w:b/>
          <w:szCs w:val="21"/>
        </w:rPr>
        <w:t>表2.2.3</w:t>
      </w:r>
      <w:r>
        <w:rPr>
          <w:b/>
          <w:szCs w:val="21"/>
        </w:rPr>
        <w:t>-</w:t>
      </w:r>
      <w:r>
        <w:rPr>
          <w:rFonts w:hint="eastAsia"/>
          <w:b/>
          <w:szCs w:val="21"/>
        </w:rPr>
        <w:t>3   规划园区与吴山镇重点管控单元要求的符合性分析</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8"/>
        <w:gridCol w:w="4493"/>
        <w:gridCol w:w="2126"/>
        <w:gridCol w:w="893"/>
      </w:tblGrid>
      <w:tr w14:paraId="6794F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Align w:val="center"/>
          </w:tcPr>
          <w:p w14:paraId="75E5EA8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管控类型</w:t>
            </w:r>
          </w:p>
        </w:tc>
        <w:tc>
          <w:tcPr>
            <w:tcW w:w="4493" w:type="dxa"/>
            <w:vAlign w:val="center"/>
          </w:tcPr>
          <w:p w14:paraId="220D118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管控要求</w:t>
            </w:r>
          </w:p>
        </w:tc>
        <w:tc>
          <w:tcPr>
            <w:tcW w:w="2126" w:type="dxa"/>
            <w:vAlign w:val="center"/>
          </w:tcPr>
          <w:p w14:paraId="3D7638A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园区规划情况</w:t>
            </w:r>
          </w:p>
        </w:tc>
        <w:tc>
          <w:tcPr>
            <w:tcW w:w="893" w:type="dxa"/>
            <w:vAlign w:val="center"/>
          </w:tcPr>
          <w:p w14:paraId="63088C8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符合性</w:t>
            </w:r>
          </w:p>
        </w:tc>
      </w:tr>
      <w:tr w14:paraId="2E205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6A3D24F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空间布局约束</w:t>
            </w:r>
          </w:p>
        </w:tc>
        <w:tc>
          <w:tcPr>
            <w:tcW w:w="4493" w:type="dxa"/>
            <w:tcBorders>
              <w:bottom w:val="single" w:color="auto" w:sz="4" w:space="0"/>
            </w:tcBorders>
            <w:vAlign w:val="center"/>
          </w:tcPr>
          <w:p w14:paraId="5E86710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1.单元内林地执行湖北省总体准入中关于自然生态空间、天然林、公益林等的准入要求。</w:t>
            </w:r>
          </w:p>
        </w:tc>
        <w:tc>
          <w:tcPr>
            <w:tcW w:w="2126" w:type="dxa"/>
            <w:tcBorders>
              <w:bottom w:val="single" w:color="auto" w:sz="4" w:space="0"/>
            </w:tcBorders>
            <w:vAlign w:val="center"/>
          </w:tcPr>
          <w:p w14:paraId="705C0097">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林</w:t>
            </w:r>
            <w:r>
              <w:rPr>
                <w:rFonts w:ascii="Times New Roman" w:hAnsi="Times New Roman" w:cs="Times New Roman"/>
                <w:szCs w:val="21"/>
              </w:rPr>
              <w:t>地准入要求，严格执行。</w:t>
            </w:r>
          </w:p>
        </w:tc>
        <w:tc>
          <w:tcPr>
            <w:tcW w:w="893" w:type="dxa"/>
            <w:tcBorders>
              <w:bottom w:val="single" w:color="auto" w:sz="4" w:space="0"/>
            </w:tcBorders>
            <w:vAlign w:val="center"/>
          </w:tcPr>
          <w:p w14:paraId="2FF01CC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3523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77CCBDBA">
            <w:pPr>
              <w:pStyle w:val="45"/>
              <w:spacing w:line="320" w:lineRule="exact"/>
              <w:contextualSpacing/>
              <w:jc w:val="center"/>
              <w:rPr>
                <w:rFonts w:ascii="Times New Roman" w:hAnsi="Times New Roman" w:cs="Times New Roman"/>
                <w:szCs w:val="21"/>
              </w:rPr>
            </w:pPr>
          </w:p>
        </w:tc>
        <w:tc>
          <w:tcPr>
            <w:tcW w:w="4493" w:type="dxa"/>
            <w:tcBorders>
              <w:bottom w:val="single" w:color="auto" w:sz="4" w:space="0"/>
            </w:tcBorders>
            <w:vAlign w:val="center"/>
          </w:tcPr>
          <w:p w14:paraId="5532D5C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2.吴山镇闽商石材工业园新建、改扩建项目应符合园区规划及规划环评（跟踪评价）中的准入要求。</w:t>
            </w:r>
          </w:p>
        </w:tc>
        <w:tc>
          <w:tcPr>
            <w:tcW w:w="2126" w:type="dxa"/>
            <w:tcBorders>
              <w:bottom w:val="single" w:color="auto" w:sz="4" w:space="0"/>
            </w:tcBorders>
            <w:vAlign w:val="center"/>
          </w:tcPr>
          <w:p w14:paraId="2CCA0D1C">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规划对入驻的石材企业提出生态环境准入要求和负面清单。</w:t>
            </w:r>
          </w:p>
        </w:tc>
        <w:tc>
          <w:tcPr>
            <w:tcW w:w="893" w:type="dxa"/>
            <w:tcBorders>
              <w:bottom w:val="single" w:color="auto" w:sz="4" w:space="0"/>
            </w:tcBorders>
            <w:vAlign w:val="center"/>
          </w:tcPr>
          <w:p w14:paraId="6CC6740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63678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3E0AE748">
            <w:pPr>
              <w:pStyle w:val="45"/>
              <w:spacing w:line="320" w:lineRule="exact"/>
              <w:contextualSpacing/>
              <w:jc w:val="center"/>
              <w:rPr>
                <w:rFonts w:ascii="Times New Roman" w:hAnsi="Times New Roman" w:cs="Times New Roman"/>
                <w:szCs w:val="21"/>
              </w:rPr>
            </w:pPr>
          </w:p>
        </w:tc>
        <w:tc>
          <w:tcPr>
            <w:tcW w:w="4493" w:type="dxa"/>
            <w:tcBorders>
              <w:bottom w:val="single" w:color="auto" w:sz="4" w:space="0"/>
            </w:tcBorders>
            <w:vAlign w:val="center"/>
          </w:tcPr>
          <w:p w14:paraId="2E176F68">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3.产业园内禁止小生产规模板材项目、禁止不采用湿切工艺、废水无沉淀处理工艺、打磨无除尘设施的项目引入。</w:t>
            </w:r>
          </w:p>
        </w:tc>
        <w:tc>
          <w:tcPr>
            <w:tcW w:w="2126" w:type="dxa"/>
            <w:tcBorders>
              <w:bottom w:val="single" w:color="auto" w:sz="4" w:space="0"/>
            </w:tcBorders>
            <w:vAlign w:val="center"/>
          </w:tcPr>
          <w:p w14:paraId="4EE59100">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规划将小生产规模板材项目、不采用湿切工艺、废水无沉淀处理工艺、打磨无除尘设施的项目列入禁止类。</w:t>
            </w:r>
          </w:p>
        </w:tc>
        <w:tc>
          <w:tcPr>
            <w:tcW w:w="893" w:type="dxa"/>
            <w:tcBorders>
              <w:bottom w:val="single" w:color="auto" w:sz="4" w:space="0"/>
            </w:tcBorders>
            <w:vAlign w:val="center"/>
          </w:tcPr>
          <w:p w14:paraId="721AE51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1B02D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36EC174A">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60BD9A5F">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4.单元内农业种植禁止使用剧毒、高残留的农药、兽药。水产养殖禁止养殖珍珠和在江河、湖库、输水渠等水体进行围栏围网养殖、投肥（粪）养殖。</w:t>
            </w:r>
          </w:p>
        </w:tc>
        <w:tc>
          <w:tcPr>
            <w:tcW w:w="2126" w:type="dxa"/>
            <w:tcBorders>
              <w:top w:val="single" w:color="auto" w:sz="4" w:space="0"/>
              <w:bottom w:val="single" w:color="auto" w:sz="4" w:space="0"/>
            </w:tcBorders>
            <w:vAlign w:val="center"/>
          </w:tcPr>
          <w:p w14:paraId="111AADCB">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区内农业种植的要求</w:t>
            </w:r>
            <w:r>
              <w:rPr>
                <w:rFonts w:ascii="Times New Roman" w:hAnsi="Times New Roman" w:cs="Times New Roman"/>
                <w:szCs w:val="21"/>
              </w:rPr>
              <w:t>，严格执行。</w:t>
            </w:r>
            <w:r>
              <w:rPr>
                <w:rFonts w:hint="eastAsia" w:ascii="Times New Roman" w:hAnsi="Times New Roman" w:cs="Times New Roman"/>
                <w:szCs w:val="21"/>
              </w:rPr>
              <w:t>园区不涉及水产养殖。</w:t>
            </w:r>
          </w:p>
        </w:tc>
        <w:tc>
          <w:tcPr>
            <w:tcW w:w="893" w:type="dxa"/>
            <w:tcBorders>
              <w:top w:val="single" w:color="auto" w:sz="4" w:space="0"/>
              <w:bottom w:val="single" w:color="auto" w:sz="4" w:space="0"/>
            </w:tcBorders>
            <w:vAlign w:val="center"/>
          </w:tcPr>
          <w:p w14:paraId="323764F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F268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2562387A">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21D3099A">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5.单元内的农用地执行湖北省总体准入中关于耕地空间布局约束的准入要求。</w:t>
            </w:r>
          </w:p>
        </w:tc>
        <w:tc>
          <w:tcPr>
            <w:tcW w:w="2126" w:type="dxa"/>
            <w:tcBorders>
              <w:top w:val="single" w:color="auto" w:sz="4" w:space="0"/>
              <w:bottom w:val="single" w:color="auto" w:sz="4" w:space="0"/>
            </w:tcBorders>
            <w:vAlign w:val="center"/>
          </w:tcPr>
          <w:p w14:paraId="45AFA190">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按管控要求提出农用地准入要求，严格执行。</w:t>
            </w:r>
          </w:p>
        </w:tc>
        <w:tc>
          <w:tcPr>
            <w:tcW w:w="893" w:type="dxa"/>
            <w:tcBorders>
              <w:top w:val="single" w:color="auto" w:sz="4" w:space="0"/>
              <w:bottom w:val="single" w:color="auto" w:sz="4" w:space="0"/>
            </w:tcBorders>
            <w:vAlign w:val="center"/>
          </w:tcPr>
          <w:p w14:paraId="3A2B951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66023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5FAECE68">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4EC90EF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6.吴山镇花岗岩矿重点开采规划区新建、改扩建矿山应符合绿色矿山建设要求；生产矿山应根据绿山矿山建设要求进行升级改造，边开采边治理；矿山关闭前完成矿山环境治理与生态恢复。</w:t>
            </w:r>
          </w:p>
        </w:tc>
        <w:tc>
          <w:tcPr>
            <w:tcW w:w="2126" w:type="dxa"/>
            <w:tcBorders>
              <w:top w:val="single" w:color="auto" w:sz="4" w:space="0"/>
              <w:bottom w:val="single" w:color="auto" w:sz="4" w:space="0"/>
            </w:tcBorders>
            <w:vAlign w:val="center"/>
          </w:tcPr>
          <w:p w14:paraId="355BC9A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893" w:type="dxa"/>
            <w:tcBorders>
              <w:top w:val="single" w:color="auto" w:sz="4" w:space="0"/>
              <w:bottom w:val="single" w:color="auto" w:sz="4" w:space="0"/>
            </w:tcBorders>
            <w:vAlign w:val="center"/>
          </w:tcPr>
          <w:p w14:paraId="6FB21EE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45A21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2040B75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污染物排放管控</w:t>
            </w:r>
          </w:p>
        </w:tc>
        <w:tc>
          <w:tcPr>
            <w:tcW w:w="4493" w:type="dxa"/>
            <w:tcBorders>
              <w:top w:val="single" w:color="auto" w:sz="4" w:space="0"/>
              <w:bottom w:val="single" w:color="auto" w:sz="4" w:space="0"/>
            </w:tcBorders>
            <w:vAlign w:val="center"/>
          </w:tcPr>
          <w:p w14:paraId="1EF45C53">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1.吴山镇生活污水处理率达到75%。</w:t>
            </w:r>
          </w:p>
        </w:tc>
        <w:tc>
          <w:tcPr>
            <w:tcW w:w="2126" w:type="dxa"/>
            <w:tcBorders>
              <w:top w:val="single" w:color="auto" w:sz="4" w:space="0"/>
              <w:bottom w:val="single" w:color="auto" w:sz="4" w:space="0"/>
            </w:tcBorders>
            <w:vAlign w:val="center"/>
          </w:tcPr>
          <w:p w14:paraId="1B49A49C">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规划园区石材加工企业废水均处理后回用，</w:t>
            </w:r>
            <w:r>
              <w:rPr>
                <w:rFonts w:hint="eastAsia" w:ascii="Times New Roman" w:hAnsi="Times New Roman" w:cs="Times New Roman"/>
                <w:szCs w:val="21"/>
              </w:rPr>
              <w:t>规划</w:t>
            </w:r>
            <w:r>
              <w:rPr>
                <w:rFonts w:ascii="Times New Roman" w:hAnsi="Times New Roman" w:cs="Times New Roman"/>
                <w:szCs w:val="21"/>
              </w:rPr>
              <w:t>生活污水处理后排入污水处理厂。</w:t>
            </w:r>
          </w:p>
        </w:tc>
        <w:tc>
          <w:tcPr>
            <w:tcW w:w="893" w:type="dxa"/>
            <w:tcBorders>
              <w:top w:val="single" w:color="auto" w:sz="4" w:space="0"/>
              <w:bottom w:val="single" w:color="auto" w:sz="4" w:space="0"/>
            </w:tcBorders>
            <w:vAlign w:val="center"/>
          </w:tcPr>
          <w:p w14:paraId="1E2F159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4D8A2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71C602F5">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2060C577">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w:t>
            </w:r>
            <w:bookmarkStart w:id="89" w:name="_Hlk170738616"/>
            <w:r>
              <w:rPr>
                <w:rFonts w:hint="eastAsia" w:ascii="Times New Roman" w:hAnsi="Times New Roman" w:cs="Times New Roman"/>
                <w:szCs w:val="21"/>
              </w:rPr>
              <w:t>上一年度PM</w:t>
            </w:r>
            <w:r>
              <w:rPr>
                <w:rFonts w:hint="eastAsia" w:ascii="Times New Roman" w:hAnsi="Times New Roman" w:cs="Times New Roman"/>
                <w:szCs w:val="21"/>
                <w:vertAlign w:val="subscript"/>
              </w:rPr>
              <w:t>2.5</w:t>
            </w:r>
            <w:r>
              <w:rPr>
                <w:rFonts w:hint="eastAsia" w:ascii="Times New Roman" w:hAnsi="Times New Roman" w:cs="Times New Roman"/>
                <w:szCs w:val="21"/>
              </w:rPr>
              <w:t>年平均浓度超标，单元内建设项目二氧化硫、氮氧化物、烟粉尘、挥发性有机物四项污染物实施区域2倍削减替代。</w:t>
            </w:r>
            <w:bookmarkEnd w:id="89"/>
          </w:p>
        </w:tc>
        <w:tc>
          <w:tcPr>
            <w:tcW w:w="2126" w:type="dxa"/>
            <w:tcBorders>
              <w:top w:val="single" w:color="auto" w:sz="4" w:space="0"/>
              <w:bottom w:val="single" w:color="auto" w:sz="4" w:space="0"/>
            </w:tcBorders>
            <w:vAlign w:val="center"/>
          </w:tcPr>
          <w:p w14:paraId="3BF740B1">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w:t>
            </w:r>
            <w:r>
              <w:rPr>
                <w:rFonts w:hint="eastAsia" w:ascii="Times New Roman" w:hAnsi="Times New Roman" w:cs="Times New Roman"/>
                <w:szCs w:val="21"/>
              </w:rPr>
              <w:t>对入驻企业提出主要污染物的总量指标削减替代。</w:t>
            </w:r>
          </w:p>
        </w:tc>
        <w:tc>
          <w:tcPr>
            <w:tcW w:w="893" w:type="dxa"/>
            <w:tcBorders>
              <w:top w:val="single" w:color="auto" w:sz="4" w:space="0"/>
              <w:bottom w:val="single" w:color="auto" w:sz="4" w:space="0"/>
            </w:tcBorders>
            <w:vAlign w:val="center"/>
          </w:tcPr>
          <w:p w14:paraId="61E9BAD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2B393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488E5CA7">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444ADE8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3.单元内限养区、适养区现有畜禽养殖场进行限期治理，确保污染物达标排放。新建、改扩建畜禽养殖项目污染物排放不得超过排放标准和总量控制要求。</w:t>
            </w:r>
          </w:p>
        </w:tc>
        <w:tc>
          <w:tcPr>
            <w:tcW w:w="2126" w:type="dxa"/>
            <w:tcBorders>
              <w:top w:val="single" w:color="auto" w:sz="4" w:space="0"/>
              <w:bottom w:val="single" w:color="auto" w:sz="4" w:space="0"/>
            </w:tcBorders>
            <w:vAlign w:val="center"/>
          </w:tcPr>
          <w:p w14:paraId="00A4115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893" w:type="dxa"/>
            <w:tcBorders>
              <w:top w:val="single" w:color="auto" w:sz="4" w:space="0"/>
              <w:bottom w:val="single" w:color="auto" w:sz="4" w:space="0"/>
            </w:tcBorders>
            <w:vAlign w:val="center"/>
          </w:tcPr>
          <w:p w14:paraId="28E0D2B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F780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Align w:val="center"/>
          </w:tcPr>
          <w:p w14:paraId="5755141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环境风险防控</w:t>
            </w:r>
          </w:p>
        </w:tc>
        <w:tc>
          <w:tcPr>
            <w:tcW w:w="4493" w:type="dxa"/>
            <w:tcBorders>
              <w:top w:val="single" w:color="auto" w:sz="4" w:space="0"/>
              <w:bottom w:val="single" w:color="auto" w:sz="4" w:space="0"/>
            </w:tcBorders>
            <w:vAlign w:val="center"/>
          </w:tcPr>
          <w:p w14:paraId="2BDCDF72">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1.吴山镇闽商石材工业园应建立大气、水、土壤环境风险防控体系。</w:t>
            </w:r>
          </w:p>
        </w:tc>
        <w:tc>
          <w:tcPr>
            <w:tcW w:w="2126" w:type="dxa"/>
            <w:tcBorders>
              <w:top w:val="single" w:color="auto" w:sz="4" w:space="0"/>
              <w:bottom w:val="single" w:color="auto" w:sz="4" w:space="0"/>
            </w:tcBorders>
            <w:vAlign w:val="center"/>
          </w:tcPr>
          <w:p w14:paraId="66E7F6D0">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建立大气、水、土壤环境风险防控体系</w:t>
            </w:r>
            <w:r>
              <w:rPr>
                <w:rFonts w:ascii="Times New Roman" w:hAnsi="Times New Roman" w:cs="Times New Roman"/>
                <w:szCs w:val="21"/>
              </w:rPr>
              <w:t>，严格执行。</w:t>
            </w:r>
          </w:p>
        </w:tc>
        <w:tc>
          <w:tcPr>
            <w:tcW w:w="893" w:type="dxa"/>
            <w:tcBorders>
              <w:top w:val="single" w:color="auto" w:sz="4" w:space="0"/>
              <w:bottom w:val="single" w:color="auto" w:sz="4" w:space="0"/>
            </w:tcBorders>
            <w:vAlign w:val="center"/>
          </w:tcPr>
          <w:p w14:paraId="010BBE2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2296F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015DE55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资源开发效率要求</w:t>
            </w:r>
          </w:p>
        </w:tc>
        <w:tc>
          <w:tcPr>
            <w:tcW w:w="4493" w:type="dxa"/>
            <w:tcBorders>
              <w:top w:val="single" w:color="auto" w:sz="4" w:space="0"/>
              <w:bottom w:val="single" w:color="auto" w:sz="4" w:space="0"/>
            </w:tcBorders>
            <w:vAlign w:val="center"/>
          </w:tcPr>
          <w:p w14:paraId="2B71CA37">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1.石材产业中矿山废水循环利用率不得低于 80%；加工废水循环利用率不得低于100%。</w:t>
            </w:r>
          </w:p>
        </w:tc>
        <w:tc>
          <w:tcPr>
            <w:tcW w:w="2126" w:type="dxa"/>
            <w:tcBorders>
              <w:top w:val="single" w:color="auto" w:sz="4" w:space="0"/>
              <w:bottom w:val="single" w:color="auto" w:sz="4" w:space="0"/>
            </w:tcBorders>
            <w:vAlign w:val="center"/>
          </w:tcPr>
          <w:p w14:paraId="6BB847BD">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规划园区企业生产加工废水循环利用率100%。</w:t>
            </w:r>
          </w:p>
        </w:tc>
        <w:tc>
          <w:tcPr>
            <w:tcW w:w="893" w:type="dxa"/>
            <w:tcBorders>
              <w:top w:val="single" w:color="auto" w:sz="4" w:space="0"/>
              <w:bottom w:val="single" w:color="auto" w:sz="4" w:space="0"/>
            </w:tcBorders>
            <w:vAlign w:val="center"/>
          </w:tcPr>
          <w:p w14:paraId="7D17D47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2274B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4E0F6605">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000000" w:sz="12" w:space="0"/>
            </w:tcBorders>
            <w:vAlign w:val="center"/>
          </w:tcPr>
          <w:p w14:paraId="0EAE47AC">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吴山镇花岗岩矿重点开采规划区内，饰面用石材不得低于1万立方米/年；大型矿山最低服务年限不小于20年，中型矿山不小于10年，小型矿山不小于5年；矿产资源开采回采率、选矿回收率、综合利用率提高3～5个百分点，矿山“三率”水平达标率达到80%。</w:t>
            </w:r>
          </w:p>
        </w:tc>
        <w:tc>
          <w:tcPr>
            <w:tcW w:w="2126" w:type="dxa"/>
            <w:tcBorders>
              <w:top w:val="single" w:color="auto" w:sz="4" w:space="0"/>
              <w:bottom w:val="single" w:color="000000" w:sz="12" w:space="0"/>
            </w:tcBorders>
            <w:vAlign w:val="center"/>
          </w:tcPr>
          <w:p w14:paraId="36D40E8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不涉及。</w:t>
            </w:r>
          </w:p>
        </w:tc>
        <w:tc>
          <w:tcPr>
            <w:tcW w:w="893" w:type="dxa"/>
            <w:tcBorders>
              <w:top w:val="single" w:color="auto" w:sz="4" w:space="0"/>
              <w:bottom w:val="single" w:color="000000" w:sz="12" w:space="0"/>
            </w:tcBorders>
            <w:vAlign w:val="center"/>
          </w:tcPr>
          <w:p w14:paraId="7133052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bl>
    <w:p w14:paraId="51B9272F">
      <w:pPr>
        <w:spacing w:line="360" w:lineRule="auto"/>
        <w:ind w:firstLine="422" w:firstLineChars="200"/>
        <w:jc w:val="center"/>
        <w:rPr>
          <w:b/>
          <w:szCs w:val="21"/>
        </w:rPr>
      </w:pPr>
      <w:r>
        <w:rPr>
          <w:rFonts w:hint="eastAsia"/>
          <w:b/>
          <w:szCs w:val="21"/>
        </w:rPr>
        <w:t>表2.2.3</w:t>
      </w:r>
      <w:r>
        <w:rPr>
          <w:b/>
          <w:szCs w:val="21"/>
        </w:rPr>
        <w:t>-</w:t>
      </w:r>
      <w:r>
        <w:rPr>
          <w:rFonts w:hint="eastAsia"/>
          <w:b/>
          <w:szCs w:val="21"/>
        </w:rPr>
        <w:t>4   规划园区与草店镇一般管控单元要求的符合性分析</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8"/>
        <w:gridCol w:w="4493"/>
        <w:gridCol w:w="2126"/>
        <w:gridCol w:w="893"/>
      </w:tblGrid>
      <w:tr w14:paraId="7840D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Align w:val="center"/>
          </w:tcPr>
          <w:p w14:paraId="693957B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管控类型</w:t>
            </w:r>
          </w:p>
        </w:tc>
        <w:tc>
          <w:tcPr>
            <w:tcW w:w="4493" w:type="dxa"/>
            <w:vAlign w:val="center"/>
          </w:tcPr>
          <w:p w14:paraId="67E37C0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管控要求</w:t>
            </w:r>
          </w:p>
        </w:tc>
        <w:tc>
          <w:tcPr>
            <w:tcW w:w="2126" w:type="dxa"/>
            <w:vAlign w:val="center"/>
          </w:tcPr>
          <w:p w14:paraId="4172746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园区规划情况</w:t>
            </w:r>
          </w:p>
        </w:tc>
        <w:tc>
          <w:tcPr>
            <w:tcW w:w="893" w:type="dxa"/>
            <w:vAlign w:val="center"/>
          </w:tcPr>
          <w:p w14:paraId="2504002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符合性</w:t>
            </w:r>
          </w:p>
        </w:tc>
      </w:tr>
      <w:tr w14:paraId="05548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7E47045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空间布局约束</w:t>
            </w:r>
          </w:p>
        </w:tc>
        <w:tc>
          <w:tcPr>
            <w:tcW w:w="4493" w:type="dxa"/>
            <w:tcBorders>
              <w:bottom w:val="single" w:color="auto" w:sz="4" w:space="0"/>
            </w:tcBorders>
            <w:vAlign w:val="center"/>
          </w:tcPr>
          <w:p w14:paraId="1FE2B108">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1、单元内林地执行湖北省总体准入中关于自然生态空间、天然林、公益林等的准入要求。</w:t>
            </w:r>
          </w:p>
        </w:tc>
        <w:tc>
          <w:tcPr>
            <w:tcW w:w="2126" w:type="dxa"/>
            <w:tcBorders>
              <w:bottom w:val="single" w:color="auto" w:sz="4" w:space="0"/>
            </w:tcBorders>
            <w:vAlign w:val="center"/>
          </w:tcPr>
          <w:p w14:paraId="15AE1EB6">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林</w:t>
            </w:r>
            <w:r>
              <w:rPr>
                <w:rFonts w:ascii="Times New Roman" w:hAnsi="Times New Roman" w:cs="Times New Roman"/>
                <w:szCs w:val="21"/>
              </w:rPr>
              <w:t>地准入要求，严格执行。</w:t>
            </w:r>
          </w:p>
        </w:tc>
        <w:tc>
          <w:tcPr>
            <w:tcW w:w="893" w:type="dxa"/>
            <w:tcBorders>
              <w:bottom w:val="single" w:color="auto" w:sz="4" w:space="0"/>
            </w:tcBorders>
            <w:vAlign w:val="center"/>
          </w:tcPr>
          <w:p w14:paraId="7C4474C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66B01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1ABCCA76">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7CD51628">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2、单元内农业种植禁止使用剧毒、高残留的农药、兽药。水产养殖禁止养殖珍珠和在江河、湖库、输水渠等水体进行围栏围网养殖、投肥(粪)养殖。</w:t>
            </w:r>
          </w:p>
        </w:tc>
        <w:tc>
          <w:tcPr>
            <w:tcW w:w="2126" w:type="dxa"/>
            <w:tcBorders>
              <w:top w:val="single" w:color="auto" w:sz="4" w:space="0"/>
              <w:bottom w:val="single" w:color="auto" w:sz="4" w:space="0"/>
            </w:tcBorders>
            <w:vAlign w:val="center"/>
          </w:tcPr>
          <w:p w14:paraId="6F3E6916">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w:t>
            </w:r>
            <w:r>
              <w:rPr>
                <w:rFonts w:hint="eastAsia" w:ascii="Times New Roman" w:hAnsi="Times New Roman" w:cs="Times New Roman"/>
                <w:szCs w:val="21"/>
              </w:rPr>
              <w:t>区内农业种植的要求</w:t>
            </w:r>
            <w:r>
              <w:rPr>
                <w:rFonts w:ascii="Times New Roman" w:hAnsi="Times New Roman" w:cs="Times New Roman"/>
                <w:szCs w:val="21"/>
              </w:rPr>
              <w:t>，严格执行。</w:t>
            </w:r>
            <w:r>
              <w:rPr>
                <w:rFonts w:hint="eastAsia" w:ascii="Times New Roman" w:hAnsi="Times New Roman" w:cs="Times New Roman"/>
                <w:szCs w:val="21"/>
              </w:rPr>
              <w:t>园区不涉及水产养殖。</w:t>
            </w:r>
          </w:p>
        </w:tc>
        <w:tc>
          <w:tcPr>
            <w:tcW w:w="893" w:type="dxa"/>
            <w:tcBorders>
              <w:top w:val="single" w:color="auto" w:sz="4" w:space="0"/>
              <w:bottom w:val="single" w:color="auto" w:sz="4" w:space="0"/>
            </w:tcBorders>
            <w:vAlign w:val="center"/>
          </w:tcPr>
          <w:p w14:paraId="74111F4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33CD6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32A563C3">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4" w:space="0"/>
            </w:tcBorders>
            <w:vAlign w:val="center"/>
          </w:tcPr>
          <w:p w14:paraId="18BA2E2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3.单元内的农用地执行湖北省总体准入中关于耕地空间布局约束的准入要求。</w:t>
            </w:r>
          </w:p>
        </w:tc>
        <w:tc>
          <w:tcPr>
            <w:tcW w:w="2126" w:type="dxa"/>
            <w:tcBorders>
              <w:top w:val="single" w:color="auto" w:sz="4" w:space="0"/>
              <w:bottom w:val="single" w:color="auto" w:sz="4" w:space="0"/>
            </w:tcBorders>
            <w:vAlign w:val="center"/>
          </w:tcPr>
          <w:p w14:paraId="0ACFE3E9">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按管控要求提出农用地准入要求，严格执行。</w:t>
            </w:r>
          </w:p>
        </w:tc>
        <w:tc>
          <w:tcPr>
            <w:tcW w:w="893" w:type="dxa"/>
            <w:tcBorders>
              <w:top w:val="single" w:color="auto" w:sz="4" w:space="0"/>
              <w:bottom w:val="single" w:color="auto" w:sz="4" w:space="0"/>
            </w:tcBorders>
            <w:vAlign w:val="center"/>
          </w:tcPr>
          <w:p w14:paraId="7C9750C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09109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restart"/>
            <w:vAlign w:val="center"/>
          </w:tcPr>
          <w:p w14:paraId="72A12D7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污染物排放管控</w:t>
            </w:r>
          </w:p>
        </w:tc>
        <w:tc>
          <w:tcPr>
            <w:tcW w:w="4493" w:type="dxa"/>
            <w:tcBorders>
              <w:bottom w:val="single" w:color="auto" w:sz="4" w:space="0"/>
            </w:tcBorders>
            <w:vAlign w:val="center"/>
          </w:tcPr>
          <w:p w14:paraId="1FF9DDA3">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1、草店镇、淮河镇、小林镇污水处理率达到75%。</w:t>
            </w:r>
          </w:p>
        </w:tc>
        <w:tc>
          <w:tcPr>
            <w:tcW w:w="2126" w:type="dxa"/>
            <w:tcBorders>
              <w:bottom w:val="single" w:color="auto" w:sz="4" w:space="0"/>
            </w:tcBorders>
            <w:vAlign w:val="center"/>
          </w:tcPr>
          <w:p w14:paraId="33E1F863">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规划园区石材加工企业废水均处理后回用，</w:t>
            </w:r>
            <w:r>
              <w:rPr>
                <w:rFonts w:hint="eastAsia" w:ascii="Times New Roman" w:hAnsi="Times New Roman" w:cs="Times New Roman"/>
                <w:szCs w:val="21"/>
              </w:rPr>
              <w:t>规划</w:t>
            </w:r>
            <w:r>
              <w:rPr>
                <w:rFonts w:ascii="Times New Roman" w:hAnsi="Times New Roman" w:cs="Times New Roman"/>
                <w:szCs w:val="21"/>
              </w:rPr>
              <w:t>生活污水处理后排入污水处理厂。</w:t>
            </w:r>
          </w:p>
        </w:tc>
        <w:tc>
          <w:tcPr>
            <w:tcW w:w="893" w:type="dxa"/>
            <w:tcBorders>
              <w:bottom w:val="single" w:color="auto" w:sz="4" w:space="0"/>
            </w:tcBorders>
            <w:vAlign w:val="center"/>
          </w:tcPr>
          <w:p w14:paraId="69740CB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r w14:paraId="7518D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88" w:type="dxa"/>
            <w:vMerge w:val="continue"/>
            <w:vAlign w:val="center"/>
          </w:tcPr>
          <w:p w14:paraId="79B6440C">
            <w:pPr>
              <w:pStyle w:val="45"/>
              <w:spacing w:line="320" w:lineRule="exact"/>
              <w:contextualSpacing/>
              <w:jc w:val="center"/>
              <w:rPr>
                <w:rFonts w:ascii="Times New Roman" w:hAnsi="Times New Roman" w:cs="Times New Roman"/>
                <w:szCs w:val="21"/>
              </w:rPr>
            </w:pPr>
          </w:p>
        </w:tc>
        <w:tc>
          <w:tcPr>
            <w:tcW w:w="4493" w:type="dxa"/>
            <w:tcBorders>
              <w:top w:val="single" w:color="auto" w:sz="4" w:space="0"/>
              <w:bottom w:val="single" w:color="auto" w:sz="12" w:space="0"/>
            </w:tcBorders>
            <w:vAlign w:val="center"/>
          </w:tcPr>
          <w:p w14:paraId="668593B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2、单元内限养区、适养区现有畜禽养殖场进行限期治理，确保污染物达标排放。新建、改扩建畜禽养殖项目污染物排放不得超过排放标准和总量控制要求。</w:t>
            </w:r>
          </w:p>
        </w:tc>
        <w:tc>
          <w:tcPr>
            <w:tcW w:w="2126" w:type="dxa"/>
            <w:tcBorders>
              <w:top w:val="single" w:color="auto" w:sz="4" w:space="0"/>
              <w:bottom w:val="single" w:color="auto" w:sz="12" w:space="0"/>
            </w:tcBorders>
            <w:vAlign w:val="center"/>
          </w:tcPr>
          <w:p w14:paraId="630CADF6">
            <w:pPr>
              <w:pStyle w:val="45"/>
              <w:spacing w:line="320" w:lineRule="exact"/>
              <w:ind w:firstLine="420" w:firstLineChars="200"/>
              <w:contextualSpacing/>
              <w:rPr>
                <w:rFonts w:ascii="Times New Roman" w:hAnsi="Times New Roman" w:cs="Times New Roman"/>
                <w:szCs w:val="21"/>
              </w:rPr>
            </w:pPr>
            <w:r>
              <w:rPr>
                <w:rFonts w:ascii="Times New Roman" w:hAnsi="Times New Roman" w:cs="Times New Roman"/>
                <w:szCs w:val="21"/>
              </w:rPr>
              <w:t>不涉及。</w:t>
            </w:r>
          </w:p>
        </w:tc>
        <w:tc>
          <w:tcPr>
            <w:tcW w:w="893" w:type="dxa"/>
            <w:tcBorders>
              <w:top w:val="single" w:color="auto" w:sz="4" w:space="0"/>
              <w:bottom w:val="single" w:color="auto" w:sz="12" w:space="0"/>
            </w:tcBorders>
            <w:vAlign w:val="center"/>
          </w:tcPr>
          <w:p w14:paraId="577A840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符合</w:t>
            </w:r>
          </w:p>
        </w:tc>
      </w:tr>
    </w:tbl>
    <w:p w14:paraId="49DEA82B">
      <w:pPr>
        <w:spacing w:line="360" w:lineRule="auto"/>
        <w:ind w:firstLine="480" w:firstLineChars="200"/>
        <w:rPr>
          <w:rFonts w:eastAsiaTheme="minorEastAsia"/>
          <w:kern w:val="0"/>
          <w:sz w:val="24"/>
        </w:rPr>
      </w:pPr>
      <w:r>
        <w:rPr>
          <w:rFonts w:hint="eastAsia" w:eastAsiaTheme="minorEastAsia"/>
          <w:kern w:val="0"/>
          <w:sz w:val="24"/>
        </w:rPr>
        <w:t>综上，规划园区符合</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（随政发[2021]10号）中的要求。</w:t>
      </w:r>
    </w:p>
    <w:p w14:paraId="62A4B0AD">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90" w:name="_Toc206494931"/>
      <w:r>
        <w:rPr>
          <w:rFonts w:hint="eastAsia" w:eastAsiaTheme="minorEastAsia"/>
          <w:b/>
          <w:bCs/>
          <w:sz w:val="30"/>
          <w:szCs w:val="28"/>
        </w:rPr>
        <w:t>规划的不确定性分析</w:t>
      </w:r>
      <w:bookmarkEnd w:id="90"/>
    </w:p>
    <w:p w14:paraId="1B8A6C4A">
      <w:pPr>
        <w:spacing w:line="360" w:lineRule="auto"/>
        <w:ind w:firstLine="480" w:firstLineChars="200"/>
        <w:rPr>
          <w:rFonts w:eastAsiaTheme="minorEastAsia"/>
          <w:kern w:val="0"/>
          <w:sz w:val="24"/>
        </w:rPr>
      </w:pPr>
      <w:r>
        <w:rPr>
          <w:rFonts w:hint="eastAsia" w:eastAsiaTheme="minorEastAsia"/>
          <w:kern w:val="0"/>
          <w:sz w:val="24"/>
        </w:rPr>
        <w:t>由于发展规划是在特定的区域拟议开发特定的产业，其特点为开发面积大，建设项目多，建设内容复杂，涉及因素广泛，建设周期长。由于规划的这些特点，在编制发展规划的环境影响报告时，的确存在许多困难和不确定性，主要表现在以下及几点：</w:t>
      </w:r>
    </w:p>
    <w:p w14:paraId="1D4FFCC3">
      <w:pPr>
        <w:spacing w:line="360" w:lineRule="auto"/>
        <w:ind w:firstLine="480" w:firstLineChars="200"/>
        <w:rPr>
          <w:rFonts w:eastAsiaTheme="minorEastAsia"/>
          <w:kern w:val="0"/>
          <w:sz w:val="24"/>
        </w:rPr>
      </w:pPr>
      <w:r>
        <w:rPr>
          <w:rFonts w:hint="eastAsia" w:eastAsiaTheme="minorEastAsia"/>
          <w:kern w:val="0"/>
          <w:sz w:val="24"/>
        </w:rPr>
        <w:t>（1）本规划评价跨度时间较长，发展产业及规模带有不确定性。受规划中园区开发建设时序、招商引资、资源环境制约的影响，对环境的影响程度及范围可能预见不足，具有不确定性。</w:t>
      </w:r>
    </w:p>
    <w:p w14:paraId="011269A2">
      <w:pPr>
        <w:spacing w:line="360" w:lineRule="auto"/>
        <w:ind w:firstLine="480" w:firstLineChars="200"/>
        <w:rPr>
          <w:rFonts w:eastAsiaTheme="minorEastAsia"/>
          <w:kern w:val="0"/>
          <w:sz w:val="24"/>
        </w:rPr>
      </w:pPr>
      <w:r>
        <w:rPr>
          <w:rFonts w:hint="eastAsia" w:eastAsiaTheme="minorEastAsia"/>
          <w:kern w:val="0"/>
          <w:sz w:val="24"/>
        </w:rPr>
        <w:t>（2）污染物排放量的不确定性。规划中初步确定了矿山开采、石材加工、机制砂、锯泥及石粉综合利用等产业方向，各行业产业规模具有不可预见性。在规划实施过程中，受招商引资等众多因素的影响，项目、工艺、规模存在较大变数，因此随县工业污染物排放量，尤其是特殊污染物排放情况不能精确确定，对环境的影响程度与实际存在一定差异。</w:t>
      </w:r>
    </w:p>
    <w:p w14:paraId="71B80718">
      <w:pPr>
        <w:spacing w:line="360" w:lineRule="auto"/>
        <w:ind w:firstLine="480" w:firstLineChars="200"/>
        <w:rPr>
          <w:rFonts w:eastAsiaTheme="minorEastAsia"/>
          <w:kern w:val="0"/>
          <w:sz w:val="24"/>
        </w:rPr>
      </w:pPr>
      <w:r>
        <w:rPr>
          <w:rFonts w:hint="eastAsia" w:eastAsiaTheme="minorEastAsia"/>
          <w:kern w:val="0"/>
          <w:sz w:val="24"/>
        </w:rPr>
        <w:t>（3）科技的不断进步，带来的规划实施不确定性。随着社会、科技的不断发展，更先进的生产工艺、污染治理技术和废物综合利用措施的提出，将会影响规划方案的实施。</w:t>
      </w:r>
    </w:p>
    <w:p w14:paraId="5DEC4EFF">
      <w:pPr>
        <w:spacing w:line="360" w:lineRule="auto"/>
        <w:ind w:firstLine="480" w:firstLineChars="200"/>
        <w:rPr>
          <w:rFonts w:eastAsiaTheme="minorEastAsia"/>
          <w:kern w:val="0"/>
          <w:sz w:val="24"/>
        </w:rPr>
      </w:pPr>
      <w:r>
        <w:rPr>
          <w:rFonts w:hint="eastAsia" w:eastAsiaTheme="minorEastAsia"/>
          <w:kern w:val="0"/>
          <w:sz w:val="24"/>
        </w:rPr>
        <w:t>（4）引入项目的不确定性。由于政策、规划的影响，引进项目存在较大的不确定性，如果不严格控制引入企业的类型，引入污染严重的项目可能对随县环境空气质量、水环境质量、土壤环境质量造成严重污染。</w:t>
      </w:r>
    </w:p>
    <w:p w14:paraId="4B7C882C">
      <w:pPr>
        <w:spacing w:line="360" w:lineRule="auto"/>
        <w:ind w:firstLine="480" w:firstLineChars="200"/>
        <w:rPr>
          <w:rFonts w:eastAsiaTheme="minorEastAsia"/>
          <w:kern w:val="0"/>
          <w:sz w:val="24"/>
        </w:rPr>
      </w:pPr>
      <w:r>
        <w:rPr>
          <w:rFonts w:hint="eastAsia" w:eastAsiaTheme="minorEastAsia"/>
          <w:kern w:val="0"/>
          <w:sz w:val="24"/>
        </w:rPr>
        <w:t>（5）规划产业与政策的不确定性。规划区域内涉及产业种类较多，加之开发时间长，随着国家相关产业政策的不断更新，规划产业是否符合当时的政策存在不确定性。因此，规划环评建议，远期规划实施前应根据当时国家及地方产业政策进行产业调整。</w:t>
      </w:r>
    </w:p>
    <w:p w14:paraId="304B2B72">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91" w:name="_Toc206494932"/>
      <w:r>
        <w:rPr>
          <w:rFonts w:hint="eastAsia" w:eastAsiaTheme="minorEastAsia"/>
          <w:kern w:val="2"/>
          <w:sz w:val="36"/>
          <w:szCs w:val="36"/>
        </w:rPr>
        <w:t>环境现状调查与评价</w:t>
      </w:r>
      <w:bookmarkEnd w:id="91"/>
    </w:p>
    <w:p w14:paraId="7198D995">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92" w:name="_Toc206494933"/>
      <w:r>
        <w:rPr>
          <w:rFonts w:hint="eastAsia" w:eastAsiaTheme="minorEastAsia"/>
          <w:b/>
          <w:bCs/>
          <w:sz w:val="30"/>
          <w:szCs w:val="28"/>
        </w:rPr>
        <w:t>自然环境概况</w:t>
      </w:r>
      <w:bookmarkEnd w:id="92"/>
    </w:p>
    <w:p w14:paraId="01A77C86">
      <w:pPr>
        <w:keepNext/>
        <w:keepLines/>
        <w:widowControl/>
        <w:numPr>
          <w:ilvl w:val="2"/>
          <w:numId w:val="1"/>
        </w:numPr>
        <w:spacing w:before="120" w:after="120" w:line="360" w:lineRule="auto"/>
        <w:jc w:val="left"/>
        <w:outlineLvl w:val="2"/>
        <w:rPr>
          <w:rFonts w:eastAsiaTheme="minorEastAsia"/>
          <w:b/>
          <w:bCs/>
          <w:sz w:val="24"/>
        </w:rPr>
      </w:pPr>
      <w:bookmarkStart w:id="93" w:name="_Toc206494934"/>
      <w:r>
        <w:rPr>
          <w:rFonts w:hint="eastAsia" w:eastAsiaTheme="minorEastAsia"/>
          <w:b/>
          <w:bCs/>
          <w:sz w:val="24"/>
        </w:rPr>
        <w:t>区域自然地理概况</w:t>
      </w:r>
      <w:bookmarkEnd w:id="93"/>
    </w:p>
    <w:p w14:paraId="36CDF348">
      <w:pPr>
        <w:spacing w:line="360" w:lineRule="auto"/>
        <w:ind w:firstLine="480" w:firstLineChars="200"/>
        <w:rPr>
          <w:rFonts w:eastAsiaTheme="minorEastAsia"/>
          <w:sz w:val="24"/>
        </w:rPr>
      </w:pPr>
      <w:r>
        <w:rPr>
          <w:rFonts w:hint="eastAsia" w:eastAsiaTheme="minorEastAsia"/>
          <w:sz w:val="24"/>
        </w:rPr>
        <w:t>随州位于湖北省北部，地处长江流域和淮河流域的交汇地带，东承武汉，西接襄阳，北临信阳，南达荆门，居“荆豫要冲”，扼“汉襄咽喉”，为”鄂北重镇”，是湖北省对外开放的”北大门”，国家实施西部大开发战略由东向西的重要接力站和中转站。随州交通便利，京广铁路、汉丹铁路、宁西铁路以及“福银”高速公路、“随岳”高速公路等。跨北纬31度过19分至32度26分，东经112度43分至113度46分。全市南北长约130公里，东西宽约105公里，总9636平方公里，人口258万。其中，山地面积4285平方公里、丘陵面积2094平方公里、平畈530平方公里、河滩面积80平方公里，分别占总面积61.3%、30%、7.6%、和1.1%。随州北面与河南省南阳、信阳二市毗邻，南面与湖北省江汉平原的京山县、钟祥市相连，恰好处于北方黄河流域和南方长江流域的交接地带，真可谓西通宛洛，南达吴越，地当荆豫要冲，扼阻襄汉咽喉。</w:t>
      </w:r>
    </w:p>
    <w:p w14:paraId="05EEE165">
      <w:pPr>
        <w:spacing w:line="360" w:lineRule="auto"/>
        <w:ind w:firstLine="480" w:firstLineChars="200"/>
        <w:rPr>
          <w:rFonts w:eastAsiaTheme="minorEastAsia"/>
          <w:sz w:val="24"/>
        </w:rPr>
      </w:pPr>
      <w:r>
        <w:rPr>
          <w:rFonts w:hint="eastAsia" w:eastAsiaTheme="minorEastAsia"/>
          <w:sz w:val="24"/>
        </w:rPr>
        <w:t>随县位于鄂西北，地处桐柏山南麓、大别山西端、大洪山东北部。随县东与随州市曾都区、广水市、河南省信阳市相接，西与枣阳市、宜城市毗邻，南与安陆市、京山市、钟祥市相连，北与河南省桐柏县接壤。随县地貌特征以低山丘陵为主，兼有山地和冲积平原，一般高度海拔200—800米。312国道、316国道、346国道、240国道、234国道、汉丹铁路、小厉铁路、武西高速铁路、汉十高速公路、随岳高速公路、麻安高速公路穿境而过。根据国务院批复，从曾都区划出19个镇（场）组建随县，县城设在厉山镇。全县版图面积5543平方公里，名列全省第一，比全省版图面积占第二名的房县多433平方公里。全县辖有厉山、高城、殷店、草店、小林、淮河、万和、尚市、唐镇、吴山、新街、安居、澴潭、洪山、长岗、三里岗、柳林、均川、万福店等19个镇（场），2个风景名胜区和1个经济开发区，394个村（居）委会。2022年末，随县常住人口为63.91万人。</w:t>
      </w:r>
    </w:p>
    <w:p w14:paraId="3CDAA2B8">
      <w:pPr>
        <w:spacing w:line="360" w:lineRule="auto"/>
        <w:ind w:firstLine="480" w:firstLineChars="200"/>
        <w:rPr>
          <w:rFonts w:eastAsiaTheme="minorEastAsia"/>
          <w:sz w:val="24"/>
        </w:rPr>
      </w:pPr>
      <w:r>
        <w:rPr>
          <w:rFonts w:hint="eastAsia" w:eastAsiaTheme="minorEastAsia"/>
          <w:sz w:val="24"/>
        </w:rPr>
        <w:t>规划</w:t>
      </w:r>
      <w:r>
        <w:rPr>
          <w:rFonts w:eastAsiaTheme="minorEastAsia"/>
          <w:sz w:val="24"/>
        </w:rPr>
        <w:t>区域主要位于随县吴山镇、</w:t>
      </w:r>
      <w:r>
        <w:rPr>
          <w:rFonts w:hint="eastAsia" w:eastAsiaTheme="minorEastAsia"/>
          <w:sz w:val="24"/>
        </w:rPr>
        <w:t>万和镇及草店镇</w:t>
      </w:r>
      <w:r>
        <w:rPr>
          <w:rFonts w:eastAsiaTheme="minorEastAsia"/>
          <w:sz w:val="24"/>
        </w:rPr>
        <w:t>内。具体地理位置见附图</w:t>
      </w:r>
      <w:r>
        <w:rPr>
          <w:rFonts w:hint="eastAsia" w:eastAsiaTheme="minorEastAsia"/>
          <w:sz w:val="24"/>
        </w:rPr>
        <w:t>1。</w:t>
      </w:r>
    </w:p>
    <w:p w14:paraId="62D267A2">
      <w:pPr>
        <w:keepNext/>
        <w:keepLines/>
        <w:widowControl/>
        <w:numPr>
          <w:ilvl w:val="2"/>
          <w:numId w:val="1"/>
        </w:numPr>
        <w:spacing w:before="120" w:after="120" w:line="360" w:lineRule="auto"/>
        <w:jc w:val="left"/>
        <w:outlineLvl w:val="2"/>
        <w:rPr>
          <w:rFonts w:eastAsiaTheme="minorEastAsia"/>
          <w:b/>
          <w:bCs/>
          <w:sz w:val="24"/>
        </w:rPr>
      </w:pPr>
      <w:bookmarkStart w:id="94" w:name="_Toc206494935"/>
      <w:r>
        <w:rPr>
          <w:rFonts w:hint="eastAsia" w:eastAsiaTheme="minorEastAsia"/>
          <w:b/>
          <w:bCs/>
          <w:sz w:val="24"/>
        </w:rPr>
        <w:t>地形地貌</w:t>
      </w:r>
      <w:bookmarkEnd w:id="94"/>
    </w:p>
    <w:p w14:paraId="0FF677E6">
      <w:pPr>
        <w:spacing w:line="360" w:lineRule="auto"/>
        <w:ind w:firstLine="480" w:firstLineChars="200"/>
        <w:rPr>
          <w:rFonts w:eastAsiaTheme="minorEastAsia"/>
          <w:sz w:val="24"/>
        </w:rPr>
      </w:pPr>
      <w:r>
        <w:rPr>
          <w:rFonts w:hint="eastAsia" w:eastAsiaTheme="minorEastAsia"/>
          <w:sz w:val="24"/>
        </w:rPr>
        <w:t>随州市城区东北部为丘陵地带，地势由东北向南倾斜，南北平均高为4.5‰，东西为1‰。标高一般在62～68m之间，城东约为80m。据调查，城区地质分布为第四纪冲积层。汉孟公路以东为粘土及黄土层，土质较坚硬。项目厂址区域地形为亚粘土—粘土—亚粘土—砂土，地层分布稳定。该地区地震烈度为6度，场址允许地耐力为200～250kPa。</w:t>
      </w:r>
    </w:p>
    <w:p w14:paraId="5D5F34BB">
      <w:pPr>
        <w:spacing w:line="360" w:lineRule="auto"/>
        <w:ind w:firstLine="480" w:firstLineChars="200"/>
        <w:rPr>
          <w:rFonts w:eastAsiaTheme="minorEastAsia"/>
          <w:sz w:val="24"/>
        </w:rPr>
      </w:pPr>
      <w:r>
        <w:rPr>
          <w:rFonts w:hint="eastAsia" w:eastAsiaTheme="minorEastAsia"/>
          <w:sz w:val="24"/>
        </w:rPr>
        <w:t>随州在地质构造上属于古生代构造带，是燕山运动形成的地台盖层褶皱带。为细碎屑岩地层，上部为中厚层粉砂岩、板岩、钙质板岩及厚层条纹状泥质灰岩夹细晶灰岩；中部为泥板岩、变质粉砂岩及微晶白云岩透镜体；下部为硅质泥质板岩夹白云岩。地耐力为16～18t/㎡。根据该区域地质及勘察资料，区域内未发现新构造运动及活动性断裂等不良地质现象存在，地质基本稳定。</w:t>
      </w:r>
    </w:p>
    <w:p w14:paraId="2D445A05">
      <w:pPr>
        <w:spacing w:line="360" w:lineRule="auto"/>
        <w:ind w:firstLine="480" w:firstLineChars="200"/>
        <w:rPr>
          <w:rFonts w:eastAsiaTheme="minorEastAsia"/>
          <w:sz w:val="24"/>
        </w:rPr>
      </w:pPr>
      <w:r>
        <w:rPr>
          <w:rFonts w:hint="eastAsia" w:eastAsiaTheme="minorEastAsia"/>
          <w:sz w:val="24"/>
        </w:rPr>
        <w:t>随县地貌特征以低山丘陵为主，兼有山地和冲积平原，一般高度海拔200~800米。北部最高点为桐柏山太白顶，海拔1140米；西南面最高点为大洪山宝珠峰，海拔1055米。中部为一片狭长的平原，称之为随枣走廊，是古今南北交往的重要通道。</w:t>
      </w:r>
    </w:p>
    <w:p w14:paraId="0B46C194">
      <w:pPr>
        <w:spacing w:line="360" w:lineRule="auto"/>
        <w:ind w:firstLine="480" w:firstLineChars="200"/>
        <w:rPr>
          <w:rFonts w:eastAsiaTheme="minorEastAsia"/>
          <w:sz w:val="24"/>
        </w:rPr>
      </w:pPr>
      <w:r>
        <w:rPr>
          <w:rFonts w:hint="eastAsia" w:eastAsiaTheme="minorEastAsia"/>
          <w:sz w:val="24"/>
        </w:rPr>
        <w:t>根据国家颁布的《中国地震动参数区划图》，项目场地内建筑抗震设防烈度为6度，设计基本地震加速度值为0.05g，设计地震分组为第一组。</w:t>
      </w:r>
    </w:p>
    <w:p w14:paraId="76F3101E">
      <w:pPr>
        <w:keepNext/>
        <w:keepLines/>
        <w:widowControl/>
        <w:numPr>
          <w:ilvl w:val="2"/>
          <w:numId w:val="1"/>
        </w:numPr>
        <w:spacing w:before="120" w:after="120" w:line="360" w:lineRule="auto"/>
        <w:jc w:val="left"/>
        <w:outlineLvl w:val="2"/>
        <w:rPr>
          <w:rFonts w:eastAsiaTheme="minorEastAsia"/>
          <w:b/>
          <w:bCs/>
          <w:sz w:val="24"/>
        </w:rPr>
      </w:pPr>
      <w:bookmarkStart w:id="95" w:name="_Toc206494936"/>
      <w:r>
        <w:rPr>
          <w:rFonts w:hint="eastAsia" w:eastAsiaTheme="minorEastAsia"/>
          <w:b/>
          <w:bCs/>
          <w:sz w:val="24"/>
        </w:rPr>
        <w:t>水系、水文</w:t>
      </w:r>
      <w:bookmarkEnd w:id="95"/>
    </w:p>
    <w:p w14:paraId="6109D5EB">
      <w:pPr>
        <w:spacing w:line="360" w:lineRule="auto"/>
        <w:ind w:firstLine="480" w:firstLineChars="200"/>
        <w:rPr>
          <w:rFonts w:eastAsiaTheme="minorEastAsia"/>
          <w:sz w:val="24"/>
        </w:rPr>
      </w:pPr>
      <w:r>
        <w:rPr>
          <w:rFonts w:hint="eastAsia" w:eastAsiaTheme="minorEastAsia"/>
          <w:sz w:val="24"/>
        </w:rPr>
        <w:t>随州市城区河流众多，有名常流河139条。按其汇流特征，可分为4大流域：即府河流域，占全市流域面积的79.4%；淮河流域，约占全市流域面积的10%；汉水流域，占全市流域面积的7.5%；漳水流域，占全市流域面积的3.1%。河水均较浅，湖底较平坦，河岸线曲折。</w:t>
      </w:r>
    </w:p>
    <w:p w14:paraId="38C80669">
      <w:pPr>
        <w:spacing w:line="360" w:lineRule="auto"/>
        <w:ind w:firstLine="480" w:firstLineChars="200"/>
        <w:rPr>
          <w:rFonts w:eastAsiaTheme="minorEastAsia"/>
          <w:sz w:val="24"/>
        </w:rPr>
      </w:pPr>
      <w:r>
        <w:rPr>
          <w:rFonts w:hint="eastAsia" w:eastAsiaTheme="minorEastAsia"/>
          <w:sz w:val="24"/>
        </w:rPr>
        <w:t>流经随州的河流有府河（涢水）、淮河、漳河、大富水等河流。主要支流有厥水、漂水、均水、浪河、刘家河、长安河、清水河、游河、四十里冲河、三夹河等。</w:t>
      </w:r>
    </w:p>
    <w:p w14:paraId="6C3F4A7C">
      <w:pPr>
        <w:spacing w:line="360" w:lineRule="auto"/>
        <w:ind w:firstLine="480" w:firstLineChars="200"/>
        <w:rPr>
          <w:rFonts w:eastAsiaTheme="minorEastAsia"/>
          <w:sz w:val="24"/>
        </w:rPr>
      </w:pPr>
      <w:r>
        <w:rPr>
          <w:rFonts w:hint="eastAsia" w:eastAsiaTheme="minorEastAsia"/>
          <w:sz w:val="24"/>
        </w:rPr>
        <w:t>随县境内河道属长江、淮河两大流域，主要河道二级河厥水河、漂水河等105条；河流总长度1800千米，河网密度0.4千米／平方千米，径流总量28.9亿立方米，境内最大的河流为府澴河。较大水库包括封江水库、吴山水库、黑屋湾水库、大洪山水库（又名琵琶咀水库）、天河口水库等。其中封江水库，位于随县厉山镇，建于1958年7月至1960年4月；吴山水库，位于随县吴山镇，建于1965年7月至1966年3月；黑屋湾水库，位于随县新街镇，建于1957年1月至1958年4月；大洪山水库（又名琵琶咀水库），位于随县洪山镇，建于1965年9月至1967年10月；天河口水库，位于随县殷店镇，建于1965年至1966年4月。</w:t>
      </w:r>
    </w:p>
    <w:p w14:paraId="67523778">
      <w:pPr>
        <w:spacing w:line="360" w:lineRule="auto"/>
        <w:ind w:firstLine="480" w:firstLineChars="200"/>
        <w:rPr>
          <w:rFonts w:eastAsiaTheme="minorEastAsia"/>
          <w:sz w:val="24"/>
        </w:rPr>
      </w:pPr>
      <w:r>
        <w:rPr>
          <w:rFonts w:hint="eastAsia" w:eastAsiaTheme="minorEastAsia"/>
          <w:sz w:val="24"/>
        </w:rPr>
        <w:t>府河，发源于随南大洪山，厥水汇入前的上游河段又称为涢水，全长321km，流域面积15200km</w:t>
      </w:r>
      <w:r>
        <w:rPr>
          <w:rFonts w:eastAsiaTheme="minorEastAsia"/>
          <w:sz w:val="24"/>
        </w:rPr>
        <w:t>²</w:t>
      </w:r>
      <w:r>
        <w:rPr>
          <w:rFonts w:hint="eastAsia" w:eastAsiaTheme="minorEastAsia"/>
          <w:sz w:val="24"/>
        </w:rPr>
        <w:t>，流经随州市曾都区、广水和孝感市的安陆等市县，由武汉市谌家矶注入长江。府河为山溪性常流河。河源海拔500m，河口海拔40m。澴潭以上，河床为砂砾卵石结构，两岸为山区：澴潭至随州段，河床为砂砾结构，左岸有河谷平原；随州至安陆段，河床为细沙结构，左岸多为平原，右岸为丘陵。河床最大糙率为0.089、最小为0.015；河床平均宽300m，最大水面宽420m(1954年7月)，最小水面宽5m(1966年)。随州段平均径流深为316mm，平均流量为37m</w:t>
      </w:r>
      <w:r>
        <w:rPr>
          <w:rFonts w:eastAsiaTheme="minorEastAsia"/>
          <w:sz w:val="24"/>
        </w:rPr>
        <w:t>³</w:t>
      </w:r>
      <w:r>
        <w:rPr>
          <w:rFonts w:hint="eastAsia" w:eastAsiaTheme="minorEastAsia"/>
          <w:sz w:val="24"/>
        </w:rPr>
        <w:t>/s，流速为3m/s，河长约92km，在随州市的流域面积约为5528.5km</w:t>
      </w:r>
      <w:r>
        <w:rPr>
          <w:rFonts w:eastAsiaTheme="minorEastAsia"/>
          <w:sz w:val="24"/>
        </w:rPr>
        <w:t>³</w:t>
      </w:r>
      <w:r>
        <w:rPr>
          <w:rFonts w:hint="eastAsia" w:eastAsiaTheme="minorEastAsia"/>
          <w:sz w:val="24"/>
        </w:rPr>
        <w:t>。</w:t>
      </w:r>
    </w:p>
    <w:p w14:paraId="43259009">
      <w:pPr>
        <w:spacing w:line="360" w:lineRule="auto"/>
        <w:ind w:firstLine="480" w:firstLineChars="200"/>
        <w:rPr>
          <w:rFonts w:eastAsiaTheme="minorEastAsia"/>
          <w:sz w:val="24"/>
        </w:rPr>
      </w:pPr>
      <w:r>
        <w:rPr>
          <w:rFonts w:hint="eastAsia" w:eastAsiaTheme="minorEastAsia"/>
          <w:sz w:val="24"/>
        </w:rPr>
        <w:t>厥水：厥水发源于桐柏山南麓鹰子咀。厥水及支流流经新城、万和、淮河(九獐河源)、天河口、殷店、高城、尚市、历山、城郊等地和历山镇。在随州西南面两河咀(木瓜园南)注入厥水。全长105.3km，流域面枳1306.4km²。厥水区间支流共有22条。厥水为山溪性常流河，河源海拔995m，河口海拔60.4m。流域比降自北向南变化急剧下降。</w:t>
      </w:r>
    </w:p>
    <w:p w14:paraId="4AD148D3">
      <w:pPr>
        <w:spacing w:line="360" w:lineRule="auto"/>
        <w:ind w:firstLine="480" w:firstLineChars="200"/>
        <w:rPr>
          <w:rFonts w:eastAsiaTheme="minorEastAsia"/>
          <w:sz w:val="24"/>
        </w:rPr>
      </w:pPr>
      <w:r>
        <w:rPr>
          <w:rFonts w:hint="eastAsia" w:eastAsiaTheme="minorEastAsia"/>
          <w:sz w:val="24"/>
        </w:rPr>
        <w:t>厥水和涢水交汇处下游1700m处是白云湖水利枢纽工程的拦河坝，拦截流域面积3827km²，于2000年建成蓄水。拦河坝坝长300m，高8.8m，拦河坝过流能力能够满足千年一遇洪水的泄洪要求。拦河坝与环湖堤所形成的人工湖—白云湖，其正常水位的水面面积480hm²，正常容积达到1260×104m³，为随州城区水厂的取水提供调节水源。白云湖下游河道己整治成人工河渠，底宽300m，堤高7m，最大设计过水深6.1m。在白云湖拦水坝上游约1.7km处的涢水桥有随州市一水厂。</w:t>
      </w:r>
    </w:p>
    <w:p w14:paraId="41E38922">
      <w:pPr>
        <w:spacing w:line="360" w:lineRule="auto"/>
        <w:ind w:firstLine="480" w:firstLineChars="200"/>
        <w:rPr>
          <w:rFonts w:eastAsiaTheme="minorEastAsia"/>
          <w:sz w:val="24"/>
        </w:rPr>
      </w:pPr>
      <w:r>
        <w:rPr>
          <w:rFonts w:hint="eastAsia" w:eastAsiaTheme="minorEastAsia"/>
          <w:sz w:val="24"/>
        </w:rPr>
        <w:t>漂水流经殿惦、高城、万家店、淅河、城郊(界)诸境，注入涢水，全长100.8km，境内流域面积844.2km</w:t>
      </w:r>
      <w:r>
        <w:rPr>
          <w:rFonts w:eastAsiaTheme="minorEastAsia"/>
          <w:sz w:val="24"/>
        </w:rPr>
        <w:t>²</w:t>
      </w:r>
      <w:r>
        <w:rPr>
          <w:rFonts w:hint="eastAsia" w:eastAsiaTheme="minorEastAsia"/>
          <w:sz w:val="24"/>
        </w:rPr>
        <w:t>。漂水为山溪性常流河，正源海拔510m，河口海拔57m。流域比降平均为2‰。河床平均宽160m，最大水面宽232m，最小水面宽4m，河床结构上游支流为砂砾，主河为细沙，两岸为丘陵，无森林覆盖。漂水在白云湖大坝下游约2km处注入府河。</w:t>
      </w:r>
    </w:p>
    <w:p w14:paraId="774B1388">
      <w:pPr>
        <w:spacing w:line="360" w:lineRule="auto"/>
        <w:ind w:firstLine="480" w:firstLineChars="200"/>
        <w:rPr>
          <w:rFonts w:eastAsiaTheme="minorEastAsia"/>
          <w:sz w:val="24"/>
        </w:rPr>
      </w:pPr>
      <w:r>
        <w:rPr>
          <w:rFonts w:hint="eastAsia" w:eastAsiaTheme="minorEastAsia"/>
          <w:sz w:val="24"/>
        </w:rPr>
        <w:t>吴山水库：吴山水库大坝在吴山镇，东南距随州市区54千米，地理坐标东经113°06′，北纬32°09′，控制流域面积100平方千米，回水涉及吴山镇中部。水库所在流域多年平均年降水量800毫米，集中在每年的4—9月，占全年总降水量的77%，多年平均年来水量3020万立方米，多年平均气温15.1摄氏度。流域在桐柏山南麓，地势东高西低，东部为低山丘陵，高程300~400米；东北部最高峰大仙垛，高程967米；西部为岗地，地势平坦，高程在200米左右；中部河谷地带，高程在200米以下。出露岩层为花岗岩体，侵蚀剥蚀作用较强，有中度水土流失，西部地表及中部河谷覆盖有冲积、堆积层。森林以人造林为主，树种有油桐、木梓、果树，农作物主产水稻、棉花、油料，土特产有桔梗、烟叶、龙须草。吴山水库为多年调节水库，正常蓄水位195.0米，汛限水位190.0米，死水位175.8米，设计洪水位198.2米，校核洪水位202.4米。水库总库容1.8858亿立方米，其中调洪库容8810万立方米，兴利库容9705万立方米，死库容343万立方米。河道型水库，水面面积9.12平方千米，回水长度6.0千米，最大水面宽2.3千米，最大水深36.8米。水库移民4267人，淹没耕地217.5公顷。吴山水库以防洪、灌溉为主，兼有水产养殖、发电等功能，水库灌溉面积7670公顷，可养殖水面670公顷，电站年发电量8200千瓦时，防洪标准为5年一遇，拦蓄洪水可减轻下游12万居民、8000公顷耕地的洪涝威胁。</w:t>
      </w:r>
    </w:p>
    <w:p w14:paraId="24732118">
      <w:pPr>
        <w:spacing w:line="360" w:lineRule="auto"/>
        <w:rPr>
          <w:rFonts w:eastAsiaTheme="minorEastAsia"/>
          <w:sz w:val="24"/>
        </w:rPr>
      </w:pPr>
      <w:r>
        <w:drawing>
          <wp:inline distT="0" distB="0" distL="0" distR="0">
            <wp:extent cx="5278120" cy="3490595"/>
            <wp:effectExtent l="0" t="0" r="0" b="0"/>
            <wp:docPr id="1009701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01168" name="图片 1"/>
                    <pic:cNvPicPr>
                      <a:picLocks noChangeAspect="1"/>
                    </pic:cNvPicPr>
                  </pic:nvPicPr>
                  <pic:blipFill>
                    <a:blip r:embed="rId17"/>
                    <a:stretch>
                      <a:fillRect/>
                    </a:stretch>
                  </pic:blipFill>
                  <pic:spPr>
                    <a:xfrm>
                      <a:off x="0" y="0"/>
                      <a:ext cx="5278120" cy="3490595"/>
                    </a:xfrm>
                    <a:prstGeom prst="rect">
                      <a:avLst/>
                    </a:prstGeom>
                  </pic:spPr>
                </pic:pic>
              </a:graphicData>
            </a:graphic>
          </wp:inline>
        </w:drawing>
      </w:r>
    </w:p>
    <w:p w14:paraId="63FAE236">
      <w:pPr>
        <w:spacing w:line="360" w:lineRule="auto"/>
        <w:jc w:val="center"/>
        <w:rPr>
          <w:rFonts w:eastAsiaTheme="minorEastAsia"/>
          <w:b/>
          <w:bCs/>
          <w:szCs w:val="21"/>
        </w:rPr>
      </w:pPr>
      <w:r>
        <w:rPr>
          <w:rFonts w:hint="eastAsia" w:eastAsiaTheme="minorEastAsia"/>
          <w:b/>
          <w:bCs/>
          <w:szCs w:val="21"/>
        </w:rPr>
        <w:t>图3.1.3-1   闽商石材产业园航拍图</w:t>
      </w:r>
    </w:p>
    <w:p w14:paraId="57E735C3">
      <w:pPr>
        <w:spacing w:line="360" w:lineRule="auto"/>
        <w:ind w:firstLine="480" w:firstLineChars="200"/>
        <w:rPr>
          <w:rFonts w:eastAsiaTheme="minorEastAsia"/>
          <w:sz w:val="24"/>
        </w:rPr>
      </w:pPr>
      <w:r>
        <w:rPr>
          <w:rFonts w:hint="eastAsia" w:eastAsiaTheme="minorEastAsia"/>
          <w:sz w:val="24"/>
        </w:rPr>
        <w:t>溠水，属于涢水支流。溠水发源于湖北随州市西北桐柏山南麓，七尖峰西北部的鸡鸣山。长142公里。平均径流深327.9毫米，平均流量6立方米/秒，平均河床宽87米，流域面积573.6平方公里。有支流鲁城河，以其流经唐镇的鲁城而得名。溠水上游源出崇山峻岭，中段是起伏不定的丘陵地带，下段地势平坦。中、下游建有吴山、黑屋湾大型水库、中型水库3座。总库容量45317立方米，可灌溉农田1.594万公顷。</w:t>
      </w:r>
    </w:p>
    <w:p w14:paraId="3186EBB4">
      <w:pPr>
        <w:spacing w:line="360" w:lineRule="auto"/>
        <w:ind w:firstLine="480" w:firstLineChars="200"/>
        <w:rPr>
          <w:rFonts w:eastAsiaTheme="minorEastAsia"/>
          <w:sz w:val="24"/>
        </w:rPr>
      </w:pPr>
      <w:r>
        <w:rPr>
          <w:rFonts w:hint="eastAsia" w:eastAsiaTheme="minorEastAsia"/>
          <w:sz w:val="24"/>
        </w:rPr>
        <w:t>游河，古称油水，是淮河上游右岸的一条支流，流经湖北省随州和河南省信阳市，全长62公里流域面积670平方公里。其中湖北境内长37公里，流域面积311.4平方公里。游河发源于湖北省随州随北桃花山南麓，东南流入游河水库，出水库大坝继续东南流，右汇二道河后折向东北，至陈家老湾进入河南省信阳市狮河区，游河在狮河区吴家营村东又折向东南，至游河乡以东汇入淮河。</w:t>
      </w:r>
    </w:p>
    <w:p w14:paraId="2A1DB614">
      <w:pPr>
        <w:keepNext/>
        <w:keepLines/>
        <w:widowControl/>
        <w:numPr>
          <w:ilvl w:val="2"/>
          <w:numId w:val="1"/>
        </w:numPr>
        <w:spacing w:before="120" w:after="120" w:line="360" w:lineRule="auto"/>
        <w:jc w:val="left"/>
        <w:outlineLvl w:val="2"/>
        <w:rPr>
          <w:rFonts w:eastAsiaTheme="minorEastAsia"/>
          <w:b/>
          <w:bCs/>
          <w:sz w:val="24"/>
        </w:rPr>
      </w:pPr>
      <w:bookmarkStart w:id="96" w:name="_Toc206494937"/>
      <w:r>
        <w:rPr>
          <w:rFonts w:hint="eastAsia" w:eastAsiaTheme="minorEastAsia"/>
          <w:b/>
          <w:bCs/>
          <w:sz w:val="24"/>
        </w:rPr>
        <w:t>气象、气候</w:t>
      </w:r>
      <w:bookmarkEnd w:id="96"/>
    </w:p>
    <w:p w14:paraId="50077C89">
      <w:pPr>
        <w:spacing w:line="360" w:lineRule="auto"/>
        <w:ind w:firstLine="480" w:firstLineChars="200"/>
        <w:rPr>
          <w:rFonts w:eastAsiaTheme="minorEastAsia"/>
          <w:sz w:val="24"/>
        </w:rPr>
      </w:pPr>
      <w:r>
        <w:rPr>
          <w:rFonts w:hint="eastAsia" w:eastAsiaTheme="minorEastAsia"/>
          <w:sz w:val="24"/>
        </w:rPr>
        <w:t>随州市处于中纬度季风环流区域的中部，属于北亚热带季风气候。因受太阳辐射和季风环流的季节性变化的影响，随州气候温和，四季分明，光照充足，雨量充沛，无霜期较长，严寒酷暑时间较短。温暖的气候条件，良好的地貌特点，造就了优越的生态环境，尤其是大洪山一带，保留着很多珍贵的植物种类，其中主要包括中亚热带的常绿阔叶林和北亚热带的常绿阔叶与落叶阔叶混交林。繁茂的植被和充足的果根，使随州的动物资源也相应丰富，从腔肠动物、昆虫、鱼类、两栖类、爬行类、鸟类到哺乳类，应有尽有，而且至今还保留有一些珍贵的物种如大鲵、金鱼等。可以说，自古以来，随州大地一直是动植物栖息和繁衍的理想场地。</w:t>
      </w:r>
    </w:p>
    <w:p w14:paraId="1692E468">
      <w:pPr>
        <w:spacing w:line="360" w:lineRule="auto"/>
        <w:ind w:firstLine="480" w:firstLineChars="200"/>
        <w:rPr>
          <w:rFonts w:eastAsiaTheme="minorEastAsia"/>
          <w:sz w:val="24"/>
        </w:rPr>
      </w:pPr>
      <w:r>
        <w:rPr>
          <w:rFonts w:hint="eastAsia" w:eastAsiaTheme="minorEastAsia"/>
          <w:sz w:val="24"/>
        </w:rPr>
        <w:t>随州市平均年气温16.5℃，年平均最高气温20.8℃，平均最低气温11.5℃。气温极大值为41.1℃，气温极小值为－16.3℃。气温年较差平均值为25.8℃。随州市平均气温以一月最低（2.3℃），七、八月最高（28.1℃、27.4℃）。夏、冬两季平均气温之差为23.3℃，春、秋两季平均气温接近（15.2℃、16.5℃）。</w:t>
      </w:r>
    </w:p>
    <w:p w14:paraId="789AA0E5">
      <w:pPr>
        <w:spacing w:line="360" w:lineRule="auto"/>
        <w:ind w:firstLine="480" w:firstLineChars="200"/>
        <w:rPr>
          <w:rFonts w:eastAsiaTheme="minorEastAsia"/>
          <w:sz w:val="24"/>
        </w:rPr>
      </w:pPr>
      <w:r>
        <w:rPr>
          <w:rFonts w:hint="eastAsia" w:eastAsiaTheme="minorEastAsia"/>
          <w:sz w:val="24"/>
        </w:rPr>
        <w:t>随州市年平均降水量为947.6mm。年平均蒸发量为1527.2mm，降水量和蒸发量的季节性变化较大，历年夏季平均降水量为508.4mm，占全年降水量的53.7%，冬季降水最少，仅占全年降水量的8.8%，春秋两季的降水量介于冬夏之间。</w:t>
      </w:r>
    </w:p>
    <w:p w14:paraId="0650DA9E">
      <w:pPr>
        <w:spacing w:line="360" w:lineRule="auto"/>
        <w:ind w:firstLine="480" w:firstLineChars="200"/>
        <w:rPr>
          <w:rFonts w:eastAsiaTheme="minorEastAsia"/>
          <w:sz w:val="24"/>
        </w:rPr>
      </w:pPr>
      <w:r>
        <w:rPr>
          <w:rFonts w:hint="eastAsia" w:eastAsiaTheme="minorEastAsia"/>
          <w:sz w:val="24"/>
        </w:rPr>
        <w:t>随州市全年日照时数为2082小时，各月日照变化是：一、二月日照时数最少，日平均4.5小时，七、八日照时数最多，日平均达7.7－7.9个小时，夏季日照时数为695.6小时，是冬季的1.7倍。全年日照率为47.8%。</w:t>
      </w:r>
    </w:p>
    <w:p w14:paraId="2C51A66C">
      <w:pPr>
        <w:spacing w:line="360" w:lineRule="auto"/>
        <w:ind w:firstLine="480" w:firstLineChars="200"/>
        <w:rPr>
          <w:rFonts w:eastAsiaTheme="minorEastAsia"/>
          <w:sz w:val="24"/>
        </w:rPr>
      </w:pPr>
      <w:r>
        <w:rPr>
          <w:rFonts w:hint="eastAsia" w:eastAsiaTheme="minorEastAsia"/>
          <w:sz w:val="24"/>
        </w:rPr>
        <w:t>随州市湿度年平均为75.9%，湿度年际变化不大，月平均变化范围为70%～90%，夏季湿度稍高于冬季。随州市气压年平均为1004.8hPa，冬夏两季气压平均为1014.8hPa和993.8hPa。</w:t>
      </w:r>
    </w:p>
    <w:p w14:paraId="38602225">
      <w:pPr>
        <w:spacing w:line="360" w:lineRule="auto"/>
        <w:ind w:firstLine="480" w:firstLineChars="200"/>
        <w:rPr>
          <w:rFonts w:eastAsiaTheme="minorEastAsia"/>
          <w:sz w:val="24"/>
        </w:rPr>
      </w:pPr>
      <w:r>
        <w:rPr>
          <w:rFonts w:hint="eastAsia" w:eastAsiaTheme="minorEastAsia"/>
          <w:sz w:val="24"/>
        </w:rPr>
        <w:t>随县属北亚热带季风气候，光照充足，雨量充沛，无霜期较长，严寒酷暑时间较短。春季昼夜长短相差不大，冷暖气流频繁交替，常有大风，气温升降急剧。夏季昼长夜短，旱多涝少，伏旱明显，雨量集中，多大雨或暴雨。秋季凉爽干燥，雨量明显减少，多旱。冬季夜长昼短，干燥寒冷，雨量少。</w:t>
      </w:r>
    </w:p>
    <w:p w14:paraId="518F6FB6">
      <w:pPr>
        <w:keepNext/>
        <w:keepLines/>
        <w:widowControl/>
        <w:numPr>
          <w:ilvl w:val="2"/>
          <w:numId w:val="1"/>
        </w:numPr>
        <w:spacing w:before="120" w:after="120" w:line="360" w:lineRule="auto"/>
        <w:jc w:val="left"/>
        <w:outlineLvl w:val="2"/>
        <w:rPr>
          <w:rFonts w:eastAsiaTheme="minorEastAsia"/>
          <w:b/>
          <w:bCs/>
          <w:sz w:val="24"/>
        </w:rPr>
      </w:pPr>
      <w:bookmarkStart w:id="97" w:name="_Toc206494938"/>
      <w:r>
        <w:rPr>
          <w:rFonts w:hint="eastAsia" w:eastAsiaTheme="minorEastAsia"/>
          <w:b/>
          <w:bCs/>
          <w:sz w:val="24"/>
        </w:rPr>
        <w:t>自然资源概况</w:t>
      </w:r>
      <w:bookmarkEnd w:id="97"/>
    </w:p>
    <w:p w14:paraId="20F39F19">
      <w:pPr>
        <w:spacing w:line="360" w:lineRule="auto"/>
        <w:ind w:firstLine="480" w:firstLineChars="200"/>
        <w:rPr>
          <w:rFonts w:eastAsiaTheme="minorEastAsia"/>
          <w:sz w:val="24"/>
        </w:rPr>
      </w:pPr>
      <w:r>
        <w:rPr>
          <w:rFonts w:hint="eastAsia" w:eastAsiaTheme="minorEastAsia"/>
          <w:sz w:val="24"/>
        </w:rPr>
        <w:t>（1）随州市自然资源概况</w:t>
      </w:r>
    </w:p>
    <w:p w14:paraId="682C5C66">
      <w:pPr>
        <w:spacing w:line="360" w:lineRule="auto"/>
        <w:ind w:firstLine="480" w:firstLineChars="200"/>
        <w:rPr>
          <w:rFonts w:eastAsiaTheme="minorEastAsia"/>
          <w:sz w:val="24"/>
        </w:rPr>
      </w:pPr>
      <w:r>
        <w:rPr>
          <w:rFonts w:hint="eastAsia" w:eastAsiaTheme="minorEastAsia"/>
          <w:sz w:val="24"/>
        </w:rPr>
        <w:t>随州市境内植物有137科760余种，其中主要木本植物有71科174属355种。国家重点保护植物有银杏、闽楠、桢楠、秤锤树、香果树、青檀、山拐枣、牛鼻栓、黄杨木、黄山木兰、天目木姜子、华榛、凹叶厚朴、兰花等60多种。珍贵药材有鄂北贝母、杜仲、白干、五倍子、七叶一枝花、半边莲等。</w:t>
      </w:r>
    </w:p>
    <w:p w14:paraId="1B669A4F">
      <w:pPr>
        <w:spacing w:line="360" w:lineRule="auto"/>
        <w:ind w:firstLine="480" w:firstLineChars="200"/>
        <w:rPr>
          <w:rFonts w:eastAsiaTheme="minorEastAsia"/>
          <w:sz w:val="24"/>
        </w:rPr>
      </w:pPr>
      <w:r>
        <w:rPr>
          <w:rFonts w:hint="eastAsia" w:eastAsiaTheme="minorEastAsia"/>
          <w:sz w:val="24"/>
        </w:rPr>
        <w:t>随州市境内家养畜禽主要有猪、牛、羊、鸡、鸭、鹅等。森林动物有鸟类11科123种，兽类10科55种，国家级、省级重点保护动物有雉鸡、杜鹃、穿山甲、娃娃鱼、金钱豹等120多种。水产有7目12科47种，其中鲤科鱼类30余种，占70%以上，养殖的经济鱼类有20余种，以花鲢、白鲢、草鱼、鲫鱼、鲤鱼等常规品种为主。名特优水产品有银鱼、青虾、鳜鱼、武昌鱼、细鳞斜颌鲴、黄颡鱼、甲鱼、乌龟、黄鳝等。</w:t>
      </w:r>
    </w:p>
    <w:p w14:paraId="234F0029">
      <w:pPr>
        <w:spacing w:line="360" w:lineRule="auto"/>
        <w:ind w:firstLine="480" w:firstLineChars="200"/>
        <w:rPr>
          <w:rFonts w:eastAsiaTheme="minorEastAsia"/>
          <w:sz w:val="24"/>
        </w:rPr>
      </w:pPr>
      <w:r>
        <w:rPr>
          <w:rFonts w:hint="eastAsia" w:eastAsiaTheme="minorEastAsia"/>
          <w:sz w:val="24"/>
        </w:rPr>
        <w:t>随州市境内有发现各类矿产58种，矿产地和矿（化）点242处，其中金属矿产21种，矿产地和矿（化）点110处，非金属矿产34种，矿产地和矿（化）点126处，能源矿产2种，矿产地和矿（化）点5处；水气矿产1种，矿产地和矿（化）点1处。全市已查明资源储量的矿种共12种，分别为金、银、铁、铝、重稀土、莹石、冶金用白云岩、硫铁矿、重晶石、磷矿、石墨、长石等，尚有13种矿产估算了地质储量，因工作程度低而未上矿产储量表。已探明矿产资源储矿产有9种，矿产地19处，总储量约3880万吨。</w:t>
      </w:r>
    </w:p>
    <w:p w14:paraId="7F6138C3">
      <w:pPr>
        <w:spacing w:line="360" w:lineRule="auto"/>
        <w:ind w:firstLine="480" w:firstLineChars="200"/>
        <w:rPr>
          <w:rFonts w:eastAsiaTheme="minorEastAsia"/>
          <w:sz w:val="24"/>
        </w:rPr>
      </w:pPr>
      <w:r>
        <w:rPr>
          <w:rFonts w:hint="eastAsia" w:eastAsiaTheme="minorEastAsia"/>
          <w:sz w:val="24"/>
        </w:rPr>
        <w:t>随州市境内河流流域面积7356平方公里，多年平均径流深344.3毫米，径流总量25.25亿立方米。平水年径流深318.1毫米，径流总量23.34亿立方年径流深220.1毫米，径流总量16.13亿立方米；特枯年径流深144.6毫米，径流总量8.45亿立方米。其中，境内流域面积6989平方公里，多年平均径流量24.2亿立方米；平水年径流量为22.38亿立方米，偏枯年径流量15.52亿立方米，特枯年径流量8.19亿立方米。修建大、中、小型水库513处，流域面积折净拦控3208.32平方公里，折净拦控率达45.9%。</w:t>
      </w:r>
    </w:p>
    <w:p w14:paraId="59DE61AE">
      <w:pPr>
        <w:spacing w:line="360" w:lineRule="auto"/>
        <w:ind w:firstLine="480" w:firstLineChars="200"/>
        <w:rPr>
          <w:rFonts w:eastAsiaTheme="minorEastAsia"/>
          <w:sz w:val="24"/>
        </w:rPr>
      </w:pPr>
      <w:r>
        <w:rPr>
          <w:rFonts w:hint="eastAsia" w:eastAsiaTheme="minorEastAsia"/>
          <w:sz w:val="24"/>
        </w:rPr>
        <w:t>（2）随县自然资源概况</w:t>
      </w:r>
    </w:p>
    <w:p w14:paraId="69FF7DD7">
      <w:pPr>
        <w:spacing w:line="360" w:lineRule="auto"/>
        <w:ind w:firstLine="480" w:firstLineChars="200"/>
        <w:rPr>
          <w:rFonts w:eastAsiaTheme="minorEastAsia"/>
          <w:sz w:val="24"/>
        </w:rPr>
      </w:pPr>
      <w:r>
        <w:rPr>
          <w:rFonts w:hint="eastAsia" w:eastAsiaTheme="minorEastAsia"/>
          <w:sz w:val="24"/>
        </w:rPr>
        <w:t>随县地域面积广阔，有着丰富的自然资源和深厚的文化底蕴，是全国产粮大县、生猪大县和著名的香菇之乡、蕙兰之乡，食用菌、油桃、蜜枣、茶叶、兰草、三黄鸡、泡泡青、厉山腐乳等特色农产品驰名中外。南有玉龙温泉公园、林泉生态园、火山地质公园“三园”，北有七尖峰、桐柏山、鸡鸣山“三山”，中间有中华民族人文始祖炎帝神农诞生地——炎帝神农故里风景区，春赏桃兰，夏游漂流，秋品红叶，冬沐温泉，优美独特的自然景观为旅游业的发展提供了强大支撑和巨大潜力。随县森林覆盖率约57%，随南高达70%以上，森林面积占湖北省二十分之一。</w:t>
      </w:r>
    </w:p>
    <w:p w14:paraId="2572A8DA">
      <w:pPr>
        <w:spacing w:line="360" w:lineRule="auto"/>
        <w:ind w:firstLine="480" w:firstLineChars="200"/>
        <w:rPr>
          <w:rFonts w:eastAsiaTheme="minorEastAsia"/>
          <w:sz w:val="24"/>
        </w:rPr>
      </w:pPr>
      <w:r>
        <w:rPr>
          <w:rFonts w:hint="eastAsia" w:eastAsiaTheme="minorEastAsia"/>
          <w:sz w:val="24"/>
        </w:rPr>
        <w:t>境内已探明矿产有50多种，其中金属矿产27种，矿产地和矿（化）点174处；非金属矿产22种，地热矿产1种，矿点1处。金属矿产主要有金、银、铁、铝等，其次是钒、钼、锌、铅；非金属矿产主要有冶金辅助原料矿产白云岩和萤石，化工原料矿产重晶石、原硫铁矿、含钾岩石，建材和其他矿产大理石、花岗石、辉绿岩、石灰石、矾石、石棉等，其中重晶石储量居全省之首，质量居全国之冠。全县森林覆盖率约57%，随南高达70%以上，森林面积占全省二十分之一。电力资源充足，境内有华中电网和丹江口水力枢纽电网双回路供电，风能、太阳能等新能源发电迅猛发展。有大中型水库380余座，年有效储水量12亿立方米，构建了覆盖全县城乡的供水体系。</w:t>
      </w:r>
    </w:p>
    <w:p w14:paraId="4D166AA5">
      <w:pPr>
        <w:keepNext/>
        <w:keepLines/>
        <w:widowControl/>
        <w:numPr>
          <w:ilvl w:val="2"/>
          <w:numId w:val="1"/>
        </w:numPr>
        <w:spacing w:before="120" w:after="120" w:line="360" w:lineRule="auto"/>
        <w:jc w:val="left"/>
        <w:outlineLvl w:val="2"/>
        <w:rPr>
          <w:rFonts w:eastAsiaTheme="minorEastAsia"/>
          <w:b/>
          <w:bCs/>
          <w:sz w:val="24"/>
        </w:rPr>
      </w:pPr>
      <w:bookmarkStart w:id="98" w:name="_Toc206494939"/>
      <w:r>
        <w:rPr>
          <w:rFonts w:hint="eastAsia" w:eastAsiaTheme="minorEastAsia"/>
          <w:b/>
          <w:bCs/>
          <w:sz w:val="24"/>
        </w:rPr>
        <w:t>区域生态环境概况</w:t>
      </w:r>
      <w:bookmarkEnd w:id="98"/>
    </w:p>
    <w:p w14:paraId="38279C0C">
      <w:pPr>
        <w:spacing w:line="360" w:lineRule="auto"/>
        <w:ind w:firstLine="480" w:firstLineChars="200"/>
        <w:rPr>
          <w:rFonts w:eastAsiaTheme="minorEastAsia"/>
          <w:sz w:val="24"/>
        </w:rPr>
      </w:pPr>
      <w:r>
        <w:rPr>
          <w:rFonts w:hint="eastAsia" w:eastAsiaTheme="minorEastAsia"/>
          <w:sz w:val="24"/>
        </w:rPr>
        <w:t>随县境内成土母岩为片麻岩、石灰岩，土壤按带区划分属北部亚热带黄棕壤、黄褐土带。其黄棕壤是北亚热带低山丘陵地区地带性土壤，为随州市主要土类。随州自古森林茂密，为多林地区，森林植被属北亚热带常绿阔叶林区域，在世界植物区系起源上，正处于古北级和古热带两个植物区系相交接地带，具有南北过渡的特点。</w:t>
      </w:r>
    </w:p>
    <w:p w14:paraId="4FDADF97">
      <w:pPr>
        <w:spacing w:line="360" w:lineRule="auto"/>
        <w:ind w:firstLine="480" w:firstLineChars="200"/>
        <w:rPr>
          <w:rFonts w:eastAsiaTheme="minorEastAsia"/>
          <w:sz w:val="24"/>
        </w:rPr>
      </w:pPr>
      <w:r>
        <w:rPr>
          <w:rFonts w:hint="eastAsia" w:eastAsiaTheme="minorEastAsia"/>
          <w:sz w:val="24"/>
        </w:rPr>
        <w:t>随县在地理划分上属亚热带常绿阔叶林带，含常绿阔叶的落叶林亚带。由于长期人为活动的影响，天然植被受到严重破坏，现有植被已大多被人工或次生植被所演替，植被群落垂直明显。根据随州林业局有关资料中的调查统计显示，该县共有63科、103属、209种。</w:t>
      </w:r>
    </w:p>
    <w:p w14:paraId="47F9F335">
      <w:pPr>
        <w:keepNext/>
        <w:keepLines/>
        <w:widowControl/>
        <w:numPr>
          <w:ilvl w:val="2"/>
          <w:numId w:val="1"/>
        </w:numPr>
        <w:spacing w:before="120" w:after="120" w:line="360" w:lineRule="auto"/>
        <w:jc w:val="left"/>
        <w:outlineLvl w:val="2"/>
        <w:rPr>
          <w:rFonts w:eastAsiaTheme="minorEastAsia"/>
          <w:b/>
          <w:bCs/>
          <w:sz w:val="24"/>
        </w:rPr>
      </w:pPr>
      <w:bookmarkStart w:id="99" w:name="_Toc206494940"/>
      <w:r>
        <w:rPr>
          <w:rFonts w:hint="eastAsia" w:eastAsiaTheme="minorEastAsia"/>
          <w:b/>
          <w:bCs/>
          <w:sz w:val="24"/>
        </w:rPr>
        <w:t>主要生态敏感目标</w:t>
      </w:r>
      <w:bookmarkEnd w:id="99"/>
    </w:p>
    <w:p w14:paraId="634320BB">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桐柏山太白顶风景名胜区</w:t>
      </w:r>
    </w:p>
    <w:p w14:paraId="15199066">
      <w:pPr>
        <w:spacing w:line="360" w:lineRule="auto"/>
        <w:ind w:firstLine="480" w:firstLineChars="200"/>
        <w:rPr>
          <w:rFonts w:eastAsiaTheme="minorEastAsia"/>
          <w:sz w:val="24"/>
        </w:rPr>
      </w:pPr>
      <w:r>
        <w:rPr>
          <w:rFonts w:hint="eastAsia" w:eastAsiaTheme="minorEastAsia"/>
          <w:sz w:val="24"/>
        </w:rPr>
        <w:t>（1）桐柏山太白顶风景名胜区基本概况</w:t>
      </w:r>
    </w:p>
    <w:p w14:paraId="71AEB19F">
      <w:pPr>
        <w:spacing w:line="360" w:lineRule="auto"/>
        <w:ind w:firstLine="480" w:firstLineChars="200"/>
        <w:rPr>
          <w:rFonts w:eastAsiaTheme="minorEastAsia"/>
          <w:sz w:val="24"/>
        </w:rPr>
      </w:pPr>
      <w:r>
        <w:rPr>
          <w:rFonts w:hint="eastAsia" w:eastAsiaTheme="minorEastAsia"/>
          <w:sz w:val="24"/>
        </w:rPr>
        <w:t>桐柏山太白顶风景名胜区位于湖北省随州市随县西北部，地处北纬32°16’—32°26’，东经113°10＇—113°20＂之间，主峰太白顶海拔1140米，西接湖北省枣阳市，北连鄂豫两省交界，方圆135平方公里，与河南省国家级风景名胜区淮源风景名胜区相毗邻。核心景区属七尖峰林场区域面积56.5平方千米，行政区域内总人口2万余人，于1997年被湖北省人民政府批准为省级风景名胜区，景区行政管理机构为随州市桐柏山太白顶风景名胜区管理委员会。</w:t>
      </w:r>
    </w:p>
    <w:p w14:paraId="1B0901C6">
      <w:pPr>
        <w:spacing w:line="360" w:lineRule="auto"/>
        <w:ind w:firstLine="480" w:firstLineChars="200"/>
        <w:rPr>
          <w:rFonts w:eastAsiaTheme="minorEastAsia"/>
          <w:sz w:val="24"/>
        </w:rPr>
      </w:pPr>
      <w:r>
        <w:rPr>
          <w:rFonts w:hint="eastAsia" w:eastAsiaTheme="minorEastAsia"/>
          <w:sz w:val="24"/>
        </w:rPr>
        <w:t>（2）桐柏山太白顶风景名胜区资源基本情况</w:t>
      </w:r>
    </w:p>
    <w:p w14:paraId="0395BCDB">
      <w:pPr>
        <w:spacing w:line="360" w:lineRule="auto"/>
        <w:ind w:firstLine="480" w:firstLineChars="200"/>
        <w:rPr>
          <w:rFonts w:eastAsiaTheme="minorEastAsia"/>
          <w:sz w:val="24"/>
        </w:rPr>
      </w:pPr>
      <w:r>
        <w:rPr>
          <w:rFonts w:hint="eastAsia" w:eastAsiaTheme="minorEastAsia"/>
          <w:sz w:val="24"/>
        </w:rPr>
        <w:t>随州市桐柏山太白顶风景区管委会成立以后，按照总体规划要求把景区建成“新城游客集散服务中心”、“鄂北乡村风情旅游风光带”、“田王寨景区、清水寺景区、熊潭沟景区、八访涧景区、太白顶景区”等“一心一带五区”综合旅游胜地。景区内自然景观资源丰富，人文景观历史悠久，景区风景人文资源主要包含两大类，7个中类，23个小类，有景观资源点41个，其中：一级景源3个，二级景源7个，三级景源31个；涵盖景点50余个，峻峰，峭壁，奇石，异洞，古塔，寺庙，古寨，瀑布，溪潭等各类景点100余处，景物景观1000余处，主峰太白顶，海拔1140米，以“楚北第一高峰”闻名。景区凭借深厚的历史文化积淀，形形色色的典故与传奇，博得“三千年兵家必争、三千年无双福地”之美誉。</w:t>
      </w:r>
    </w:p>
    <w:p w14:paraId="63A47B28">
      <w:pPr>
        <w:spacing w:line="360" w:lineRule="auto"/>
        <w:ind w:firstLine="480" w:firstLineChars="200"/>
        <w:rPr>
          <w:rFonts w:eastAsiaTheme="minorEastAsia"/>
          <w:sz w:val="24"/>
        </w:rPr>
      </w:pPr>
      <w:r>
        <w:rPr>
          <w:rFonts w:hint="eastAsia" w:eastAsiaTheme="minorEastAsia"/>
          <w:sz w:val="24"/>
        </w:rPr>
        <w:t>（3）景区目前规划的有五大旅游点</w:t>
      </w:r>
    </w:p>
    <w:p w14:paraId="2822CEF0">
      <w:pPr>
        <w:spacing w:line="360" w:lineRule="auto"/>
        <w:ind w:firstLine="480" w:firstLineChars="200"/>
        <w:rPr>
          <w:rFonts w:eastAsiaTheme="minorEastAsia"/>
          <w:sz w:val="24"/>
        </w:rPr>
      </w:pPr>
      <w:r>
        <w:rPr>
          <w:rFonts w:hint="eastAsia" w:eastAsiaTheme="minorEastAsia"/>
          <w:sz w:val="24"/>
        </w:rPr>
        <w:t>①田王寨景区－－华中第一古军寨</w:t>
      </w:r>
    </w:p>
    <w:p w14:paraId="6B3890E0">
      <w:pPr>
        <w:spacing w:line="360" w:lineRule="auto"/>
        <w:ind w:firstLine="480" w:firstLineChars="200"/>
        <w:rPr>
          <w:rFonts w:eastAsiaTheme="minorEastAsia"/>
          <w:sz w:val="24"/>
        </w:rPr>
      </w:pPr>
      <w:r>
        <w:rPr>
          <w:rFonts w:hint="eastAsia" w:eastAsiaTheme="minorEastAsia"/>
          <w:sz w:val="24"/>
        </w:rPr>
        <w:t>田王寨景区位于主峰太白顶以海拔1018米东固城山上，面积11.3平方公里。寨墙以山势而建，围有九个山头，高7米，宽1米，周长30余公里，宛如长城，历经沧桑，古朴厚重。寨内5平方公里，建有银銮殿，设有七门一卡、五营四哨，饮马池、擂鼓台、烽火台、田园、集市俱全，俨然一个国中之国，被专家誉为“华中第一寨”。传说在元朝末年，桐柏田姓农民在此聚众抗蒙，故名田王寨。清道光年间，寨下戴家仓屋戴曜堂因救驾有功，赐戴曜堂顶戴花翎，封为四品千岁都司，统湖北、河南两省八县军务。戴曜堂在田王寨扩建加固，训练家兵，更名“安和寨”。</w:t>
      </w:r>
    </w:p>
    <w:p w14:paraId="4F9E37C7">
      <w:pPr>
        <w:spacing w:line="360" w:lineRule="auto"/>
        <w:ind w:firstLine="480" w:firstLineChars="200"/>
        <w:rPr>
          <w:rFonts w:eastAsiaTheme="minorEastAsia"/>
          <w:sz w:val="24"/>
        </w:rPr>
      </w:pPr>
      <w:r>
        <w:rPr>
          <w:rFonts w:hint="eastAsia" w:eastAsiaTheme="minorEastAsia"/>
          <w:sz w:val="24"/>
        </w:rPr>
        <w:t>田王寨景区主要自然景观有：险岫峰，是桐柏山脉的第二高峰，峰顶有一水井，名曰“龙池”。其水终年不竭。月儿崖，位于田王寨东南，悬崖峭壁如刀削斧劈，立在崖边，俯视谷底，万丈深渊，令人不寒而栗。无风垛，又叫锦秀峰，孤峰突兀，耸立云端，传说峰有避风宝珠，每适大风鼓山，峰顶灯火不动。此外还有：金狮摇铃、瓮城、烽火台、鹰咀石、云雾洞、柜子石等。田王寨景区于2014年始由随州国际同创旅游开发有限公司投资开发，2018年7月通过了省旅游委4A景观质量评审，并被中宣部纳入长征国家文化公园湖北段建设范畴，2019年引入随州神农寨旅游开发有限公司对田王寨景区进行二期开发建设，重点突出景观打造和红色旅游主题，于11月13日顺利通过省文旅厅验收，12月22日，湖北省文化和旅游厅发布公告，随州市随县田王寨景区正式获批成为国家4A级旅游景区。</w:t>
      </w:r>
    </w:p>
    <w:p w14:paraId="68DA4731">
      <w:pPr>
        <w:spacing w:line="360" w:lineRule="auto"/>
        <w:ind w:firstLine="480" w:firstLineChars="200"/>
        <w:rPr>
          <w:rFonts w:eastAsiaTheme="minorEastAsia"/>
          <w:sz w:val="24"/>
        </w:rPr>
      </w:pPr>
      <w:r>
        <w:rPr>
          <w:rFonts w:hint="eastAsia" w:eastAsiaTheme="minorEastAsia"/>
          <w:sz w:val="24"/>
        </w:rPr>
        <w:t>②熊潭沟景区－－－自然生态大峡谷</w:t>
      </w:r>
    </w:p>
    <w:p w14:paraId="5D9DE32A">
      <w:pPr>
        <w:spacing w:line="360" w:lineRule="auto"/>
        <w:ind w:firstLine="480" w:firstLineChars="200"/>
        <w:rPr>
          <w:rFonts w:eastAsiaTheme="minorEastAsia"/>
          <w:sz w:val="24"/>
        </w:rPr>
      </w:pPr>
      <w:r>
        <w:rPr>
          <w:rFonts w:hint="eastAsia" w:eastAsiaTheme="minorEastAsia"/>
          <w:sz w:val="24"/>
        </w:rPr>
        <w:t>生态峡谷熊潭沟位于田王寨北侧，是一条绵7.5公里的大峡谷，景区面积10.4平方公里，峡谷两侧悬崖峭壁，气势雄浑，奇石异洞，相映成奇。峡谷内野趣盎然，溪流清幽，瀑布飞泄，深潭甘泉，曲涧交汇，群峰耸翠，层峦叠出，自然风光秀丽，生态环境良好，堪称“桐柏山第一大峡谷”，被专家誉为“小九寨沟”。位于熊潭沟北侧是桐柏山第二大古寨盛家寨，海拔千米以上，寨墙保存完好，与玉皇峰隔涧对峙。景区重峦叠嶂，碧波清泉，曲径通此乃佳景福地。主要自然景观有：龙兴寺、鬼谷子洞、玉皇顶、荞麦石、鲤鱼跳龙门、社庙等。最具特色的是太白红叶，每到秋天，漫山红遍，层林尽染。</w:t>
      </w:r>
    </w:p>
    <w:p w14:paraId="064AE59F">
      <w:pPr>
        <w:spacing w:line="360" w:lineRule="auto"/>
        <w:ind w:firstLine="480" w:firstLineChars="200"/>
        <w:rPr>
          <w:rFonts w:eastAsiaTheme="minorEastAsia"/>
          <w:sz w:val="24"/>
        </w:rPr>
      </w:pPr>
      <w:r>
        <w:rPr>
          <w:rFonts w:hint="eastAsia" w:eastAsiaTheme="minorEastAsia"/>
          <w:sz w:val="24"/>
        </w:rPr>
        <w:t>③八访涧景区—山水神韵隐贤臣</w:t>
      </w:r>
    </w:p>
    <w:p w14:paraId="47344A06">
      <w:pPr>
        <w:spacing w:line="360" w:lineRule="auto"/>
        <w:ind w:firstLine="480" w:firstLineChars="200"/>
        <w:rPr>
          <w:rFonts w:eastAsiaTheme="minorEastAsia"/>
          <w:sz w:val="24"/>
        </w:rPr>
      </w:pPr>
      <w:r>
        <w:rPr>
          <w:rFonts w:hint="eastAsia" w:eastAsiaTheme="minorEastAsia"/>
          <w:sz w:val="24"/>
        </w:rPr>
        <w:t>八访涧，又叫访贤涧，位于太白顶主峰以南，是一条长达6千米的大峡谷，面积7.5平方公里。举目远眺，秀峰幽谷连绵，清溪飞瀑串珠，是一条最能体验风景区山水神韵自然与人文景观交融的游览线，也是汉高祖刘邦八访贤臣传说地。相传张良辅高祖统一天下积劳成疾，为求清净长寿，便云游四海，寻至太白顶主峰一天然洞内隐居修身，传说张良归隐桐柏山后，汉高祖曾派八大臣至此造访，遂成为千古美谈。</w:t>
      </w:r>
    </w:p>
    <w:p w14:paraId="369AD13F">
      <w:pPr>
        <w:spacing w:line="360" w:lineRule="auto"/>
        <w:ind w:firstLine="480" w:firstLineChars="200"/>
        <w:rPr>
          <w:rFonts w:eastAsiaTheme="minorEastAsia"/>
          <w:sz w:val="24"/>
        </w:rPr>
      </w:pPr>
      <w:r>
        <w:rPr>
          <w:rFonts w:hint="eastAsia" w:eastAsiaTheme="minorEastAsia"/>
          <w:sz w:val="24"/>
        </w:rPr>
        <w:t>在八访涧出口处有一寺庙叫子房庙，相传是当地百姓为纪念张良所建。庙后古银杏树，历经千年仍苍萃挺拔，千年古银杏树，铭刻张良魂。这里还红色旅游胜地，解放战争时期，刘邓大军挺进大别山，开辟了桐柏解放区，解放军桐柏军区第一军分区机关设在八访涧下李家沟，现遗址尚存。景区主要自然景观有：黑龙潭、张良洞、子房庙、茅庵寺、观音寺、访贤庐、千年银杏树等。张良庙千年银杏树龙潭瀑布</w:t>
      </w:r>
    </w:p>
    <w:p w14:paraId="4C5CC697">
      <w:pPr>
        <w:spacing w:line="360" w:lineRule="auto"/>
        <w:ind w:firstLine="480" w:firstLineChars="200"/>
        <w:rPr>
          <w:rFonts w:eastAsiaTheme="minorEastAsia"/>
          <w:sz w:val="24"/>
        </w:rPr>
      </w:pPr>
      <w:r>
        <w:rPr>
          <w:rFonts w:hint="eastAsia" w:eastAsiaTheme="minorEastAsia"/>
          <w:sz w:val="24"/>
        </w:rPr>
        <w:t>④清水寺景区－－无垢佛国禅修地</w:t>
      </w:r>
    </w:p>
    <w:p w14:paraId="00087EAB">
      <w:pPr>
        <w:spacing w:line="360" w:lineRule="auto"/>
        <w:ind w:firstLine="480" w:firstLineChars="200"/>
        <w:rPr>
          <w:rFonts w:eastAsiaTheme="minorEastAsia"/>
          <w:sz w:val="24"/>
        </w:rPr>
      </w:pPr>
      <w:r>
        <w:rPr>
          <w:rFonts w:hint="eastAsia" w:eastAsiaTheme="minorEastAsia"/>
          <w:sz w:val="24"/>
        </w:rPr>
        <w:t>清水寺景区位于桐柏山太白顶西北侧磨云山寨下，面积6.5平方公里。始建于清朝乾隆年间，至今有近400年历史，寺外现存海雷铎祖塔，位于清水寺左岭，清乾隆年间所修。2007福建普化寺演肃法师，在此宣法弘道，并投资近500余万元修建佛教学院，现寺院包括斋堂、讲经殿、宿舍等。该寺院是以弘扬佛法，讲授戒律为主，寺内现有住僧50余人。清水寺下游500米处有一悬崖峭壁，十分险峻。悬崖处一石洞叫神仙洞，传说是太白金星隐居修炼的地方。神仙洞上面山顶处有一蛙形巨石奇观，被称为“金蟾望月石”。该石神形兼备，惟妙惟肖，活灵活现，唯大自然鬼斧神工，让人叹为观止。此外还有龙凤岩、磨云山寨、天锅山、卧龙寺、倒石帘、马鞍桥等自然景观、香炉峰金蟾望月石。</w:t>
      </w:r>
    </w:p>
    <w:p w14:paraId="601FF7B1">
      <w:pPr>
        <w:spacing w:line="360" w:lineRule="auto"/>
        <w:ind w:firstLine="480" w:firstLineChars="200"/>
        <w:rPr>
          <w:rFonts w:eastAsiaTheme="minorEastAsia"/>
          <w:sz w:val="24"/>
        </w:rPr>
      </w:pPr>
      <w:r>
        <w:rPr>
          <w:rFonts w:hint="eastAsia" w:eastAsiaTheme="minorEastAsia"/>
          <w:sz w:val="24"/>
        </w:rPr>
        <w:t>⑤太白顶景区－－中华佛道圣地</w:t>
      </w:r>
    </w:p>
    <w:p w14:paraId="3CCB5174">
      <w:pPr>
        <w:spacing w:line="360" w:lineRule="auto"/>
        <w:ind w:firstLine="480" w:firstLineChars="200"/>
        <w:rPr>
          <w:rFonts w:eastAsiaTheme="minorEastAsia"/>
          <w:sz w:val="24"/>
        </w:rPr>
      </w:pPr>
      <w:r>
        <w:rPr>
          <w:rFonts w:hint="eastAsia" w:eastAsiaTheme="minorEastAsia"/>
          <w:sz w:val="24"/>
        </w:rPr>
        <w:t>太白顶景区位于桐柏山主峰，海拔1140米，俗称楚北第一峰。景区面积5.7平方公里，是桐柏山太白顶风景区精华所在地。其东有千尺崖、东塔园、松月台、张良洞，北有上天梯、太白极顶、罗汉肚、香炉峰，西有观云台、白虎洞、西塔园。登顶远眺，北视中原，南阅楚天，万山俱下，极目千里，群山峻岭，连绵起伏，险崖峡谷，奇异深幽。太白顶横空出世，常有云雾缭绕，凝滞腰峰，白云飘逸，古人称此景为“太白横云”，为旧时桐柏山八大景观之一，和太白顶“佛光”、“日出”并称“三绝”奇观，自然天成，令人神往。峰顶有云台禅寺，是饮誉海内外的佛教圣地之一。早在隋唐，佛教文化就传道这里，至清而盛，僧众多达600余人。乾隆四十九年，太白顶建云台禅寺，该寺座跨豫鄂，高僧辈出，享誉海内外，素有“南普陀，北云台”之称。殿宇轩昂，雄伟壮观，天王殿、玉佛殿、大雄宝殿、卧佛殿、观音殿、毗庐殿六大殿堂依次而建，飞檐雕甍，古朴肃穆。圣像庄严，佛僧云集，游人如织。有诗为赞：“披雾带霞登云台，日暖奇花遍地开。危殿插霄星月近，险峰接天风雨来。”，素有华中第一寺之美誉！</w:t>
      </w:r>
    </w:p>
    <w:p w14:paraId="4A06AF84">
      <w:pPr>
        <w:spacing w:line="360" w:lineRule="auto"/>
        <w:ind w:firstLine="480" w:firstLineChars="200"/>
        <w:rPr>
          <w:rFonts w:eastAsiaTheme="minorEastAsia"/>
          <w:sz w:val="24"/>
        </w:rPr>
      </w:pPr>
      <w:r>
        <w:rPr>
          <w:rFonts w:hint="eastAsia" w:eastAsiaTheme="minorEastAsia"/>
          <w:sz w:val="24"/>
        </w:rPr>
        <w:t>桐柏山道教源渊流长，传说东周周灵王之子王子乔，曾在桐柏山天台观修仙，号桐柏真君，武当派鼻祖张三丰曾在此修真。桐柏山被道家称为“天下第四十一福地”、“三十六洞天”。太白顶方圆几百里，山山有寺、处处有观。千百年来，佛道两教竞相争鸣，却又交融共生，形成了我国为数不多的佛道共荣景象。云台禅寺无梁殿左殿供道，右殿奉佛，佛道合一，两教始祖同堂共享香火，实为中华佛道之奇观。</w:t>
      </w:r>
    </w:p>
    <w:p w14:paraId="3C9E1757">
      <w:pPr>
        <w:spacing w:line="360" w:lineRule="auto"/>
        <w:ind w:firstLine="480" w:firstLineChars="200"/>
        <w:rPr>
          <w:rFonts w:eastAsiaTheme="minorEastAsia"/>
          <w:sz w:val="24"/>
        </w:rPr>
      </w:pPr>
      <w:r>
        <w:rPr>
          <w:rFonts w:hint="eastAsia" w:eastAsiaTheme="minorEastAsia"/>
          <w:sz w:val="24"/>
        </w:rPr>
        <w:t>（4）景区保护现状</w:t>
      </w:r>
    </w:p>
    <w:p w14:paraId="640A1B1E">
      <w:pPr>
        <w:spacing w:line="360" w:lineRule="auto"/>
        <w:ind w:firstLine="480" w:firstLineChars="200"/>
        <w:rPr>
          <w:rFonts w:eastAsiaTheme="minorEastAsia"/>
          <w:sz w:val="24"/>
        </w:rPr>
      </w:pPr>
      <w:r>
        <w:rPr>
          <w:rFonts w:hint="eastAsia" w:eastAsiaTheme="minorEastAsia"/>
          <w:sz w:val="24"/>
        </w:rPr>
        <w:t>根据《桐柏山太白顶风景名胜区2022年规划实施和资源保护现状年度报告》：</w:t>
      </w:r>
    </w:p>
    <w:p w14:paraId="0A9B1488">
      <w:pPr>
        <w:spacing w:line="360" w:lineRule="auto"/>
        <w:ind w:firstLine="480" w:firstLineChars="200"/>
        <w:rPr>
          <w:rFonts w:eastAsiaTheme="minorEastAsia"/>
          <w:sz w:val="24"/>
        </w:rPr>
      </w:pPr>
      <w:r>
        <w:rPr>
          <w:rFonts w:hint="eastAsia" w:eastAsiaTheme="minorEastAsia"/>
          <w:sz w:val="24"/>
        </w:rPr>
        <w:t>本区多为低山区，局部为丘陵，地形坡度一般大于30度，相对高差多大于200m。区内主要断裂为青山口断裂，沿断裂带岩体破碎，其他大部分地段岩体较完整，地表残坡积土层薄，一般不超过3m，区内人类经济活动相对较弱，随岳高速公路、汉丹－宁西铁路联络线带及封江水库坝址处，人类经济工程活动相对较强。全区分布5个灾害点，以小型滑坡为主，稳定性差，皆与人工切坡有关，主要防治的地质灾害类型为滑坡。</w:t>
      </w:r>
    </w:p>
    <w:p w14:paraId="0CFEC721">
      <w:pPr>
        <w:spacing w:line="360" w:lineRule="auto"/>
        <w:ind w:firstLine="480" w:firstLineChars="200"/>
        <w:rPr>
          <w:rFonts w:eastAsiaTheme="minorEastAsia"/>
          <w:sz w:val="24"/>
        </w:rPr>
      </w:pPr>
      <w:r>
        <w:rPr>
          <w:rFonts w:hint="eastAsia" w:eastAsiaTheme="minorEastAsia"/>
          <w:sz w:val="24"/>
        </w:rPr>
        <w:t>消防安全设施与基础设施同步建设，新建服务设施应严格遵守相关消防规范要求：加强服务设施的消防通道建设。定期检查消防设施和器材的配备，在重要建筑物旁沿道路设置地面式消火栓。现状完善了七尖峰林场的森林防火指挥系统和规章制度，配备了专职人员和防火设施：田王寨、太白顶景区设置了防火晾望塔，林区建设防火隔离带：重视对游客安全防火意识宣传与培养，林区内严格管制吸游烟行为。</w:t>
      </w:r>
    </w:p>
    <w:p w14:paraId="2F9328C7">
      <w:pPr>
        <w:spacing w:line="360" w:lineRule="auto"/>
        <w:ind w:firstLine="480" w:firstLineChars="200"/>
        <w:rPr>
          <w:rFonts w:eastAsiaTheme="minorEastAsia"/>
          <w:sz w:val="24"/>
        </w:rPr>
      </w:pPr>
      <w:r>
        <w:rPr>
          <w:rFonts w:hint="eastAsia" w:eastAsiaTheme="minorEastAsia"/>
          <w:sz w:val="24"/>
        </w:rPr>
        <w:t>景区建设靠的是资源，一是森林资源，二是土地资源，保好这两条红线，是建好景区的基础，也是优化投资环境的需要。建区以来，管委会按照力保两条“红线”的工作思路，坚持依法行政促效能，把保“红线”工作落到实处。开年以来，管委会利用景区综合执法队，加大对林业管理力度。成立巡逻小分队日夜值班巡查，严厉打击盗伐偷运景区林木，</w:t>
      </w:r>
    </w:p>
    <w:p w14:paraId="5E1A0E55">
      <w:pPr>
        <w:spacing w:line="360" w:lineRule="auto"/>
        <w:ind w:firstLine="480" w:firstLineChars="200"/>
        <w:rPr>
          <w:rFonts w:eastAsiaTheme="minorEastAsia"/>
          <w:sz w:val="24"/>
        </w:rPr>
      </w:pPr>
      <w:r>
        <w:rPr>
          <w:rFonts w:hint="eastAsia" w:eastAsiaTheme="minorEastAsia"/>
          <w:sz w:val="24"/>
        </w:rPr>
        <w:t>加大对盗挖景区风景树、古树，滥伐林木，放火烧山等林业案件的查处力度，有效地遇止了破坏景区森林资源的现象。同时组织植树造林3000亩，裁植328省道行道风景树500株。噪声污染源：营运期噪声主要来自交通和商业噪声。固体废物：主要来自游客、服务人员和当地社会居民产生的生活垃圾。其他生态环境问题：游客在游览过程的不文明行为也将对生态环境产线，管委会按照力保两条“红线”的工作思路，坚持依法行政促效能，把保“红线”工作落到实处。</w:t>
      </w:r>
    </w:p>
    <w:p w14:paraId="2D4948E0">
      <w:pPr>
        <w:spacing w:line="360" w:lineRule="auto"/>
        <w:ind w:firstLine="480" w:firstLineChars="200"/>
        <w:rPr>
          <w:rFonts w:eastAsiaTheme="minorEastAsia"/>
          <w:sz w:val="24"/>
        </w:rPr>
      </w:pPr>
      <w:r>
        <w:rPr>
          <w:rFonts w:hint="eastAsia" w:eastAsiaTheme="minorEastAsia"/>
          <w:sz w:val="24"/>
        </w:rPr>
        <w:t>规划产业生产区域不涉及桐柏山太白顶风景名胜区范围。</w:t>
      </w:r>
    </w:p>
    <w:p w14:paraId="2FACF746">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七尖峰省级森林公园</w:t>
      </w:r>
    </w:p>
    <w:p w14:paraId="0FE154C3">
      <w:pPr>
        <w:spacing w:line="360" w:lineRule="auto"/>
        <w:ind w:firstLine="480" w:firstLineChars="200"/>
        <w:rPr>
          <w:rFonts w:eastAsiaTheme="minorEastAsia"/>
          <w:sz w:val="24"/>
        </w:rPr>
      </w:pPr>
      <w:r>
        <w:rPr>
          <w:rFonts w:hint="eastAsia" w:eastAsiaTheme="minorEastAsia"/>
          <w:sz w:val="24"/>
        </w:rPr>
        <w:t>湖北省七尖峰森林公园于2007年经湖北省林业局批准设立，地处鄂豫两省交界的桐柏山麓，位于随州市随县北部，南与随县唐镇交界，北与河南省桐柏县接壤，东与天河口(殷店镇)毗邻、万和镇相连，西与吴山镇相接。区域面积以七尖峰一带原始森林群落为核心，公园规划总面积3869.7公顷(其中原始森林1266.7公顷)。七尖峰景区的地理坐标为：北纬32°05′00′′—32°17′10′′，东经113°06′36′′—113°13′42′′。四界范围：陈刺台——石板河——悦来店——戴家庄——新仓——周家湾——马头湾——王家棚——肖家湾——刘家老湾——杨家坪——陈刺台。</w:t>
      </w:r>
    </w:p>
    <w:p w14:paraId="6CB250FA">
      <w:pPr>
        <w:spacing w:line="360" w:lineRule="auto"/>
        <w:ind w:firstLine="480" w:firstLineChars="200"/>
        <w:rPr>
          <w:rFonts w:eastAsiaTheme="minorEastAsia"/>
          <w:sz w:val="24"/>
        </w:rPr>
      </w:pPr>
      <w:r>
        <w:rPr>
          <w:rFonts w:hint="eastAsia" w:eastAsiaTheme="minorEastAsia"/>
          <w:sz w:val="24"/>
        </w:rPr>
        <w:t>公园区内植物类型包括裸子植物、双子叶植物和单子叶植物所有类型。裸子植物中主要有银杏科、松科、杉科、柏科、罗汉松科、红豆杉科等。双子叶植物中主要包括木兰科、樟科、蔷薇科、杜仲科、桦木科、杜鹃花科等，单子叶植物中主要有禾本科。</w:t>
      </w:r>
    </w:p>
    <w:p w14:paraId="70436688">
      <w:pPr>
        <w:spacing w:line="360" w:lineRule="auto"/>
        <w:ind w:firstLine="480" w:firstLineChars="200"/>
        <w:rPr>
          <w:rFonts w:eastAsiaTheme="minorEastAsia"/>
          <w:sz w:val="24"/>
        </w:rPr>
      </w:pPr>
      <w:r>
        <w:rPr>
          <w:rFonts w:hint="eastAsia" w:eastAsiaTheme="minorEastAsia"/>
          <w:sz w:val="24"/>
        </w:rPr>
        <w:t>主要植物种类包括有银杏、马尾松、杉木、圆柏、刺柏、山核桃、油松等乡土树种，还有黄山松、白榆、榔榆、板栗、锥栗、枫杨、桑树、构树、鹅掌楸、珊瑚朴、榉树、李、杏、梅、桃、臭椿、无患子、乌桕、泡桐、黄栌、丝绵木等高大乔木，有杜鹃、木槿、紫荆、结香、紫薇、牡丹、月季、牡荆、迎春等灌木以及毛竹、刚竹、紫竹、青竹、水竹等竹类。</w:t>
      </w:r>
    </w:p>
    <w:p w14:paraId="20CBB2DC">
      <w:pPr>
        <w:spacing w:line="360" w:lineRule="auto"/>
        <w:ind w:firstLine="480" w:firstLineChars="200"/>
        <w:rPr>
          <w:rFonts w:eastAsiaTheme="minorEastAsia"/>
          <w:sz w:val="24"/>
        </w:rPr>
      </w:pPr>
      <w:r>
        <w:rPr>
          <w:rFonts w:hint="eastAsia" w:eastAsiaTheme="minorEastAsia"/>
          <w:sz w:val="24"/>
        </w:rPr>
        <w:t>野生动植物种类有200多种，其中有国家保护动物8种。除了野猪之外，九节狸、野羊、獾子和白鹭等也频繁出现。</w:t>
      </w:r>
    </w:p>
    <w:p w14:paraId="048D9ED4">
      <w:pPr>
        <w:spacing w:line="360" w:lineRule="auto"/>
        <w:ind w:firstLine="480" w:firstLineChars="200"/>
        <w:rPr>
          <w:rFonts w:eastAsiaTheme="minorEastAsia"/>
          <w:sz w:val="24"/>
        </w:rPr>
      </w:pPr>
      <w:r>
        <w:rPr>
          <w:rFonts w:hint="eastAsia" w:eastAsiaTheme="minorEastAsia"/>
          <w:sz w:val="24"/>
        </w:rPr>
        <w:t>七尖峰森林公园生态环境良好，基本未受到周边矿山开采的影响，目前在森林公园范围内的采矿区已全部闭矿，已完成了矿山生态复绿。</w:t>
      </w:r>
    </w:p>
    <w:p w14:paraId="397BE50E">
      <w:pPr>
        <w:spacing w:line="360" w:lineRule="auto"/>
        <w:ind w:firstLine="480" w:firstLineChars="200"/>
        <w:rPr>
          <w:rFonts w:eastAsiaTheme="minorEastAsia"/>
          <w:sz w:val="24"/>
        </w:rPr>
      </w:pPr>
      <w:r>
        <w:rPr>
          <w:rFonts w:hint="eastAsia" w:eastAsiaTheme="minorEastAsia"/>
          <w:sz w:val="24"/>
        </w:rPr>
        <w:t>规划产业生产区域不涉及七尖峰森林公园保护区域。</w:t>
      </w:r>
    </w:p>
    <w:p w14:paraId="0D21922F">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万和兰花自然保护区</w:t>
      </w:r>
    </w:p>
    <w:p w14:paraId="70C35A40">
      <w:pPr>
        <w:spacing w:line="360" w:lineRule="auto"/>
        <w:ind w:firstLine="480" w:firstLineChars="200"/>
        <w:rPr>
          <w:rFonts w:eastAsiaTheme="minorEastAsia"/>
          <w:sz w:val="24"/>
        </w:rPr>
      </w:pPr>
      <w:r>
        <w:rPr>
          <w:rFonts w:hint="eastAsia" w:eastAsiaTheme="minorEastAsia"/>
          <w:sz w:val="24"/>
        </w:rPr>
        <w:t>2002年，经省政府批准，在万和镇境内的七尖峰林场建立了兰花自然保护小区（保护面积约1万亩），实际总面积达7.2万亩。自 2016 年来，随县全县实施了天保林工程，354 万亩天然林纳入保护范围，国家财政每年投入资金 5700 万元，对所有天然林和生态公益林实行禁伐和管护，为野生兰花营造了良好的生存环境。</w:t>
      </w:r>
    </w:p>
    <w:p w14:paraId="02BF8D9D">
      <w:pPr>
        <w:spacing w:line="360" w:lineRule="auto"/>
        <w:ind w:firstLine="480" w:firstLineChars="200"/>
        <w:rPr>
          <w:rFonts w:eastAsiaTheme="minorEastAsia"/>
          <w:sz w:val="24"/>
        </w:rPr>
      </w:pPr>
      <w:r>
        <w:rPr>
          <w:rFonts w:hint="eastAsia" w:eastAsiaTheme="minorEastAsia"/>
          <w:sz w:val="24"/>
        </w:rPr>
        <w:t>目前，全镇现有兰花资源5千多万株，全镇已成立 20 个兰草种植合作社，共种植普通兰草约 90 万盆、精品兰草 3 万多盆，年收益达 900 万元左右。名贵品种有梅瓣、牡丹、水仙、三星蝶、树形兰等。</w:t>
      </w:r>
    </w:p>
    <w:p w14:paraId="6149CCEE">
      <w:pPr>
        <w:spacing w:line="360" w:lineRule="auto"/>
        <w:ind w:firstLine="480" w:firstLineChars="200"/>
        <w:rPr>
          <w:rFonts w:eastAsiaTheme="minorEastAsia"/>
          <w:sz w:val="24"/>
        </w:rPr>
      </w:pPr>
      <w:r>
        <w:rPr>
          <w:rFonts w:hint="eastAsia" w:eastAsiaTheme="minorEastAsia"/>
          <w:sz w:val="24"/>
        </w:rPr>
        <w:t>规划产业生产区域不涉及兰花自然保护区。</w:t>
      </w:r>
    </w:p>
    <w:p w14:paraId="38151E4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其他生态敏感区</w:t>
      </w:r>
    </w:p>
    <w:p w14:paraId="4F7333F5">
      <w:pPr>
        <w:spacing w:line="360" w:lineRule="auto"/>
        <w:ind w:firstLine="480" w:firstLineChars="200"/>
        <w:rPr>
          <w:rFonts w:eastAsiaTheme="minorEastAsia"/>
          <w:sz w:val="24"/>
        </w:rPr>
      </w:pPr>
      <w:r>
        <w:rPr>
          <w:rFonts w:hint="eastAsia" w:eastAsiaTheme="minorEastAsia"/>
          <w:sz w:val="24"/>
        </w:rPr>
        <w:t>（1）鸡鸣山风景区</w:t>
      </w:r>
    </w:p>
    <w:p w14:paraId="698DF463">
      <w:pPr>
        <w:spacing w:line="360" w:lineRule="auto"/>
        <w:ind w:firstLine="480" w:firstLineChars="200"/>
        <w:rPr>
          <w:rFonts w:eastAsiaTheme="minorEastAsia"/>
          <w:sz w:val="24"/>
        </w:rPr>
      </w:pPr>
      <w:r>
        <w:rPr>
          <w:rFonts w:hint="eastAsia" w:eastAsiaTheme="minorEastAsia"/>
          <w:sz w:val="24"/>
        </w:rPr>
        <w:t>鸡鸣山地处桐柏山脉南麓，位于随县吴山镇新集村东部，主峰鸡冠域海拔612米，素有“小武当”之称，具有典型的花岗岩风貌，山石裸露，“袒胸露腹“，奇石耸立，天然成趣，千姿百态的象形山石随处可见。与鸡鸣山相距2500米的栲栳寺，始建于唐开元16年，盛于明代。离寺庙数百米远的山坡上，立有4座明清时代的舍利塔。古迹鲁班洞、石碑、石桥、龙池还保留着部分原貌。</w:t>
      </w:r>
    </w:p>
    <w:p w14:paraId="50D50F01">
      <w:pPr>
        <w:spacing w:line="360" w:lineRule="auto"/>
        <w:ind w:firstLine="480" w:firstLineChars="200"/>
        <w:rPr>
          <w:rFonts w:eastAsiaTheme="minorEastAsia"/>
          <w:sz w:val="24"/>
        </w:rPr>
      </w:pPr>
      <w:r>
        <w:rPr>
          <w:rFonts w:hint="eastAsia" w:eastAsiaTheme="minorEastAsia"/>
          <w:sz w:val="24"/>
        </w:rPr>
        <w:t>（2）神农部落景区</w:t>
      </w:r>
    </w:p>
    <w:p w14:paraId="3A661954">
      <w:pPr>
        <w:spacing w:line="360" w:lineRule="auto"/>
        <w:ind w:firstLine="480" w:firstLineChars="200"/>
        <w:rPr>
          <w:rFonts w:eastAsiaTheme="minorEastAsia"/>
          <w:sz w:val="24"/>
        </w:rPr>
      </w:pPr>
      <w:r>
        <w:rPr>
          <w:rFonts w:hint="eastAsia" w:eastAsiaTheme="minorEastAsia"/>
          <w:sz w:val="24"/>
        </w:rPr>
        <w:t xml:space="preserve">神农部落景区，位于随县淮河镇龙泉村，有神农天书文化园、神农本草农耕文化主题园、淮渎文化博物馆、三皇五帝文化园、太阳神祭祀园等景点。神农部落景区以神农文化、神农的八大功绩为主线，展示完整的神农文化体系。 </w:t>
      </w:r>
    </w:p>
    <w:p w14:paraId="236C47B6">
      <w:pPr>
        <w:spacing w:line="360" w:lineRule="auto"/>
        <w:ind w:firstLine="480" w:firstLineChars="200"/>
        <w:rPr>
          <w:rFonts w:eastAsiaTheme="minorEastAsia"/>
          <w:sz w:val="24"/>
        </w:rPr>
      </w:pPr>
      <w:r>
        <w:rPr>
          <w:rFonts w:hint="eastAsia" w:eastAsiaTheme="minorEastAsia"/>
          <w:sz w:val="24"/>
        </w:rPr>
        <w:t>（3）炎帝故里风景名胜区</w:t>
      </w:r>
    </w:p>
    <w:p w14:paraId="1BCBAAF7">
      <w:pPr>
        <w:spacing w:line="360" w:lineRule="auto"/>
        <w:ind w:firstLine="480" w:firstLineChars="200"/>
        <w:rPr>
          <w:rFonts w:eastAsiaTheme="minorEastAsia"/>
          <w:sz w:val="24"/>
        </w:rPr>
      </w:pPr>
      <w:r>
        <w:rPr>
          <w:rFonts w:hint="eastAsia" w:eastAsiaTheme="minorEastAsia"/>
          <w:sz w:val="24"/>
        </w:rPr>
        <w:t>炎帝故里风景名胜区，位于随县厉山镇，总面积20.39平方千米，其中核心景区面积近3.4平方千米。景区拥有神农牌坊、神农文化广场、炎帝神农纪念馆、神农碑、神农尝百草塑像、神农泉、神农洞、神农庙、功德殿、万法寺、龙凤日月旗杆、烈山湖等20余处人文和自然景观。</w:t>
      </w:r>
    </w:p>
    <w:p w14:paraId="734FE84D">
      <w:pPr>
        <w:spacing w:line="360" w:lineRule="auto"/>
        <w:ind w:firstLine="480" w:firstLineChars="200"/>
        <w:rPr>
          <w:rFonts w:eastAsiaTheme="minorEastAsia"/>
          <w:sz w:val="24"/>
        </w:rPr>
      </w:pPr>
      <w:r>
        <w:rPr>
          <w:rFonts w:hint="eastAsia" w:eastAsiaTheme="minorEastAsia"/>
          <w:sz w:val="24"/>
        </w:rPr>
        <w:t>（4）西游记漂流景区</w:t>
      </w:r>
    </w:p>
    <w:p w14:paraId="4F792651">
      <w:pPr>
        <w:spacing w:line="360" w:lineRule="auto"/>
        <w:ind w:firstLine="480" w:firstLineChars="200"/>
        <w:rPr>
          <w:rFonts w:eastAsiaTheme="minorEastAsia"/>
          <w:sz w:val="24"/>
        </w:rPr>
      </w:pPr>
      <w:r>
        <w:rPr>
          <w:rFonts w:hint="eastAsia" w:eastAsiaTheme="minorEastAsia"/>
          <w:sz w:val="24"/>
        </w:rPr>
        <w:t>西游记漂流景区，绵延于桐柏山脉中段的豫鄂两省交界地带，漂流全长约9千米，落差110米、S型弯道9个，激流险滩30多处，西游记漂流的源头位于随县淮河镇的玉皇顶，海拔898米，是桐柏山东段的最高峰。玉皇顶下的龙潭河是一条原生态溪流，落差100米，年经流量5000万立方，可供漂流的长度为9千米。</w:t>
      </w:r>
    </w:p>
    <w:p w14:paraId="2C81E3F0">
      <w:pPr>
        <w:spacing w:line="360" w:lineRule="auto"/>
        <w:ind w:firstLine="480" w:firstLineChars="200"/>
        <w:rPr>
          <w:rFonts w:eastAsiaTheme="minorEastAsia"/>
          <w:sz w:val="24"/>
        </w:rPr>
      </w:pPr>
      <w:r>
        <w:rPr>
          <w:rFonts w:hint="eastAsia" w:eastAsiaTheme="minorEastAsia"/>
          <w:sz w:val="24"/>
        </w:rPr>
        <w:t>（5）西游记公园</w:t>
      </w:r>
    </w:p>
    <w:p w14:paraId="1FF6E3F8">
      <w:pPr>
        <w:spacing w:line="360" w:lineRule="auto"/>
        <w:ind w:firstLine="480" w:firstLineChars="200"/>
        <w:rPr>
          <w:rFonts w:eastAsiaTheme="minorEastAsia"/>
          <w:sz w:val="24"/>
        </w:rPr>
      </w:pPr>
      <w:r>
        <w:rPr>
          <w:rFonts w:hint="eastAsia" w:eastAsiaTheme="minorEastAsia"/>
          <w:sz w:val="24"/>
        </w:rPr>
        <w:t>西游记公园，地处随县洪山镇，占地面积3600亩。公园由女儿国温泉、西域风情街、西游钱币园、火焰山石林、蟠桃园、大闹天宫、八戒艺术中心组成，拥有73个天然泡池、800余间客房、多功能宴会厅、生态植物园、动感水上乐园，更有仿真互动游戏、红孩儿游乐场、5D影院、户外拓展、汽车越野赛、直升机游玩等十多个西游记文化体验场所。</w:t>
      </w:r>
    </w:p>
    <w:p w14:paraId="407758D4">
      <w:pPr>
        <w:spacing w:line="360" w:lineRule="auto"/>
        <w:ind w:firstLine="480" w:firstLineChars="200"/>
        <w:rPr>
          <w:rFonts w:eastAsiaTheme="minorEastAsia"/>
          <w:sz w:val="24"/>
        </w:rPr>
      </w:pPr>
      <w:r>
        <w:rPr>
          <w:rFonts w:hint="eastAsia" w:eastAsiaTheme="minorEastAsia"/>
          <w:sz w:val="24"/>
        </w:rPr>
        <w:t>（6）琵琶湖风景区</w:t>
      </w:r>
    </w:p>
    <w:p w14:paraId="148821FD">
      <w:pPr>
        <w:spacing w:line="360" w:lineRule="auto"/>
        <w:ind w:firstLine="480" w:firstLineChars="200"/>
        <w:rPr>
          <w:rFonts w:eastAsiaTheme="minorEastAsia"/>
          <w:sz w:val="24"/>
        </w:rPr>
      </w:pPr>
      <w:r>
        <w:rPr>
          <w:rFonts w:hint="eastAsia" w:eastAsiaTheme="minorEastAsia"/>
          <w:sz w:val="24"/>
        </w:rPr>
        <w:t>琵琶湖风景区，位于随县洪山镇，占地近4000亩，拥有水域1.04万亩。库中主要景点有火山遗迹、茶园风光、人头河、三圣庵等景点。</w:t>
      </w:r>
    </w:p>
    <w:p w14:paraId="0104AA52">
      <w:pPr>
        <w:spacing w:line="360" w:lineRule="auto"/>
        <w:ind w:firstLine="480" w:firstLineChars="200"/>
        <w:rPr>
          <w:rFonts w:eastAsiaTheme="minorEastAsia"/>
          <w:sz w:val="24"/>
        </w:rPr>
      </w:pPr>
      <w:r>
        <w:rPr>
          <w:rFonts w:hint="eastAsia" w:eastAsiaTheme="minorEastAsia"/>
          <w:sz w:val="24"/>
        </w:rPr>
        <w:t>规划产业生产区域不涉及上述风景区。</w:t>
      </w:r>
    </w:p>
    <w:p w14:paraId="074AFDA0">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00" w:name="_Toc206494941"/>
      <w:r>
        <w:rPr>
          <w:rFonts w:hint="eastAsia" w:eastAsiaTheme="minorEastAsia"/>
          <w:b/>
          <w:bCs/>
          <w:sz w:val="30"/>
          <w:szCs w:val="28"/>
        </w:rPr>
        <w:t>社会经济概况</w:t>
      </w:r>
      <w:bookmarkEnd w:id="100"/>
    </w:p>
    <w:p w14:paraId="2A8433E0">
      <w:pPr>
        <w:keepNext/>
        <w:keepLines/>
        <w:widowControl/>
        <w:numPr>
          <w:ilvl w:val="2"/>
          <w:numId w:val="1"/>
        </w:numPr>
        <w:spacing w:before="120" w:after="120" w:line="360" w:lineRule="auto"/>
        <w:jc w:val="left"/>
        <w:outlineLvl w:val="2"/>
        <w:rPr>
          <w:rFonts w:eastAsiaTheme="minorEastAsia"/>
          <w:b/>
          <w:bCs/>
          <w:sz w:val="24"/>
        </w:rPr>
      </w:pPr>
      <w:bookmarkStart w:id="101" w:name="_Toc206494942"/>
      <w:r>
        <w:rPr>
          <w:rFonts w:hint="eastAsia" w:eastAsiaTheme="minorEastAsia"/>
          <w:b/>
          <w:bCs/>
          <w:sz w:val="24"/>
        </w:rPr>
        <w:t>行政区划及人口</w:t>
      </w:r>
      <w:bookmarkEnd w:id="101"/>
    </w:p>
    <w:p w14:paraId="1E7D2100">
      <w:pPr>
        <w:spacing w:line="360" w:lineRule="auto"/>
        <w:ind w:firstLine="480" w:firstLineChars="200"/>
        <w:rPr>
          <w:rFonts w:eastAsiaTheme="minorEastAsia"/>
          <w:sz w:val="24"/>
        </w:rPr>
      </w:pPr>
      <w:r>
        <w:rPr>
          <w:rFonts w:hint="eastAsia" w:eastAsiaTheme="minorEastAsia"/>
          <w:sz w:val="24"/>
        </w:rPr>
        <w:t>（1）行政区划</w:t>
      </w:r>
    </w:p>
    <w:p w14:paraId="0E4715DF">
      <w:pPr>
        <w:spacing w:line="360" w:lineRule="auto"/>
        <w:ind w:firstLine="480" w:firstLineChars="200"/>
        <w:rPr>
          <w:rFonts w:eastAsiaTheme="minorEastAsia"/>
          <w:sz w:val="24"/>
        </w:rPr>
      </w:pPr>
      <w:r>
        <w:rPr>
          <w:rFonts w:hint="eastAsia" w:eastAsiaTheme="minorEastAsia"/>
          <w:sz w:val="24"/>
        </w:rPr>
        <w:t>截至2021年10月，随县下辖19个镇：厉山镇、高城镇、殷店镇、草店镇、小林镇、淮河镇、万和镇、尚市镇、唐县镇、吴山镇、新街镇、安居镇、澴潭镇、洪山镇、长岗镇、三里岗镇、柳林镇、均川镇、万福店镇。县人民政府驻厉山镇。</w:t>
      </w:r>
    </w:p>
    <w:p w14:paraId="516894E5">
      <w:pPr>
        <w:spacing w:line="360" w:lineRule="auto"/>
        <w:ind w:firstLine="480" w:firstLineChars="200"/>
        <w:rPr>
          <w:rFonts w:eastAsiaTheme="minorEastAsia"/>
          <w:sz w:val="24"/>
        </w:rPr>
      </w:pPr>
      <w:r>
        <w:rPr>
          <w:rFonts w:hint="eastAsia" w:eastAsiaTheme="minorEastAsia"/>
          <w:sz w:val="24"/>
        </w:rPr>
        <w:t>截至2021年10月，万和镇辖2个社区、35个行政村：万和社区、新城社区、石狮村、沙河店村、冷岗村、龙灯桥村、合河村、皂角树村、万家湾村、小河村、走马岭村、尖峰村、曹门村、峰山村、车店村、大房湾村、青苔村、西沟村、双湾村、吉祥村、九里湾村、佛山寨村、郭家乡村、黄林树村、倒峡村、龙凤山村、大西湾村、邱家大湾村、王店村、解河村、石板河村、太白村、白云村、山头村、晃山村、辛集村、宗湾村；镇人民政府驻万和社区。</w:t>
      </w:r>
    </w:p>
    <w:p w14:paraId="0575355F">
      <w:pPr>
        <w:spacing w:line="360" w:lineRule="auto"/>
        <w:ind w:firstLine="480" w:firstLineChars="200"/>
        <w:rPr>
          <w:rFonts w:eastAsiaTheme="minorEastAsia"/>
          <w:sz w:val="24"/>
        </w:rPr>
      </w:pPr>
      <w:r>
        <w:rPr>
          <w:rFonts w:hint="eastAsia" w:eastAsiaTheme="minorEastAsia"/>
          <w:sz w:val="24"/>
        </w:rPr>
        <w:t>（2）人口</w:t>
      </w:r>
    </w:p>
    <w:p w14:paraId="1663B7CF">
      <w:pPr>
        <w:spacing w:line="360" w:lineRule="auto"/>
        <w:ind w:firstLine="480" w:firstLineChars="200"/>
        <w:rPr>
          <w:rFonts w:eastAsiaTheme="minorEastAsia"/>
          <w:sz w:val="24"/>
        </w:rPr>
      </w:pPr>
      <w:r>
        <w:rPr>
          <w:rFonts w:hint="eastAsia" w:eastAsiaTheme="minorEastAsia"/>
          <w:sz w:val="24"/>
        </w:rPr>
        <w:t>根据随州市第七次全国人口普查结果，随县15岁以下人口占常住人口比重为17.10%，15-59岁人口占常住人口比重为58.84%，65岁及以上人口占常住人口比重为17.03%。</w:t>
      </w:r>
    </w:p>
    <w:p w14:paraId="4B95AEBA">
      <w:pPr>
        <w:spacing w:line="360" w:lineRule="auto"/>
        <w:ind w:firstLine="480" w:firstLineChars="200"/>
        <w:rPr>
          <w:rFonts w:eastAsiaTheme="minorEastAsia"/>
          <w:sz w:val="24"/>
        </w:rPr>
      </w:pPr>
      <w:r>
        <w:rPr>
          <w:rFonts w:hint="eastAsia" w:eastAsiaTheme="minorEastAsia"/>
          <w:sz w:val="24"/>
        </w:rPr>
        <w:t>截至2022年末，随县户籍人口92.7万人。常住人口63.91万人，城镇化率41.6％，比上年提高0.9个百分点。</w:t>
      </w:r>
    </w:p>
    <w:p w14:paraId="3DB1EB8F">
      <w:pPr>
        <w:spacing w:line="360" w:lineRule="auto"/>
        <w:ind w:firstLine="480" w:firstLineChars="200"/>
        <w:rPr>
          <w:rFonts w:eastAsiaTheme="minorEastAsia"/>
          <w:sz w:val="24"/>
        </w:rPr>
      </w:pPr>
      <w:r>
        <w:rPr>
          <w:rFonts w:hint="eastAsia" w:eastAsiaTheme="minorEastAsia"/>
          <w:sz w:val="24"/>
        </w:rPr>
        <w:t>2023年末全县常住人口63.16万人，其中城镇人口27.08万人，乡村人口36.08万人，城镇化率42.9％，比上年提高1.3个百分点。</w:t>
      </w:r>
    </w:p>
    <w:p w14:paraId="09ECEAEF">
      <w:pPr>
        <w:spacing w:line="360" w:lineRule="auto"/>
        <w:ind w:firstLine="480" w:firstLineChars="200"/>
        <w:rPr>
          <w:rFonts w:eastAsiaTheme="minorEastAsia"/>
          <w:sz w:val="24"/>
        </w:rPr>
      </w:pPr>
      <w:r>
        <w:rPr>
          <w:rFonts w:hint="eastAsia" w:eastAsiaTheme="minorEastAsia"/>
          <w:sz w:val="24"/>
        </w:rPr>
        <w:t>截至2019年末，万和镇户籍人口为69972人。</w:t>
      </w:r>
    </w:p>
    <w:p w14:paraId="799E1B38">
      <w:pPr>
        <w:keepNext/>
        <w:keepLines/>
        <w:widowControl/>
        <w:numPr>
          <w:ilvl w:val="2"/>
          <w:numId w:val="1"/>
        </w:numPr>
        <w:spacing w:before="120" w:after="120" w:line="360" w:lineRule="auto"/>
        <w:jc w:val="left"/>
        <w:outlineLvl w:val="2"/>
        <w:rPr>
          <w:rFonts w:eastAsiaTheme="minorEastAsia"/>
          <w:b/>
          <w:bCs/>
          <w:sz w:val="24"/>
        </w:rPr>
      </w:pPr>
      <w:bookmarkStart w:id="102" w:name="_Toc206494943"/>
      <w:r>
        <w:rPr>
          <w:rFonts w:hint="eastAsia" w:eastAsiaTheme="minorEastAsia"/>
          <w:b/>
          <w:bCs/>
          <w:sz w:val="24"/>
        </w:rPr>
        <w:t>社会经济状况</w:t>
      </w:r>
      <w:bookmarkEnd w:id="102"/>
    </w:p>
    <w:p w14:paraId="51F39409">
      <w:pPr>
        <w:spacing w:line="360" w:lineRule="auto"/>
        <w:ind w:firstLine="480" w:firstLineChars="200"/>
        <w:rPr>
          <w:rFonts w:eastAsiaTheme="minorEastAsia"/>
          <w:sz w:val="24"/>
        </w:rPr>
      </w:pPr>
      <w:r>
        <w:rPr>
          <w:rFonts w:hint="eastAsia" w:eastAsiaTheme="minorEastAsia"/>
          <w:sz w:val="24"/>
        </w:rPr>
        <w:t>2022年，随县实现生产总值297.87亿元，按可比价格计算，比2021年增长4.0%；其中：第一产业增加值83.67亿元，增长3.7%；第二产业增加值137.26亿元，增长4.3%；第三产业增加值76.94亿元，增长3.9%。三次产业结构由2021年的29.2：45.4：25.4调整为28.1：46.1：25.8。</w:t>
      </w:r>
    </w:p>
    <w:p w14:paraId="40CEC22F">
      <w:pPr>
        <w:spacing w:line="360" w:lineRule="auto"/>
        <w:ind w:firstLine="480" w:firstLineChars="200"/>
        <w:rPr>
          <w:rFonts w:eastAsiaTheme="minorEastAsia"/>
          <w:sz w:val="24"/>
        </w:rPr>
      </w:pPr>
      <w:r>
        <w:rPr>
          <w:rFonts w:hint="eastAsia" w:eastAsiaTheme="minorEastAsia"/>
          <w:sz w:val="24"/>
        </w:rPr>
        <w:t>2022年，随县完成财政总收入15.33亿元，可比增长28.6%；其中地方一般公共预算收入12.04亿元，可比增长38.2%；在地方一般公共预算收入中，税收收入6.07亿元，比2021年下降1.2%。地方一般公共预算支出47.72亿元，比上年增长20%。</w:t>
      </w:r>
    </w:p>
    <w:p w14:paraId="3FDA33BD">
      <w:pPr>
        <w:spacing w:line="360" w:lineRule="auto"/>
        <w:ind w:firstLine="480" w:firstLineChars="200"/>
        <w:rPr>
          <w:rFonts w:eastAsiaTheme="minorEastAsia"/>
          <w:sz w:val="24"/>
        </w:rPr>
      </w:pPr>
      <w:r>
        <w:rPr>
          <w:rFonts w:hint="eastAsia" w:eastAsiaTheme="minorEastAsia"/>
          <w:sz w:val="24"/>
        </w:rPr>
        <w:t>2022年，随县固定资产投资（不含农户）比2021年增长11.1%，其中民间投资增长2.7%。按登记注册类型划分，内资企业投资增长11.4%，港澳台投资下降38%，个体经营投资增长441.8%。按产业划分，第一产业投资下降21.2%，第二产业投资增长26.4%，第三产业投资增长9.4%，三次产业投资比重由2021年的19：44：37调整为13：5：37。其中房地产开发投资比2021年下降82.1%，商品房销售面积4.05万平方米，下降6.3%，销售额1.43万元，下降5.2%。</w:t>
      </w:r>
    </w:p>
    <w:p w14:paraId="09E48798">
      <w:pPr>
        <w:spacing w:line="360" w:lineRule="auto"/>
        <w:ind w:firstLine="480" w:firstLineChars="200"/>
        <w:rPr>
          <w:rFonts w:eastAsiaTheme="minorEastAsia"/>
          <w:sz w:val="24"/>
        </w:rPr>
      </w:pPr>
      <w:r>
        <w:rPr>
          <w:rFonts w:hint="eastAsia" w:eastAsiaTheme="minorEastAsia"/>
          <w:sz w:val="24"/>
        </w:rPr>
        <w:t>2022年，随县城镇常住居民人均可支配收入3.3万元，比2021年增长6.2%，人均生活消费支出2.2万元，增长3%；农村常住居民人均可支配收入2.15万元，比2021年增长7.9%。人均生活消费支出1.59万元，增长6.2%。</w:t>
      </w:r>
    </w:p>
    <w:p w14:paraId="1483BCF0">
      <w:pPr>
        <w:spacing w:line="360" w:lineRule="auto"/>
        <w:ind w:firstLine="480" w:firstLineChars="200"/>
        <w:rPr>
          <w:rFonts w:eastAsiaTheme="minorEastAsia"/>
          <w:sz w:val="24"/>
        </w:rPr>
      </w:pPr>
      <w:r>
        <w:rPr>
          <w:rFonts w:hint="eastAsia" w:eastAsiaTheme="minorEastAsia"/>
          <w:sz w:val="24"/>
        </w:rPr>
        <w:t>初步核算，2023年全县实现生产总值299.16亿元，按可比价格计算，比上年增长5.0％。其中：第一产业增加值83.9亿元，增长4.0％；第二产业增加值131.59亿元，增长5.7％；第三产业增加值83.67亿元，增长5.3％。三次产业结构由2022年的28.9：44.7：26.4调整为28：44：28。</w:t>
      </w:r>
    </w:p>
    <w:p w14:paraId="7615FB73">
      <w:pPr>
        <w:spacing w:line="360" w:lineRule="auto"/>
        <w:ind w:firstLine="480" w:firstLineChars="200"/>
        <w:rPr>
          <w:rFonts w:eastAsiaTheme="minorEastAsia"/>
          <w:sz w:val="24"/>
        </w:rPr>
      </w:pPr>
      <w:r>
        <w:rPr>
          <w:rFonts w:hint="eastAsia" w:eastAsiaTheme="minorEastAsia"/>
          <w:sz w:val="24"/>
        </w:rPr>
        <w:t>（1）第一产业</w:t>
      </w:r>
    </w:p>
    <w:p w14:paraId="46BA84AD">
      <w:pPr>
        <w:spacing w:line="360" w:lineRule="auto"/>
        <w:ind w:firstLine="480" w:firstLineChars="200"/>
        <w:rPr>
          <w:rFonts w:eastAsiaTheme="minorEastAsia"/>
          <w:sz w:val="24"/>
        </w:rPr>
      </w:pPr>
      <w:r>
        <w:rPr>
          <w:rFonts w:hint="eastAsia" w:eastAsiaTheme="minorEastAsia"/>
          <w:sz w:val="24"/>
        </w:rPr>
        <w:t>2022年，随县农林牧渔业总产值完成152.93亿元，比2021年增长2.2%；农林牧渔业增加值90.99亿元，按可比价格计算，比2021年增长4.2%。粮食种植面积11.87万公顷，与2021年持平；粮食产量81.37万吨，比2021年下降0.8%；棉花种植面积0.08万公顷，下降5%；棉花产量629吨，下降5%；油料种植面积1.68万公顷，增长2.9%；油料总产量3.69万吨，增长7.1%。</w:t>
      </w:r>
    </w:p>
    <w:p w14:paraId="008D050F">
      <w:pPr>
        <w:spacing w:line="360" w:lineRule="auto"/>
        <w:ind w:firstLine="480" w:firstLineChars="200"/>
        <w:rPr>
          <w:rFonts w:eastAsiaTheme="minorEastAsia"/>
          <w:sz w:val="24"/>
        </w:rPr>
      </w:pPr>
      <w:r>
        <w:rPr>
          <w:rFonts w:hint="eastAsia" w:eastAsiaTheme="minorEastAsia"/>
          <w:sz w:val="24"/>
        </w:rPr>
        <w:t>2022年，随县造林面积0.21万公顷，零星植树674.63万株，木材采伐量1.52万立方米。</w:t>
      </w:r>
    </w:p>
    <w:p w14:paraId="114A1EEB">
      <w:pPr>
        <w:spacing w:line="360" w:lineRule="auto"/>
        <w:ind w:firstLine="480" w:firstLineChars="200"/>
        <w:rPr>
          <w:rFonts w:eastAsiaTheme="minorEastAsia"/>
          <w:sz w:val="24"/>
        </w:rPr>
      </w:pPr>
      <w:r>
        <w:rPr>
          <w:rFonts w:hint="eastAsia" w:eastAsiaTheme="minorEastAsia"/>
          <w:sz w:val="24"/>
        </w:rPr>
        <w:t>2022年，随县肉类产量11.02万吨，比2021年下降1.3%，其中猪肉5.74万吨，下降3.9%。生猪出栏75.15万头，下降3.9%，牛出栏2.93万头，增长0.3%，羊出栏22.02万只，增长9.1%；家禽出笼3357.14万只，增长1.5%。水产品产量4.03万吨，增长3.4%。</w:t>
      </w:r>
    </w:p>
    <w:p w14:paraId="47DDB1CD">
      <w:pPr>
        <w:spacing w:line="360" w:lineRule="auto"/>
        <w:ind w:firstLine="480" w:firstLineChars="200"/>
        <w:rPr>
          <w:rFonts w:eastAsiaTheme="minorEastAsia"/>
          <w:sz w:val="24"/>
        </w:rPr>
      </w:pPr>
      <w:r>
        <w:rPr>
          <w:rFonts w:hint="eastAsia" w:eastAsiaTheme="minorEastAsia"/>
          <w:sz w:val="24"/>
        </w:rPr>
        <w:t>2022年，随县农村用电量2.69亿千瓦时，比2021年增长0.6%；化肥使用量7.92万吨，下降2.8%。</w:t>
      </w:r>
    </w:p>
    <w:p w14:paraId="1504CB64">
      <w:pPr>
        <w:spacing w:line="360" w:lineRule="auto"/>
        <w:ind w:firstLine="480" w:firstLineChars="200"/>
        <w:rPr>
          <w:rFonts w:eastAsiaTheme="minorEastAsia"/>
          <w:sz w:val="24"/>
        </w:rPr>
      </w:pPr>
      <w:r>
        <w:rPr>
          <w:rFonts w:hint="eastAsia" w:eastAsiaTheme="minorEastAsia"/>
          <w:sz w:val="24"/>
        </w:rPr>
        <w:t>（2）第二产业</w:t>
      </w:r>
    </w:p>
    <w:p w14:paraId="29542DB2">
      <w:pPr>
        <w:spacing w:line="360" w:lineRule="auto"/>
        <w:ind w:firstLine="480" w:firstLineChars="200"/>
        <w:rPr>
          <w:rFonts w:eastAsiaTheme="minorEastAsia"/>
          <w:sz w:val="24"/>
        </w:rPr>
      </w:pPr>
      <w:r>
        <w:rPr>
          <w:rFonts w:hint="eastAsia" w:eastAsiaTheme="minorEastAsia"/>
          <w:sz w:val="24"/>
        </w:rPr>
        <w:t>2022年，随县新增规模以上工业企业19家，总数为249家。完成规模以上工业总产值569.85亿元，比2021年增长5.3%。实现规模以上工业增加值127.52亿元，比2021年增长5.1%。四大支柱产业共完成工业总产值545.46亿元，增长5.3%，其中：农产品加工业实现产值226.83亿元，增长12.1%；矿产石材及建材业实现产值209.95亿元，增长0.7%；先进制造业实现产值88.3亿元，下降4.5%；新能源产业实现产值20.39亿元，增长36.7%。</w:t>
      </w:r>
    </w:p>
    <w:p w14:paraId="754EDDE3">
      <w:pPr>
        <w:spacing w:line="360" w:lineRule="auto"/>
        <w:ind w:firstLine="480" w:firstLineChars="200"/>
        <w:rPr>
          <w:rFonts w:eastAsiaTheme="minorEastAsia"/>
          <w:sz w:val="24"/>
        </w:rPr>
      </w:pPr>
      <w:r>
        <w:rPr>
          <w:rFonts w:hint="eastAsia" w:eastAsiaTheme="minorEastAsia"/>
          <w:sz w:val="24"/>
        </w:rPr>
        <w:t>2022年，随县规模以上工业企业主营业务收入比2021年增长6.2%；利润总额下降1.6%；实现销售产值553.74亿元，比2021年增长5.1%，产品产销率为97.2%。</w:t>
      </w:r>
    </w:p>
    <w:p w14:paraId="4B7E8CA0">
      <w:pPr>
        <w:spacing w:line="360" w:lineRule="auto"/>
        <w:ind w:firstLine="480" w:firstLineChars="200"/>
        <w:rPr>
          <w:rFonts w:eastAsiaTheme="minorEastAsia"/>
          <w:sz w:val="24"/>
        </w:rPr>
      </w:pPr>
      <w:r>
        <w:rPr>
          <w:rFonts w:hint="eastAsia" w:eastAsiaTheme="minorEastAsia"/>
          <w:sz w:val="24"/>
        </w:rPr>
        <w:t>2022年，随县14家资质以内建筑企业完成施工产值6.4亿元，比2021年增长16.4%；建筑企业房屋施工面积37.49万平方米，下降13.21%，其中新开工房屋建筑施工面积16.4万平方米，下降34.3%；竣工面积22.76万平方米，增长15.4%。</w:t>
      </w:r>
    </w:p>
    <w:p w14:paraId="43775BCC">
      <w:pPr>
        <w:spacing w:line="360" w:lineRule="auto"/>
        <w:ind w:firstLine="480" w:firstLineChars="200"/>
        <w:rPr>
          <w:rFonts w:eastAsiaTheme="minorEastAsia"/>
          <w:sz w:val="24"/>
        </w:rPr>
      </w:pPr>
      <w:r>
        <w:rPr>
          <w:rFonts w:hint="eastAsia" w:eastAsiaTheme="minorEastAsia"/>
          <w:sz w:val="24"/>
        </w:rPr>
        <w:t>（3）第三产业</w:t>
      </w:r>
    </w:p>
    <w:p w14:paraId="4BC2AB8A">
      <w:pPr>
        <w:spacing w:line="360" w:lineRule="auto"/>
        <w:ind w:firstLine="480" w:firstLineChars="200"/>
        <w:rPr>
          <w:rFonts w:eastAsiaTheme="minorEastAsia"/>
          <w:sz w:val="24"/>
        </w:rPr>
      </w:pPr>
      <w:r>
        <w:rPr>
          <w:rFonts w:hint="eastAsia" w:eastAsiaTheme="minorEastAsia"/>
          <w:sz w:val="24"/>
        </w:rPr>
        <w:t>2022年，随县实现社会消费品零售总额92.43亿元，比上年增长2.8％。限额以上企业（单位）实现消费品零售额25.41亿元，比上年增长20.9％，其中网上零售额2055万元，增长45％。分行业看，批发业销售额增长136.1％；零售业销售额增长7.8％；住宿业营业额增长4.8％；餐饮业营业额增长1.3％。分地区看，城镇限上零售额增长21.4％；农村限上零售额增长17.6％。</w:t>
      </w:r>
    </w:p>
    <w:p w14:paraId="4D174898">
      <w:pPr>
        <w:spacing w:line="360" w:lineRule="auto"/>
        <w:ind w:firstLine="480" w:firstLineChars="200"/>
        <w:rPr>
          <w:rFonts w:eastAsiaTheme="minorEastAsia"/>
          <w:sz w:val="24"/>
        </w:rPr>
      </w:pPr>
      <w:r>
        <w:rPr>
          <w:rFonts w:hint="eastAsia" w:eastAsiaTheme="minorEastAsia"/>
          <w:sz w:val="24"/>
        </w:rPr>
        <w:t>2022年，随县实现外贸进出口总额74170.2万美元，比上年增长64.9％。其中，出口74140万美元，增长65％。在出口中，农产品出口69961万美元，增长68.3％，其中食用菌出口62508万美元，增长73.6％。全年实际利用外资1952万美元，比上年下降45.1％。</w:t>
      </w:r>
    </w:p>
    <w:p w14:paraId="08CA3C95">
      <w:pPr>
        <w:spacing w:line="360" w:lineRule="auto"/>
        <w:ind w:firstLine="480" w:firstLineChars="200"/>
        <w:rPr>
          <w:rFonts w:eastAsiaTheme="minorEastAsia"/>
          <w:sz w:val="24"/>
        </w:rPr>
      </w:pPr>
      <w:r>
        <w:rPr>
          <w:rFonts w:hint="eastAsia" w:eastAsiaTheme="minorEastAsia"/>
          <w:sz w:val="24"/>
        </w:rPr>
        <w:t>2022年，随县邮电业务营业收入完成5.1亿元，比上年增长6.8％，其中邮政业务营业收入完成1.58亿元，增长14.8％；电信业务营业收入完成3.52亿元，增长3.6％。</w:t>
      </w:r>
    </w:p>
    <w:p w14:paraId="38CE69A2">
      <w:pPr>
        <w:spacing w:line="360" w:lineRule="auto"/>
        <w:ind w:firstLine="480" w:firstLineChars="200"/>
        <w:rPr>
          <w:rFonts w:eastAsiaTheme="minorEastAsia"/>
          <w:sz w:val="24"/>
        </w:rPr>
      </w:pPr>
      <w:r>
        <w:rPr>
          <w:rFonts w:hint="eastAsia" w:eastAsiaTheme="minorEastAsia"/>
          <w:sz w:val="24"/>
        </w:rPr>
        <w:t>2022年，随县接待国内旅游人数867.12万人次，比上年增长9.6％；国内旅游收入52.51亿元，增长7.2％。</w:t>
      </w:r>
    </w:p>
    <w:p w14:paraId="05C068C0">
      <w:pPr>
        <w:spacing w:line="360" w:lineRule="auto"/>
        <w:ind w:firstLine="480" w:firstLineChars="200"/>
        <w:rPr>
          <w:rFonts w:eastAsiaTheme="minorEastAsia"/>
          <w:sz w:val="24"/>
        </w:rPr>
      </w:pPr>
      <w:r>
        <w:rPr>
          <w:rFonts w:hint="eastAsia" w:eastAsiaTheme="minorEastAsia"/>
          <w:sz w:val="24"/>
        </w:rPr>
        <w:t>2022年末，随县金融机构各项存款余额487.97亿元，增长16.6％；金融机构各项贷款余额210.47亿元，增长14.5％。</w:t>
      </w:r>
    </w:p>
    <w:p w14:paraId="2F07EF5F">
      <w:pPr>
        <w:keepNext/>
        <w:keepLines/>
        <w:widowControl/>
        <w:numPr>
          <w:ilvl w:val="2"/>
          <w:numId w:val="1"/>
        </w:numPr>
        <w:spacing w:before="120" w:after="120" w:line="360" w:lineRule="auto"/>
        <w:jc w:val="left"/>
        <w:outlineLvl w:val="2"/>
        <w:rPr>
          <w:rFonts w:eastAsiaTheme="minorEastAsia"/>
          <w:b/>
          <w:bCs/>
          <w:sz w:val="24"/>
        </w:rPr>
      </w:pPr>
      <w:bookmarkStart w:id="103" w:name="_Toc206494944"/>
      <w:r>
        <w:rPr>
          <w:rFonts w:hint="eastAsia" w:eastAsiaTheme="minorEastAsia"/>
          <w:b/>
          <w:bCs/>
          <w:sz w:val="24"/>
        </w:rPr>
        <w:t>交通运输</w:t>
      </w:r>
      <w:bookmarkEnd w:id="103"/>
    </w:p>
    <w:p w14:paraId="46F0CCE5">
      <w:pPr>
        <w:spacing w:line="360" w:lineRule="auto"/>
        <w:ind w:firstLine="480" w:firstLineChars="200"/>
        <w:rPr>
          <w:rFonts w:eastAsiaTheme="minorEastAsia"/>
          <w:sz w:val="24"/>
        </w:rPr>
      </w:pPr>
      <w:r>
        <w:rPr>
          <w:rFonts w:hint="eastAsia" w:eastAsiaTheme="minorEastAsia"/>
          <w:sz w:val="24"/>
        </w:rPr>
        <w:t>（1）公路</w:t>
      </w:r>
    </w:p>
    <w:p w14:paraId="29D99FD5">
      <w:pPr>
        <w:spacing w:line="360" w:lineRule="auto"/>
        <w:ind w:firstLine="480" w:firstLineChars="200"/>
        <w:rPr>
          <w:rFonts w:eastAsiaTheme="minorEastAsia"/>
          <w:sz w:val="24"/>
        </w:rPr>
      </w:pPr>
      <w:r>
        <w:rPr>
          <w:rFonts w:hint="eastAsia" w:eastAsiaTheme="minorEastAsia"/>
          <w:sz w:val="24"/>
        </w:rPr>
        <w:t>随县境内有G316、G312、G346、G240、G234五条国道及汉十高速公路、随岳高速公路、麻安高速公路等三条高速公路。</w:t>
      </w:r>
    </w:p>
    <w:p w14:paraId="5E43B2F4">
      <w:pPr>
        <w:spacing w:line="360" w:lineRule="auto"/>
        <w:ind w:firstLine="480" w:firstLineChars="200"/>
        <w:rPr>
          <w:rFonts w:eastAsiaTheme="minorEastAsia"/>
          <w:sz w:val="24"/>
        </w:rPr>
      </w:pPr>
      <w:r>
        <w:rPr>
          <w:rFonts w:hint="eastAsia" w:eastAsiaTheme="minorEastAsia"/>
          <w:sz w:val="24"/>
        </w:rPr>
        <w:t>2022年，随县完成公路货物周转量37.07万吨千米，比上年下降17.5％；公路旅客周转量2208.12万人千米，下降18.2％；水上旅客周转量81万人千米，增长107.7％。</w:t>
      </w:r>
    </w:p>
    <w:p w14:paraId="04C14CB3">
      <w:pPr>
        <w:spacing w:line="360" w:lineRule="auto"/>
        <w:ind w:firstLine="480" w:firstLineChars="200"/>
        <w:rPr>
          <w:rFonts w:eastAsiaTheme="minorEastAsia"/>
          <w:sz w:val="24"/>
        </w:rPr>
      </w:pPr>
      <w:r>
        <w:rPr>
          <w:rFonts w:hint="eastAsia" w:eastAsiaTheme="minorEastAsia"/>
          <w:sz w:val="24"/>
        </w:rPr>
        <w:t>（2）铁路</w:t>
      </w:r>
    </w:p>
    <w:p w14:paraId="4B82F911">
      <w:pPr>
        <w:spacing w:line="360" w:lineRule="auto"/>
        <w:ind w:firstLine="480" w:firstLineChars="200"/>
        <w:rPr>
          <w:rFonts w:eastAsiaTheme="minorEastAsia"/>
          <w:sz w:val="24"/>
        </w:rPr>
      </w:pPr>
      <w:r>
        <w:rPr>
          <w:rFonts w:hint="eastAsia" w:eastAsiaTheme="minorEastAsia"/>
          <w:sz w:val="24"/>
        </w:rPr>
        <w:t>汉丹铁路、小厉铁路、武西高速铁路穿境而过。武西高速铁路在随县安居镇设有随县站，随县站为线侧平式站房，建筑面积为1万平方米，有侧式站台2座，设到发线2条，正线2条。</w:t>
      </w:r>
    </w:p>
    <w:p w14:paraId="599E726B">
      <w:pPr>
        <w:keepNext/>
        <w:keepLines/>
        <w:widowControl/>
        <w:numPr>
          <w:ilvl w:val="2"/>
          <w:numId w:val="1"/>
        </w:numPr>
        <w:spacing w:before="120" w:after="120" w:line="360" w:lineRule="auto"/>
        <w:jc w:val="left"/>
        <w:outlineLvl w:val="2"/>
        <w:rPr>
          <w:rFonts w:eastAsiaTheme="minorEastAsia"/>
          <w:b/>
          <w:bCs/>
          <w:sz w:val="24"/>
        </w:rPr>
      </w:pPr>
      <w:bookmarkStart w:id="104" w:name="_Toc206494945"/>
      <w:r>
        <w:rPr>
          <w:rFonts w:hint="eastAsia" w:eastAsiaTheme="minorEastAsia"/>
          <w:b/>
          <w:bCs/>
          <w:sz w:val="24"/>
        </w:rPr>
        <w:t>文化教育卫生</w:t>
      </w:r>
      <w:bookmarkEnd w:id="104"/>
    </w:p>
    <w:p w14:paraId="7CA8FD95">
      <w:pPr>
        <w:spacing w:line="360" w:lineRule="auto"/>
        <w:ind w:firstLine="480" w:firstLineChars="200"/>
        <w:rPr>
          <w:rFonts w:eastAsiaTheme="minorEastAsia"/>
          <w:sz w:val="24"/>
        </w:rPr>
      </w:pPr>
      <w:r>
        <w:rPr>
          <w:rFonts w:hint="eastAsia" w:eastAsiaTheme="minorEastAsia"/>
          <w:sz w:val="24"/>
        </w:rPr>
        <w:t>（1）教育事业</w:t>
      </w:r>
    </w:p>
    <w:p w14:paraId="01BB1A42">
      <w:pPr>
        <w:spacing w:line="360" w:lineRule="auto"/>
        <w:ind w:firstLine="480" w:firstLineChars="200"/>
        <w:rPr>
          <w:rFonts w:eastAsiaTheme="minorEastAsia"/>
          <w:sz w:val="24"/>
        </w:rPr>
      </w:pPr>
      <w:r>
        <w:rPr>
          <w:rFonts w:hint="eastAsia" w:eastAsiaTheme="minorEastAsia"/>
          <w:sz w:val="24"/>
        </w:rPr>
        <w:t>2022年末，随县学校总数115所，在校学生总数64912人。其中：中等职业学校1所，在校学生2496人；普通中学33所（其中6所为九年一贯制学校），在校学生25143人；小学79所，在校学生37141人。</w:t>
      </w:r>
    </w:p>
    <w:p w14:paraId="3D10CE87">
      <w:pPr>
        <w:spacing w:line="360" w:lineRule="auto"/>
        <w:ind w:firstLine="480" w:firstLineChars="200"/>
        <w:rPr>
          <w:rFonts w:eastAsiaTheme="minorEastAsia"/>
          <w:sz w:val="24"/>
        </w:rPr>
      </w:pPr>
      <w:r>
        <w:rPr>
          <w:rFonts w:hint="eastAsia" w:eastAsiaTheme="minorEastAsia"/>
          <w:sz w:val="24"/>
        </w:rPr>
        <w:t>（2）科学技术</w:t>
      </w:r>
    </w:p>
    <w:p w14:paraId="6CE96992">
      <w:pPr>
        <w:spacing w:line="360" w:lineRule="auto"/>
        <w:ind w:firstLine="480" w:firstLineChars="200"/>
        <w:rPr>
          <w:rFonts w:eastAsiaTheme="minorEastAsia"/>
          <w:sz w:val="24"/>
        </w:rPr>
      </w:pPr>
      <w:r>
        <w:rPr>
          <w:rFonts w:hint="eastAsia" w:eastAsiaTheme="minorEastAsia"/>
          <w:sz w:val="24"/>
        </w:rPr>
        <w:t>2022年，随县争取省、市级科技项目合计18项，发明专利拥有量13件；实现高新技术产业增加值35.4亿元，占全年GDP比重为11.9％。</w:t>
      </w:r>
    </w:p>
    <w:p w14:paraId="3338A492">
      <w:pPr>
        <w:spacing w:line="360" w:lineRule="auto"/>
        <w:ind w:firstLine="480" w:firstLineChars="200"/>
        <w:rPr>
          <w:rFonts w:eastAsiaTheme="minorEastAsia"/>
          <w:sz w:val="24"/>
        </w:rPr>
      </w:pPr>
      <w:r>
        <w:rPr>
          <w:rFonts w:hint="eastAsia" w:eastAsiaTheme="minorEastAsia"/>
          <w:sz w:val="24"/>
        </w:rPr>
        <w:t>（3）文化事业</w:t>
      </w:r>
    </w:p>
    <w:p w14:paraId="34681D8E">
      <w:pPr>
        <w:spacing w:line="360" w:lineRule="auto"/>
        <w:ind w:firstLine="480" w:firstLineChars="200"/>
        <w:rPr>
          <w:rFonts w:eastAsiaTheme="minorEastAsia"/>
          <w:sz w:val="24"/>
        </w:rPr>
      </w:pPr>
      <w:r>
        <w:rPr>
          <w:rFonts w:hint="eastAsia" w:eastAsiaTheme="minorEastAsia"/>
          <w:sz w:val="24"/>
        </w:rPr>
        <w:t>2022年末，随县共有文化机构24个（含县文旅局机关、县局属单位，乡镇文化站18家），艺术表演团体3个，电影院1个，公共图书馆1个，公共图书馆藏书18万册，博物馆1个，文化馆1个。</w:t>
      </w:r>
    </w:p>
    <w:p w14:paraId="74D6FEC8">
      <w:pPr>
        <w:spacing w:line="360" w:lineRule="auto"/>
        <w:ind w:firstLine="480" w:firstLineChars="200"/>
        <w:rPr>
          <w:rFonts w:eastAsiaTheme="minorEastAsia"/>
          <w:sz w:val="24"/>
        </w:rPr>
      </w:pPr>
      <w:r>
        <w:rPr>
          <w:rFonts w:hint="eastAsia" w:eastAsiaTheme="minorEastAsia"/>
          <w:sz w:val="24"/>
        </w:rPr>
        <w:t>（4）医疗卫生</w:t>
      </w:r>
    </w:p>
    <w:p w14:paraId="4819F50C">
      <w:pPr>
        <w:spacing w:line="360" w:lineRule="auto"/>
        <w:ind w:firstLine="480" w:firstLineChars="200"/>
        <w:rPr>
          <w:rFonts w:eastAsiaTheme="minorEastAsia"/>
          <w:sz w:val="24"/>
        </w:rPr>
      </w:pPr>
      <w:r>
        <w:rPr>
          <w:rFonts w:hint="eastAsia" w:eastAsiaTheme="minorEastAsia"/>
          <w:sz w:val="24"/>
        </w:rPr>
        <w:t>2022年末，随县共有医疗卫生机构502所（含村卫生室），其中：医院6个，卫生院19个；拥有执业（助理）医师1134人，注册护士1403人，病床床位数3152张。</w:t>
      </w:r>
    </w:p>
    <w:p w14:paraId="6CE03412">
      <w:pPr>
        <w:spacing w:line="360" w:lineRule="auto"/>
        <w:ind w:firstLine="480" w:firstLineChars="200"/>
        <w:rPr>
          <w:rFonts w:eastAsiaTheme="minorEastAsia"/>
          <w:sz w:val="24"/>
        </w:rPr>
      </w:pPr>
      <w:r>
        <w:rPr>
          <w:rFonts w:hint="eastAsia" w:eastAsiaTheme="minorEastAsia"/>
          <w:sz w:val="24"/>
        </w:rPr>
        <w:t>（5）社会保障</w:t>
      </w:r>
    </w:p>
    <w:p w14:paraId="272CE83B">
      <w:pPr>
        <w:spacing w:line="360" w:lineRule="auto"/>
        <w:ind w:firstLine="480" w:firstLineChars="200"/>
        <w:rPr>
          <w:rFonts w:eastAsiaTheme="minorEastAsia"/>
          <w:sz w:val="24"/>
        </w:rPr>
      </w:pPr>
      <w:r>
        <w:rPr>
          <w:rFonts w:hint="eastAsia" w:eastAsiaTheme="minorEastAsia"/>
          <w:sz w:val="24"/>
        </w:rPr>
        <w:t>2022年末，随县城镇新增就业6820人。</w:t>
      </w:r>
    </w:p>
    <w:p w14:paraId="6E039CA2">
      <w:pPr>
        <w:spacing w:line="360" w:lineRule="auto"/>
        <w:ind w:firstLine="480" w:firstLineChars="200"/>
        <w:rPr>
          <w:rFonts w:eastAsiaTheme="minorEastAsia"/>
          <w:sz w:val="24"/>
        </w:rPr>
      </w:pPr>
      <w:r>
        <w:rPr>
          <w:rFonts w:hint="eastAsia" w:eastAsiaTheme="minorEastAsia"/>
          <w:sz w:val="24"/>
        </w:rPr>
        <w:t>2022年末，随县城镇职工基本养老保险参保人数3.21万人；城乡居民社会养老保险参保人数43.5万人；城镇职工基本医疗保险参保人数2.53万人；城乡居民基本医疗保险参保人数64.11万人。失业保险参保人数1.45万人；工伤保险参保人数1.44万人；生育保险参保人数2.53万人。全县城镇居民最低生活保障人数0.06万人；农村居民最低生活保障人数1.25万人。</w:t>
      </w:r>
    </w:p>
    <w:p w14:paraId="42E6A79F">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05" w:name="_Toc206494946"/>
      <w:r>
        <w:rPr>
          <w:rFonts w:hint="eastAsia" w:eastAsiaTheme="minorEastAsia"/>
          <w:b/>
          <w:bCs/>
          <w:sz w:val="30"/>
          <w:szCs w:val="28"/>
        </w:rPr>
        <w:t>环境质量现状调查与评价</w:t>
      </w:r>
      <w:bookmarkEnd w:id="105"/>
    </w:p>
    <w:p w14:paraId="37FEFEF1">
      <w:pPr>
        <w:keepNext/>
        <w:keepLines/>
        <w:widowControl/>
        <w:numPr>
          <w:ilvl w:val="2"/>
          <w:numId w:val="1"/>
        </w:numPr>
        <w:spacing w:before="120" w:after="120" w:line="360" w:lineRule="auto"/>
        <w:jc w:val="left"/>
        <w:outlineLvl w:val="2"/>
        <w:rPr>
          <w:rFonts w:eastAsiaTheme="minorEastAsia"/>
          <w:b/>
          <w:bCs/>
          <w:sz w:val="24"/>
        </w:rPr>
      </w:pPr>
      <w:bookmarkStart w:id="106" w:name="_Toc206494947"/>
      <w:r>
        <w:rPr>
          <w:rFonts w:hint="eastAsia" w:eastAsiaTheme="minorEastAsia"/>
          <w:b/>
          <w:bCs/>
          <w:sz w:val="24"/>
        </w:rPr>
        <w:t>环境空气质量现状调查与评价</w:t>
      </w:r>
      <w:bookmarkEnd w:id="106"/>
    </w:p>
    <w:p w14:paraId="2FD304A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区域环境质量达标情况</w:t>
      </w:r>
    </w:p>
    <w:p w14:paraId="638D0D9B">
      <w:pPr>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城市环境空气质量达标情况评价指标为SO</w:t>
      </w:r>
      <w:r>
        <w:rPr>
          <w:rFonts w:hint="eastAsia" w:eastAsiaTheme="minorEastAsia"/>
          <w:bCs/>
          <w:snapToGrid w:val="0"/>
          <w:kern w:val="0"/>
          <w:sz w:val="24"/>
          <w:szCs w:val="20"/>
          <w:vertAlign w:val="subscript"/>
        </w:rPr>
        <w:t>2</w:t>
      </w:r>
      <w:r>
        <w:rPr>
          <w:rFonts w:hint="eastAsia" w:eastAsiaTheme="minorEastAsia"/>
          <w:bCs/>
          <w:snapToGrid w:val="0"/>
          <w:kern w:val="0"/>
          <w:sz w:val="24"/>
          <w:szCs w:val="20"/>
        </w:rPr>
        <w:t>、NO</w:t>
      </w:r>
      <w:r>
        <w:rPr>
          <w:rFonts w:hint="eastAsia" w:eastAsiaTheme="minorEastAsia"/>
          <w:bCs/>
          <w:snapToGrid w:val="0"/>
          <w:kern w:val="0"/>
          <w:sz w:val="24"/>
          <w:szCs w:val="20"/>
          <w:vertAlign w:val="subscript"/>
        </w:rPr>
        <w:t>2</w:t>
      </w:r>
      <w:r>
        <w:rPr>
          <w:rFonts w:hint="eastAsia" w:eastAsiaTheme="minorEastAsia"/>
          <w:bCs/>
          <w:snapToGrid w:val="0"/>
          <w:kern w:val="0"/>
          <w:sz w:val="24"/>
          <w:szCs w:val="20"/>
        </w:rPr>
        <w:t>、PM</w:t>
      </w:r>
      <w:r>
        <w:rPr>
          <w:rFonts w:hint="eastAsia" w:eastAsiaTheme="minorEastAsia"/>
          <w:bCs/>
          <w:snapToGrid w:val="0"/>
          <w:kern w:val="0"/>
          <w:sz w:val="24"/>
          <w:szCs w:val="20"/>
          <w:vertAlign w:val="subscript"/>
        </w:rPr>
        <w:t>10</w:t>
      </w:r>
      <w:r>
        <w:rPr>
          <w:rFonts w:hint="eastAsia" w:eastAsiaTheme="minorEastAsia"/>
          <w:bCs/>
          <w:snapToGrid w:val="0"/>
          <w:kern w:val="0"/>
          <w:sz w:val="24"/>
          <w:szCs w:val="20"/>
        </w:rPr>
        <w:t>、PM</w:t>
      </w:r>
      <w:r>
        <w:rPr>
          <w:rFonts w:hint="eastAsia" w:eastAsiaTheme="minorEastAsia"/>
          <w:bCs/>
          <w:snapToGrid w:val="0"/>
          <w:kern w:val="0"/>
          <w:sz w:val="24"/>
          <w:szCs w:val="20"/>
          <w:vertAlign w:val="subscript"/>
        </w:rPr>
        <w:t>2.5</w:t>
      </w:r>
      <w:r>
        <w:rPr>
          <w:rFonts w:hint="eastAsia" w:eastAsiaTheme="minorEastAsia"/>
          <w:bCs/>
          <w:snapToGrid w:val="0"/>
          <w:kern w:val="0"/>
          <w:sz w:val="24"/>
          <w:szCs w:val="20"/>
        </w:rPr>
        <w:t>、CO和O</w:t>
      </w:r>
      <w:r>
        <w:rPr>
          <w:rFonts w:hint="eastAsia" w:eastAsiaTheme="minorEastAsia"/>
          <w:bCs/>
          <w:snapToGrid w:val="0"/>
          <w:kern w:val="0"/>
          <w:sz w:val="24"/>
          <w:szCs w:val="20"/>
          <w:vertAlign w:val="subscript"/>
        </w:rPr>
        <w:t>3</w:t>
      </w:r>
      <w:r>
        <w:rPr>
          <w:rFonts w:hint="eastAsia" w:eastAsiaTheme="minorEastAsia"/>
          <w:bCs/>
          <w:snapToGrid w:val="0"/>
          <w:kern w:val="0"/>
          <w:sz w:val="24"/>
          <w:szCs w:val="20"/>
        </w:rPr>
        <w:t>，六项污染物全部达标即为城市环境空气质量达标；根据国家或地方生态环境主管部门公开发布的城市环境空气质量达标情况，判断项目所在区域是否属于达标区。</w:t>
      </w:r>
    </w:p>
    <w:p w14:paraId="7BDC5689">
      <w:pPr>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项目位于湖北省随州市随县，属“二类区域”，应执行《环境空气质量标准》（GB3095-2012）二级标准要求。</w:t>
      </w:r>
    </w:p>
    <w:p w14:paraId="176F3B5D">
      <w:pPr>
        <w:spacing w:line="360" w:lineRule="auto"/>
        <w:ind w:firstLine="480" w:firstLineChars="200"/>
        <w:rPr>
          <w:rFonts w:eastAsiaTheme="minorEastAsia"/>
          <w:sz w:val="24"/>
        </w:rPr>
      </w:pPr>
      <w:r>
        <w:rPr>
          <w:rFonts w:hint="eastAsia" w:eastAsiaTheme="minorEastAsia"/>
          <w:bCs/>
          <w:snapToGrid w:val="0"/>
          <w:kern w:val="0"/>
          <w:sz w:val="24"/>
          <w:szCs w:val="20"/>
        </w:rPr>
        <w:t>项目所在区域环境空气质量达标判定采用随州市生态环境局网站公布的《随州市2024年环境状况公报》中随州市环境空气质量监测数据</w:t>
      </w:r>
      <w:r>
        <w:rPr>
          <w:rFonts w:eastAsiaTheme="minorEastAsia"/>
          <w:bCs/>
          <w:snapToGrid w:val="0"/>
          <w:kern w:val="0"/>
          <w:sz w:val="24"/>
          <w:szCs w:val="20"/>
        </w:rPr>
        <w:t>。</w:t>
      </w:r>
    </w:p>
    <w:p w14:paraId="4756D341">
      <w:pPr>
        <w:spacing w:line="360" w:lineRule="auto"/>
        <w:ind w:firstLine="422"/>
        <w:jc w:val="center"/>
        <w:rPr>
          <w:rFonts w:eastAsiaTheme="minorEastAsia"/>
          <w:b/>
          <w:szCs w:val="21"/>
        </w:rPr>
      </w:pPr>
      <w:bookmarkStart w:id="107" w:name="_Hlk178262141"/>
      <w:r>
        <w:rPr>
          <w:rFonts w:eastAsiaTheme="minorEastAsia"/>
          <w:b/>
          <w:szCs w:val="21"/>
        </w:rPr>
        <w:t>表</w:t>
      </w:r>
      <w:r>
        <w:rPr>
          <w:rFonts w:hint="eastAsia" w:eastAsiaTheme="minorEastAsia"/>
          <w:b/>
          <w:szCs w:val="21"/>
        </w:rPr>
        <w:t>3.3</w:t>
      </w:r>
      <w:r>
        <w:rPr>
          <w:rFonts w:eastAsiaTheme="minorEastAsia"/>
          <w:b/>
          <w:szCs w:val="21"/>
        </w:rPr>
        <w:t>.1-1  评价基准年</w:t>
      </w:r>
      <w:r>
        <w:rPr>
          <w:rFonts w:eastAsiaTheme="minorEastAsia"/>
          <w:b/>
          <w:szCs w:val="21"/>
          <w:highlight w:val="yellow"/>
        </w:rPr>
        <w:t>202</w:t>
      </w:r>
      <w:r>
        <w:rPr>
          <w:rFonts w:hint="eastAsia" w:eastAsiaTheme="minorEastAsia"/>
          <w:b/>
          <w:szCs w:val="21"/>
          <w:highlight w:val="yellow"/>
        </w:rPr>
        <w:t>4</w:t>
      </w:r>
      <w:r>
        <w:rPr>
          <w:rFonts w:eastAsiaTheme="minorEastAsia"/>
          <w:b/>
          <w:szCs w:val="21"/>
          <w:highlight w:val="yellow"/>
        </w:rPr>
        <w:t>年</w:t>
      </w:r>
      <w:r>
        <w:rPr>
          <w:rFonts w:eastAsiaTheme="minorEastAsia"/>
          <w:b/>
          <w:szCs w:val="21"/>
        </w:rPr>
        <w:t>的基本污染物环境质量现状一览表</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3019"/>
        <w:gridCol w:w="849"/>
        <w:gridCol w:w="769"/>
        <w:gridCol w:w="1231"/>
        <w:gridCol w:w="945"/>
        <w:gridCol w:w="958"/>
      </w:tblGrid>
      <w:tr w14:paraId="4E237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Merge w:val="restart"/>
            <w:vAlign w:val="center"/>
          </w:tcPr>
          <w:p w14:paraId="3E91605E">
            <w:pPr>
              <w:spacing w:line="320" w:lineRule="exact"/>
              <w:jc w:val="center"/>
              <w:rPr>
                <w:rFonts w:ascii="Calibri" w:hAnsi="Calibri" w:eastAsiaTheme="minorEastAsia"/>
                <w:b/>
                <w:szCs w:val="21"/>
              </w:rPr>
            </w:pPr>
            <w:r>
              <w:rPr>
                <w:rFonts w:ascii="Calibri" w:hAnsi="Calibri" w:eastAsiaTheme="minorEastAsia"/>
                <w:b/>
                <w:szCs w:val="21"/>
              </w:rPr>
              <w:t>污染物</w:t>
            </w:r>
          </w:p>
        </w:tc>
        <w:tc>
          <w:tcPr>
            <w:tcW w:w="1770" w:type="pct"/>
            <w:vMerge w:val="restart"/>
            <w:vAlign w:val="center"/>
          </w:tcPr>
          <w:p w14:paraId="00285986">
            <w:pPr>
              <w:spacing w:line="320" w:lineRule="exact"/>
              <w:jc w:val="center"/>
              <w:rPr>
                <w:rFonts w:ascii="Calibri" w:hAnsi="Calibri" w:eastAsiaTheme="minorEastAsia"/>
                <w:b/>
                <w:szCs w:val="21"/>
              </w:rPr>
            </w:pPr>
            <w:r>
              <w:rPr>
                <w:rFonts w:ascii="Calibri" w:hAnsi="Calibri" w:eastAsiaTheme="minorEastAsia"/>
                <w:b/>
                <w:szCs w:val="21"/>
              </w:rPr>
              <w:t>年评价指标</w:t>
            </w:r>
          </w:p>
        </w:tc>
        <w:tc>
          <w:tcPr>
            <w:tcW w:w="498" w:type="pct"/>
            <w:vMerge w:val="restart"/>
            <w:vAlign w:val="center"/>
          </w:tcPr>
          <w:p w14:paraId="3CEC2996">
            <w:pPr>
              <w:spacing w:line="320" w:lineRule="exact"/>
              <w:jc w:val="center"/>
              <w:rPr>
                <w:rFonts w:ascii="Calibri" w:hAnsi="Calibri" w:eastAsiaTheme="minorEastAsia"/>
                <w:b/>
                <w:szCs w:val="21"/>
              </w:rPr>
            </w:pPr>
            <w:r>
              <w:rPr>
                <w:rFonts w:ascii="Calibri" w:hAnsi="Calibri" w:eastAsiaTheme="minorEastAsia"/>
                <w:b/>
                <w:szCs w:val="21"/>
              </w:rPr>
              <w:t>评价标准</w:t>
            </w:r>
          </w:p>
        </w:tc>
        <w:tc>
          <w:tcPr>
            <w:tcW w:w="451" w:type="pct"/>
            <w:vMerge w:val="restart"/>
            <w:vAlign w:val="center"/>
          </w:tcPr>
          <w:p w14:paraId="03CC343B">
            <w:pPr>
              <w:spacing w:line="320" w:lineRule="exact"/>
              <w:jc w:val="center"/>
              <w:rPr>
                <w:rFonts w:ascii="Calibri" w:hAnsi="Calibri" w:eastAsiaTheme="minorEastAsia"/>
                <w:b/>
                <w:szCs w:val="21"/>
              </w:rPr>
            </w:pPr>
            <w:r>
              <w:rPr>
                <w:rFonts w:ascii="Calibri" w:hAnsi="Calibri" w:eastAsiaTheme="minorEastAsia"/>
                <w:b/>
                <w:szCs w:val="21"/>
              </w:rPr>
              <w:t>现状浓度</w:t>
            </w:r>
          </w:p>
        </w:tc>
        <w:tc>
          <w:tcPr>
            <w:tcW w:w="722" w:type="pct"/>
            <w:vMerge w:val="restart"/>
            <w:vAlign w:val="center"/>
          </w:tcPr>
          <w:p w14:paraId="7E7EC54B">
            <w:pPr>
              <w:spacing w:line="320" w:lineRule="exact"/>
              <w:jc w:val="center"/>
              <w:rPr>
                <w:rFonts w:ascii="Calibri" w:hAnsi="Calibri" w:eastAsiaTheme="minorEastAsia"/>
                <w:b/>
                <w:szCs w:val="21"/>
              </w:rPr>
            </w:pPr>
            <w:r>
              <w:rPr>
                <w:rFonts w:ascii="Calibri" w:hAnsi="Calibri" w:eastAsiaTheme="minorEastAsia"/>
                <w:b/>
                <w:szCs w:val="21"/>
              </w:rPr>
              <w:t>最大浓度占标率%</w:t>
            </w:r>
          </w:p>
        </w:tc>
        <w:tc>
          <w:tcPr>
            <w:tcW w:w="554" w:type="pct"/>
            <w:vMerge w:val="restart"/>
            <w:vAlign w:val="center"/>
          </w:tcPr>
          <w:p w14:paraId="25A53739">
            <w:pPr>
              <w:spacing w:line="320" w:lineRule="exact"/>
              <w:jc w:val="center"/>
              <w:rPr>
                <w:rFonts w:ascii="Calibri" w:hAnsi="Calibri" w:eastAsiaTheme="minorEastAsia"/>
                <w:b/>
                <w:szCs w:val="21"/>
              </w:rPr>
            </w:pPr>
            <w:r>
              <w:rPr>
                <w:rFonts w:ascii="Calibri" w:hAnsi="Calibri" w:eastAsiaTheme="minorEastAsia"/>
                <w:b/>
                <w:szCs w:val="21"/>
              </w:rPr>
              <w:t>超标倍数</w:t>
            </w:r>
          </w:p>
        </w:tc>
        <w:tc>
          <w:tcPr>
            <w:tcW w:w="561" w:type="pct"/>
            <w:vMerge w:val="restart"/>
            <w:vAlign w:val="center"/>
          </w:tcPr>
          <w:p w14:paraId="36616266">
            <w:pPr>
              <w:spacing w:line="320" w:lineRule="exact"/>
              <w:jc w:val="center"/>
              <w:rPr>
                <w:rFonts w:ascii="Calibri" w:hAnsi="Calibri" w:eastAsiaTheme="minorEastAsia"/>
                <w:b/>
                <w:szCs w:val="21"/>
              </w:rPr>
            </w:pPr>
            <w:r>
              <w:rPr>
                <w:rFonts w:ascii="Calibri" w:hAnsi="Calibri" w:eastAsiaTheme="minorEastAsia"/>
                <w:b/>
                <w:szCs w:val="21"/>
              </w:rPr>
              <w:t>达标情况</w:t>
            </w:r>
          </w:p>
        </w:tc>
      </w:tr>
      <w:tr w14:paraId="11505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Merge w:val="continue"/>
            <w:vAlign w:val="center"/>
          </w:tcPr>
          <w:p w14:paraId="2EBCBAD2">
            <w:pPr>
              <w:spacing w:line="320" w:lineRule="exact"/>
              <w:jc w:val="center"/>
              <w:rPr>
                <w:rFonts w:ascii="Calibri" w:hAnsi="Calibri" w:eastAsiaTheme="minorEastAsia"/>
                <w:szCs w:val="21"/>
              </w:rPr>
            </w:pPr>
          </w:p>
        </w:tc>
        <w:tc>
          <w:tcPr>
            <w:tcW w:w="1770" w:type="pct"/>
            <w:vMerge w:val="continue"/>
            <w:vAlign w:val="center"/>
          </w:tcPr>
          <w:p w14:paraId="05BEA3C4">
            <w:pPr>
              <w:spacing w:line="320" w:lineRule="exact"/>
              <w:jc w:val="center"/>
              <w:rPr>
                <w:rFonts w:ascii="Calibri" w:hAnsi="Calibri" w:eastAsiaTheme="minorEastAsia"/>
                <w:szCs w:val="21"/>
              </w:rPr>
            </w:pPr>
          </w:p>
        </w:tc>
        <w:tc>
          <w:tcPr>
            <w:tcW w:w="498" w:type="pct"/>
            <w:vMerge w:val="continue"/>
            <w:vAlign w:val="center"/>
          </w:tcPr>
          <w:p w14:paraId="6E9C02D6">
            <w:pPr>
              <w:spacing w:line="320" w:lineRule="exact"/>
              <w:jc w:val="center"/>
              <w:rPr>
                <w:rFonts w:ascii="Calibri" w:hAnsi="Calibri" w:eastAsiaTheme="minorEastAsia"/>
                <w:szCs w:val="21"/>
              </w:rPr>
            </w:pPr>
          </w:p>
        </w:tc>
        <w:tc>
          <w:tcPr>
            <w:tcW w:w="451" w:type="pct"/>
            <w:vMerge w:val="continue"/>
            <w:vAlign w:val="center"/>
          </w:tcPr>
          <w:p w14:paraId="4C29A3F4">
            <w:pPr>
              <w:spacing w:line="320" w:lineRule="exact"/>
              <w:jc w:val="center"/>
              <w:rPr>
                <w:rFonts w:ascii="Calibri" w:hAnsi="Calibri" w:eastAsiaTheme="minorEastAsia"/>
                <w:szCs w:val="21"/>
              </w:rPr>
            </w:pPr>
          </w:p>
        </w:tc>
        <w:tc>
          <w:tcPr>
            <w:tcW w:w="722" w:type="pct"/>
            <w:vMerge w:val="continue"/>
            <w:vAlign w:val="center"/>
          </w:tcPr>
          <w:p w14:paraId="2FACE0F8">
            <w:pPr>
              <w:spacing w:line="320" w:lineRule="exact"/>
              <w:jc w:val="center"/>
              <w:rPr>
                <w:rFonts w:ascii="Calibri" w:hAnsi="Calibri" w:eastAsiaTheme="minorEastAsia"/>
                <w:szCs w:val="21"/>
              </w:rPr>
            </w:pPr>
          </w:p>
        </w:tc>
        <w:tc>
          <w:tcPr>
            <w:tcW w:w="554" w:type="pct"/>
            <w:vMerge w:val="continue"/>
            <w:vAlign w:val="center"/>
          </w:tcPr>
          <w:p w14:paraId="341A5308">
            <w:pPr>
              <w:spacing w:line="320" w:lineRule="exact"/>
              <w:jc w:val="center"/>
              <w:rPr>
                <w:rFonts w:ascii="Calibri" w:hAnsi="Calibri" w:eastAsiaTheme="minorEastAsia"/>
                <w:szCs w:val="21"/>
              </w:rPr>
            </w:pPr>
          </w:p>
        </w:tc>
        <w:tc>
          <w:tcPr>
            <w:tcW w:w="561" w:type="pct"/>
            <w:vMerge w:val="continue"/>
            <w:vAlign w:val="center"/>
          </w:tcPr>
          <w:p w14:paraId="5118ED9C">
            <w:pPr>
              <w:spacing w:line="320" w:lineRule="exact"/>
              <w:jc w:val="center"/>
              <w:rPr>
                <w:rFonts w:ascii="Calibri" w:hAnsi="Calibri" w:eastAsiaTheme="minorEastAsia"/>
                <w:szCs w:val="21"/>
              </w:rPr>
            </w:pPr>
          </w:p>
        </w:tc>
      </w:tr>
      <w:tr w14:paraId="1ECA4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44" w:type="pct"/>
            <w:vAlign w:val="center"/>
          </w:tcPr>
          <w:p w14:paraId="3810DA59">
            <w:pPr>
              <w:spacing w:line="320" w:lineRule="exact"/>
              <w:jc w:val="center"/>
              <w:rPr>
                <w:rFonts w:ascii="Calibri" w:hAnsi="Calibri" w:eastAsiaTheme="minorEastAsia"/>
                <w:szCs w:val="21"/>
              </w:rPr>
            </w:pPr>
            <w:r>
              <w:rPr>
                <w:rFonts w:ascii="Calibri" w:hAnsi="Calibri" w:eastAsiaTheme="minorEastAsia"/>
                <w:szCs w:val="21"/>
              </w:rPr>
              <w:t>PM</w:t>
            </w:r>
            <w:r>
              <w:rPr>
                <w:rFonts w:ascii="Calibri" w:hAnsi="Calibri" w:eastAsiaTheme="minorEastAsia"/>
                <w:szCs w:val="21"/>
                <w:vertAlign w:val="subscript"/>
              </w:rPr>
              <w:t>10</w:t>
            </w:r>
          </w:p>
        </w:tc>
        <w:tc>
          <w:tcPr>
            <w:tcW w:w="1770" w:type="pct"/>
            <w:vAlign w:val="center"/>
          </w:tcPr>
          <w:p w14:paraId="45486524">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98" w:type="pct"/>
            <w:vAlign w:val="center"/>
          </w:tcPr>
          <w:p w14:paraId="2A62C28A">
            <w:pPr>
              <w:spacing w:line="320" w:lineRule="exact"/>
              <w:jc w:val="center"/>
              <w:rPr>
                <w:rFonts w:ascii="Calibri" w:hAnsi="Calibri" w:eastAsiaTheme="minorEastAsia"/>
                <w:szCs w:val="21"/>
              </w:rPr>
            </w:pPr>
            <w:r>
              <w:rPr>
                <w:rFonts w:ascii="Calibri" w:hAnsi="Calibri" w:eastAsiaTheme="minorEastAsia"/>
                <w:szCs w:val="21"/>
              </w:rPr>
              <w:t>70</w:t>
            </w:r>
          </w:p>
        </w:tc>
        <w:tc>
          <w:tcPr>
            <w:tcW w:w="451" w:type="pct"/>
            <w:vAlign w:val="center"/>
          </w:tcPr>
          <w:p w14:paraId="1401E908">
            <w:pPr>
              <w:spacing w:line="320" w:lineRule="exact"/>
              <w:jc w:val="center"/>
              <w:rPr>
                <w:rFonts w:ascii="Calibri" w:hAnsi="Calibri" w:eastAsiaTheme="minorEastAsia"/>
                <w:szCs w:val="21"/>
              </w:rPr>
            </w:pPr>
            <w:r>
              <w:rPr>
                <w:rFonts w:hint="eastAsia" w:ascii="Calibri" w:hAnsi="Calibri" w:eastAsiaTheme="minorEastAsia"/>
                <w:szCs w:val="21"/>
              </w:rPr>
              <w:t>54</w:t>
            </w:r>
          </w:p>
        </w:tc>
        <w:tc>
          <w:tcPr>
            <w:tcW w:w="722" w:type="pct"/>
            <w:shd w:val="clear" w:color="auto" w:fill="auto"/>
            <w:vAlign w:val="center"/>
          </w:tcPr>
          <w:p w14:paraId="51F57709">
            <w:pPr>
              <w:spacing w:line="320" w:lineRule="exact"/>
              <w:jc w:val="center"/>
              <w:rPr>
                <w:rFonts w:ascii="Calibri" w:hAnsi="Calibri" w:eastAsiaTheme="minorEastAsia"/>
                <w:szCs w:val="21"/>
              </w:rPr>
            </w:pPr>
            <w:r>
              <w:rPr>
                <w:rFonts w:hint="eastAsia" w:ascii="Calibri" w:hAnsi="Calibri" w:eastAsiaTheme="minorEastAsia"/>
                <w:szCs w:val="21"/>
              </w:rPr>
              <w:t>77.1</w:t>
            </w:r>
          </w:p>
        </w:tc>
        <w:tc>
          <w:tcPr>
            <w:tcW w:w="554" w:type="pct"/>
            <w:shd w:val="clear" w:color="auto" w:fill="auto"/>
            <w:vAlign w:val="center"/>
          </w:tcPr>
          <w:p w14:paraId="67A0C92E">
            <w:pPr>
              <w:spacing w:line="320" w:lineRule="exact"/>
              <w:jc w:val="center"/>
              <w:rPr>
                <w:rFonts w:ascii="Calibri" w:hAnsi="Calibri" w:eastAsiaTheme="minorEastAsia"/>
                <w:szCs w:val="21"/>
              </w:rPr>
            </w:pPr>
            <w:r>
              <w:rPr>
                <w:rFonts w:ascii="Calibri" w:hAnsi="Calibri" w:eastAsiaTheme="minorEastAsia"/>
                <w:szCs w:val="21"/>
              </w:rPr>
              <w:t>0</w:t>
            </w:r>
          </w:p>
        </w:tc>
        <w:tc>
          <w:tcPr>
            <w:tcW w:w="561" w:type="pct"/>
            <w:vAlign w:val="center"/>
          </w:tcPr>
          <w:p w14:paraId="706325B9">
            <w:pPr>
              <w:spacing w:line="320" w:lineRule="exact"/>
              <w:jc w:val="center"/>
              <w:rPr>
                <w:rFonts w:ascii="Calibri" w:hAnsi="Calibri" w:eastAsiaTheme="minorEastAsia"/>
                <w:szCs w:val="21"/>
              </w:rPr>
            </w:pPr>
            <w:r>
              <w:rPr>
                <w:rFonts w:ascii="Calibri" w:hAnsi="Calibri" w:eastAsiaTheme="minorEastAsia"/>
                <w:szCs w:val="21"/>
              </w:rPr>
              <w:t>达标</w:t>
            </w:r>
          </w:p>
        </w:tc>
      </w:tr>
      <w:tr w14:paraId="206B1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Align w:val="center"/>
          </w:tcPr>
          <w:p w14:paraId="10DBFC6F">
            <w:pPr>
              <w:spacing w:line="320" w:lineRule="exact"/>
              <w:jc w:val="center"/>
              <w:rPr>
                <w:rFonts w:ascii="Calibri" w:hAnsi="Calibri" w:eastAsiaTheme="minorEastAsia"/>
                <w:szCs w:val="21"/>
              </w:rPr>
            </w:pPr>
            <w:r>
              <w:rPr>
                <w:rFonts w:ascii="Calibri" w:hAnsi="Calibri" w:eastAsiaTheme="minorEastAsia"/>
                <w:szCs w:val="21"/>
              </w:rPr>
              <w:t>PM</w:t>
            </w:r>
            <w:r>
              <w:rPr>
                <w:rFonts w:ascii="Calibri" w:hAnsi="Calibri" w:eastAsiaTheme="minorEastAsia"/>
                <w:szCs w:val="21"/>
                <w:vertAlign w:val="subscript"/>
              </w:rPr>
              <w:t>2.5</w:t>
            </w:r>
          </w:p>
        </w:tc>
        <w:tc>
          <w:tcPr>
            <w:tcW w:w="1770" w:type="pct"/>
            <w:vAlign w:val="center"/>
          </w:tcPr>
          <w:p w14:paraId="78AAC3D9">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98" w:type="pct"/>
            <w:vAlign w:val="center"/>
          </w:tcPr>
          <w:p w14:paraId="30EE289E">
            <w:pPr>
              <w:spacing w:line="320" w:lineRule="exact"/>
              <w:jc w:val="center"/>
              <w:rPr>
                <w:rFonts w:ascii="Calibri" w:hAnsi="Calibri" w:eastAsiaTheme="minorEastAsia"/>
                <w:bCs/>
                <w:szCs w:val="21"/>
              </w:rPr>
            </w:pPr>
            <w:r>
              <w:rPr>
                <w:rFonts w:ascii="Calibri" w:hAnsi="Calibri" w:eastAsiaTheme="minorEastAsia"/>
                <w:bCs/>
                <w:szCs w:val="21"/>
              </w:rPr>
              <w:t>35</w:t>
            </w:r>
          </w:p>
        </w:tc>
        <w:tc>
          <w:tcPr>
            <w:tcW w:w="451" w:type="pct"/>
            <w:vAlign w:val="center"/>
          </w:tcPr>
          <w:p w14:paraId="5A9196E8">
            <w:pPr>
              <w:spacing w:line="320" w:lineRule="exact"/>
              <w:jc w:val="center"/>
              <w:rPr>
                <w:rFonts w:ascii="Calibri" w:hAnsi="Calibri" w:eastAsiaTheme="minorEastAsia"/>
                <w:bCs/>
                <w:szCs w:val="21"/>
              </w:rPr>
            </w:pPr>
            <w:r>
              <w:rPr>
                <w:rFonts w:hint="eastAsia" w:ascii="Calibri" w:hAnsi="Calibri" w:eastAsiaTheme="minorEastAsia"/>
                <w:bCs/>
                <w:szCs w:val="21"/>
              </w:rPr>
              <w:t>39</w:t>
            </w:r>
          </w:p>
        </w:tc>
        <w:tc>
          <w:tcPr>
            <w:tcW w:w="722" w:type="pct"/>
            <w:shd w:val="clear" w:color="auto" w:fill="auto"/>
            <w:vAlign w:val="center"/>
          </w:tcPr>
          <w:p w14:paraId="040EBADD">
            <w:pPr>
              <w:spacing w:line="320" w:lineRule="exact"/>
              <w:jc w:val="center"/>
              <w:rPr>
                <w:rFonts w:ascii="Calibri" w:hAnsi="Calibri" w:eastAsiaTheme="minorEastAsia"/>
                <w:szCs w:val="21"/>
              </w:rPr>
            </w:pPr>
            <w:r>
              <w:rPr>
                <w:rFonts w:hint="eastAsia" w:ascii="Calibri" w:hAnsi="Calibri" w:eastAsiaTheme="minorEastAsia"/>
                <w:szCs w:val="21"/>
              </w:rPr>
              <w:t>111.4</w:t>
            </w:r>
          </w:p>
        </w:tc>
        <w:tc>
          <w:tcPr>
            <w:tcW w:w="554" w:type="pct"/>
            <w:shd w:val="clear" w:color="auto" w:fill="auto"/>
            <w:vAlign w:val="center"/>
          </w:tcPr>
          <w:p w14:paraId="679BE356">
            <w:pPr>
              <w:spacing w:line="320" w:lineRule="exact"/>
              <w:jc w:val="center"/>
              <w:rPr>
                <w:rFonts w:ascii="Calibri" w:hAnsi="Calibri" w:eastAsiaTheme="minorEastAsia"/>
                <w:szCs w:val="21"/>
              </w:rPr>
            </w:pPr>
            <w:r>
              <w:rPr>
                <w:rFonts w:hint="eastAsia" w:ascii="Calibri" w:hAnsi="Calibri" w:eastAsiaTheme="minorEastAsia"/>
                <w:szCs w:val="21"/>
              </w:rPr>
              <w:t>0.114</w:t>
            </w:r>
          </w:p>
        </w:tc>
        <w:tc>
          <w:tcPr>
            <w:tcW w:w="561" w:type="pct"/>
            <w:vAlign w:val="center"/>
          </w:tcPr>
          <w:p w14:paraId="265B5166">
            <w:pPr>
              <w:spacing w:line="320" w:lineRule="exact"/>
              <w:jc w:val="center"/>
              <w:rPr>
                <w:rFonts w:ascii="Calibri" w:hAnsi="Calibri" w:eastAsiaTheme="minorEastAsia"/>
                <w:szCs w:val="21"/>
              </w:rPr>
            </w:pPr>
            <w:r>
              <w:rPr>
                <w:rFonts w:hint="eastAsia" w:ascii="Calibri" w:hAnsi="Calibri" w:eastAsiaTheme="minorEastAsia"/>
                <w:szCs w:val="21"/>
              </w:rPr>
              <w:t>超标</w:t>
            </w:r>
          </w:p>
        </w:tc>
      </w:tr>
      <w:tr w14:paraId="0A0EC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Align w:val="center"/>
          </w:tcPr>
          <w:p w14:paraId="7CC3426F">
            <w:pPr>
              <w:spacing w:line="320" w:lineRule="exact"/>
              <w:jc w:val="center"/>
              <w:rPr>
                <w:rFonts w:ascii="Calibri" w:hAnsi="Calibri" w:eastAsiaTheme="minorEastAsia"/>
                <w:szCs w:val="21"/>
              </w:rPr>
            </w:pPr>
            <w:r>
              <w:rPr>
                <w:rFonts w:ascii="Calibri" w:hAnsi="Calibri" w:eastAsiaTheme="minorEastAsia"/>
                <w:szCs w:val="21"/>
              </w:rPr>
              <w:t>CO</w:t>
            </w:r>
          </w:p>
        </w:tc>
        <w:tc>
          <w:tcPr>
            <w:tcW w:w="1770" w:type="pct"/>
            <w:vAlign w:val="center"/>
          </w:tcPr>
          <w:p w14:paraId="59A0AE0B">
            <w:pPr>
              <w:spacing w:line="320" w:lineRule="exact"/>
              <w:jc w:val="center"/>
              <w:rPr>
                <w:rFonts w:ascii="Calibri" w:hAnsi="Calibri" w:eastAsiaTheme="minorEastAsia"/>
                <w:szCs w:val="21"/>
                <w:vertAlign w:val="superscript"/>
              </w:rPr>
            </w:pPr>
            <w:r>
              <w:rPr>
                <w:rFonts w:ascii="Calibri" w:hAnsi="Calibri" w:eastAsiaTheme="minorEastAsia"/>
                <w:szCs w:val="21"/>
              </w:rPr>
              <w:t>24h平均浓度（95百分位）mg/m³</w:t>
            </w:r>
          </w:p>
        </w:tc>
        <w:tc>
          <w:tcPr>
            <w:tcW w:w="498" w:type="pct"/>
            <w:vAlign w:val="center"/>
          </w:tcPr>
          <w:p w14:paraId="62ADD7EE">
            <w:pPr>
              <w:spacing w:line="320" w:lineRule="exact"/>
              <w:jc w:val="center"/>
              <w:rPr>
                <w:rFonts w:ascii="Calibri" w:hAnsi="Calibri" w:eastAsiaTheme="minorEastAsia"/>
                <w:szCs w:val="21"/>
              </w:rPr>
            </w:pPr>
            <w:r>
              <w:rPr>
                <w:rFonts w:ascii="Calibri" w:hAnsi="Calibri" w:eastAsiaTheme="minorEastAsia"/>
                <w:szCs w:val="21"/>
              </w:rPr>
              <w:t>4</w:t>
            </w:r>
          </w:p>
        </w:tc>
        <w:tc>
          <w:tcPr>
            <w:tcW w:w="451" w:type="pct"/>
            <w:vAlign w:val="center"/>
          </w:tcPr>
          <w:p w14:paraId="724E3304">
            <w:pPr>
              <w:spacing w:line="320" w:lineRule="exact"/>
              <w:jc w:val="center"/>
              <w:rPr>
                <w:rFonts w:ascii="Calibri" w:hAnsi="Calibri" w:eastAsiaTheme="minorEastAsia"/>
                <w:szCs w:val="21"/>
              </w:rPr>
            </w:pPr>
            <w:r>
              <w:rPr>
                <w:rFonts w:hint="eastAsia" w:ascii="Calibri" w:hAnsi="Calibri" w:eastAsiaTheme="minorEastAsia"/>
                <w:szCs w:val="21"/>
              </w:rPr>
              <w:t>1</w:t>
            </w:r>
          </w:p>
        </w:tc>
        <w:tc>
          <w:tcPr>
            <w:tcW w:w="722" w:type="pct"/>
            <w:shd w:val="clear" w:color="auto" w:fill="auto"/>
            <w:vAlign w:val="center"/>
          </w:tcPr>
          <w:p w14:paraId="39744809">
            <w:pPr>
              <w:spacing w:line="320" w:lineRule="exact"/>
              <w:jc w:val="center"/>
              <w:rPr>
                <w:rFonts w:ascii="Calibri" w:hAnsi="Calibri" w:eastAsiaTheme="minorEastAsia"/>
                <w:szCs w:val="21"/>
              </w:rPr>
            </w:pPr>
            <w:r>
              <w:rPr>
                <w:rFonts w:hint="eastAsia" w:ascii="Calibri" w:hAnsi="Calibri" w:eastAsiaTheme="minorEastAsia"/>
                <w:szCs w:val="21"/>
              </w:rPr>
              <w:t>25.0</w:t>
            </w:r>
          </w:p>
        </w:tc>
        <w:tc>
          <w:tcPr>
            <w:tcW w:w="554" w:type="pct"/>
            <w:shd w:val="clear" w:color="auto" w:fill="auto"/>
            <w:vAlign w:val="center"/>
          </w:tcPr>
          <w:p w14:paraId="36EA7F79">
            <w:pPr>
              <w:spacing w:line="320" w:lineRule="exact"/>
              <w:jc w:val="center"/>
              <w:rPr>
                <w:rFonts w:ascii="Calibri" w:hAnsi="Calibri" w:eastAsiaTheme="minorEastAsia"/>
                <w:szCs w:val="21"/>
              </w:rPr>
            </w:pPr>
            <w:r>
              <w:rPr>
                <w:rFonts w:ascii="Calibri" w:hAnsi="Calibri" w:eastAsiaTheme="minorEastAsia"/>
                <w:szCs w:val="21"/>
              </w:rPr>
              <w:t>0</w:t>
            </w:r>
          </w:p>
        </w:tc>
        <w:tc>
          <w:tcPr>
            <w:tcW w:w="561" w:type="pct"/>
            <w:vAlign w:val="center"/>
          </w:tcPr>
          <w:p w14:paraId="3E8E199F">
            <w:pPr>
              <w:spacing w:line="320" w:lineRule="exact"/>
              <w:jc w:val="center"/>
              <w:rPr>
                <w:rFonts w:ascii="Calibri" w:hAnsi="Calibri" w:eastAsiaTheme="minorEastAsia"/>
                <w:szCs w:val="21"/>
              </w:rPr>
            </w:pPr>
            <w:r>
              <w:rPr>
                <w:rFonts w:ascii="Calibri" w:hAnsi="Calibri" w:eastAsiaTheme="minorEastAsia"/>
                <w:szCs w:val="21"/>
              </w:rPr>
              <w:t>达标</w:t>
            </w:r>
          </w:p>
        </w:tc>
      </w:tr>
      <w:tr w14:paraId="6FCC2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Align w:val="center"/>
          </w:tcPr>
          <w:p w14:paraId="37DF003F">
            <w:pPr>
              <w:spacing w:line="320" w:lineRule="exact"/>
              <w:jc w:val="center"/>
              <w:rPr>
                <w:rFonts w:ascii="Calibri" w:hAnsi="Calibri" w:eastAsiaTheme="minorEastAsia"/>
                <w:szCs w:val="21"/>
              </w:rPr>
            </w:pPr>
            <w:r>
              <w:rPr>
                <w:rFonts w:ascii="Calibri" w:hAnsi="Calibri" w:eastAsiaTheme="minorEastAsia"/>
                <w:szCs w:val="21"/>
              </w:rPr>
              <w:t>O</w:t>
            </w:r>
            <w:r>
              <w:rPr>
                <w:rFonts w:ascii="Calibri" w:hAnsi="Calibri" w:eastAsiaTheme="minorEastAsia"/>
                <w:szCs w:val="21"/>
                <w:vertAlign w:val="subscript"/>
              </w:rPr>
              <w:t>3</w:t>
            </w:r>
          </w:p>
        </w:tc>
        <w:tc>
          <w:tcPr>
            <w:tcW w:w="1770" w:type="pct"/>
            <w:vAlign w:val="center"/>
          </w:tcPr>
          <w:p w14:paraId="02247BBF">
            <w:pPr>
              <w:spacing w:line="320" w:lineRule="exact"/>
              <w:jc w:val="center"/>
              <w:rPr>
                <w:rFonts w:ascii="Calibri" w:hAnsi="Calibri" w:eastAsiaTheme="minorEastAsia"/>
                <w:szCs w:val="21"/>
              </w:rPr>
            </w:pPr>
            <w:r>
              <w:rPr>
                <w:rFonts w:ascii="Calibri" w:hAnsi="Calibri" w:eastAsiaTheme="minorEastAsia"/>
                <w:szCs w:val="21"/>
              </w:rPr>
              <w:t>日最大8小时滑动平均浓度（90百分位）ug/m³</w:t>
            </w:r>
          </w:p>
        </w:tc>
        <w:tc>
          <w:tcPr>
            <w:tcW w:w="498" w:type="pct"/>
            <w:vAlign w:val="center"/>
          </w:tcPr>
          <w:p w14:paraId="0F598D9A">
            <w:pPr>
              <w:spacing w:line="320" w:lineRule="exact"/>
              <w:jc w:val="center"/>
              <w:rPr>
                <w:rFonts w:ascii="Calibri" w:hAnsi="Calibri" w:eastAsiaTheme="minorEastAsia"/>
                <w:szCs w:val="21"/>
              </w:rPr>
            </w:pPr>
            <w:r>
              <w:rPr>
                <w:rFonts w:ascii="Calibri" w:hAnsi="Calibri" w:eastAsiaTheme="minorEastAsia"/>
                <w:szCs w:val="21"/>
              </w:rPr>
              <w:t>160</w:t>
            </w:r>
          </w:p>
        </w:tc>
        <w:tc>
          <w:tcPr>
            <w:tcW w:w="451" w:type="pct"/>
            <w:vAlign w:val="center"/>
          </w:tcPr>
          <w:p w14:paraId="72F8994A">
            <w:pPr>
              <w:spacing w:line="320" w:lineRule="exact"/>
              <w:jc w:val="center"/>
              <w:rPr>
                <w:rFonts w:ascii="Calibri" w:hAnsi="Calibri" w:eastAsiaTheme="minorEastAsia"/>
                <w:szCs w:val="21"/>
              </w:rPr>
            </w:pPr>
            <w:r>
              <w:rPr>
                <w:rFonts w:hint="eastAsia" w:ascii="Calibri" w:hAnsi="Calibri" w:eastAsiaTheme="minorEastAsia"/>
                <w:szCs w:val="21"/>
              </w:rPr>
              <w:t>146</w:t>
            </w:r>
          </w:p>
        </w:tc>
        <w:tc>
          <w:tcPr>
            <w:tcW w:w="722" w:type="pct"/>
            <w:shd w:val="clear" w:color="auto" w:fill="auto"/>
            <w:vAlign w:val="center"/>
          </w:tcPr>
          <w:p w14:paraId="0001409A">
            <w:pPr>
              <w:spacing w:line="320" w:lineRule="exact"/>
              <w:jc w:val="center"/>
              <w:rPr>
                <w:rFonts w:ascii="Calibri" w:hAnsi="Calibri" w:eastAsiaTheme="minorEastAsia"/>
                <w:szCs w:val="21"/>
              </w:rPr>
            </w:pPr>
            <w:r>
              <w:rPr>
                <w:rFonts w:hint="eastAsia" w:ascii="Calibri" w:hAnsi="Calibri" w:eastAsiaTheme="minorEastAsia"/>
                <w:szCs w:val="21"/>
              </w:rPr>
              <w:t>91.3</w:t>
            </w:r>
          </w:p>
        </w:tc>
        <w:tc>
          <w:tcPr>
            <w:tcW w:w="554" w:type="pct"/>
            <w:shd w:val="clear" w:color="auto" w:fill="auto"/>
            <w:vAlign w:val="center"/>
          </w:tcPr>
          <w:p w14:paraId="51FA5525">
            <w:pPr>
              <w:spacing w:line="320" w:lineRule="exact"/>
              <w:jc w:val="center"/>
              <w:rPr>
                <w:rFonts w:ascii="Calibri" w:hAnsi="Calibri" w:eastAsiaTheme="minorEastAsia"/>
                <w:szCs w:val="21"/>
              </w:rPr>
            </w:pPr>
            <w:r>
              <w:rPr>
                <w:rFonts w:ascii="Calibri" w:hAnsi="Calibri" w:eastAsiaTheme="minorEastAsia"/>
                <w:szCs w:val="21"/>
              </w:rPr>
              <w:t>0</w:t>
            </w:r>
          </w:p>
        </w:tc>
        <w:tc>
          <w:tcPr>
            <w:tcW w:w="561" w:type="pct"/>
            <w:vAlign w:val="center"/>
          </w:tcPr>
          <w:p w14:paraId="523B2F6F">
            <w:pPr>
              <w:spacing w:line="320" w:lineRule="exact"/>
              <w:jc w:val="center"/>
              <w:rPr>
                <w:rFonts w:ascii="Calibri" w:hAnsi="Calibri" w:eastAsiaTheme="minorEastAsia"/>
                <w:szCs w:val="21"/>
              </w:rPr>
            </w:pPr>
            <w:r>
              <w:rPr>
                <w:rFonts w:ascii="Calibri" w:hAnsi="Calibri" w:eastAsiaTheme="minorEastAsia"/>
                <w:szCs w:val="21"/>
              </w:rPr>
              <w:t>达标</w:t>
            </w:r>
          </w:p>
        </w:tc>
      </w:tr>
      <w:tr w14:paraId="51292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Align w:val="center"/>
          </w:tcPr>
          <w:p w14:paraId="60E3442B">
            <w:pPr>
              <w:spacing w:line="320" w:lineRule="exact"/>
              <w:jc w:val="center"/>
              <w:rPr>
                <w:rFonts w:ascii="Calibri" w:hAnsi="Calibri" w:eastAsiaTheme="minorEastAsia"/>
                <w:szCs w:val="21"/>
              </w:rPr>
            </w:pPr>
            <w:r>
              <w:rPr>
                <w:rFonts w:ascii="Calibri" w:hAnsi="Calibri" w:eastAsiaTheme="minorEastAsia"/>
                <w:szCs w:val="21"/>
              </w:rPr>
              <w:t>SO</w:t>
            </w:r>
            <w:r>
              <w:rPr>
                <w:rFonts w:ascii="Calibri" w:hAnsi="Calibri" w:eastAsiaTheme="minorEastAsia"/>
                <w:szCs w:val="21"/>
                <w:vertAlign w:val="subscript"/>
              </w:rPr>
              <w:t>2</w:t>
            </w:r>
          </w:p>
        </w:tc>
        <w:tc>
          <w:tcPr>
            <w:tcW w:w="1770" w:type="pct"/>
            <w:vAlign w:val="center"/>
          </w:tcPr>
          <w:p w14:paraId="22572E12">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98" w:type="pct"/>
            <w:vAlign w:val="center"/>
          </w:tcPr>
          <w:p w14:paraId="6228C1C6">
            <w:pPr>
              <w:spacing w:line="320" w:lineRule="exact"/>
              <w:jc w:val="center"/>
              <w:rPr>
                <w:rFonts w:ascii="Calibri" w:hAnsi="Calibri" w:eastAsiaTheme="minorEastAsia"/>
                <w:szCs w:val="21"/>
              </w:rPr>
            </w:pPr>
            <w:r>
              <w:rPr>
                <w:rFonts w:ascii="Calibri" w:hAnsi="Calibri" w:eastAsiaTheme="minorEastAsia"/>
                <w:szCs w:val="21"/>
              </w:rPr>
              <w:t>60</w:t>
            </w:r>
          </w:p>
        </w:tc>
        <w:tc>
          <w:tcPr>
            <w:tcW w:w="451" w:type="pct"/>
            <w:vAlign w:val="center"/>
          </w:tcPr>
          <w:p w14:paraId="7D44C4F4">
            <w:pPr>
              <w:spacing w:line="320" w:lineRule="exact"/>
              <w:jc w:val="center"/>
              <w:rPr>
                <w:rFonts w:ascii="Calibri" w:hAnsi="Calibri" w:eastAsiaTheme="minorEastAsia"/>
                <w:szCs w:val="21"/>
              </w:rPr>
            </w:pPr>
            <w:r>
              <w:rPr>
                <w:rFonts w:hint="eastAsia" w:ascii="Calibri" w:hAnsi="Calibri" w:eastAsiaTheme="minorEastAsia"/>
                <w:szCs w:val="21"/>
              </w:rPr>
              <w:t>8</w:t>
            </w:r>
          </w:p>
        </w:tc>
        <w:tc>
          <w:tcPr>
            <w:tcW w:w="722" w:type="pct"/>
            <w:shd w:val="clear" w:color="auto" w:fill="auto"/>
            <w:vAlign w:val="center"/>
          </w:tcPr>
          <w:p w14:paraId="7832C53D">
            <w:pPr>
              <w:spacing w:line="320" w:lineRule="exact"/>
              <w:jc w:val="center"/>
              <w:rPr>
                <w:rFonts w:ascii="Calibri" w:hAnsi="Calibri" w:eastAsiaTheme="minorEastAsia"/>
                <w:szCs w:val="21"/>
              </w:rPr>
            </w:pPr>
            <w:r>
              <w:rPr>
                <w:rFonts w:hint="eastAsia" w:ascii="Calibri" w:hAnsi="Calibri" w:eastAsiaTheme="minorEastAsia"/>
                <w:szCs w:val="21"/>
              </w:rPr>
              <w:t>13.3</w:t>
            </w:r>
          </w:p>
        </w:tc>
        <w:tc>
          <w:tcPr>
            <w:tcW w:w="554" w:type="pct"/>
            <w:shd w:val="clear" w:color="auto" w:fill="auto"/>
            <w:vAlign w:val="center"/>
          </w:tcPr>
          <w:p w14:paraId="1E68E005">
            <w:pPr>
              <w:spacing w:line="320" w:lineRule="exact"/>
              <w:jc w:val="center"/>
              <w:rPr>
                <w:rFonts w:ascii="Calibri" w:hAnsi="Calibri" w:eastAsiaTheme="minorEastAsia"/>
                <w:szCs w:val="21"/>
              </w:rPr>
            </w:pPr>
            <w:r>
              <w:rPr>
                <w:rFonts w:ascii="Calibri" w:hAnsi="Calibri" w:eastAsiaTheme="minorEastAsia"/>
                <w:szCs w:val="21"/>
              </w:rPr>
              <w:t>0</w:t>
            </w:r>
          </w:p>
        </w:tc>
        <w:tc>
          <w:tcPr>
            <w:tcW w:w="561" w:type="pct"/>
            <w:vAlign w:val="center"/>
          </w:tcPr>
          <w:p w14:paraId="153C5B48">
            <w:pPr>
              <w:spacing w:line="320" w:lineRule="exact"/>
              <w:jc w:val="center"/>
              <w:rPr>
                <w:rFonts w:ascii="Calibri" w:hAnsi="Calibri" w:eastAsiaTheme="minorEastAsia"/>
                <w:szCs w:val="21"/>
              </w:rPr>
            </w:pPr>
            <w:r>
              <w:rPr>
                <w:rFonts w:ascii="Calibri" w:hAnsi="Calibri" w:eastAsiaTheme="minorEastAsia"/>
                <w:szCs w:val="21"/>
              </w:rPr>
              <w:t>达标</w:t>
            </w:r>
          </w:p>
        </w:tc>
      </w:tr>
      <w:tr w14:paraId="5D24C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44" w:type="pct"/>
            <w:vAlign w:val="center"/>
          </w:tcPr>
          <w:p w14:paraId="367BADBA">
            <w:pPr>
              <w:spacing w:line="320" w:lineRule="exact"/>
              <w:jc w:val="center"/>
              <w:rPr>
                <w:rFonts w:ascii="Calibri" w:hAnsi="Calibri" w:eastAsiaTheme="minorEastAsia"/>
                <w:szCs w:val="21"/>
              </w:rPr>
            </w:pPr>
            <w:r>
              <w:rPr>
                <w:rFonts w:ascii="Calibri" w:hAnsi="Calibri" w:eastAsiaTheme="minorEastAsia"/>
                <w:szCs w:val="21"/>
              </w:rPr>
              <w:t>NO</w:t>
            </w:r>
            <w:r>
              <w:rPr>
                <w:rFonts w:ascii="Calibri" w:hAnsi="Calibri" w:eastAsiaTheme="minorEastAsia"/>
                <w:szCs w:val="21"/>
                <w:vertAlign w:val="subscript"/>
              </w:rPr>
              <w:t>2</w:t>
            </w:r>
          </w:p>
        </w:tc>
        <w:tc>
          <w:tcPr>
            <w:tcW w:w="1770" w:type="pct"/>
            <w:vAlign w:val="center"/>
          </w:tcPr>
          <w:p w14:paraId="5A0A7917">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98" w:type="pct"/>
            <w:vAlign w:val="center"/>
          </w:tcPr>
          <w:p w14:paraId="370A74F3">
            <w:pPr>
              <w:spacing w:line="320" w:lineRule="exact"/>
              <w:jc w:val="center"/>
              <w:rPr>
                <w:rFonts w:ascii="Calibri" w:hAnsi="Calibri" w:eastAsiaTheme="minorEastAsia"/>
                <w:szCs w:val="21"/>
              </w:rPr>
            </w:pPr>
            <w:r>
              <w:rPr>
                <w:rFonts w:ascii="Calibri" w:hAnsi="Calibri" w:eastAsiaTheme="minorEastAsia"/>
                <w:szCs w:val="21"/>
              </w:rPr>
              <w:t>40</w:t>
            </w:r>
          </w:p>
        </w:tc>
        <w:tc>
          <w:tcPr>
            <w:tcW w:w="451" w:type="pct"/>
            <w:vAlign w:val="center"/>
          </w:tcPr>
          <w:p w14:paraId="78BDCD83">
            <w:pPr>
              <w:spacing w:line="320" w:lineRule="exact"/>
              <w:jc w:val="center"/>
              <w:rPr>
                <w:rFonts w:ascii="Calibri" w:hAnsi="Calibri" w:eastAsiaTheme="minorEastAsia"/>
                <w:szCs w:val="21"/>
              </w:rPr>
            </w:pPr>
            <w:r>
              <w:rPr>
                <w:rFonts w:hint="eastAsia" w:ascii="Calibri" w:hAnsi="Calibri" w:eastAsiaTheme="minorEastAsia"/>
                <w:szCs w:val="21"/>
              </w:rPr>
              <w:t>16</w:t>
            </w:r>
          </w:p>
        </w:tc>
        <w:tc>
          <w:tcPr>
            <w:tcW w:w="722" w:type="pct"/>
            <w:shd w:val="clear" w:color="auto" w:fill="auto"/>
            <w:vAlign w:val="center"/>
          </w:tcPr>
          <w:p w14:paraId="498AD916">
            <w:pPr>
              <w:spacing w:line="320" w:lineRule="exact"/>
              <w:jc w:val="center"/>
              <w:rPr>
                <w:rFonts w:ascii="Calibri" w:hAnsi="Calibri" w:eastAsiaTheme="minorEastAsia"/>
                <w:szCs w:val="21"/>
              </w:rPr>
            </w:pPr>
            <w:r>
              <w:rPr>
                <w:rFonts w:hint="eastAsia" w:ascii="Calibri" w:hAnsi="Calibri" w:eastAsiaTheme="minorEastAsia"/>
                <w:szCs w:val="21"/>
              </w:rPr>
              <w:t>40.0</w:t>
            </w:r>
          </w:p>
        </w:tc>
        <w:tc>
          <w:tcPr>
            <w:tcW w:w="554" w:type="pct"/>
            <w:shd w:val="clear" w:color="auto" w:fill="auto"/>
            <w:vAlign w:val="center"/>
          </w:tcPr>
          <w:p w14:paraId="2DC3F39A">
            <w:pPr>
              <w:spacing w:line="320" w:lineRule="exact"/>
              <w:jc w:val="center"/>
              <w:rPr>
                <w:rFonts w:ascii="Calibri" w:hAnsi="Calibri" w:eastAsiaTheme="minorEastAsia"/>
                <w:szCs w:val="21"/>
              </w:rPr>
            </w:pPr>
            <w:r>
              <w:rPr>
                <w:rFonts w:ascii="Calibri" w:hAnsi="Calibri" w:eastAsiaTheme="minorEastAsia"/>
                <w:szCs w:val="21"/>
              </w:rPr>
              <w:t>0</w:t>
            </w:r>
          </w:p>
        </w:tc>
        <w:tc>
          <w:tcPr>
            <w:tcW w:w="561" w:type="pct"/>
            <w:vAlign w:val="center"/>
          </w:tcPr>
          <w:p w14:paraId="04D5CD7B">
            <w:pPr>
              <w:spacing w:line="320" w:lineRule="exact"/>
              <w:jc w:val="center"/>
              <w:rPr>
                <w:rFonts w:ascii="Calibri" w:hAnsi="Calibri" w:eastAsiaTheme="minorEastAsia"/>
                <w:szCs w:val="21"/>
              </w:rPr>
            </w:pPr>
            <w:r>
              <w:rPr>
                <w:rFonts w:ascii="Calibri" w:hAnsi="Calibri" w:eastAsiaTheme="minorEastAsia"/>
                <w:szCs w:val="21"/>
              </w:rPr>
              <w:t>达标</w:t>
            </w:r>
          </w:p>
        </w:tc>
      </w:tr>
      <w:bookmarkEnd w:id="107"/>
    </w:tbl>
    <w:p w14:paraId="56971D23">
      <w:pPr>
        <w:spacing w:line="360" w:lineRule="auto"/>
        <w:ind w:firstLine="480" w:firstLineChars="200"/>
        <w:rPr>
          <w:rFonts w:eastAsiaTheme="minorEastAsia"/>
          <w:b/>
          <w:sz w:val="24"/>
        </w:rPr>
      </w:pPr>
      <w:r>
        <w:rPr>
          <w:rFonts w:eastAsiaTheme="minorEastAsia"/>
          <w:sz w:val="24"/>
        </w:rPr>
        <w:t>由上表可知，评价基准年202</w:t>
      </w:r>
      <w:r>
        <w:rPr>
          <w:rFonts w:hint="eastAsia" w:eastAsiaTheme="minorEastAsia"/>
          <w:sz w:val="24"/>
        </w:rPr>
        <w:t>4</w:t>
      </w:r>
      <w:r>
        <w:rPr>
          <w:rFonts w:eastAsiaTheme="minorEastAsia"/>
          <w:sz w:val="24"/>
        </w:rPr>
        <w:t>年的基本污染物因子</w:t>
      </w:r>
      <w:r>
        <w:rPr>
          <w:rFonts w:hint="eastAsia" w:eastAsiaTheme="minorEastAsia"/>
          <w:sz w:val="24"/>
        </w:rPr>
        <w:t>除PM</w:t>
      </w:r>
      <w:r>
        <w:rPr>
          <w:rFonts w:hint="eastAsia" w:eastAsiaTheme="minorEastAsia"/>
          <w:sz w:val="24"/>
          <w:vertAlign w:val="subscript"/>
        </w:rPr>
        <w:t>2.5</w:t>
      </w:r>
      <w:r>
        <w:rPr>
          <w:rFonts w:hint="eastAsia" w:eastAsiaTheme="minorEastAsia"/>
          <w:sz w:val="24"/>
        </w:rPr>
        <w:t>外其他因子</w:t>
      </w:r>
      <w:r>
        <w:rPr>
          <w:rFonts w:eastAsiaTheme="minorEastAsia"/>
          <w:sz w:val="24"/>
        </w:rPr>
        <w:t>均满足《环境空气质量标准》（GB3095-2012）及修改单规定的二级标准要求，经判定</w:t>
      </w:r>
      <w:r>
        <w:rPr>
          <w:rFonts w:hint="eastAsia" w:eastAsiaTheme="minorEastAsia"/>
          <w:sz w:val="24"/>
        </w:rPr>
        <w:t>规划所在区域为环境空气质量</w:t>
      </w:r>
      <w:r>
        <w:rPr>
          <w:rFonts w:hint="eastAsia" w:eastAsiaTheme="minorEastAsia"/>
          <w:b/>
          <w:sz w:val="24"/>
        </w:rPr>
        <w:t>不</w:t>
      </w:r>
      <w:r>
        <w:rPr>
          <w:rFonts w:eastAsiaTheme="minorEastAsia"/>
          <w:b/>
          <w:sz w:val="24"/>
        </w:rPr>
        <w:t>达标区。</w:t>
      </w:r>
    </w:p>
    <w:p w14:paraId="7FB115B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区域环境空气质量变化趋势</w:t>
      </w:r>
    </w:p>
    <w:p w14:paraId="4FBFAAE5">
      <w:pPr>
        <w:spacing w:line="360" w:lineRule="auto"/>
        <w:ind w:firstLine="480" w:firstLineChars="200"/>
        <w:rPr>
          <w:rFonts w:eastAsiaTheme="minorEastAsia"/>
          <w:kern w:val="20"/>
          <w:sz w:val="24"/>
        </w:rPr>
      </w:pPr>
      <w:r>
        <w:rPr>
          <w:rFonts w:hint="eastAsia" w:eastAsiaTheme="minorEastAsia"/>
          <w:kern w:val="20"/>
          <w:sz w:val="24"/>
        </w:rPr>
        <w:t>为了了解区域环境空气质量变化趋势，本次评价收集了2019年~2023年</w:t>
      </w:r>
      <w:r>
        <w:rPr>
          <w:rFonts w:hint="eastAsia" w:eastAsiaTheme="minorEastAsia"/>
          <w:bCs/>
          <w:snapToGrid w:val="0"/>
          <w:kern w:val="0"/>
          <w:sz w:val="24"/>
          <w:szCs w:val="20"/>
        </w:rPr>
        <w:t>《随州市环境状况公报》</w:t>
      </w:r>
      <w:r>
        <w:rPr>
          <w:rFonts w:hint="eastAsia" w:eastAsiaTheme="minorEastAsia"/>
          <w:kern w:val="20"/>
          <w:sz w:val="24"/>
        </w:rPr>
        <w:t>中近五年的环境空气质量数据，详见下表。</w:t>
      </w:r>
    </w:p>
    <w:p w14:paraId="39C7732B">
      <w:pPr>
        <w:spacing w:line="360" w:lineRule="auto"/>
        <w:ind w:firstLine="422"/>
        <w:jc w:val="center"/>
        <w:rPr>
          <w:rFonts w:eastAsiaTheme="minorEastAsia"/>
          <w:b/>
          <w:szCs w:val="21"/>
        </w:rPr>
      </w:pPr>
      <w:bookmarkStart w:id="108" w:name="_Hlk178262131"/>
      <w:r>
        <w:rPr>
          <w:rFonts w:eastAsiaTheme="minorEastAsia"/>
          <w:b/>
          <w:szCs w:val="21"/>
        </w:rPr>
        <w:t>表</w:t>
      </w:r>
      <w:r>
        <w:rPr>
          <w:rFonts w:hint="eastAsia" w:eastAsiaTheme="minorEastAsia"/>
          <w:b/>
          <w:szCs w:val="21"/>
        </w:rPr>
        <w:t>3.3</w:t>
      </w:r>
      <w:r>
        <w:rPr>
          <w:rFonts w:eastAsiaTheme="minorEastAsia"/>
          <w:b/>
          <w:szCs w:val="21"/>
        </w:rPr>
        <w:t>.1-</w:t>
      </w:r>
      <w:r>
        <w:rPr>
          <w:rFonts w:hint="eastAsia" w:eastAsiaTheme="minorEastAsia"/>
          <w:b/>
          <w:szCs w:val="21"/>
        </w:rPr>
        <w:t>2</w:t>
      </w:r>
      <w:r>
        <w:rPr>
          <w:rFonts w:eastAsiaTheme="minorEastAsia"/>
          <w:b/>
          <w:szCs w:val="21"/>
        </w:rPr>
        <w:t xml:space="preserve">  </w:t>
      </w:r>
      <w:r>
        <w:rPr>
          <w:rFonts w:hint="eastAsia" w:eastAsiaTheme="minorEastAsia"/>
          <w:b/>
          <w:szCs w:val="21"/>
        </w:rPr>
        <w:t>随州2019~</w:t>
      </w:r>
      <w:r>
        <w:rPr>
          <w:rFonts w:eastAsiaTheme="minorEastAsia"/>
          <w:b/>
          <w:szCs w:val="21"/>
        </w:rPr>
        <w:t>202</w:t>
      </w:r>
      <w:r>
        <w:rPr>
          <w:rFonts w:hint="eastAsia" w:eastAsiaTheme="minorEastAsia"/>
          <w:b/>
          <w:szCs w:val="21"/>
        </w:rPr>
        <w:t>3</w:t>
      </w:r>
      <w:r>
        <w:rPr>
          <w:rFonts w:eastAsiaTheme="minorEastAsia"/>
          <w:b/>
          <w:szCs w:val="21"/>
        </w:rPr>
        <w:t>年的基本污染物环境质量现状一览表</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4"/>
        <w:gridCol w:w="1682"/>
        <w:gridCol w:w="710"/>
        <w:gridCol w:w="851"/>
        <w:gridCol w:w="849"/>
        <w:gridCol w:w="851"/>
        <w:gridCol w:w="849"/>
        <w:gridCol w:w="853"/>
        <w:gridCol w:w="1189"/>
      </w:tblGrid>
      <w:tr w14:paraId="76B43F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9" w:hRule="atLeast"/>
        </w:trPr>
        <w:tc>
          <w:tcPr>
            <w:tcW w:w="407" w:type="pct"/>
            <w:vMerge w:val="restart"/>
            <w:vAlign w:val="center"/>
          </w:tcPr>
          <w:p w14:paraId="1E97BEB9">
            <w:pPr>
              <w:spacing w:line="320" w:lineRule="exact"/>
              <w:jc w:val="center"/>
              <w:rPr>
                <w:rFonts w:ascii="Calibri" w:hAnsi="Calibri" w:eastAsiaTheme="minorEastAsia"/>
                <w:b/>
                <w:szCs w:val="21"/>
              </w:rPr>
            </w:pPr>
            <w:r>
              <w:rPr>
                <w:rFonts w:ascii="Calibri" w:hAnsi="Calibri" w:eastAsiaTheme="minorEastAsia"/>
                <w:b/>
                <w:szCs w:val="21"/>
              </w:rPr>
              <w:t>污染物</w:t>
            </w:r>
          </w:p>
        </w:tc>
        <w:tc>
          <w:tcPr>
            <w:tcW w:w="986" w:type="pct"/>
            <w:vMerge w:val="restart"/>
            <w:vAlign w:val="center"/>
          </w:tcPr>
          <w:p w14:paraId="5FE4D7F8">
            <w:pPr>
              <w:spacing w:line="320" w:lineRule="exact"/>
              <w:jc w:val="center"/>
              <w:rPr>
                <w:rFonts w:ascii="Calibri" w:hAnsi="Calibri" w:eastAsiaTheme="minorEastAsia"/>
                <w:b/>
                <w:szCs w:val="21"/>
              </w:rPr>
            </w:pPr>
            <w:r>
              <w:rPr>
                <w:rFonts w:ascii="Calibri" w:hAnsi="Calibri" w:eastAsiaTheme="minorEastAsia"/>
                <w:b/>
                <w:szCs w:val="21"/>
              </w:rPr>
              <w:t>年评价指标</w:t>
            </w:r>
          </w:p>
        </w:tc>
        <w:tc>
          <w:tcPr>
            <w:tcW w:w="416" w:type="pct"/>
            <w:vMerge w:val="restart"/>
            <w:vAlign w:val="center"/>
          </w:tcPr>
          <w:p w14:paraId="4EF04876">
            <w:pPr>
              <w:spacing w:line="320" w:lineRule="exact"/>
              <w:jc w:val="center"/>
              <w:rPr>
                <w:rFonts w:ascii="Calibri" w:hAnsi="Calibri" w:eastAsiaTheme="minorEastAsia"/>
                <w:b/>
                <w:szCs w:val="21"/>
              </w:rPr>
            </w:pPr>
            <w:r>
              <w:rPr>
                <w:rFonts w:ascii="Calibri" w:hAnsi="Calibri" w:eastAsiaTheme="minorEastAsia"/>
                <w:b/>
                <w:szCs w:val="21"/>
              </w:rPr>
              <w:t>评价标准</w:t>
            </w:r>
          </w:p>
        </w:tc>
        <w:tc>
          <w:tcPr>
            <w:tcW w:w="2494" w:type="pct"/>
            <w:gridSpan w:val="5"/>
            <w:tcBorders>
              <w:bottom w:val="single" w:color="auto" w:sz="4" w:space="0"/>
            </w:tcBorders>
            <w:vAlign w:val="center"/>
          </w:tcPr>
          <w:p w14:paraId="31320346">
            <w:pPr>
              <w:spacing w:line="320" w:lineRule="exact"/>
              <w:jc w:val="center"/>
              <w:rPr>
                <w:rFonts w:ascii="Calibri" w:hAnsi="Calibri" w:eastAsiaTheme="minorEastAsia"/>
                <w:b/>
                <w:szCs w:val="21"/>
              </w:rPr>
            </w:pPr>
            <w:r>
              <w:rPr>
                <w:rFonts w:ascii="Calibri" w:hAnsi="Calibri" w:eastAsiaTheme="minorEastAsia"/>
                <w:b/>
                <w:szCs w:val="21"/>
              </w:rPr>
              <w:t>现状浓度</w:t>
            </w:r>
          </w:p>
        </w:tc>
        <w:tc>
          <w:tcPr>
            <w:tcW w:w="697" w:type="pct"/>
            <w:vMerge w:val="restart"/>
            <w:vAlign w:val="center"/>
          </w:tcPr>
          <w:p w14:paraId="1911B5EB">
            <w:pPr>
              <w:spacing w:line="320" w:lineRule="exact"/>
              <w:jc w:val="center"/>
              <w:rPr>
                <w:rFonts w:ascii="Calibri" w:hAnsi="Calibri" w:eastAsiaTheme="minorEastAsia"/>
                <w:b/>
                <w:szCs w:val="21"/>
              </w:rPr>
            </w:pPr>
            <w:r>
              <w:rPr>
                <w:rFonts w:ascii="Calibri" w:hAnsi="Calibri" w:eastAsiaTheme="minorEastAsia"/>
                <w:b/>
                <w:szCs w:val="21"/>
              </w:rPr>
              <w:t>达标情况</w:t>
            </w:r>
          </w:p>
        </w:tc>
      </w:tr>
      <w:tr w14:paraId="277FEE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8" w:hRule="atLeast"/>
        </w:trPr>
        <w:tc>
          <w:tcPr>
            <w:tcW w:w="407" w:type="pct"/>
            <w:vMerge w:val="continue"/>
            <w:vAlign w:val="center"/>
          </w:tcPr>
          <w:p w14:paraId="19A862C6">
            <w:pPr>
              <w:spacing w:line="320" w:lineRule="exact"/>
              <w:jc w:val="center"/>
              <w:rPr>
                <w:rFonts w:ascii="Calibri" w:hAnsi="Calibri" w:eastAsiaTheme="minorEastAsia"/>
                <w:b/>
                <w:szCs w:val="21"/>
              </w:rPr>
            </w:pPr>
          </w:p>
        </w:tc>
        <w:tc>
          <w:tcPr>
            <w:tcW w:w="986" w:type="pct"/>
            <w:vMerge w:val="continue"/>
            <w:vAlign w:val="center"/>
          </w:tcPr>
          <w:p w14:paraId="334B3E41">
            <w:pPr>
              <w:spacing w:line="320" w:lineRule="exact"/>
              <w:jc w:val="center"/>
              <w:rPr>
                <w:rFonts w:ascii="Calibri" w:hAnsi="Calibri" w:eastAsiaTheme="minorEastAsia"/>
                <w:b/>
                <w:szCs w:val="21"/>
              </w:rPr>
            </w:pPr>
          </w:p>
        </w:tc>
        <w:tc>
          <w:tcPr>
            <w:tcW w:w="416" w:type="pct"/>
            <w:vMerge w:val="continue"/>
            <w:vAlign w:val="center"/>
          </w:tcPr>
          <w:p w14:paraId="1B1AA260">
            <w:pPr>
              <w:spacing w:line="320" w:lineRule="exact"/>
              <w:jc w:val="center"/>
              <w:rPr>
                <w:rFonts w:ascii="Calibri" w:hAnsi="Calibri" w:eastAsiaTheme="minorEastAsia"/>
                <w:b/>
                <w:szCs w:val="21"/>
              </w:rPr>
            </w:pPr>
          </w:p>
        </w:tc>
        <w:tc>
          <w:tcPr>
            <w:tcW w:w="499" w:type="pct"/>
            <w:tcBorders>
              <w:top w:val="single" w:color="auto" w:sz="4" w:space="0"/>
            </w:tcBorders>
            <w:vAlign w:val="center"/>
          </w:tcPr>
          <w:p w14:paraId="4BA615D9">
            <w:pPr>
              <w:spacing w:line="320" w:lineRule="exact"/>
              <w:jc w:val="center"/>
              <w:rPr>
                <w:rFonts w:ascii="Calibri" w:hAnsi="Calibri" w:eastAsiaTheme="minorEastAsia"/>
                <w:b/>
                <w:szCs w:val="21"/>
              </w:rPr>
            </w:pPr>
            <w:r>
              <w:rPr>
                <w:rFonts w:hint="eastAsia" w:ascii="Calibri" w:hAnsi="Calibri" w:eastAsiaTheme="minorEastAsia"/>
                <w:b/>
                <w:szCs w:val="21"/>
              </w:rPr>
              <w:t xml:space="preserve">2019 </w:t>
            </w:r>
          </w:p>
        </w:tc>
        <w:tc>
          <w:tcPr>
            <w:tcW w:w="498" w:type="pct"/>
            <w:tcBorders>
              <w:top w:val="single" w:color="auto" w:sz="4" w:space="0"/>
            </w:tcBorders>
            <w:vAlign w:val="center"/>
          </w:tcPr>
          <w:p w14:paraId="5F4A8055">
            <w:pPr>
              <w:spacing w:line="320" w:lineRule="exact"/>
              <w:jc w:val="center"/>
              <w:rPr>
                <w:rFonts w:ascii="Calibri" w:hAnsi="Calibri" w:eastAsiaTheme="minorEastAsia"/>
                <w:b/>
                <w:szCs w:val="21"/>
              </w:rPr>
            </w:pPr>
            <w:r>
              <w:rPr>
                <w:rFonts w:hint="eastAsia" w:ascii="Calibri" w:hAnsi="Calibri" w:eastAsiaTheme="minorEastAsia"/>
                <w:b/>
                <w:szCs w:val="21"/>
              </w:rPr>
              <w:t>2020</w:t>
            </w:r>
          </w:p>
        </w:tc>
        <w:tc>
          <w:tcPr>
            <w:tcW w:w="499" w:type="pct"/>
            <w:tcBorders>
              <w:top w:val="single" w:color="auto" w:sz="4" w:space="0"/>
            </w:tcBorders>
            <w:vAlign w:val="center"/>
          </w:tcPr>
          <w:p w14:paraId="307859FA">
            <w:pPr>
              <w:spacing w:line="320" w:lineRule="exact"/>
              <w:jc w:val="center"/>
              <w:rPr>
                <w:rFonts w:ascii="Calibri" w:hAnsi="Calibri" w:eastAsiaTheme="minorEastAsia"/>
                <w:b/>
                <w:szCs w:val="21"/>
              </w:rPr>
            </w:pPr>
            <w:r>
              <w:rPr>
                <w:rFonts w:hint="eastAsia" w:ascii="Calibri" w:hAnsi="Calibri" w:eastAsiaTheme="minorEastAsia"/>
                <w:b/>
                <w:szCs w:val="21"/>
              </w:rPr>
              <w:t>2021</w:t>
            </w:r>
          </w:p>
        </w:tc>
        <w:tc>
          <w:tcPr>
            <w:tcW w:w="498" w:type="pct"/>
            <w:tcBorders>
              <w:top w:val="single" w:color="auto" w:sz="4" w:space="0"/>
              <w:right w:val="single" w:color="auto" w:sz="4" w:space="0"/>
            </w:tcBorders>
            <w:vAlign w:val="center"/>
          </w:tcPr>
          <w:p w14:paraId="1C1154D9">
            <w:pPr>
              <w:spacing w:line="320" w:lineRule="exact"/>
              <w:jc w:val="center"/>
              <w:rPr>
                <w:rFonts w:ascii="Calibri" w:hAnsi="Calibri" w:eastAsiaTheme="minorEastAsia"/>
                <w:b/>
                <w:szCs w:val="21"/>
              </w:rPr>
            </w:pPr>
            <w:r>
              <w:rPr>
                <w:rFonts w:hint="eastAsia" w:ascii="Calibri" w:hAnsi="Calibri" w:eastAsiaTheme="minorEastAsia"/>
                <w:b/>
                <w:szCs w:val="21"/>
              </w:rPr>
              <w:t>2022</w:t>
            </w:r>
          </w:p>
        </w:tc>
        <w:tc>
          <w:tcPr>
            <w:tcW w:w="500" w:type="pct"/>
            <w:tcBorders>
              <w:top w:val="single" w:color="auto" w:sz="4" w:space="0"/>
              <w:left w:val="single" w:color="auto" w:sz="4" w:space="0"/>
            </w:tcBorders>
            <w:vAlign w:val="center"/>
          </w:tcPr>
          <w:p w14:paraId="1B2F5AAF">
            <w:pPr>
              <w:spacing w:line="320" w:lineRule="exact"/>
              <w:jc w:val="center"/>
              <w:rPr>
                <w:rFonts w:ascii="Calibri" w:hAnsi="Calibri" w:eastAsiaTheme="minorEastAsia"/>
                <w:b/>
                <w:szCs w:val="21"/>
              </w:rPr>
            </w:pPr>
            <w:r>
              <w:rPr>
                <w:rFonts w:hint="eastAsia" w:ascii="Calibri" w:hAnsi="Calibri" w:eastAsiaTheme="minorEastAsia"/>
                <w:b/>
                <w:szCs w:val="21"/>
              </w:rPr>
              <w:t>2023</w:t>
            </w:r>
          </w:p>
        </w:tc>
        <w:tc>
          <w:tcPr>
            <w:tcW w:w="697" w:type="pct"/>
            <w:vMerge w:val="continue"/>
            <w:vAlign w:val="center"/>
          </w:tcPr>
          <w:p w14:paraId="478BB46B">
            <w:pPr>
              <w:spacing w:line="320" w:lineRule="exact"/>
              <w:jc w:val="center"/>
              <w:rPr>
                <w:rFonts w:ascii="Calibri" w:hAnsi="Calibri" w:eastAsiaTheme="minorEastAsia"/>
                <w:b/>
                <w:szCs w:val="21"/>
              </w:rPr>
            </w:pPr>
          </w:p>
        </w:tc>
      </w:tr>
      <w:tr w14:paraId="39A8C0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6F7604D6">
            <w:pPr>
              <w:spacing w:line="320" w:lineRule="exact"/>
              <w:jc w:val="center"/>
              <w:rPr>
                <w:rFonts w:ascii="Calibri" w:hAnsi="Calibri" w:eastAsiaTheme="minorEastAsia"/>
                <w:szCs w:val="21"/>
              </w:rPr>
            </w:pPr>
            <w:r>
              <w:rPr>
                <w:rFonts w:ascii="Calibri" w:hAnsi="Calibri" w:eastAsiaTheme="minorEastAsia"/>
                <w:szCs w:val="21"/>
              </w:rPr>
              <w:t>PM</w:t>
            </w:r>
            <w:r>
              <w:rPr>
                <w:rFonts w:ascii="Calibri" w:hAnsi="Calibri" w:eastAsiaTheme="minorEastAsia"/>
                <w:szCs w:val="21"/>
                <w:vertAlign w:val="subscript"/>
              </w:rPr>
              <w:t>10</w:t>
            </w:r>
          </w:p>
        </w:tc>
        <w:tc>
          <w:tcPr>
            <w:tcW w:w="986" w:type="pct"/>
            <w:vAlign w:val="center"/>
          </w:tcPr>
          <w:p w14:paraId="3EDF06DB">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16" w:type="pct"/>
            <w:vAlign w:val="center"/>
          </w:tcPr>
          <w:p w14:paraId="1235B670">
            <w:pPr>
              <w:spacing w:line="320" w:lineRule="exact"/>
              <w:jc w:val="center"/>
              <w:rPr>
                <w:rFonts w:ascii="Calibri" w:hAnsi="Calibri" w:eastAsiaTheme="minorEastAsia"/>
                <w:szCs w:val="21"/>
              </w:rPr>
            </w:pPr>
            <w:r>
              <w:rPr>
                <w:rFonts w:ascii="Calibri" w:hAnsi="Calibri" w:eastAsiaTheme="minorEastAsia"/>
                <w:szCs w:val="21"/>
              </w:rPr>
              <w:t>70</w:t>
            </w:r>
          </w:p>
        </w:tc>
        <w:tc>
          <w:tcPr>
            <w:tcW w:w="499" w:type="pct"/>
            <w:vAlign w:val="center"/>
          </w:tcPr>
          <w:p w14:paraId="1866A8CA">
            <w:pPr>
              <w:spacing w:line="320" w:lineRule="exact"/>
              <w:jc w:val="center"/>
              <w:rPr>
                <w:rFonts w:ascii="Calibri" w:hAnsi="Calibri" w:eastAsiaTheme="minorEastAsia"/>
                <w:szCs w:val="21"/>
              </w:rPr>
            </w:pPr>
            <w:r>
              <w:rPr>
                <w:rFonts w:hint="eastAsia" w:ascii="Calibri" w:hAnsi="Calibri" w:eastAsiaTheme="minorEastAsia"/>
                <w:szCs w:val="21"/>
              </w:rPr>
              <w:t>69</w:t>
            </w:r>
          </w:p>
        </w:tc>
        <w:tc>
          <w:tcPr>
            <w:tcW w:w="498" w:type="pct"/>
            <w:vAlign w:val="center"/>
          </w:tcPr>
          <w:p w14:paraId="1DCE4745">
            <w:pPr>
              <w:spacing w:line="320" w:lineRule="exact"/>
              <w:jc w:val="center"/>
              <w:rPr>
                <w:rFonts w:ascii="Calibri" w:hAnsi="Calibri" w:eastAsiaTheme="minorEastAsia"/>
                <w:szCs w:val="21"/>
              </w:rPr>
            </w:pPr>
            <w:r>
              <w:rPr>
                <w:rFonts w:hint="eastAsia" w:ascii="Calibri" w:hAnsi="Calibri" w:eastAsiaTheme="minorEastAsia"/>
                <w:szCs w:val="21"/>
              </w:rPr>
              <w:t>59</w:t>
            </w:r>
          </w:p>
        </w:tc>
        <w:tc>
          <w:tcPr>
            <w:tcW w:w="499" w:type="pct"/>
            <w:vAlign w:val="center"/>
          </w:tcPr>
          <w:p w14:paraId="6A6770D5">
            <w:pPr>
              <w:spacing w:line="320" w:lineRule="exact"/>
              <w:jc w:val="center"/>
              <w:rPr>
                <w:rFonts w:ascii="Calibri" w:hAnsi="Calibri" w:eastAsiaTheme="minorEastAsia"/>
                <w:szCs w:val="21"/>
              </w:rPr>
            </w:pPr>
            <w:r>
              <w:rPr>
                <w:rFonts w:hint="eastAsia" w:ascii="Calibri" w:hAnsi="Calibri" w:eastAsiaTheme="minorEastAsia"/>
                <w:szCs w:val="21"/>
              </w:rPr>
              <w:t>59</w:t>
            </w:r>
          </w:p>
        </w:tc>
        <w:tc>
          <w:tcPr>
            <w:tcW w:w="498" w:type="pct"/>
            <w:tcBorders>
              <w:right w:val="single" w:color="auto" w:sz="4" w:space="0"/>
            </w:tcBorders>
            <w:vAlign w:val="center"/>
          </w:tcPr>
          <w:p w14:paraId="5E530534">
            <w:pPr>
              <w:spacing w:line="320" w:lineRule="exact"/>
              <w:jc w:val="center"/>
              <w:rPr>
                <w:rFonts w:ascii="Calibri" w:hAnsi="Calibri" w:eastAsiaTheme="minorEastAsia"/>
                <w:szCs w:val="21"/>
              </w:rPr>
            </w:pPr>
            <w:r>
              <w:rPr>
                <w:rFonts w:hint="eastAsia" w:ascii="Calibri" w:hAnsi="Calibri" w:eastAsiaTheme="minorEastAsia"/>
                <w:szCs w:val="21"/>
              </w:rPr>
              <w:t>55</w:t>
            </w:r>
          </w:p>
        </w:tc>
        <w:tc>
          <w:tcPr>
            <w:tcW w:w="500" w:type="pct"/>
            <w:tcBorders>
              <w:left w:val="single" w:color="auto" w:sz="4" w:space="0"/>
            </w:tcBorders>
            <w:vAlign w:val="center"/>
          </w:tcPr>
          <w:p w14:paraId="7E2A8F84">
            <w:pPr>
              <w:spacing w:line="320" w:lineRule="exact"/>
              <w:jc w:val="center"/>
              <w:rPr>
                <w:rFonts w:ascii="Calibri" w:hAnsi="Calibri" w:eastAsiaTheme="minorEastAsia"/>
                <w:szCs w:val="21"/>
              </w:rPr>
            </w:pPr>
            <w:r>
              <w:rPr>
                <w:rFonts w:hint="eastAsia" w:ascii="Calibri" w:hAnsi="Calibri" w:eastAsiaTheme="minorEastAsia"/>
                <w:szCs w:val="21"/>
              </w:rPr>
              <w:t>59</w:t>
            </w:r>
          </w:p>
        </w:tc>
        <w:tc>
          <w:tcPr>
            <w:tcW w:w="697" w:type="pct"/>
            <w:vAlign w:val="center"/>
          </w:tcPr>
          <w:p w14:paraId="19EF22F2">
            <w:pPr>
              <w:spacing w:line="320" w:lineRule="exact"/>
              <w:jc w:val="center"/>
              <w:rPr>
                <w:rFonts w:ascii="Calibri" w:hAnsi="Calibri" w:eastAsiaTheme="minorEastAsia"/>
                <w:szCs w:val="21"/>
              </w:rPr>
            </w:pPr>
            <w:r>
              <w:rPr>
                <w:rFonts w:ascii="Calibri" w:hAnsi="Calibri" w:eastAsiaTheme="minorEastAsia"/>
                <w:szCs w:val="21"/>
              </w:rPr>
              <w:t>达标</w:t>
            </w:r>
          </w:p>
        </w:tc>
      </w:tr>
      <w:tr w14:paraId="184CD8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38E97DDF">
            <w:pPr>
              <w:spacing w:line="320" w:lineRule="exact"/>
              <w:jc w:val="center"/>
              <w:rPr>
                <w:rFonts w:ascii="Calibri" w:hAnsi="Calibri" w:eastAsiaTheme="minorEastAsia"/>
                <w:szCs w:val="21"/>
              </w:rPr>
            </w:pPr>
            <w:r>
              <w:rPr>
                <w:rFonts w:ascii="Calibri" w:hAnsi="Calibri" w:eastAsiaTheme="minorEastAsia"/>
                <w:szCs w:val="21"/>
              </w:rPr>
              <w:t>PM</w:t>
            </w:r>
            <w:r>
              <w:rPr>
                <w:rFonts w:ascii="Calibri" w:hAnsi="Calibri" w:eastAsiaTheme="minorEastAsia"/>
                <w:szCs w:val="21"/>
                <w:vertAlign w:val="subscript"/>
              </w:rPr>
              <w:t>2.5</w:t>
            </w:r>
          </w:p>
        </w:tc>
        <w:tc>
          <w:tcPr>
            <w:tcW w:w="986" w:type="pct"/>
            <w:vAlign w:val="center"/>
          </w:tcPr>
          <w:p w14:paraId="61AAF2DA">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16" w:type="pct"/>
            <w:vAlign w:val="center"/>
          </w:tcPr>
          <w:p w14:paraId="6D828597">
            <w:pPr>
              <w:spacing w:line="320" w:lineRule="exact"/>
              <w:jc w:val="center"/>
              <w:rPr>
                <w:rFonts w:ascii="Calibri" w:hAnsi="Calibri" w:eastAsiaTheme="minorEastAsia"/>
                <w:bCs/>
                <w:szCs w:val="21"/>
              </w:rPr>
            </w:pPr>
            <w:r>
              <w:rPr>
                <w:rFonts w:ascii="Calibri" w:hAnsi="Calibri" w:eastAsiaTheme="minorEastAsia"/>
                <w:bCs/>
                <w:szCs w:val="21"/>
              </w:rPr>
              <w:t>35</w:t>
            </w:r>
          </w:p>
        </w:tc>
        <w:tc>
          <w:tcPr>
            <w:tcW w:w="499" w:type="pct"/>
            <w:shd w:val="clear" w:color="auto" w:fill="D8D8D8" w:themeFill="background1" w:themeFillShade="D9"/>
            <w:vAlign w:val="center"/>
          </w:tcPr>
          <w:p w14:paraId="043DA8BE">
            <w:pPr>
              <w:spacing w:line="320" w:lineRule="exact"/>
              <w:jc w:val="center"/>
              <w:rPr>
                <w:rFonts w:ascii="Calibri" w:hAnsi="Calibri" w:eastAsiaTheme="minorEastAsia"/>
                <w:bCs/>
                <w:szCs w:val="21"/>
              </w:rPr>
            </w:pPr>
            <w:r>
              <w:rPr>
                <w:rFonts w:hint="eastAsia" w:ascii="Calibri" w:hAnsi="Calibri" w:eastAsiaTheme="minorEastAsia"/>
                <w:bCs/>
                <w:szCs w:val="21"/>
              </w:rPr>
              <w:t>42</w:t>
            </w:r>
          </w:p>
        </w:tc>
        <w:tc>
          <w:tcPr>
            <w:tcW w:w="498" w:type="pct"/>
            <w:shd w:val="clear" w:color="auto" w:fill="D8D8D8" w:themeFill="background1" w:themeFillShade="D9"/>
            <w:vAlign w:val="center"/>
          </w:tcPr>
          <w:p w14:paraId="4D3DF3AE">
            <w:pPr>
              <w:spacing w:line="320" w:lineRule="exact"/>
              <w:jc w:val="center"/>
              <w:rPr>
                <w:rFonts w:ascii="Calibri" w:hAnsi="Calibri" w:eastAsiaTheme="minorEastAsia"/>
                <w:szCs w:val="21"/>
              </w:rPr>
            </w:pPr>
            <w:r>
              <w:rPr>
                <w:rFonts w:hint="eastAsia" w:ascii="Calibri" w:hAnsi="Calibri" w:eastAsiaTheme="minorEastAsia"/>
                <w:szCs w:val="21"/>
              </w:rPr>
              <w:t>37</w:t>
            </w:r>
          </w:p>
        </w:tc>
        <w:tc>
          <w:tcPr>
            <w:tcW w:w="499" w:type="pct"/>
            <w:shd w:val="clear" w:color="auto" w:fill="D8D8D8" w:themeFill="background1" w:themeFillShade="D9"/>
            <w:vAlign w:val="center"/>
          </w:tcPr>
          <w:p w14:paraId="60F4509C">
            <w:pPr>
              <w:spacing w:line="320" w:lineRule="exact"/>
              <w:jc w:val="center"/>
              <w:rPr>
                <w:rFonts w:ascii="Calibri" w:hAnsi="Calibri" w:eastAsiaTheme="minorEastAsia"/>
                <w:bCs/>
                <w:szCs w:val="21"/>
              </w:rPr>
            </w:pPr>
            <w:r>
              <w:rPr>
                <w:rFonts w:hint="eastAsia" w:ascii="Calibri" w:hAnsi="Calibri" w:eastAsiaTheme="minorEastAsia"/>
                <w:bCs/>
                <w:szCs w:val="21"/>
              </w:rPr>
              <w:t>36</w:t>
            </w:r>
          </w:p>
        </w:tc>
        <w:tc>
          <w:tcPr>
            <w:tcW w:w="498" w:type="pct"/>
            <w:tcBorders>
              <w:right w:val="single" w:color="auto" w:sz="4" w:space="0"/>
            </w:tcBorders>
            <w:vAlign w:val="center"/>
          </w:tcPr>
          <w:p w14:paraId="72B407DE">
            <w:pPr>
              <w:spacing w:line="320" w:lineRule="exact"/>
              <w:jc w:val="center"/>
              <w:rPr>
                <w:rFonts w:ascii="Calibri" w:hAnsi="Calibri" w:eastAsiaTheme="minorEastAsia"/>
                <w:szCs w:val="21"/>
              </w:rPr>
            </w:pPr>
            <w:r>
              <w:rPr>
                <w:rFonts w:hint="eastAsia" w:ascii="Calibri" w:hAnsi="Calibri" w:eastAsiaTheme="minorEastAsia"/>
                <w:szCs w:val="21"/>
              </w:rPr>
              <w:t>35</w:t>
            </w:r>
          </w:p>
        </w:tc>
        <w:tc>
          <w:tcPr>
            <w:tcW w:w="500" w:type="pct"/>
            <w:tcBorders>
              <w:left w:val="single" w:color="auto" w:sz="4" w:space="0"/>
            </w:tcBorders>
            <w:shd w:val="clear" w:color="auto" w:fill="D8D8D8" w:themeFill="background1" w:themeFillShade="D9"/>
            <w:vAlign w:val="center"/>
          </w:tcPr>
          <w:p w14:paraId="07C49040">
            <w:pPr>
              <w:spacing w:line="320" w:lineRule="exact"/>
              <w:jc w:val="center"/>
              <w:rPr>
                <w:rFonts w:ascii="Calibri" w:hAnsi="Calibri" w:eastAsiaTheme="minorEastAsia"/>
                <w:bCs/>
                <w:szCs w:val="21"/>
              </w:rPr>
            </w:pPr>
            <w:r>
              <w:rPr>
                <w:rFonts w:hint="eastAsia" w:ascii="Calibri" w:hAnsi="Calibri" w:eastAsiaTheme="minorEastAsia"/>
                <w:bCs/>
                <w:szCs w:val="21"/>
              </w:rPr>
              <w:t>41</w:t>
            </w:r>
          </w:p>
        </w:tc>
        <w:tc>
          <w:tcPr>
            <w:tcW w:w="697" w:type="pct"/>
            <w:vAlign w:val="center"/>
          </w:tcPr>
          <w:p w14:paraId="0C8EA3A4">
            <w:pPr>
              <w:spacing w:line="320" w:lineRule="exact"/>
              <w:jc w:val="center"/>
              <w:rPr>
                <w:rFonts w:ascii="Calibri" w:hAnsi="Calibri" w:eastAsiaTheme="minorEastAsia"/>
                <w:szCs w:val="21"/>
              </w:rPr>
            </w:pPr>
            <w:r>
              <w:rPr>
                <w:rFonts w:hint="eastAsia" w:ascii="Calibri" w:hAnsi="Calibri" w:eastAsiaTheme="minorEastAsia"/>
                <w:szCs w:val="21"/>
              </w:rPr>
              <w:t>仅2022年达标</w:t>
            </w:r>
          </w:p>
        </w:tc>
      </w:tr>
      <w:tr w14:paraId="77B5D6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0F565651">
            <w:pPr>
              <w:spacing w:line="320" w:lineRule="exact"/>
              <w:jc w:val="center"/>
              <w:rPr>
                <w:rFonts w:ascii="Calibri" w:hAnsi="Calibri" w:eastAsiaTheme="minorEastAsia"/>
                <w:szCs w:val="21"/>
              </w:rPr>
            </w:pPr>
            <w:r>
              <w:rPr>
                <w:rFonts w:ascii="Calibri" w:hAnsi="Calibri" w:eastAsiaTheme="minorEastAsia"/>
                <w:szCs w:val="21"/>
              </w:rPr>
              <w:t>CO</w:t>
            </w:r>
          </w:p>
        </w:tc>
        <w:tc>
          <w:tcPr>
            <w:tcW w:w="986" w:type="pct"/>
            <w:vAlign w:val="center"/>
          </w:tcPr>
          <w:p w14:paraId="78E4810C">
            <w:pPr>
              <w:spacing w:line="320" w:lineRule="exact"/>
              <w:jc w:val="center"/>
              <w:rPr>
                <w:rFonts w:ascii="Calibri" w:hAnsi="Calibri" w:eastAsiaTheme="minorEastAsia"/>
                <w:szCs w:val="21"/>
                <w:vertAlign w:val="superscript"/>
              </w:rPr>
            </w:pPr>
            <w:r>
              <w:rPr>
                <w:rFonts w:ascii="Calibri" w:hAnsi="Calibri" w:eastAsiaTheme="minorEastAsia"/>
                <w:szCs w:val="21"/>
              </w:rPr>
              <w:t>24h平均浓度（95百分位）mg/m³</w:t>
            </w:r>
          </w:p>
        </w:tc>
        <w:tc>
          <w:tcPr>
            <w:tcW w:w="416" w:type="pct"/>
            <w:vAlign w:val="center"/>
          </w:tcPr>
          <w:p w14:paraId="73BE4536">
            <w:pPr>
              <w:spacing w:line="320" w:lineRule="exact"/>
              <w:jc w:val="center"/>
              <w:rPr>
                <w:rFonts w:ascii="Calibri" w:hAnsi="Calibri" w:eastAsiaTheme="minorEastAsia"/>
                <w:szCs w:val="21"/>
              </w:rPr>
            </w:pPr>
            <w:r>
              <w:rPr>
                <w:rFonts w:ascii="Calibri" w:hAnsi="Calibri" w:eastAsiaTheme="minorEastAsia"/>
                <w:szCs w:val="21"/>
              </w:rPr>
              <w:t>4</w:t>
            </w:r>
          </w:p>
        </w:tc>
        <w:tc>
          <w:tcPr>
            <w:tcW w:w="499" w:type="pct"/>
            <w:vAlign w:val="center"/>
          </w:tcPr>
          <w:p w14:paraId="78B419D7">
            <w:pPr>
              <w:spacing w:line="320" w:lineRule="exact"/>
              <w:jc w:val="center"/>
              <w:rPr>
                <w:rFonts w:ascii="Calibri" w:hAnsi="Calibri" w:eastAsiaTheme="minorEastAsia"/>
                <w:szCs w:val="21"/>
              </w:rPr>
            </w:pPr>
            <w:r>
              <w:rPr>
                <w:rFonts w:hint="eastAsia" w:ascii="Calibri" w:hAnsi="Calibri" w:eastAsiaTheme="minorEastAsia"/>
                <w:szCs w:val="21"/>
              </w:rPr>
              <w:t>1.4</w:t>
            </w:r>
          </w:p>
        </w:tc>
        <w:tc>
          <w:tcPr>
            <w:tcW w:w="498" w:type="pct"/>
            <w:vAlign w:val="center"/>
          </w:tcPr>
          <w:p w14:paraId="6CB29BAF">
            <w:pPr>
              <w:spacing w:line="320" w:lineRule="exact"/>
              <w:jc w:val="center"/>
              <w:rPr>
                <w:rFonts w:ascii="Calibri" w:hAnsi="Calibri" w:eastAsiaTheme="minorEastAsia"/>
                <w:szCs w:val="21"/>
              </w:rPr>
            </w:pPr>
            <w:r>
              <w:rPr>
                <w:rFonts w:hint="eastAsia" w:ascii="Calibri" w:hAnsi="Calibri" w:eastAsiaTheme="minorEastAsia"/>
                <w:szCs w:val="21"/>
              </w:rPr>
              <w:t>1.2</w:t>
            </w:r>
          </w:p>
        </w:tc>
        <w:tc>
          <w:tcPr>
            <w:tcW w:w="499" w:type="pct"/>
            <w:vAlign w:val="center"/>
          </w:tcPr>
          <w:p w14:paraId="60E994E5">
            <w:pPr>
              <w:spacing w:line="320" w:lineRule="exact"/>
              <w:jc w:val="center"/>
              <w:rPr>
                <w:rFonts w:ascii="Calibri" w:hAnsi="Calibri" w:eastAsiaTheme="minorEastAsia"/>
                <w:szCs w:val="21"/>
              </w:rPr>
            </w:pPr>
            <w:r>
              <w:rPr>
                <w:rFonts w:hint="eastAsia" w:ascii="Calibri" w:hAnsi="Calibri" w:eastAsiaTheme="minorEastAsia"/>
                <w:szCs w:val="21"/>
              </w:rPr>
              <w:t>1.2</w:t>
            </w:r>
          </w:p>
        </w:tc>
        <w:tc>
          <w:tcPr>
            <w:tcW w:w="498" w:type="pct"/>
            <w:tcBorders>
              <w:right w:val="single" w:color="auto" w:sz="4" w:space="0"/>
            </w:tcBorders>
            <w:vAlign w:val="center"/>
          </w:tcPr>
          <w:p w14:paraId="617735F8">
            <w:pPr>
              <w:spacing w:line="320" w:lineRule="exact"/>
              <w:jc w:val="center"/>
              <w:rPr>
                <w:rFonts w:ascii="Calibri" w:hAnsi="Calibri" w:eastAsiaTheme="minorEastAsia"/>
                <w:szCs w:val="21"/>
              </w:rPr>
            </w:pPr>
            <w:r>
              <w:rPr>
                <w:rFonts w:hint="eastAsia" w:ascii="Calibri" w:hAnsi="Calibri" w:eastAsiaTheme="minorEastAsia"/>
                <w:szCs w:val="21"/>
              </w:rPr>
              <w:t>1.1</w:t>
            </w:r>
          </w:p>
        </w:tc>
        <w:tc>
          <w:tcPr>
            <w:tcW w:w="500" w:type="pct"/>
            <w:tcBorders>
              <w:left w:val="single" w:color="auto" w:sz="4" w:space="0"/>
            </w:tcBorders>
            <w:vAlign w:val="center"/>
          </w:tcPr>
          <w:p w14:paraId="6E62A1A0">
            <w:pPr>
              <w:spacing w:line="320" w:lineRule="exact"/>
              <w:jc w:val="center"/>
              <w:rPr>
                <w:rFonts w:ascii="Calibri" w:hAnsi="Calibri" w:eastAsiaTheme="minorEastAsia"/>
                <w:szCs w:val="21"/>
              </w:rPr>
            </w:pPr>
            <w:r>
              <w:rPr>
                <w:rFonts w:hint="eastAsia" w:ascii="Calibri" w:hAnsi="Calibri" w:eastAsiaTheme="minorEastAsia"/>
                <w:szCs w:val="21"/>
              </w:rPr>
              <w:t>1.1</w:t>
            </w:r>
          </w:p>
        </w:tc>
        <w:tc>
          <w:tcPr>
            <w:tcW w:w="697" w:type="pct"/>
            <w:vAlign w:val="center"/>
          </w:tcPr>
          <w:p w14:paraId="42375E0F">
            <w:pPr>
              <w:spacing w:line="320" w:lineRule="exact"/>
              <w:jc w:val="center"/>
              <w:rPr>
                <w:rFonts w:ascii="Calibri" w:hAnsi="Calibri" w:eastAsiaTheme="minorEastAsia"/>
                <w:szCs w:val="21"/>
              </w:rPr>
            </w:pPr>
            <w:r>
              <w:rPr>
                <w:rFonts w:ascii="Calibri" w:hAnsi="Calibri" w:eastAsiaTheme="minorEastAsia"/>
                <w:szCs w:val="21"/>
              </w:rPr>
              <w:t>达标</w:t>
            </w:r>
          </w:p>
        </w:tc>
      </w:tr>
      <w:tr w14:paraId="19473D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7E9E8606">
            <w:pPr>
              <w:spacing w:line="320" w:lineRule="exact"/>
              <w:jc w:val="center"/>
              <w:rPr>
                <w:rFonts w:ascii="Calibri" w:hAnsi="Calibri" w:eastAsiaTheme="minorEastAsia"/>
                <w:szCs w:val="21"/>
              </w:rPr>
            </w:pPr>
            <w:r>
              <w:rPr>
                <w:rFonts w:ascii="Calibri" w:hAnsi="Calibri" w:eastAsiaTheme="minorEastAsia"/>
                <w:szCs w:val="21"/>
              </w:rPr>
              <w:t>O</w:t>
            </w:r>
            <w:r>
              <w:rPr>
                <w:rFonts w:ascii="Calibri" w:hAnsi="Calibri" w:eastAsiaTheme="minorEastAsia"/>
                <w:szCs w:val="21"/>
                <w:vertAlign w:val="subscript"/>
              </w:rPr>
              <w:t>3</w:t>
            </w:r>
          </w:p>
        </w:tc>
        <w:tc>
          <w:tcPr>
            <w:tcW w:w="986" w:type="pct"/>
            <w:vAlign w:val="center"/>
          </w:tcPr>
          <w:p w14:paraId="691BBB37">
            <w:pPr>
              <w:spacing w:line="320" w:lineRule="exact"/>
              <w:jc w:val="center"/>
              <w:rPr>
                <w:rFonts w:ascii="Calibri" w:hAnsi="Calibri" w:eastAsiaTheme="minorEastAsia"/>
                <w:szCs w:val="21"/>
              </w:rPr>
            </w:pPr>
            <w:r>
              <w:rPr>
                <w:rFonts w:ascii="Calibri" w:hAnsi="Calibri" w:eastAsiaTheme="minorEastAsia"/>
                <w:szCs w:val="21"/>
              </w:rPr>
              <w:t>日最大8小时滑动平均浓度（90百分位）ug/m³</w:t>
            </w:r>
          </w:p>
        </w:tc>
        <w:tc>
          <w:tcPr>
            <w:tcW w:w="416" w:type="pct"/>
            <w:vAlign w:val="center"/>
          </w:tcPr>
          <w:p w14:paraId="1252EFB0">
            <w:pPr>
              <w:spacing w:line="320" w:lineRule="exact"/>
              <w:jc w:val="center"/>
              <w:rPr>
                <w:rFonts w:ascii="Calibri" w:hAnsi="Calibri" w:eastAsiaTheme="minorEastAsia"/>
                <w:szCs w:val="21"/>
              </w:rPr>
            </w:pPr>
            <w:r>
              <w:rPr>
                <w:rFonts w:ascii="Calibri" w:hAnsi="Calibri" w:eastAsiaTheme="minorEastAsia"/>
                <w:szCs w:val="21"/>
              </w:rPr>
              <w:t>160</w:t>
            </w:r>
          </w:p>
        </w:tc>
        <w:tc>
          <w:tcPr>
            <w:tcW w:w="499" w:type="pct"/>
            <w:vAlign w:val="center"/>
          </w:tcPr>
          <w:p w14:paraId="055447A9">
            <w:pPr>
              <w:spacing w:line="320" w:lineRule="exact"/>
              <w:jc w:val="center"/>
              <w:rPr>
                <w:rFonts w:ascii="Calibri" w:hAnsi="Calibri" w:eastAsiaTheme="minorEastAsia"/>
                <w:szCs w:val="21"/>
              </w:rPr>
            </w:pPr>
            <w:r>
              <w:rPr>
                <w:rFonts w:hint="eastAsia" w:ascii="Calibri" w:hAnsi="Calibri" w:eastAsiaTheme="minorEastAsia"/>
                <w:szCs w:val="21"/>
              </w:rPr>
              <w:t>160</w:t>
            </w:r>
          </w:p>
        </w:tc>
        <w:tc>
          <w:tcPr>
            <w:tcW w:w="498" w:type="pct"/>
            <w:vAlign w:val="center"/>
          </w:tcPr>
          <w:p w14:paraId="4032C52A">
            <w:pPr>
              <w:spacing w:line="320" w:lineRule="exact"/>
              <w:jc w:val="center"/>
              <w:rPr>
                <w:rFonts w:ascii="Calibri" w:hAnsi="Calibri" w:eastAsiaTheme="minorEastAsia"/>
                <w:szCs w:val="21"/>
              </w:rPr>
            </w:pPr>
            <w:r>
              <w:rPr>
                <w:rFonts w:hint="eastAsia" w:ascii="Calibri" w:hAnsi="Calibri" w:eastAsiaTheme="minorEastAsia"/>
                <w:szCs w:val="21"/>
              </w:rPr>
              <w:t>142</w:t>
            </w:r>
          </w:p>
        </w:tc>
        <w:tc>
          <w:tcPr>
            <w:tcW w:w="499" w:type="pct"/>
            <w:vAlign w:val="center"/>
          </w:tcPr>
          <w:p w14:paraId="13E45133">
            <w:pPr>
              <w:spacing w:line="320" w:lineRule="exact"/>
              <w:jc w:val="center"/>
              <w:rPr>
                <w:rFonts w:ascii="Calibri" w:hAnsi="Calibri" w:eastAsiaTheme="minorEastAsia"/>
                <w:szCs w:val="21"/>
              </w:rPr>
            </w:pPr>
            <w:r>
              <w:rPr>
                <w:rFonts w:hint="eastAsia" w:ascii="Calibri" w:hAnsi="Calibri" w:eastAsiaTheme="minorEastAsia"/>
                <w:szCs w:val="21"/>
              </w:rPr>
              <w:t>140</w:t>
            </w:r>
          </w:p>
        </w:tc>
        <w:tc>
          <w:tcPr>
            <w:tcW w:w="498" w:type="pct"/>
            <w:tcBorders>
              <w:right w:val="single" w:color="auto" w:sz="4" w:space="0"/>
            </w:tcBorders>
            <w:vAlign w:val="center"/>
          </w:tcPr>
          <w:p w14:paraId="727BE354">
            <w:pPr>
              <w:spacing w:line="320" w:lineRule="exact"/>
              <w:jc w:val="center"/>
              <w:rPr>
                <w:rFonts w:ascii="Calibri" w:hAnsi="Calibri" w:eastAsiaTheme="minorEastAsia"/>
                <w:szCs w:val="21"/>
              </w:rPr>
            </w:pPr>
            <w:r>
              <w:rPr>
                <w:rFonts w:hint="eastAsia" w:ascii="Calibri" w:hAnsi="Calibri" w:eastAsiaTheme="minorEastAsia"/>
                <w:szCs w:val="21"/>
              </w:rPr>
              <w:t>155</w:t>
            </w:r>
          </w:p>
        </w:tc>
        <w:tc>
          <w:tcPr>
            <w:tcW w:w="500" w:type="pct"/>
            <w:tcBorders>
              <w:left w:val="single" w:color="auto" w:sz="4" w:space="0"/>
            </w:tcBorders>
            <w:vAlign w:val="center"/>
          </w:tcPr>
          <w:p w14:paraId="705C990F">
            <w:pPr>
              <w:spacing w:line="320" w:lineRule="exact"/>
              <w:jc w:val="center"/>
              <w:rPr>
                <w:rFonts w:ascii="Calibri" w:hAnsi="Calibri" w:eastAsiaTheme="minorEastAsia"/>
                <w:szCs w:val="21"/>
              </w:rPr>
            </w:pPr>
            <w:r>
              <w:rPr>
                <w:rFonts w:hint="eastAsia" w:ascii="Calibri" w:hAnsi="Calibri" w:eastAsiaTheme="minorEastAsia"/>
                <w:szCs w:val="21"/>
              </w:rPr>
              <w:t>145</w:t>
            </w:r>
          </w:p>
        </w:tc>
        <w:tc>
          <w:tcPr>
            <w:tcW w:w="697" w:type="pct"/>
            <w:vAlign w:val="center"/>
          </w:tcPr>
          <w:p w14:paraId="781AF3F2">
            <w:pPr>
              <w:spacing w:line="320" w:lineRule="exact"/>
              <w:jc w:val="center"/>
              <w:rPr>
                <w:rFonts w:ascii="Calibri" w:hAnsi="Calibri" w:eastAsiaTheme="minorEastAsia"/>
                <w:szCs w:val="21"/>
              </w:rPr>
            </w:pPr>
            <w:r>
              <w:rPr>
                <w:rFonts w:ascii="Calibri" w:hAnsi="Calibri" w:eastAsiaTheme="minorEastAsia"/>
                <w:szCs w:val="21"/>
              </w:rPr>
              <w:t>达标</w:t>
            </w:r>
          </w:p>
        </w:tc>
      </w:tr>
      <w:tr w14:paraId="7B7DFF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2060DA62">
            <w:pPr>
              <w:spacing w:line="320" w:lineRule="exact"/>
              <w:jc w:val="center"/>
              <w:rPr>
                <w:rFonts w:ascii="Calibri" w:hAnsi="Calibri" w:eastAsiaTheme="minorEastAsia"/>
                <w:szCs w:val="21"/>
              </w:rPr>
            </w:pPr>
            <w:r>
              <w:rPr>
                <w:rFonts w:ascii="Calibri" w:hAnsi="Calibri" w:eastAsiaTheme="minorEastAsia"/>
                <w:szCs w:val="21"/>
              </w:rPr>
              <w:t>SO</w:t>
            </w:r>
            <w:r>
              <w:rPr>
                <w:rFonts w:ascii="Calibri" w:hAnsi="Calibri" w:eastAsiaTheme="minorEastAsia"/>
                <w:szCs w:val="21"/>
                <w:vertAlign w:val="subscript"/>
              </w:rPr>
              <w:t>2</w:t>
            </w:r>
          </w:p>
        </w:tc>
        <w:tc>
          <w:tcPr>
            <w:tcW w:w="986" w:type="pct"/>
            <w:vAlign w:val="center"/>
          </w:tcPr>
          <w:p w14:paraId="20EC4BCA">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16" w:type="pct"/>
            <w:vAlign w:val="center"/>
          </w:tcPr>
          <w:p w14:paraId="60865135">
            <w:pPr>
              <w:spacing w:line="320" w:lineRule="exact"/>
              <w:jc w:val="center"/>
              <w:rPr>
                <w:rFonts w:ascii="Calibri" w:hAnsi="Calibri" w:eastAsiaTheme="minorEastAsia"/>
                <w:szCs w:val="21"/>
              </w:rPr>
            </w:pPr>
            <w:r>
              <w:rPr>
                <w:rFonts w:ascii="Calibri" w:hAnsi="Calibri" w:eastAsiaTheme="minorEastAsia"/>
                <w:szCs w:val="21"/>
              </w:rPr>
              <w:t>60</w:t>
            </w:r>
          </w:p>
        </w:tc>
        <w:tc>
          <w:tcPr>
            <w:tcW w:w="499" w:type="pct"/>
            <w:vAlign w:val="center"/>
          </w:tcPr>
          <w:p w14:paraId="45AB5883">
            <w:pPr>
              <w:spacing w:line="320" w:lineRule="exact"/>
              <w:jc w:val="center"/>
              <w:rPr>
                <w:rFonts w:ascii="Calibri" w:hAnsi="Calibri" w:eastAsiaTheme="minorEastAsia"/>
                <w:szCs w:val="21"/>
              </w:rPr>
            </w:pPr>
            <w:r>
              <w:rPr>
                <w:rFonts w:hint="eastAsia" w:ascii="Calibri" w:hAnsi="Calibri" w:eastAsiaTheme="minorEastAsia"/>
                <w:szCs w:val="21"/>
              </w:rPr>
              <w:t>7</w:t>
            </w:r>
          </w:p>
        </w:tc>
        <w:tc>
          <w:tcPr>
            <w:tcW w:w="498" w:type="pct"/>
            <w:vAlign w:val="center"/>
          </w:tcPr>
          <w:p w14:paraId="6B94A3C0">
            <w:pPr>
              <w:spacing w:line="320" w:lineRule="exact"/>
              <w:jc w:val="center"/>
              <w:rPr>
                <w:rFonts w:ascii="Calibri" w:hAnsi="Calibri" w:eastAsiaTheme="minorEastAsia"/>
                <w:szCs w:val="21"/>
              </w:rPr>
            </w:pPr>
            <w:r>
              <w:rPr>
                <w:rFonts w:hint="eastAsia" w:ascii="Calibri" w:hAnsi="Calibri" w:eastAsiaTheme="minorEastAsia"/>
                <w:szCs w:val="21"/>
              </w:rPr>
              <w:t>6</w:t>
            </w:r>
          </w:p>
        </w:tc>
        <w:tc>
          <w:tcPr>
            <w:tcW w:w="499" w:type="pct"/>
            <w:vAlign w:val="center"/>
          </w:tcPr>
          <w:p w14:paraId="4C31D5FB">
            <w:pPr>
              <w:spacing w:line="320" w:lineRule="exact"/>
              <w:jc w:val="center"/>
              <w:rPr>
                <w:rFonts w:ascii="Calibri" w:hAnsi="Calibri" w:eastAsiaTheme="minorEastAsia"/>
                <w:szCs w:val="21"/>
              </w:rPr>
            </w:pPr>
            <w:r>
              <w:rPr>
                <w:rFonts w:hint="eastAsia" w:ascii="Calibri" w:hAnsi="Calibri" w:eastAsiaTheme="minorEastAsia"/>
                <w:szCs w:val="21"/>
              </w:rPr>
              <w:t>8</w:t>
            </w:r>
          </w:p>
        </w:tc>
        <w:tc>
          <w:tcPr>
            <w:tcW w:w="498" w:type="pct"/>
            <w:tcBorders>
              <w:right w:val="single" w:color="auto" w:sz="4" w:space="0"/>
            </w:tcBorders>
            <w:vAlign w:val="center"/>
          </w:tcPr>
          <w:p w14:paraId="7F22483A">
            <w:pPr>
              <w:spacing w:line="320" w:lineRule="exact"/>
              <w:jc w:val="center"/>
              <w:rPr>
                <w:rFonts w:ascii="Calibri" w:hAnsi="Calibri" w:eastAsiaTheme="minorEastAsia"/>
                <w:szCs w:val="21"/>
              </w:rPr>
            </w:pPr>
            <w:r>
              <w:rPr>
                <w:rFonts w:hint="eastAsia" w:ascii="Calibri" w:hAnsi="Calibri" w:eastAsiaTheme="minorEastAsia"/>
                <w:szCs w:val="21"/>
              </w:rPr>
              <w:t>7</w:t>
            </w:r>
          </w:p>
        </w:tc>
        <w:tc>
          <w:tcPr>
            <w:tcW w:w="500" w:type="pct"/>
            <w:tcBorders>
              <w:left w:val="single" w:color="auto" w:sz="4" w:space="0"/>
            </w:tcBorders>
            <w:vAlign w:val="center"/>
          </w:tcPr>
          <w:p w14:paraId="3FCC9DC9">
            <w:pPr>
              <w:spacing w:line="320" w:lineRule="exact"/>
              <w:jc w:val="center"/>
              <w:rPr>
                <w:rFonts w:ascii="Calibri" w:hAnsi="Calibri" w:eastAsiaTheme="minorEastAsia"/>
                <w:szCs w:val="21"/>
              </w:rPr>
            </w:pPr>
            <w:r>
              <w:rPr>
                <w:rFonts w:hint="eastAsia" w:ascii="Calibri" w:hAnsi="Calibri" w:eastAsiaTheme="minorEastAsia"/>
                <w:szCs w:val="21"/>
              </w:rPr>
              <w:t>7</w:t>
            </w:r>
          </w:p>
        </w:tc>
        <w:tc>
          <w:tcPr>
            <w:tcW w:w="697" w:type="pct"/>
            <w:vAlign w:val="center"/>
          </w:tcPr>
          <w:p w14:paraId="22C73CD5">
            <w:pPr>
              <w:spacing w:line="320" w:lineRule="exact"/>
              <w:jc w:val="center"/>
              <w:rPr>
                <w:rFonts w:ascii="Calibri" w:hAnsi="Calibri" w:eastAsiaTheme="minorEastAsia"/>
                <w:szCs w:val="21"/>
              </w:rPr>
            </w:pPr>
            <w:r>
              <w:rPr>
                <w:rFonts w:ascii="Calibri" w:hAnsi="Calibri" w:eastAsiaTheme="minorEastAsia"/>
                <w:szCs w:val="21"/>
              </w:rPr>
              <w:t>达标</w:t>
            </w:r>
          </w:p>
        </w:tc>
      </w:tr>
      <w:tr w14:paraId="2EE6F7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trPr>
        <w:tc>
          <w:tcPr>
            <w:tcW w:w="407" w:type="pct"/>
            <w:vAlign w:val="center"/>
          </w:tcPr>
          <w:p w14:paraId="0CB75C50">
            <w:pPr>
              <w:spacing w:line="320" w:lineRule="exact"/>
              <w:jc w:val="center"/>
              <w:rPr>
                <w:rFonts w:ascii="Calibri" w:hAnsi="Calibri" w:eastAsiaTheme="minorEastAsia"/>
                <w:szCs w:val="21"/>
              </w:rPr>
            </w:pPr>
            <w:r>
              <w:rPr>
                <w:rFonts w:ascii="Calibri" w:hAnsi="Calibri" w:eastAsiaTheme="minorEastAsia"/>
                <w:szCs w:val="21"/>
              </w:rPr>
              <w:t>NO</w:t>
            </w:r>
            <w:r>
              <w:rPr>
                <w:rFonts w:ascii="Calibri" w:hAnsi="Calibri" w:eastAsiaTheme="minorEastAsia"/>
                <w:szCs w:val="21"/>
                <w:vertAlign w:val="subscript"/>
              </w:rPr>
              <w:t>2</w:t>
            </w:r>
          </w:p>
        </w:tc>
        <w:tc>
          <w:tcPr>
            <w:tcW w:w="986" w:type="pct"/>
            <w:vAlign w:val="center"/>
          </w:tcPr>
          <w:p w14:paraId="16437125">
            <w:pPr>
              <w:spacing w:line="320" w:lineRule="exact"/>
              <w:jc w:val="center"/>
              <w:rPr>
                <w:rFonts w:ascii="Calibri" w:hAnsi="Calibri" w:eastAsiaTheme="minorEastAsia"/>
                <w:szCs w:val="21"/>
              </w:rPr>
            </w:pPr>
            <w:r>
              <w:rPr>
                <w:rFonts w:ascii="Calibri" w:hAnsi="Calibri" w:eastAsiaTheme="minorEastAsia"/>
                <w:szCs w:val="21"/>
              </w:rPr>
              <w:t>年平均浓度ug/m³</w:t>
            </w:r>
          </w:p>
        </w:tc>
        <w:tc>
          <w:tcPr>
            <w:tcW w:w="416" w:type="pct"/>
            <w:vAlign w:val="center"/>
          </w:tcPr>
          <w:p w14:paraId="0B448280">
            <w:pPr>
              <w:spacing w:line="320" w:lineRule="exact"/>
              <w:jc w:val="center"/>
              <w:rPr>
                <w:rFonts w:ascii="Calibri" w:hAnsi="Calibri" w:eastAsiaTheme="minorEastAsia"/>
                <w:szCs w:val="21"/>
              </w:rPr>
            </w:pPr>
            <w:r>
              <w:rPr>
                <w:rFonts w:ascii="Calibri" w:hAnsi="Calibri" w:eastAsiaTheme="minorEastAsia"/>
                <w:szCs w:val="21"/>
              </w:rPr>
              <w:t>40</w:t>
            </w:r>
          </w:p>
        </w:tc>
        <w:tc>
          <w:tcPr>
            <w:tcW w:w="499" w:type="pct"/>
            <w:vAlign w:val="center"/>
          </w:tcPr>
          <w:p w14:paraId="2BC2D9B8">
            <w:pPr>
              <w:spacing w:line="320" w:lineRule="exact"/>
              <w:jc w:val="center"/>
              <w:rPr>
                <w:rFonts w:ascii="Calibri" w:hAnsi="Calibri" w:eastAsiaTheme="minorEastAsia"/>
                <w:szCs w:val="21"/>
              </w:rPr>
            </w:pPr>
            <w:r>
              <w:rPr>
                <w:rFonts w:hint="eastAsia" w:ascii="Calibri" w:hAnsi="Calibri" w:eastAsiaTheme="minorEastAsia"/>
                <w:szCs w:val="21"/>
              </w:rPr>
              <w:t>24</w:t>
            </w:r>
          </w:p>
        </w:tc>
        <w:tc>
          <w:tcPr>
            <w:tcW w:w="498" w:type="pct"/>
            <w:vAlign w:val="center"/>
          </w:tcPr>
          <w:p w14:paraId="3B8FC5B1">
            <w:pPr>
              <w:spacing w:line="320" w:lineRule="exact"/>
              <w:jc w:val="center"/>
              <w:rPr>
                <w:rFonts w:ascii="Calibri" w:hAnsi="Calibri" w:eastAsiaTheme="minorEastAsia"/>
                <w:szCs w:val="21"/>
              </w:rPr>
            </w:pPr>
            <w:r>
              <w:rPr>
                <w:rFonts w:hint="eastAsia" w:ascii="Calibri" w:hAnsi="Calibri" w:eastAsiaTheme="minorEastAsia"/>
                <w:szCs w:val="21"/>
              </w:rPr>
              <w:t>19</w:t>
            </w:r>
          </w:p>
        </w:tc>
        <w:tc>
          <w:tcPr>
            <w:tcW w:w="499" w:type="pct"/>
            <w:vAlign w:val="center"/>
          </w:tcPr>
          <w:p w14:paraId="68AEC13D">
            <w:pPr>
              <w:spacing w:line="320" w:lineRule="exact"/>
              <w:jc w:val="center"/>
              <w:rPr>
                <w:rFonts w:ascii="Calibri" w:hAnsi="Calibri" w:eastAsiaTheme="minorEastAsia"/>
                <w:szCs w:val="21"/>
              </w:rPr>
            </w:pPr>
            <w:r>
              <w:rPr>
                <w:rFonts w:hint="eastAsia" w:ascii="Calibri" w:hAnsi="Calibri" w:eastAsiaTheme="minorEastAsia"/>
                <w:szCs w:val="21"/>
              </w:rPr>
              <w:t>20</w:t>
            </w:r>
          </w:p>
        </w:tc>
        <w:tc>
          <w:tcPr>
            <w:tcW w:w="498" w:type="pct"/>
            <w:tcBorders>
              <w:right w:val="single" w:color="auto" w:sz="4" w:space="0"/>
            </w:tcBorders>
            <w:vAlign w:val="center"/>
          </w:tcPr>
          <w:p w14:paraId="4EEE39C2">
            <w:pPr>
              <w:spacing w:line="320" w:lineRule="exact"/>
              <w:jc w:val="center"/>
              <w:rPr>
                <w:rFonts w:ascii="Calibri" w:hAnsi="Calibri" w:eastAsiaTheme="minorEastAsia"/>
                <w:szCs w:val="21"/>
              </w:rPr>
            </w:pPr>
            <w:r>
              <w:rPr>
                <w:rFonts w:hint="eastAsia" w:ascii="Calibri" w:hAnsi="Calibri" w:eastAsiaTheme="minorEastAsia"/>
                <w:szCs w:val="21"/>
              </w:rPr>
              <w:t>17</w:t>
            </w:r>
          </w:p>
        </w:tc>
        <w:tc>
          <w:tcPr>
            <w:tcW w:w="500" w:type="pct"/>
            <w:tcBorders>
              <w:left w:val="single" w:color="auto" w:sz="4" w:space="0"/>
            </w:tcBorders>
            <w:vAlign w:val="center"/>
          </w:tcPr>
          <w:p w14:paraId="5BDFC900">
            <w:pPr>
              <w:spacing w:line="320" w:lineRule="exact"/>
              <w:jc w:val="center"/>
              <w:rPr>
                <w:rFonts w:ascii="Calibri" w:hAnsi="Calibri" w:eastAsiaTheme="minorEastAsia"/>
                <w:szCs w:val="21"/>
              </w:rPr>
            </w:pPr>
            <w:r>
              <w:rPr>
                <w:rFonts w:hint="eastAsia" w:ascii="Calibri" w:hAnsi="Calibri" w:eastAsiaTheme="minorEastAsia"/>
                <w:szCs w:val="21"/>
              </w:rPr>
              <w:t>18</w:t>
            </w:r>
          </w:p>
        </w:tc>
        <w:tc>
          <w:tcPr>
            <w:tcW w:w="697" w:type="pct"/>
            <w:vAlign w:val="center"/>
          </w:tcPr>
          <w:p w14:paraId="6099F978">
            <w:pPr>
              <w:spacing w:line="320" w:lineRule="exact"/>
              <w:jc w:val="center"/>
              <w:rPr>
                <w:rFonts w:ascii="Calibri" w:hAnsi="Calibri" w:eastAsiaTheme="minorEastAsia"/>
                <w:szCs w:val="21"/>
              </w:rPr>
            </w:pPr>
            <w:r>
              <w:rPr>
                <w:rFonts w:ascii="Calibri" w:hAnsi="Calibri" w:eastAsiaTheme="minorEastAsia"/>
                <w:szCs w:val="21"/>
              </w:rPr>
              <w:t>达标</w:t>
            </w:r>
          </w:p>
        </w:tc>
      </w:tr>
      <w:bookmarkEnd w:id="108"/>
    </w:tbl>
    <w:p w14:paraId="2029C7BA">
      <w:pPr>
        <w:spacing w:line="360" w:lineRule="auto"/>
        <w:ind w:firstLine="420" w:firstLineChars="200"/>
        <w:jc w:val="center"/>
        <w:rPr>
          <w:rFonts w:eastAsiaTheme="minorEastAsia"/>
          <w:kern w:val="20"/>
          <w:sz w:val="24"/>
        </w:rPr>
      </w:pPr>
      <w:r>
        <w:drawing>
          <wp:inline distT="0" distB="0" distL="0" distR="0">
            <wp:extent cx="5000625" cy="32099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000625" cy="3209925"/>
                    </a:xfrm>
                    <a:prstGeom prst="rect">
                      <a:avLst/>
                    </a:prstGeom>
                  </pic:spPr>
                </pic:pic>
              </a:graphicData>
            </a:graphic>
          </wp:inline>
        </w:drawing>
      </w:r>
    </w:p>
    <w:p w14:paraId="0766917E">
      <w:pPr>
        <w:spacing w:line="360" w:lineRule="auto"/>
        <w:ind w:firstLine="422" w:firstLineChars="200"/>
        <w:jc w:val="center"/>
        <w:rPr>
          <w:rFonts w:eastAsiaTheme="minorEastAsia"/>
          <w:kern w:val="20"/>
          <w:sz w:val="24"/>
        </w:rPr>
      </w:pPr>
      <w:r>
        <w:rPr>
          <w:rFonts w:eastAsiaTheme="minorEastAsia"/>
          <w:b/>
          <w:szCs w:val="21"/>
        </w:rPr>
        <w:t>表</w:t>
      </w:r>
      <w:r>
        <w:rPr>
          <w:rFonts w:hint="eastAsia" w:eastAsiaTheme="minorEastAsia"/>
          <w:b/>
          <w:szCs w:val="21"/>
        </w:rPr>
        <w:t>3.3</w:t>
      </w:r>
      <w:r>
        <w:rPr>
          <w:rFonts w:eastAsiaTheme="minorEastAsia"/>
          <w:b/>
          <w:szCs w:val="21"/>
        </w:rPr>
        <w:t>.1-</w:t>
      </w:r>
      <w:r>
        <w:rPr>
          <w:rFonts w:hint="eastAsia" w:eastAsiaTheme="minorEastAsia"/>
          <w:b/>
          <w:szCs w:val="21"/>
        </w:rPr>
        <w:t>1    随州2019~</w:t>
      </w:r>
      <w:r>
        <w:rPr>
          <w:rFonts w:eastAsiaTheme="minorEastAsia"/>
          <w:b/>
          <w:szCs w:val="21"/>
        </w:rPr>
        <w:t>202</w:t>
      </w:r>
      <w:r>
        <w:rPr>
          <w:rFonts w:hint="eastAsia" w:eastAsiaTheme="minorEastAsia"/>
          <w:b/>
          <w:szCs w:val="21"/>
        </w:rPr>
        <w:t>3</w:t>
      </w:r>
      <w:r>
        <w:rPr>
          <w:rFonts w:eastAsiaTheme="minorEastAsia"/>
          <w:b/>
          <w:szCs w:val="21"/>
        </w:rPr>
        <w:t>年的基本污染物环境质量现状</w:t>
      </w:r>
      <w:r>
        <w:rPr>
          <w:rFonts w:hint="eastAsia" w:eastAsiaTheme="minorEastAsia"/>
          <w:b/>
          <w:szCs w:val="21"/>
        </w:rPr>
        <w:t>浓度趋势图</w:t>
      </w:r>
    </w:p>
    <w:p w14:paraId="5FA19211">
      <w:pPr>
        <w:spacing w:line="360" w:lineRule="auto"/>
        <w:ind w:firstLine="480" w:firstLineChars="200"/>
        <w:rPr>
          <w:rFonts w:eastAsiaTheme="minorEastAsia"/>
          <w:kern w:val="20"/>
          <w:sz w:val="24"/>
        </w:rPr>
      </w:pPr>
      <w:r>
        <w:rPr>
          <w:rFonts w:hint="eastAsia" w:eastAsiaTheme="minorEastAsia"/>
          <w:kern w:val="20"/>
          <w:sz w:val="24"/>
        </w:rPr>
        <w:t>通过上表分析可知，除PM</w:t>
      </w:r>
      <w:r>
        <w:rPr>
          <w:rFonts w:hint="eastAsia" w:eastAsiaTheme="minorEastAsia"/>
          <w:kern w:val="20"/>
          <w:sz w:val="24"/>
          <w:vertAlign w:val="subscript"/>
        </w:rPr>
        <w:t>2.5</w:t>
      </w:r>
      <w:r>
        <w:rPr>
          <w:rFonts w:hint="eastAsia" w:eastAsiaTheme="minorEastAsia"/>
          <w:kern w:val="20"/>
          <w:sz w:val="24"/>
        </w:rPr>
        <w:t>外其他因子均能满足</w:t>
      </w:r>
      <w:r>
        <w:rPr>
          <w:rFonts w:eastAsiaTheme="minorEastAsia"/>
          <w:sz w:val="24"/>
        </w:rPr>
        <w:t>《环境空气质量标准》（GB3095-2012）及修改单规定的二级标准要求，</w:t>
      </w:r>
      <w:r>
        <w:rPr>
          <w:rFonts w:hint="eastAsia" w:eastAsiaTheme="minorEastAsia"/>
          <w:kern w:val="20"/>
          <w:sz w:val="24"/>
        </w:rPr>
        <w:t>2019年~2021年及2023年随州市环境空气质量均为不达标区，但浓度值逐年下降，至2022年随州市环境空气质量属于达标区，但2023年有部分污染物浓度升高。</w:t>
      </w:r>
    </w:p>
    <w:p w14:paraId="6E246608">
      <w:pPr>
        <w:spacing w:line="360" w:lineRule="auto"/>
        <w:ind w:firstLine="480" w:firstLineChars="200"/>
        <w:rPr>
          <w:rFonts w:eastAsiaTheme="minorEastAsia"/>
          <w:kern w:val="20"/>
          <w:sz w:val="24"/>
        </w:rPr>
      </w:pPr>
      <w:r>
        <w:rPr>
          <w:rFonts w:hint="eastAsia" w:eastAsiaTheme="minorEastAsia"/>
          <w:kern w:val="20"/>
          <w:sz w:val="24"/>
        </w:rPr>
        <w:t>根据《市人民政府关于印发随州市空气质量持续改善行动方案的通知》（随政发〔2024〕11号）要求，在全市开展产业结构转型升级行动等十大行动。其中，“涉气监管执法效能提升行动”重点狠抓铸造、玻璃制造、人造板、水泥等重点行业大气环境日常监管，常态化开展“四不两直”行动，实施机动执法和交叉执法，开展移动源污染专项执法，全面整治监测数据弄虚作假，切实形成涉气环境执法威慑力。扎实推进《随州市空气质量持续改善行动方案》，紧盯重点区域、重点行业、重点领域持续开展整治，健全大气环境监管常态长效机制。扎实开展专汽、铸造、化工等行业大气环境综合整治，组织实施VOCs全流程治理，实施年度治理项目300个。推进火电、钢铁、建材等重点行业大宗货物清洁运输，推进秸秆综合利用和露天焚烧管控，让蓝天白云成为城市常态。随着上述措施的逐步推进和落实，规划所在区域空气将得到改善。</w:t>
      </w:r>
    </w:p>
    <w:p w14:paraId="7C96EAE6">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环境空气特征因子监测</w:t>
      </w:r>
    </w:p>
    <w:p w14:paraId="1A05D417">
      <w:pPr>
        <w:spacing w:line="360" w:lineRule="auto"/>
        <w:ind w:firstLine="480" w:firstLineChars="200"/>
        <w:rPr>
          <w:rFonts w:eastAsiaTheme="minorEastAsia"/>
          <w:sz w:val="24"/>
        </w:rPr>
      </w:pPr>
      <w:r>
        <w:rPr>
          <w:rFonts w:eastAsiaTheme="minorEastAsia"/>
          <w:sz w:val="24"/>
        </w:rPr>
        <w:t>规划</w:t>
      </w:r>
      <w:r>
        <w:rPr>
          <w:rFonts w:hint="eastAsia" w:eastAsiaTheme="minorEastAsia"/>
          <w:sz w:val="24"/>
        </w:rPr>
        <w:t>区域</w:t>
      </w:r>
      <w:r>
        <w:rPr>
          <w:rFonts w:eastAsiaTheme="minorEastAsia"/>
          <w:sz w:val="24"/>
        </w:rPr>
        <w:t>主要为</w:t>
      </w:r>
      <w:r>
        <w:rPr>
          <w:rFonts w:hint="eastAsia" w:eastAsiaTheme="minorEastAsia"/>
          <w:kern w:val="0"/>
          <w:sz w:val="24"/>
        </w:rPr>
        <w:t>矿山开采、石材加工、机制砂、锯泥及石粉综合利用等产业方向</w:t>
      </w:r>
      <w:r>
        <w:rPr>
          <w:rFonts w:eastAsiaTheme="minorEastAsia"/>
          <w:sz w:val="24"/>
        </w:rPr>
        <w:t>，主要涉及的特征因子为TSP。为了解区域污染物环境质量现状，本次评价委托</w:t>
      </w:r>
      <w:r>
        <w:rPr>
          <w:rFonts w:hint="eastAsia" w:ascii="宋体" w:cs="宋体" w:hAnsiTheme="minorHAnsi"/>
          <w:kern w:val="0"/>
          <w:sz w:val="24"/>
        </w:rPr>
        <w:t>湖北华钧检测有限公司</w:t>
      </w:r>
      <w:r>
        <w:rPr>
          <w:rFonts w:eastAsiaTheme="minorEastAsia"/>
          <w:sz w:val="24"/>
        </w:rPr>
        <w:t>对</w:t>
      </w:r>
      <w:r>
        <w:rPr>
          <w:rFonts w:hint="eastAsia" w:eastAsiaTheme="minorEastAsia"/>
          <w:sz w:val="24"/>
        </w:rPr>
        <w:t>生产加工集聚区的</w:t>
      </w:r>
      <w:r>
        <w:rPr>
          <w:rFonts w:eastAsiaTheme="minorEastAsia"/>
          <w:sz w:val="24"/>
        </w:rPr>
        <w:t>四个加工组团TSP进行了补充监测，主要</w:t>
      </w:r>
      <w:r>
        <w:rPr>
          <w:rFonts w:hint="eastAsia" w:eastAsiaTheme="minorEastAsia"/>
          <w:sz w:val="24"/>
        </w:rPr>
        <w:t>为吴山石材产业园、万和石材产业园、草店石材产业园和太白顶石材产业园四个加工组团。</w:t>
      </w:r>
      <w:r>
        <w:rPr>
          <w:rFonts w:eastAsiaTheme="minorEastAsia"/>
          <w:sz w:val="24"/>
        </w:rPr>
        <w:t>具体监测内容如下。</w:t>
      </w:r>
    </w:p>
    <w:p w14:paraId="01ECD255">
      <w:pPr>
        <w:spacing w:line="360" w:lineRule="auto"/>
        <w:ind w:firstLine="480" w:firstLineChars="200"/>
        <w:contextualSpacing/>
        <w:rPr>
          <w:rFonts w:eastAsiaTheme="minorEastAsia"/>
          <w:sz w:val="24"/>
        </w:rPr>
      </w:pPr>
      <w:r>
        <w:rPr>
          <w:rFonts w:eastAsiaTheme="minorEastAsia"/>
          <w:sz w:val="24"/>
        </w:rPr>
        <w:t>（1）监测因子与点位</w:t>
      </w:r>
    </w:p>
    <w:p w14:paraId="3A9A6192">
      <w:pPr>
        <w:widowControl/>
        <w:adjustRightInd w:val="0"/>
        <w:spacing w:line="360" w:lineRule="auto"/>
        <w:ind w:firstLine="422"/>
        <w:contextualSpacing/>
        <w:jc w:val="center"/>
        <w:rPr>
          <w:rFonts w:eastAsiaTheme="minorEastAsia"/>
          <w:b/>
          <w:kern w:val="0"/>
          <w:szCs w:val="21"/>
        </w:rPr>
      </w:pPr>
      <w:r>
        <w:rPr>
          <w:rFonts w:eastAsiaTheme="minorEastAsia"/>
          <w:b/>
          <w:kern w:val="0"/>
          <w:szCs w:val="21"/>
        </w:rPr>
        <w:t>表</w:t>
      </w:r>
      <w:r>
        <w:rPr>
          <w:rFonts w:hint="eastAsia" w:eastAsiaTheme="minorEastAsia"/>
          <w:b/>
          <w:kern w:val="0"/>
          <w:szCs w:val="21"/>
        </w:rPr>
        <w:t>3.3</w:t>
      </w:r>
      <w:r>
        <w:rPr>
          <w:rFonts w:eastAsiaTheme="minorEastAsia"/>
          <w:b/>
          <w:kern w:val="0"/>
          <w:szCs w:val="21"/>
        </w:rPr>
        <w:t>.1-</w:t>
      </w:r>
      <w:r>
        <w:rPr>
          <w:rFonts w:hint="eastAsia" w:eastAsiaTheme="minorEastAsia"/>
          <w:b/>
          <w:kern w:val="0"/>
          <w:szCs w:val="21"/>
        </w:rPr>
        <w:t>3</w:t>
      </w:r>
      <w:r>
        <w:rPr>
          <w:rFonts w:eastAsiaTheme="minorEastAsia"/>
          <w:b/>
          <w:kern w:val="0"/>
          <w:szCs w:val="21"/>
        </w:rPr>
        <w:t xml:space="preserve">  环境空气特征因子监测点位</w:t>
      </w:r>
    </w:p>
    <w:tbl>
      <w:tblPr>
        <w:tblStyle w:val="3948"/>
        <w:tblpPr w:leftFromText="180" w:rightFromText="180" w:vertAnchor="text" w:tblpXSpec="center" w:tblpY="1"/>
        <w:tblW w:w="85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5"/>
        <w:gridCol w:w="904"/>
        <w:gridCol w:w="1629"/>
        <w:gridCol w:w="1809"/>
        <w:gridCol w:w="1086"/>
        <w:gridCol w:w="1700"/>
      </w:tblGrid>
      <w:tr w14:paraId="68BD6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tcBorders>
              <w:top w:val="single" w:color="auto" w:sz="12" w:space="0"/>
              <w:left w:val="single" w:color="auto" w:sz="12" w:space="0"/>
              <w:bottom w:val="single" w:color="auto" w:sz="6" w:space="0"/>
              <w:right w:val="single" w:color="auto" w:sz="6" w:space="0"/>
            </w:tcBorders>
            <w:vAlign w:val="center"/>
          </w:tcPr>
          <w:p w14:paraId="1071F162">
            <w:pPr>
              <w:spacing w:line="320" w:lineRule="exact"/>
              <w:jc w:val="center"/>
              <w:rPr>
                <w:rFonts w:eastAsiaTheme="minorEastAsia"/>
                <w:szCs w:val="21"/>
              </w:rPr>
            </w:pPr>
            <w:r>
              <w:rPr>
                <w:rFonts w:hint="eastAsia" w:eastAsiaTheme="minorEastAsia"/>
                <w:szCs w:val="21"/>
              </w:rPr>
              <w:t>园区位置</w:t>
            </w:r>
          </w:p>
        </w:tc>
        <w:tc>
          <w:tcPr>
            <w:tcW w:w="904" w:type="dxa"/>
            <w:tcBorders>
              <w:top w:val="single" w:color="auto" w:sz="12" w:space="0"/>
              <w:left w:val="single" w:color="auto" w:sz="6" w:space="0"/>
              <w:bottom w:val="single" w:color="auto" w:sz="6" w:space="0"/>
              <w:right w:val="single" w:color="auto" w:sz="6" w:space="0"/>
            </w:tcBorders>
            <w:vAlign w:val="center"/>
          </w:tcPr>
          <w:p w14:paraId="3351B527">
            <w:pPr>
              <w:spacing w:line="320" w:lineRule="exact"/>
              <w:jc w:val="center"/>
              <w:rPr>
                <w:rFonts w:eastAsiaTheme="minorEastAsia"/>
                <w:szCs w:val="21"/>
              </w:rPr>
            </w:pPr>
            <w:r>
              <w:rPr>
                <w:rFonts w:hint="eastAsia" w:eastAsiaTheme="minorEastAsia"/>
                <w:szCs w:val="21"/>
              </w:rPr>
              <w:t>编号</w:t>
            </w:r>
          </w:p>
        </w:tc>
        <w:tc>
          <w:tcPr>
            <w:tcW w:w="1629" w:type="dxa"/>
            <w:tcBorders>
              <w:top w:val="single" w:color="auto" w:sz="12" w:space="0"/>
              <w:left w:val="single" w:color="auto" w:sz="6" w:space="0"/>
              <w:bottom w:val="single" w:color="auto" w:sz="6" w:space="0"/>
              <w:right w:val="single" w:color="auto" w:sz="6" w:space="0"/>
            </w:tcBorders>
            <w:vAlign w:val="center"/>
          </w:tcPr>
          <w:p w14:paraId="0D8967EF">
            <w:pPr>
              <w:spacing w:line="320" w:lineRule="exact"/>
              <w:jc w:val="center"/>
              <w:rPr>
                <w:rFonts w:eastAsiaTheme="minorEastAsia"/>
                <w:szCs w:val="21"/>
              </w:rPr>
            </w:pPr>
            <w:r>
              <w:rPr>
                <w:rFonts w:hint="eastAsia" w:eastAsiaTheme="minorEastAsia"/>
                <w:szCs w:val="21"/>
              </w:rPr>
              <w:t>监测点位</w:t>
            </w:r>
          </w:p>
        </w:tc>
        <w:tc>
          <w:tcPr>
            <w:tcW w:w="1809" w:type="dxa"/>
            <w:tcBorders>
              <w:top w:val="single" w:color="auto" w:sz="12" w:space="0"/>
              <w:left w:val="single" w:color="auto" w:sz="6" w:space="0"/>
              <w:bottom w:val="single" w:color="auto" w:sz="6" w:space="0"/>
              <w:right w:val="single" w:color="auto" w:sz="6" w:space="0"/>
            </w:tcBorders>
            <w:vAlign w:val="center"/>
          </w:tcPr>
          <w:p w14:paraId="6EFEBECE">
            <w:pPr>
              <w:spacing w:line="320" w:lineRule="exact"/>
              <w:jc w:val="center"/>
              <w:rPr>
                <w:rFonts w:eastAsiaTheme="minorEastAsia"/>
                <w:szCs w:val="21"/>
              </w:rPr>
            </w:pPr>
            <w:r>
              <w:rPr>
                <w:rFonts w:hint="eastAsia" w:eastAsiaTheme="minorEastAsia"/>
                <w:szCs w:val="21"/>
              </w:rPr>
              <w:t>监测时间</w:t>
            </w:r>
          </w:p>
        </w:tc>
        <w:tc>
          <w:tcPr>
            <w:tcW w:w="1086" w:type="dxa"/>
            <w:tcBorders>
              <w:top w:val="single" w:color="auto" w:sz="12" w:space="0"/>
              <w:left w:val="single" w:color="auto" w:sz="6" w:space="0"/>
              <w:bottom w:val="single" w:color="auto" w:sz="6" w:space="0"/>
              <w:right w:val="single" w:color="auto" w:sz="6" w:space="0"/>
            </w:tcBorders>
            <w:vAlign w:val="center"/>
          </w:tcPr>
          <w:p w14:paraId="1813CC09">
            <w:pPr>
              <w:spacing w:line="320" w:lineRule="exact"/>
              <w:jc w:val="center"/>
              <w:rPr>
                <w:rFonts w:eastAsiaTheme="minorEastAsia"/>
                <w:szCs w:val="21"/>
              </w:rPr>
            </w:pPr>
            <w:r>
              <w:rPr>
                <w:rFonts w:hint="eastAsia" w:eastAsiaTheme="minorEastAsia"/>
                <w:szCs w:val="21"/>
              </w:rPr>
              <w:t>监测因子</w:t>
            </w:r>
          </w:p>
        </w:tc>
        <w:tc>
          <w:tcPr>
            <w:tcW w:w="1700" w:type="dxa"/>
            <w:tcBorders>
              <w:top w:val="single" w:color="auto" w:sz="12" w:space="0"/>
              <w:left w:val="single" w:color="auto" w:sz="6" w:space="0"/>
              <w:bottom w:val="single" w:color="auto" w:sz="6" w:space="0"/>
              <w:right w:val="single" w:color="auto" w:sz="12" w:space="0"/>
            </w:tcBorders>
            <w:vAlign w:val="center"/>
          </w:tcPr>
          <w:p w14:paraId="1B46ACF7">
            <w:pPr>
              <w:spacing w:line="320" w:lineRule="exact"/>
              <w:jc w:val="center"/>
              <w:rPr>
                <w:rFonts w:eastAsiaTheme="minorEastAsia"/>
                <w:szCs w:val="21"/>
              </w:rPr>
            </w:pPr>
            <w:r>
              <w:rPr>
                <w:rFonts w:hint="eastAsia" w:eastAsiaTheme="minorEastAsia"/>
                <w:szCs w:val="21"/>
              </w:rPr>
              <w:t>监测频次</w:t>
            </w:r>
          </w:p>
        </w:tc>
      </w:tr>
      <w:tr w14:paraId="34347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restart"/>
            <w:tcBorders>
              <w:left w:val="single" w:color="auto" w:sz="12" w:space="0"/>
              <w:right w:val="single" w:color="auto" w:sz="6" w:space="0"/>
            </w:tcBorders>
            <w:vAlign w:val="center"/>
          </w:tcPr>
          <w:p w14:paraId="76C50E48">
            <w:pPr>
              <w:spacing w:line="320" w:lineRule="exact"/>
              <w:jc w:val="center"/>
              <w:rPr>
                <w:rFonts w:eastAsiaTheme="minorEastAsia"/>
                <w:szCs w:val="21"/>
              </w:rPr>
            </w:pPr>
            <w:r>
              <w:rPr>
                <w:rFonts w:eastAsiaTheme="minorEastAsia"/>
                <w:szCs w:val="21"/>
              </w:rPr>
              <w:t>吴山闽商石材产业园</w:t>
            </w:r>
          </w:p>
        </w:tc>
        <w:tc>
          <w:tcPr>
            <w:tcW w:w="904" w:type="dxa"/>
            <w:tcBorders>
              <w:top w:val="single" w:color="auto" w:sz="6" w:space="0"/>
              <w:left w:val="single" w:color="auto" w:sz="6" w:space="0"/>
              <w:bottom w:val="single" w:color="auto" w:sz="6" w:space="0"/>
              <w:right w:val="single" w:color="auto" w:sz="6" w:space="0"/>
            </w:tcBorders>
            <w:vAlign w:val="center"/>
          </w:tcPr>
          <w:p w14:paraId="74C92155">
            <w:pPr>
              <w:spacing w:line="320" w:lineRule="exact"/>
              <w:jc w:val="center"/>
              <w:rPr>
                <w:rFonts w:eastAsiaTheme="minorEastAsia"/>
                <w:szCs w:val="21"/>
              </w:rPr>
            </w:pPr>
            <w:r>
              <w:rPr>
                <w:rFonts w:eastAsiaTheme="minorEastAsia"/>
                <w:szCs w:val="21"/>
              </w:rPr>
              <w:t>G1</w:t>
            </w:r>
          </w:p>
        </w:tc>
        <w:tc>
          <w:tcPr>
            <w:tcW w:w="1629" w:type="dxa"/>
            <w:tcBorders>
              <w:top w:val="single" w:color="auto" w:sz="6" w:space="0"/>
              <w:left w:val="single" w:color="auto" w:sz="6" w:space="0"/>
              <w:bottom w:val="single" w:color="auto" w:sz="6" w:space="0"/>
              <w:right w:val="single" w:color="auto" w:sz="6" w:space="0"/>
            </w:tcBorders>
            <w:vAlign w:val="center"/>
          </w:tcPr>
          <w:p w14:paraId="41EF2FF2">
            <w:pPr>
              <w:spacing w:line="320" w:lineRule="atLeast"/>
              <w:jc w:val="center"/>
              <w:rPr>
                <w:spacing w:val="-10"/>
                <w:szCs w:val="21"/>
                <w:highlight w:val="yellow"/>
              </w:rPr>
            </w:pPr>
            <w:r>
              <w:rPr>
                <w:rFonts w:hint="eastAsia"/>
                <w:spacing w:val="-10"/>
                <w:szCs w:val="21"/>
              </w:rPr>
              <w:t>园区生产集中区</w:t>
            </w:r>
          </w:p>
        </w:tc>
        <w:tc>
          <w:tcPr>
            <w:tcW w:w="1809" w:type="dxa"/>
            <w:vMerge w:val="restart"/>
            <w:tcBorders>
              <w:top w:val="single" w:color="auto" w:sz="6" w:space="0"/>
              <w:left w:val="single" w:color="auto" w:sz="6" w:space="0"/>
              <w:right w:val="single" w:color="auto" w:sz="6" w:space="0"/>
            </w:tcBorders>
            <w:vAlign w:val="center"/>
          </w:tcPr>
          <w:p w14:paraId="2BB70200">
            <w:pPr>
              <w:spacing w:line="320" w:lineRule="exact"/>
              <w:jc w:val="center"/>
              <w:rPr>
                <w:rFonts w:eastAsiaTheme="minorEastAsia"/>
                <w:szCs w:val="21"/>
                <w:highlight w:val="yellow"/>
              </w:rPr>
            </w:pP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23</w:t>
            </w:r>
            <w:r>
              <w:rPr>
                <w:rFonts w:hint="eastAsia" w:eastAsiaTheme="minorEastAsia"/>
                <w:szCs w:val="21"/>
              </w:rPr>
              <w:t>日</w:t>
            </w: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29</w:t>
            </w:r>
            <w:r>
              <w:rPr>
                <w:rFonts w:hint="eastAsia" w:eastAsiaTheme="minorEastAsia"/>
                <w:szCs w:val="21"/>
              </w:rPr>
              <w:t>日</w:t>
            </w:r>
          </w:p>
        </w:tc>
        <w:tc>
          <w:tcPr>
            <w:tcW w:w="1086" w:type="dxa"/>
            <w:vMerge w:val="restart"/>
            <w:tcBorders>
              <w:top w:val="single" w:color="auto" w:sz="6" w:space="0"/>
              <w:left w:val="single" w:color="auto" w:sz="6" w:space="0"/>
              <w:right w:val="single" w:color="auto" w:sz="6" w:space="0"/>
            </w:tcBorders>
            <w:vAlign w:val="center"/>
          </w:tcPr>
          <w:p w14:paraId="4DF33AD6">
            <w:pPr>
              <w:spacing w:line="320" w:lineRule="exact"/>
              <w:jc w:val="center"/>
              <w:rPr>
                <w:rFonts w:eastAsiaTheme="minorEastAsia"/>
                <w:kern w:val="20"/>
                <w:szCs w:val="21"/>
              </w:rPr>
            </w:pPr>
            <w:r>
              <w:rPr>
                <w:rFonts w:eastAsiaTheme="minorEastAsia"/>
                <w:kern w:val="20"/>
                <w:szCs w:val="21"/>
              </w:rPr>
              <w:t>TSP</w:t>
            </w:r>
          </w:p>
        </w:tc>
        <w:tc>
          <w:tcPr>
            <w:tcW w:w="1700" w:type="dxa"/>
            <w:vMerge w:val="restart"/>
            <w:tcBorders>
              <w:top w:val="single" w:color="auto" w:sz="6" w:space="0"/>
              <w:left w:val="single" w:color="auto" w:sz="6" w:space="0"/>
              <w:right w:val="single" w:color="auto" w:sz="12" w:space="0"/>
            </w:tcBorders>
            <w:vAlign w:val="center"/>
          </w:tcPr>
          <w:p w14:paraId="5F06939E">
            <w:pPr>
              <w:spacing w:line="320" w:lineRule="exact"/>
              <w:jc w:val="center"/>
              <w:rPr>
                <w:rFonts w:eastAsiaTheme="minorEastAsia"/>
                <w:szCs w:val="21"/>
              </w:rPr>
            </w:pPr>
            <w:r>
              <w:rPr>
                <w:rFonts w:hint="eastAsia" w:eastAsiaTheme="minorEastAsia"/>
                <w:szCs w:val="21"/>
              </w:rPr>
              <w:t>续采样</w:t>
            </w:r>
            <w:r>
              <w:rPr>
                <w:rFonts w:eastAsiaTheme="minorEastAsia"/>
                <w:szCs w:val="21"/>
              </w:rPr>
              <w:t>7</w:t>
            </w:r>
            <w:r>
              <w:rPr>
                <w:rFonts w:hint="eastAsia" w:eastAsiaTheme="minorEastAsia"/>
                <w:szCs w:val="21"/>
              </w:rPr>
              <w:t>天，监测日均值</w:t>
            </w:r>
          </w:p>
        </w:tc>
      </w:tr>
      <w:tr w14:paraId="124C6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continue"/>
            <w:tcBorders>
              <w:left w:val="single" w:color="auto" w:sz="12" w:space="0"/>
              <w:bottom w:val="single" w:color="auto" w:sz="6" w:space="0"/>
              <w:right w:val="single" w:color="auto" w:sz="6" w:space="0"/>
            </w:tcBorders>
            <w:vAlign w:val="center"/>
          </w:tcPr>
          <w:p w14:paraId="4471A4EA">
            <w:pPr>
              <w:spacing w:line="320" w:lineRule="exact"/>
              <w:jc w:val="center"/>
              <w:rPr>
                <w:rFonts w:eastAsiaTheme="minorEastAsia"/>
                <w:szCs w:val="21"/>
              </w:rPr>
            </w:pPr>
          </w:p>
        </w:tc>
        <w:tc>
          <w:tcPr>
            <w:tcW w:w="904" w:type="dxa"/>
            <w:tcBorders>
              <w:top w:val="single" w:color="auto" w:sz="6" w:space="0"/>
              <w:left w:val="single" w:color="auto" w:sz="6" w:space="0"/>
              <w:bottom w:val="single" w:color="auto" w:sz="6" w:space="0"/>
              <w:right w:val="single" w:color="auto" w:sz="6" w:space="0"/>
            </w:tcBorders>
            <w:vAlign w:val="center"/>
          </w:tcPr>
          <w:p w14:paraId="58215A42">
            <w:pPr>
              <w:spacing w:line="320" w:lineRule="exact"/>
              <w:jc w:val="center"/>
              <w:rPr>
                <w:rFonts w:eastAsiaTheme="minorEastAsia"/>
                <w:szCs w:val="21"/>
              </w:rPr>
            </w:pPr>
            <w:r>
              <w:rPr>
                <w:rFonts w:eastAsiaTheme="minorEastAsia"/>
                <w:szCs w:val="21"/>
              </w:rPr>
              <w:t>G</w:t>
            </w:r>
            <w:r>
              <w:rPr>
                <w:rFonts w:hint="eastAsia" w:eastAsiaTheme="minorEastAsia"/>
                <w:szCs w:val="21"/>
              </w:rPr>
              <w:t>2</w:t>
            </w:r>
          </w:p>
        </w:tc>
        <w:tc>
          <w:tcPr>
            <w:tcW w:w="1629" w:type="dxa"/>
            <w:tcBorders>
              <w:top w:val="single" w:color="auto" w:sz="6" w:space="0"/>
              <w:left w:val="single" w:color="auto" w:sz="6" w:space="0"/>
              <w:bottom w:val="single" w:color="auto" w:sz="6" w:space="0"/>
              <w:right w:val="single" w:color="auto" w:sz="6" w:space="0"/>
            </w:tcBorders>
            <w:vAlign w:val="center"/>
          </w:tcPr>
          <w:p w14:paraId="2E7CE0DC">
            <w:pPr>
              <w:spacing w:line="320" w:lineRule="atLeast"/>
              <w:jc w:val="center"/>
              <w:rPr>
                <w:spacing w:val="-10"/>
                <w:szCs w:val="21"/>
                <w:highlight w:val="yellow"/>
              </w:rPr>
            </w:pPr>
            <w:r>
              <w:rPr>
                <w:rFonts w:hint="eastAsia"/>
                <w:spacing w:val="-10"/>
                <w:szCs w:val="21"/>
              </w:rPr>
              <w:t>吴山镇</w:t>
            </w:r>
          </w:p>
        </w:tc>
        <w:tc>
          <w:tcPr>
            <w:tcW w:w="1809" w:type="dxa"/>
            <w:vMerge w:val="continue"/>
            <w:tcBorders>
              <w:left w:val="single" w:color="auto" w:sz="6" w:space="0"/>
              <w:bottom w:val="single" w:color="auto" w:sz="6" w:space="0"/>
              <w:right w:val="single" w:color="auto" w:sz="6" w:space="0"/>
            </w:tcBorders>
            <w:vAlign w:val="center"/>
          </w:tcPr>
          <w:p w14:paraId="00F20B03">
            <w:pPr>
              <w:spacing w:line="320" w:lineRule="exact"/>
              <w:jc w:val="center"/>
              <w:rPr>
                <w:rFonts w:eastAsiaTheme="minorEastAsia"/>
                <w:szCs w:val="21"/>
              </w:rPr>
            </w:pPr>
          </w:p>
        </w:tc>
        <w:tc>
          <w:tcPr>
            <w:tcW w:w="1086" w:type="dxa"/>
            <w:vMerge w:val="continue"/>
            <w:tcBorders>
              <w:left w:val="single" w:color="auto" w:sz="6" w:space="0"/>
              <w:bottom w:val="single" w:color="auto" w:sz="6" w:space="0"/>
              <w:right w:val="single" w:color="auto" w:sz="6" w:space="0"/>
            </w:tcBorders>
            <w:vAlign w:val="center"/>
          </w:tcPr>
          <w:p w14:paraId="198ABDBF">
            <w:pPr>
              <w:spacing w:line="320" w:lineRule="exact"/>
              <w:jc w:val="center"/>
              <w:rPr>
                <w:rFonts w:eastAsiaTheme="minorEastAsia"/>
                <w:kern w:val="20"/>
                <w:szCs w:val="21"/>
              </w:rPr>
            </w:pPr>
          </w:p>
        </w:tc>
        <w:tc>
          <w:tcPr>
            <w:tcW w:w="1700" w:type="dxa"/>
            <w:vMerge w:val="continue"/>
            <w:tcBorders>
              <w:left w:val="single" w:color="auto" w:sz="6" w:space="0"/>
              <w:bottom w:val="single" w:color="auto" w:sz="6" w:space="0"/>
              <w:right w:val="single" w:color="auto" w:sz="12" w:space="0"/>
            </w:tcBorders>
            <w:vAlign w:val="center"/>
          </w:tcPr>
          <w:p w14:paraId="0B8E840E">
            <w:pPr>
              <w:spacing w:line="320" w:lineRule="exact"/>
              <w:jc w:val="center"/>
              <w:rPr>
                <w:rFonts w:eastAsiaTheme="minorEastAsia"/>
                <w:szCs w:val="21"/>
              </w:rPr>
            </w:pPr>
          </w:p>
        </w:tc>
      </w:tr>
      <w:tr w14:paraId="2864C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restart"/>
            <w:tcBorders>
              <w:top w:val="single" w:color="auto" w:sz="6" w:space="0"/>
              <w:left w:val="single" w:color="auto" w:sz="12" w:space="0"/>
              <w:bottom w:val="single" w:color="auto" w:sz="6" w:space="0"/>
              <w:right w:val="single" w:color="auto" w:sz="6" w:space="0"/>
            </w:tcBorders>
            <w:vAlign w:val="center"/>
          </w:tcPr>
          <w:p w14:paraId="0942D109">
            <w:pPr>
              <w:spacing w:line="320" w:lineRule="exact"/>
              <w:jc w:val="center"/>
              <w:rPr>
                <w:rFonts w:eastAsiaTheme="minorEastAsia"/>
                <w:szCs w:val="21"/>
              </w:rPr>
            </w:pPr>
            <w:r>
              <w:rPr>
                <w:rFonts w:eastAsiaTheme="minorEastAsia"/>
                <w:szCs w:val="21"/>
              </w:rPr>
              <w:t>万和石材产业园</w:t>
            </w:r>
          </w:p>
        </w:tc>
        <w:tc>
          <w:tcPr>
            <w:tcW w:w="904" w:type="dxa"/>
            <w:tcBorders>
              <w:top w:val="single" w:color="auto" w:sz="6" w:space="0"/>
              <w:left w:val="single" w:color="auto" w:sz="6" w:space="0"/>
              <w:bottom w:val="single" w:color="auto" w:sz="6" w:space="0"/>
              <w:right w:val="single" w:color="auto" w:sz="6" w:space="0"/>
            </w:tcBorders>
            <w:vAlign w:val="center"/>
          </w:tcPr>
          <w:p w14:paraId="3869C6A1">
            <w:pPr>
              <w:spacing w:line="320" w:lineRule="exact"/>
              <w:jc w:val="center"/>
              <w:rPr>
                <w:rFonts w:eastAsiaTheme="minorEastAsia"/>
                <w:szCs w:val="21"/>
              </w:rPr>
            </w:pPr>
            <w:r>
              <w:rPr>
                <w:rFonts w:eastAsiaTheme="minorEastAsia"/>
                <w:szCs w:val="21"/>
              </w:rPr>
              <w:t>G1</w:t>
            </w:r>
          </w:p>
        </w:tc>
        <w:tc>
          <w:tcPr>
            <w:tcW w:w="1629" w:type="dxa"/>
            <w:tcBorders>
              <w:top w:val="single" w:color="auto" w:sz="6" w:space="0"/>
              <w:left w:val="single" w:color="auto" w:sz="6" w:space="0"/>
              <w:bottom w:val="single" w:color="auto" w:sz="6" w:space="0"/>
              <w:right w:val="single" w:color="auto" w:sz="6" w:space="0"/>
            </w:tcBorders>
            <w:vAlign w:val="center"/>
          </w:tcPr>
          <w:p w14:paraId="1A10004C">
            <w:pPr>
              <w:spacing w:line="320" w:lineRule="atLeast"/>
              <w:jc w:val="center"/>
              <w:rPr>
                <w:spacing w:val="-10"/>
                <w:szCs w:val="21"/>
                <w:highlight w:val="yellow"/>
              </w:rPr>
            </w:pPr>
            <w:r>
              <w:rPr>
                <w:rFonts w:hint="eastAsia"/>
                <w:spacing w:val="-10"/>
                <w:szCs w:val="21"/>
              </w:rPr>
              <w:t>南部片区外空地</w:t>
            </w:r>
          </w:p>
        </w:tc>
        <w:tc>
          <w:tcPr>
            <w:tcW w:w="1809" w:type="dxa"/>
            <w:vMerge w:val="restart"/>
            <w:tcBorders>
              <w:top w:val="single" w:color="auto" w:sz="6" w:space="0"/>
              <w:left w:val="single" w:color="auto" w:sz="6" w:space="0"/>
              <w:bottom w:val="single" w:color="auto" w:sz="6" w:space="0"/>
              <w:right w:val="single" w:color="auto" w:sz="6" w:space="0"/>
            </w:tcBorders>
            <w:vAlign w:val="center"/>
          </w:tcPr>
          <w:p w14:paraId="3F6050DA">
            <w:pPr>
              <w:spacing w:line="320" w:lineRule="exact"/>
              <w:jc w:val="center"/>
              <w:rPr>
                <w:rFonts w:eastAsiaTheme="minorEastAsia"/>
                <w:szCs w:val="21"/>
                <w:highlight w:val="yellow"/>
              </w:rPr>
            </w:pP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23</w:t>
            </w:r>
            <w:r>
              <w:rPr>
                <w:rFonts w:hint="eastAsia" w:eastAsiaTheme="minorEastAsia"/>
                <w:szCs w:val="21"/>
              </w:rPr>
              <w:t>日</w:t>
            </w: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29</w:t>
            </w:r>
            <w:r>
              <w:rPr>
                <w:rFonts w:hint="eastAsia" w:eastAsiaTheme="minorEastAsia"/>
                <w:szCs w:val="21"/>
              </w:rPr>
              <w:t>日</w:t>
            </w:r>
          </w:p>
        </w:tc>
        <w:tc>
          <w:tcPr>
            <w:tcW w:w="1086" w:type="dxa"/>
            <w:vMerge w:val="restart"/>
            <w:tcBorders>
              <w:top w:val="single" w:color="auto" w:sz="6" w:space="0"/>
              <w:left w:val="single" w:color="auto" w:sz="6" w:space="0"/>
              <w:bottom w:val="single" w:color="auto" w:sz="6" w:space="0"/>
              <w:right w:val="single" w:color="auto" w:sz="6" w:space="0"/>
            </w:tcBorders>
            <w:vAlign w:val="center"/>
          </w:tcPr>
          <w:p w14:paraId="57533CE2">
            <w:pPr>
              <w:spacing w:line="320" w:lineRule="exact"/>
              <w:jc w:val="center"/>
              <w:rPr>
                <w:rFonts w:eastAsiaTheme="minorEastAsia"/>
                <w:kern w:val="20"/>
                <w:szCs w:val="21"/>
              </w:rPr>
            </w:pPr>
            <w:r>
              <w:rPr>
                <w:rFonts w:eastAsiaTheme="minorEastAsia"/>
                <w:kern w:val="20"/>
                <w:szCs w:val="21"/>
              </w:rPr>
              <w:t>TSP</w:t>
            </w:r>
          </w:p>
        </w:tc>
        <w:tc>
          <w:tcPr>
            <w:tcW w:w="1700" w:type="dxa"/>
            <w:vMerge w:val="restart"/>
            <w:tcBorders>
              <w:top w:val="single" w:color="auto" w:sz="6" w:space="0"/>
              <w:left w:val="single" w:color="auto" w:sz="6" w:space="0"/>
              <w:bottom w:val="single" w:color="auto" w:sz="6" w:space="0"/>
              <w:right w:val="single" w:color="auto" w:sz="12" w:space="0"/>
            </w:tcBorders>
            <w:vAlign w:val="center"/>
          </w:tcPr>
          <w:p w14:paraId="7F2F2C99">
            <w:pPr>
              <w:spacing w:line="320" w:lineRule="exact"/>
              <w:jc w:val="center"/>
              <w:rPr>
                <w:rFonts w:eastAsiaTheme="minorEastAsia"/>
                <w:szCs w:val="21"/>
              </w:rPr>
            </w:pPr>
            <w:r>
              <w:rPr>
                <w:rFonts w:hint="eastAsia" w:eastAsiaTheme="minorEastAsia"/>
                <w:szCs w:val="21"/>
              </w:rPr>
              <w:t>续采样</w:t>
            </w:r>
            <w:r>
              <w:rPr>
                <w:rFonts w:eastAsiaTheme="minorEastAsia"/>
                <w:szCs w:val="21"/>
              </w:rPr>
              <w:t>7</w:t>
            </w:r>
            <w:r>
              <w:rPr>
                <w:rFonts w:hint="eastAsia" w:eastAsiaTheme="minorEastAsia"/>
                <w:szCs w:val="21"/>
              </w:rPr>
              <w:t>天，监测日均值</w:t>
            </w:r>
          </w:p>
        </w:tc>
      </w:tr>
      <w:tr w14:paraId="71F95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continue"/>
            <w:tcBorders>
              <w:top w:val="single" w:color="auto" w:sz="6" w:space="0"/>
              <w:left w:val="single" w:color="auto" w:sz="12" w:space="0"/>
              <w:bottom w:val="single" w:color="auto" w:sz="6" w:space="0"/>
              <w:right w:val="single" w:color="auto" w:sz="6" w:space="0"/>
            </w:tcBorders>
            <w:vAlign w:val="center"/>
          </w:tcPr>
          <w:p w14:paraId="78BA9E5B">
            <w:pPr>
              <w:widowControl/>
              <w:spacing w:line="320" w:lineRule="exact"/>
              <w:jc w:val="left"/>
              <w:rPr>
                <w:rFonts w:eastAsiaTheme="minorEastAsia"/>
                <w:szCs w:val="21"/>
              </w:rPr>
            </w:pPr>
          </w:p>
        </w:tc>
        <w:tc>
          <w:tcPr>
            <w:tcW w:w="904" w:type="dxa"/>
            <w:tcBorders>
              <w:top w:val="single" w:color="auto" w:sz="6" w:space="0"/>
              <w:left w:val="single" w:color="auto" w:sz="6" w:space="0"/>
              <w:bottom w:val="single" w:color="auto" w:sz="6" w:space="0"/>
              <w:right w:val="single" w:color="auto" w:sz="6" w:space="0"/>
            </w:tcBorders>
            <w:vAlign w:val="center"/>
          </w:tcPr>
          <w:p w14:paraId="694AD6BA">
            <w:pPr>
              <w:spacing w:line="320" w:lineRule="exact"/>
              <w:jc w:val="center"/>
              <w:rPr>
                <w:rFonts w:eastAsiaTheme="minorEastAsia"/>
                <w:szCs w:val="21"/>
              </w:rPr>
            </w:pPr>
            <w:r>
              <w:rPr>
                <w:rFonts w:eastAsiaTheme="minorEastAsia"/>
                <w:szCs w:val="21"/>
              </w:rPr>
              <w:t>G2</w:t>
            </w:r>
          </w:p>
        </w:tc>
        <w:tc>
          <w:tcPr>
            <w:tcW w:w="1629" w:type="dxa"/>
            <w:tcBorders>
              <w:top w:val="single" w:color="auto" w:sz="6" w:space="0"/>
              <w:left w:val="single" w:color="auto" w:sz="6" w:space="0"/>
              <w:bottom w:val="single" w:color="auto" w:sz="6" w:space="0"/>
              <w:right w:val="single" w:color="auto" w:sz="6" w:space="0"/>
            </w:tcBorders>
            <w:vAlign w:val="center"/>
          </w:tcPr>
          <w:p w14:paraId="278CC710">
            <w:pPr>
              <w:spacing w:line="320" w:lineRule="atLeast"/>
              <w:jc w:val="center"/>
              <w:rPr>
                <w:spacing w:val="-10"/>
                <w:szCs w:val="21"/>
                <w:highlight w:val="yellow"/>
              </w:rPr>
            </w:pPr>
            <w:r>
              <w:rPr>
                <w:rFonts w:hint="eastAsia"/>
                <w:spacing w:val="-10"/>
                <w:szCs w:val="21"/>
              </w:rPr>
              <w:t>宏源石业场地内</w:t>
            </w:r>
          </w:p>
        </w:tc>
        <w:tc>
          <w:tcPr>
            <w:tcW w:w="1809" w:type="dxa"/>
            <w:vMerge w:val="continue"/>
            <w:tcBorders>
              <w:top w:val="single" w:color="auto" w:sz="6" w:space="0"/>
              <w:left w:val="single" w:color="auto" w:sz="6" w:space="0"/>
              <w:bottom w:val="single" w:color="auto" w:sz="6" w:space="0"/>
              <w:right w:val="single" w:color="auto" w:sz="6" w:space="0"/>
            </w:tcBorders>
            <w:vAlign w:val="center"/>
          </w:tcPr>
          <w:p w14:paraId="48114330">
            <w:pPr>
              <w:widowControl/>
              <w:spacing w:line="320" w:lineRule="exact"/>
              <w:jc w:val="left"/>
              <w:rPr>
                <w:rFonts w:eastAsiaTheme="minorEastAsia"/>
                <w:szCs w:val="21"/>
                <w:highlight w:val="yellow"/>
              </w:rPr>
            </w:pPr>
          </w:p>
        </w:tc>
        <w:tc>
          <w:tcPr>
            <w:tcW w:w="1086" w:type="dxa"/>
            <w:vMerge w:val="continue"/>
            <w:tcBorders>
              <w:top w:val="single" w:color="auto" w:sz="6" w:space="0"/>
              <w:left w:val="single" w:color="auto" w:sz="6" w:space="0"/>
              <w:bottom w:val="single" w:color="auto" w:sz="6" w:space="0"/>
              <w:right w:val="single" w:color="auto" w:sz="6" w:space="0"/>
            </w:tcBorders>
            <w:vAlign w:val="center"/>
          </w:tcPr>
          <w:p w14:paraId="072FDC62">
            <w:pPr>
              <w:widowControl/>
              <w:spacing w:line="320" w:lineRule="exact"/>
              <w:jc w:val="left"/>
              <w:rPr>
                <w:rFonts w:eastAsiaTheme="minorEastAsia"/>
                <w:kern w:val="20"/>
                <w:szCs w:val="21"/>
              </w:rPr>
            </w:pPr>
          </w:p>
        </w:tc>
        <w:tc>
          <w:tcPr>
            <w:tcW w:w="1700" w:type="dxa"/>
            <w:vMerge w:val="continue"/>
            <w:tcBorders>
              <w:top w:val="single" w:color="auto" w:sz="6" w:space="0"/>
              <w:left w:val="single" w:color="auto" w:sz="6" w:space="0"/>
              <w:bottom w:val="single" w:color="auto" w:sz="6" w:space="0"/>
              <w:right w:val="single" w:color="auto" w:sz="12" w:space="0"/>
            </w:tcBorders>
            <w:vAlign w:val="center"/>
          </w:tcPr>
          <w:p w14:paraId="18C8932C">
            <w:pPr>
              <w:widowControl/>
              <w:spacing w:line="320" w:lineRule="exact"/>
              <w:jc w:val="left"/>
              <w:rPr>
                <w:rFonts w:eastAsiaTheme="minorEastAsia"/>
                <w:szCs w:val="21"/>
              </w:rPr>
            </w:pPr>
          </w:p>
        </w:tc>
      </w:tr>
      <w:tr w14:paraId="2746D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continue"/>
            <w:tcBorders>
              <w:top w:val="single" w:color="auto" w:sz="6" w:space="0"/>
              <w:left w:val="single" w:color="auto" w:sz="12" w:space="0"/>
              <w:bottom w:val="single" w:color="auto" w:sz="6" w:space="0"/>
              <w:right w:val="single" w:color="auto" w:sz="6" w:space="0"/>
            </w:tcBorders>
            <w:vAlign w:val="center"/>
          </w:tcPr>
          <w:p w14:paraId="658D18E2">
            <w:pPr>
              <w:widowControl/>
              <w:spacing w:line="320" w:lineRule="exact"/>
              <w:jc w:val="left"/>
              <w:rPr>
                <w:rFonts w:eastAsiaTheme="minorEastAsia"/>
                <w:szCs w:val="21"/>
              </w:rPr>
            </w:pPr>
          </w:p>
        </w:tc>
        <w:tc>
          <w:tcPr>
            <w:tcW w:w="904" w:type="dxa"/>
            <w:tcBorders>
              <w:top w:val="single" w:color="auto" w:sz="6" w:space="0"/>
              <w:left w:val="single" w:color="auto" w:sz="6" w:space="0"/>
              <w:bottom w:val="single" w:color="auto" w:sz="6" w:space="0"/>
              <w:right w:val="single" w:color="auto" w:sz="6" w:space="0"/>
            </w:tcBorders>
            <w:vAlign w:val="center"/>
          </w:tcPr>
          <w:p w14:paraId="5FDA4A7D">
            <w:pPr>
              <w:spacing w:line="320" w:lineRule="exact"/>
              <w:jc w:val="center"/>
              <w:rPr>
                <w:rFonts w:eastAsiaTheme="minorEastAsia"/>
                <w:szCs w:val="21"/>
              </w:rPr>
            </w:pPr>
            <w:r>
              <w:rPr>
                <w:rFonts w:eastAsiaTheme="minorEastAsia"/>
                <w:szCs w:val="21"/>
              </w:rPr>
              <w:t>G3</w:t>
            </w:r>
          </w:p>
        </w:tc>
        <w:tc>
          <w:tcPr>
            <w:tcW w:w="1629" w:type="dxa"/>
            <w:tcBorders>
              <w:top w:val="single" w:color="auto" w:sz="6" w:space="0"/>
              <w:left w:val="single" w:color="auto" w:sz="6" w:space="0"/>
              <w:bottom w:val="single" w:color="auto" w:sz="6" w:space="0"/>
              <w:right w:val="single" w:color="auto" w:sz="6" w:space="0"/>
            </w:tcBorders>
            <w:vAlign w:val="center"/>
          </w:tcPr>
          <w:p w14:paraId="4935D570">
            <w:pPr>
              <w:spacing w:line="320" w:lineRule="atLeast"/>
              <w:jc w:val="center"/>
              <w:rPr>
                <w:spacing w:val="-10"/>
                <w:szCs w:val="21"/>
                <w:highlight w:val="yellow"/>
              </w:rPr>
            </w:pPr>
            <w:r>
              <w:rPr>
                <w:rFonts w:hint="eastAsia"/>
                <w:spacing w:val="-10"/>
                <w:szCs w:val="21"/>
              </w:rPr>
              <w:t>联鑫石业西北侧空地</w:t>
            </w:r>
          </w:p>
        </w:tc>
        <w:tc>
          <w:tcPr>
            <w:tcW w:w="1809" w:type="dxa"/>
            <w:vMerge w:val="continue"/>
            <w:tcBorders>
              <w:top w:val="single" w:color="auto" w:sz="6" w:space="0"/>
              <w:left w:val="single" w:color="auto" w:sz="6" w:space="0"/>
              <w:bottom w:val="single" w:color="auto" w:sz="6" w:space="0"/>
              <w:right w:val="single" w:color="auto" w:sz="6" w:space="0"/>
            </w:tcBorders>
            <w:vAlign w:val="center"/>
          </w:tcPr>
          <w:p w14:paraId="588CB5C3">
            <w:pPr>
              <w:widowControl/>
              <w:spacing w:line="320" w:lineRule="exact"/>
              <w:jc w:val="left"/>
              <w:rPr>
                <w:rFonts w:eastAsiaTheme="minorEastAsia"/>
                <w:szCs w:val="21"/>
                <w:highlight w:val="yellow"/>
              </w:rPr>
            </w:pPr>
          </w:p>
        </w:tc>
        <w:tc>
          <w:tcPr>
            <w:tcW w:w="1086" w:type="dxa"/>
            <w:vMerge w:val="continue"/>
            <w:tcBorders>
              <w:top w:val="single" w:color="auto" w:sz="6" w:space="0"/>
              <w:left w:val="single" w:color="auto" w:sz="6" w:space="0"/>
              <w:bottom w:val="single" w:color="auto" w:sz="6" w:space="0"/>
              <w:right w:val="single" w:color="auto" w:sz="6" w:space="0"/>
            </w:tcBorders>
            <w:vAlign w:val="center"/>
          </w:tcPr>
          <w:p w14:paraId="260201D6">
            <w:pPr>
              <w:widowControl/>
              <w:spacing w:line="320" w:lineRule="exact"/>
              <w:jc w:val="left"/>
              <w:rPr>
                <w:rFonts w:eastAsiaTheme="minorEastAsia"/>
                <w:kern w:val="20"/>
                <w:szCs w:val="21"/>
              </w:rPr>
            </w:pPr>
          </w:p>
        </w:tc>
        <w:tc>
          <w:tcPr>
            <w:tcW w:w="1700" w:type="dxa"/>
            <w:vMerge w:val="continue"/>
            <w:tcBorders>
              <w:top w:val="single" w:color="auto" w:sz="6" w:space="0"/>
              <w:left w:val="single" w:color="auto" w:sz="6" w:space="0"/>
              <w:bottom w:val="single" w:color="auto" w:sz="6" w:space="0"/>
              <w:right w:val="single" w:color="auto" w:sz="12" w:space="0"/>
            </w:tcBorders>
            <w:vAlign w:val="center"/>
          </w:tcPr>
          <w:p w14:paraId="36F083ED">
            <w:pPr>
              <w:widowControl/>
              <w:spacing w:line="320" w:lineRule="exact"/>
              <w:jc w:val="left"/>
              <w:rPr>
                <w:rFonts w:eastAsiaTheme="minorEastAsia"/>
                <w:szCs w:val="21"/>
              </w:rPr>
            </w:pPr>
          </w:p>
        </w:tc>
      </w:tr>
      <w:tr w14:paraId="22948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restart"/>
            <w:tcBorders>
              <w:top w:val="single" w:color="auto" w:sz="6" w:space="0"/>
              <w:left w:val="single" w:color="auto" w:sz="12" w:space="0"/>
              <w:bottom w:val="single" w:color="auto" w:sz="6" w:space="0"/>
              <w:right w:val="single" w:color="auto" w:sz="6" w:space="0"/>
            </w:tcBorders>
            <w:vAlign w:val="center"/>
          </w:tcPr>
          <w:p w14:paraId="23DD5148">
            <w:pPr>
              <w:spacing w:line="320" w:lineRule="exact"/>
              <w:jc w:val="center"/>
              <w:rPr>
                <w:rFonts w:eastAsiaTheme="minorEastAsia"/>
                <w:szCs w:val="21"/>
              </w:rPr>
            </w:pPr>
            <w:r>
              <w:rPr>
                <w:rFonts w:hint="eastAsia" w:eastAsiaTheme="minorEastAsia"/>
                <w:szCs w:val="21"/>
              </w:rPr>
              <w:t>太白顶石材产业园</w:t>
            </w:r>
          </w:p>
        </w:tc>
        <w:tc>
          <w:tcPr>
            <w:tcW w:w="904" w:type="dxa"/>
            <w:tcBorders>
              <w:top w:val="single" w:color="auto" w:sz="6" w:space="0"/>
              <w:left w:val="single" w:color="auto" w:sz="6" w:space="0"/>
              <w:bottom w:val="single" w:color="auto" w:sz="6" w:space="0"/>
              <w:right w:val="single" w:color="auto" w:sz="6" w:space="0"/>
            </w:tcBorders>
            <w:vAlign w:val="center"/>
          </w:tcPr>
          <w:p w14:paraId="134EFEF7">
            <w:pPr>
              <w:spacing w:line="320" w:lineRule="exact"/>
              <w:jc w:val="center"/>
              <w:rPr>
                <w:rFonts w:eastAsiaTheme="minorEastAsia"/>
                <w:szCs w:val="21"/>
              </w:rPr>
            </w:pPr>
            <w:r>
              <w:rPr>
                <w:rFonts w:eastAsiaTheme="minorEastAsia"/>
                <w:szCs w:val="21"/>
              </w:rPr>
              <w:t>G1</w:t>
            </w:r>
          </w:p>
        </w:tc>
        <w:tc>
          <w:tcPr>
            <w:tcW w:w="1629" w:type="dxa"/>
            <w:tcBorders>
              <w:top w:val="single" w:color="auto" w:sz="6" w:space="0"/>
              <w:left w:val="single" w:color="auto" w:sz="6" w:space="0"/>
              <w:bottom w:val="single" w:color="auto" w:sz="6" w:space="0"/>
              <w:right w:val="single" w:color="auto" w:sz="6" w:space="0"/>
            </w:tcBorders>
            <w:vAlign w:val="center"/>
          </w:tcPr>
          <w:p w14:paraId="414143D5">
            <w:pPr>
              <w:spacing w:line="320" w:lineRule="exact"/>
              <w:jc w:val="center"/>
              <w:rPr>
                <w:spacing w:val="-10"/>
                <w:szCs w:val="21"/>
                <w:highlight w:val="yellow"/>
              </w:rPr>
            </w:pPr>
            <w:r>
              <w:rPr>
                <w:rFonts w:hint="eastAsia"/>
                <w:spacing w:val="-10"/>
                <w:szCs w:val="21"/>
              </w:rPr>
              <w:t>新城镇</w:t>
            </w:r>
          </w:p>
        </w:tc>
        <w:tc>
          <w:tcPr>
            <w:tcW w:w="1809" w:type="dxa"/>
            <w:vMerge w:val="restart"/>
            <w:tcBorders>
              <w:top w:val="single" w:color="auto" w:sz="6" w:space="0"/>
              <w:left w:val="single" w:color="auto" w:sz="6" w:space="0"/>
              <w:right w:val="single" w:color="auto" w:sz="6" w:space="0"/>
            </w:tcBorders>
            <w:vAlign w:val="center"/>
          </w:tcPr>
          <w:p w14:paraId="50180ACC">
            <w:pPr>
              <w:spacing w:line="320" w:lineRule="exact"/>
              <w:jc w:val="center"/>
              <w:rPr>
                <w:rFonts w:eastAsiaTheme="minorEastAsia"/>
                <w:szCs w:val="21"/>
                <w:highlight w:val="yellow"/>
              </w:rPr>
            </w:pP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23</w:t>
            </w:r>
            <w:r>
              <w:rPr>
                <w:rFonts w:hint="eastAsia" w:eastAsiaTheme="minorEastAsia"/>
                <w:szCs w:val="21"/>
              </w:rPr>
              <w:t>日</w:t>
            </w: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29</w:t>
            </w:r>
            <w:r>
              <w:rPr>
                <w:rFonts w:hint="eastAsia" w:eastAsiaTheme="minorEastAsia"/>
                <w:szCs w:val="21"/>
              </w:rPr>
              <w:t>日</w:t>
            </w:r>
          </w:p>
        </w:tc>
        <w:tc>
          <w:tcPr>
            <w:tcW w:w="1086" w:type="dxa"/>
            <w:vMerge w:val="restart"/>
            <w:tcBorders>
              <w:top w:val="single" w:color="auto" w:sz="6" w:space="0"/>
              <w:left w:val="single" w:color="auto" w:sz="6" w:space="0"/>
              <w:right w:val="single" w:color="auto" w:sz="6" w:space="0"/>
            </w:tcBorders>
            <w:vAlign w:val="center"/>
          </w:tcPr>
          <w:p w14:paraId="6AEED0A1">
            <w:pPr>
              <w:spacing w:line="320" w:lineRule="exact"/>
              <w:jc w:val="center"/>
              <w:rPr>
                <w:rFonts w:eastAsiaTheme="minorEastAsia"/>
                <w:kern w:val="20"/>
                <w:szCs w:val="21"/>
              </w:rPr>
            </w:pPr>
            <w:r>
              <w:rPr>
                <w:rFonts w:eastAsiaTheme="minorEastAsia"/>
                <w:kern w:val="20"/>
                <w:szCs w:val="21"/>
              </w:rPr>
              <w:t>TSP</w:t>
            </w:r>
          </w:p>
        </w:tc>
        <w:tc>
          <w:tcPr>
            <w:tcW w:w="1700" w:type="dxa"/>
            <w:vMerge w:val="restart"/>
            <w:tcBorders>
              <w:top w:val="single" w:color="auto" w:sz="6" w:space="0"/>
              <w:left w:val="single" w:color="auto" w:sz="6" w:space="0"/>
              <w:right w:val="single" w:color="auto" w:sz="12" w:space="0"/>
            </w:tcBorders>
            <w:vAlign w:val="center"/>
          </w:tcPr>
          <w:p w14:paraId="418043A6">
            <w:pPr>
              <w:spacing w:line="320" w:lineRule="exact"/>
              <w:jc w:val="center"/>
              <w:rPr>
                <w:rFonts w:eastAsiaTheme="minorEastAsia"/>
                <w:szCs w:val="21"/>
              </w:rPr>
            </w:pPr>
            <w:r>
              <w:rPr>
                <w:rFonts w:hint="eastAsia" w:eastAsiaTheme="minorEastAsia"/>
                <w:szCs w:val="21"/>
              </w:rPr>
              <w:t>续采样</w:t>
            </w:r>
            <w:r>
              <w:rPr>
                <w:rFonts w:eastAsiaTheme="minorEastAsia"/>
                <w:szCs w:val="21"/>
              </w:rPr>
              <w:t>7</w:t>
            </w:r>
            <w:r>
              <w:rPr>
                <w:rFonts w:hint="eastAsia" w:eastAsiaTheme="minorEastAsia"/>
                <w:szCs w:val="21"/>
              </w:rPr>
              <w:t>天，监测日均值</w:t>
            </w:r>
          </w:p>
        </w:tc>
      </w:tr>
      <w:tr w14:paraId="07E5B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continue"/>
            <w:tcBorders>
              <w:top w:val="single" w:color="auto" w:sz="6" w:space="0"/>
              <w:left w:val="single" w:color="auto" w:sz="12" w:space="0"/>
              <w:bottom w:val="single" w:color="auto" w:sz="6" w:space="0"/>
              <w:right w:val="single" w:color="auto" w:sz="6" w:space="0"/>
            </w:tcBorders>
            <w:vAlign w:val="center"/>
          </w:tcPr>
          <w:p w14:paraId="3DBD6A1B">
            <w:pPr>
              <w:widowControl/>
              <w:spacing w:line="320" w:lineRule="exact"/>
              <w:jc w:val="left"/>
              <w:rPr>
                <w:rFonts w:eastAsiaTheme="minorEastAsia"/>
                <w:szCs w:val="21"/>
              </w:rPr>
            </w:pPr>
          </w:p>
        </w:tc>
        <w:tc>
          <w:tcPr>
            <w:tcW w:w="904" w:type="dxa"/>
            <w:tcBorders>
              <w:top w:val="single" w:color="auto" w:sz="6" w:space="0"/>
              <w:left w:val="single" w:color="auto" w:sz="6" w:space="0"/>
              <w:bottom w:val="single" w:color="auto" w:sz="6" w:space="0"/>
              <w:right w:val="single" w:color="auto" w:sz="6" w:space="0"/>
            </w:tcBorders>
            <w:vAlign w:val="center"/>
          </w:tcPr>
          <w:p w14:paraId="547BA359">
            <w:pPr>
              <w:spacing w:line="320" w:lineRule="exact"/>
              <w:jc w:val="center"/>
              <w:rPr>
                <w:rFonts w:eastAsiaTheme="minorEastAsia"/>
                <w:szCs w:val="21"/>
              </w:rPr>
            </w:pPr>
            <w:r>
              <w:rPr>
                <w:rFonts w:eastAsiaTheme="minorEastAsia"/>
                <w:szCs w:val="21"/>
              </w:rPr>
              <w:t>G2</w:t>
            </w:r>
          </w:p>
        </w:tc>
        <w:tc>
          <w:tcPr>
            <w:tcW w:w="1629" w:type="dxa"/>
            <w:tcBorders>
              <w:top w:val="single" w:color="auto" w:sz="6" w:space="0"/>
              <w:left w:val="single" w:color="auto" w:sz="6" w:space="0"/>
              <w:bottom w:val="single" w:color="auto" w:sz="6" w:space="0"/>
              <w:right w:val="single" w:color="auto" w:sz="6" w:space="0"/>
            </w:tcBorders>
            <w:vAlign w:val="center"/>
          </w:tcPr>
          <w:p w14:paraId="082DA1D7">
            <w:pPr>
              <w:spacing w:line="320" w:lineRule="exact"/>
              <w:jc w:val="center"/>
              <w:rPr>
                <w:spacing w:val="-10"/>
                <w:szCs w:val="21"/>
                <w:highlight w:val="yellow"/>
              </w:rPr>
            </w:pPr>
            <w:r>
              <w:rPr>
                <w:rFonts w:hint="eastAsia"/>
                <w:spacing w:val="-10"/>
                <w:szCs w:val="21"/>
              </w:rPr>
              <w:t>鑫旺石材厂区</w:t>
            </w:r>
          </w:p>
        </w:tc>
        <w:tc>
          <w:tcPr>
            <w:tcW w:w="1809" w:type="dxa"/>
            <w:vMerge w:val="continue"/>
            <w:tcBorders>
              <w:left w:val="single" w:color="auto" w:sz="6" w:space="0"/>
              <w:right w:val="single" w:color="auto" w:sz="6" w:space="0"/>
            </w:tcBorders>
            <w:vAlign w:val="center"/>
          </w:tcPr>
          <w:p w14:paraId="41FB2E77">
            <w:pPr>
              <w:spacing w:line="320" w:lineRule="exact"/>
              <w:jc w:val="center"/>
              <w:rPr>
                <w:rFonts w:eastAsiaTheme="minorEastAsia"/>
                <w:szCs w:val="21"/>
              </w:rPr>
            </w:pPr>
          </w:p>
        </w:tc>
        <w:tc>
          <w:tcPr>
            <w:tcW w:w="1086" w:type="dxa"/>
            <w:vMerge w:val="continue"/>
            <w:tcBorders>
              <w:left w:val="single" w:color="auto" w:sz="6" w:space="0"/>
              <w:right w:val="single" w:color="auto" w:sz="6" w:space="0"/>
            </w:tcBorders>
            <w:vAlign w:val="center"/>
          </w:tcPr>
          <w:p w14:paraId="68B3942C">
            <w:pPr>
              <w:spacing w:line="320" w:lineRule="exact"/>
              <w:jc w:val="center"/>
              <w:rPr>
                <w:rFonts w:eastAsiaTheme="minorEastAsia"/>
                <w:kern w:val="20"/>
                <w:szCs w:val="21"/>
              </w:rPr>
            </w:pPr>
          </w:p>
        </w:tc>
        <w:tc>
          <w:tcPr>
            <w:tcW w:w="1700" w:type="dxa"/>
            <w:vMerge w:val="continue"/>
            <w:tcBorders>
              <w:left w:val="single" w:color="auto" w:sz="6" w:space="0"/>
              <w:right w:val="single" w:color="auto" w:sz="12" w:space="0"/>
            </w:tcBorders>
            <w:vAlign w:val="center"/>
          </w:tcPr>
          <w:p w14:paraId="5AE729B0">
            <w:pPr>
              <w:spacing w:line="320" w:lineRule="exact"/>
              <w:jc w:val="center"/>
              <w:rPr>
                <w:rFonts w:eastAsiaTheme="minorEastAsia"/>
                <w:szCs w:val="21"/>
              </w:rPr>
            </w:pPr>
          </w:p>
        </w:tc>
      </w:tr>
      <w:tr w14:paraId="7A8F1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continue"/>
            <w:tcBorders>
              <w:top w:val="single" w:color="auto" w:sz="6" w:space="0"/>
              <w:left w:val="single" w:color="auto" w:sz="12" w:space="0"/>
              <w:bottom w:val="single" w:color="auto" w:sz="6" w:space="0"/>
              <w:right w:val="single" w:color="auto" w:sz="6" w:space="0"/>
            </w:tcBorders>
            <w:vAlign w:val="center"/>
          </w:tcPr>
          <w:p w14:paraId="25A2F6AE">
            <w:pPr>
              <w:widowControl/>
              <w:spacing w:line="320" w:lineRule="exact"/>
              <w:jc w:val="left"/>
              <w:rPr>
                <w:rFonts w:eastAsiaTheme="minorEastAsia"/>
                <w:szCs w:val="21"/>
              </w:rPr>
            </w:pPr>
          </w:p>
        </w:tc>
        <w:tc>
          <w:tcPr>
            <w:tcW w:w="904" w:type="dxa"/>
            <w:tcBorders>
              <w:top w:val="single" w:color="auto" w:sz="6" w:space="0"/>
              <w:left w:val="single" w:color="auto" w:sz="6" w:space="0"/>
              <w:bottom w:val="single" w:color="auto" w:sz="6" w:space="0"/>
              <w:right w:val="single" w:color="auto" w:sz="6" w:space="0"/>
            </w:tcBorders>
            <w:vAlign w:val="center"/>
          </w:tcPr>
          <w:p w14:paraId="35770199">
            <w:pPr>
              <w:spacing w:line="320" w:lineRule="exact"/>
              <w:jc w:val="center"/>
              <w:rPr>
                <w:rFonts w:eastAsiaTheme="minorEastAsia"/>
                <w:szCs w:val="21"/>
              </w:rPr>
            </w:pPr>
            <w:r>
              <w:rPr>
                <w:rFonts w:eastAsiaTheme="minorEastAsia"/>
                <w:szCs w:val="21"/>
              </w:rPr>
              <w:t>G3</w:t>
            </w:r>
          </w:p>
        </w:tc>
        <w:tc>
          <w:tcPr>
            <w:tcW w:w="1629" w:type="dxa"/>
            <w:tcBorders>
              <w:top w:val="single" w:color="auto" w:sz="6" w:space="0"/>
              <w:left w:val="single" w:color="auto" w:sz="6" w:space="0"/>
              <w:bottom w:val="single" w:color="auto" w:sz="6" w:space="0"/>
              <w:right w:val="single" w:color="auto" w:sz="6" w:space="0"/>
            </w:tcBorders>
            <w:vAlign w:val="center"/>
          </w:tcPr>
          <w:p w14:paraId="40269A8D">
            <w:pPr>
              <w:spacing w:line="320" w:lineRule="exact"/>
              <w:jc w:val="center"/>
              <w:rPr>
                <w:spacing w:val="-10"/>
                <w:szCs w:val="21"/>
                <w:highlight w:val="yellow"/>
              </w:rPr>
            </w:pPr>
            <w:r>
              <w:rPr>
                <w:rFonts w:hint="eastAsia"/>
                <w:spacing w:val="-10"/>
                <w:szCs w:val="21"/>
              </w:rPr>
              <w:t>邓家西庄</w:t>
            </w:r>
          </w:p>
        </w:tc>
        <w:tc>
          <w:tcPr>
            <w:tcW w:w="1809" w:type="dxa"/>
            <w:vMerge w:val="continue"/>
            <w:tcBorders>
              <w:left w:val="single" w:color="auto" w:sz="6" w:space="0"/>
              <w:bottom w:val="single" w:color="auto" w:sz="6" w:space="0"/>
              <w:right w:val="single" w:color="auto" w:sz="6" w:space="0"/>
            </w:tcBorders>
            <w:vAlign w:val="center"/>
          </w:tcPr>
          <w:p w14:paraId="2A7739E3">
            <w:pPr>
              <w:spacing w:line="320" w:lineRule="exact"/>
              <w:jc w:val="center"/>
              <w:rPr>
                <w:rFonts w:eastAsiaTheme="minorEastAsia"/>
                <w:szCs w:val="21"/>
              </w:rPr>
            </w:pPr>
          </w:p>
        </w:tc>
        <w:tc>
          <w:tcPr>
            <w:tcW w:w="1086" w:type="dxa"/>
            <w:vMerge w:val="continue"/>
            <w:tcBorders>
              <w:left w:val="single" w:color="auto" w:sz="6" w:space="0"/>
              <w:bottom w:val="single" w:color="auto" w:sz="6" w:space="0"/>
              <w:right w:val="single" w:color="auto" w:sz="6" w:space="0"/>
            </w:tcBorders>
            <w:vAlign w:val="center"/>
          </w:tcPr>
          <w:p w14:paraId="04D199F6">
            <w:pPr>
              <w:spacing w:line="320" w:lineRule="exact"/>
              <w:jc w:val="center"/>
              <w:rPr>
                <w:rFonts w:eastAsiaTheme="minorEastAsia"/>
                <w:kern w:val="20"/>
                <w:szCs w:val="21"/>
              </w:rPr>
            </w:pPr>
          </w:p>
        </w:tc>
        <w:tc>
          <w:tcPr>
            <w:tcW w:w="1700" w:type="dxa"/>
            <w:vMerge w:val="continue"/>
            <w:tcBorders>
              <w:left w:val="single" w:color="auto" w:sz="6" w:space="0"/>
              <w:bottom w:val="single" w:color="auto" w:sz="6" w:space="0"/>
              <w:right w:val="single" w:color="auto" w:sz="12" w:space="0"/>
            </w:tcBorders>
            <w:vAlign w:val="center"/>
          </w:tcPr>
          <w:p w14:paraId="0385B936">
            <w:pPr>
              <w:spacing w:line="320" w:lineRule="exact"/>
              <w:jc w:val="center"/>
              <w:rPr>
                <w:rFonts w:eastAsiaTheme="minorEastAsia"/>
                <w:szCs w:val="21"/>
              </w:rPr>
            </w:pPr>
          </w:p>
        </w:tc>
      </w:tr>
      <w:tr w14:paraId="6A900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05" w:type="dxa"/>
            <w:vMerge w:val="restart"/>
            <w:tcBorders>
              <w:top w:val="single" w:color="auto" w:sz="6" w:space="0"/>
              <w:left w:val="single" w:color="auto" w:sz="12" w:space="0"/>
              <w:right w:val="single" w:color="auto" w:sz="6" w:space="0"/>
            </w:tcBorders>
            <w:vAlign w:val="center"/>
          </w:tcPr>
          <w:p w14:paraId="268BA85E">
            <w:pPr>
              <w:spacing w:line="320" w:lineRule="exact"/>
              <w:jc w:val="center"/>
              <w:rPr>
                <w:rFonts w:eastAsiaTheme="minorEastAsia"/>
                <w:szCs w:val="21"/>
              </w:rPr>
            </w:pPr>
            <w:r>
              <w:rPr>
                <w:rFonts w:hint="eastAsia" w:eastAsiaTheme="minorEastAsia"/>
                <w:szCs w:val="21"/>
              </w:rPr>
              <w:t>草店石材产业园</w:t>
            </w:r>
          </w:p>
        </w:tc>
        <w:tc>
          <w:tcPr>
            <w:tcW w:w="904" w:type="dxa"/>
            <w:tcBorders>
              <w:top w:val="single" w:color="auto" w:sz="6" w:space="0"/>
              <w:left w:val="single" w:color="auto" w:sz="6" w:space="0"/>
              <w:bottom w:val="single" w:color="auto" w:sz="6" w:space="0"/>
              <w:right w:val="single" w:color="auto" w:sz="6" w:space="0"/>
            </w:tcBorders>
            <w:vAlign w:val="center"/>
          </w:tcPr>
          <w:p w14:paraId="5868AE0C">
            <w:pPr>
              <w:spacing w:line="320" w:lineRule="exact"/>
              <w:jc w:val="center"/>
              <w:rPr>
                <w:rFonts w:eastAsiaTheme="minorEastAsia"/>
                <w:szCs w:val="21"/>
              </w:rPr>
            </w:pPr>
            <w:r>
              <w:rPr>
                <w:rFonts w:eastAsiaTheme="minorEastAsia"/>
                <w:szCs w:val="21"/>
              </w:rPr>
              <w:t>G1</w:t>
            </w:r>
          </w:p>
        </w:tc>
        <w:tc>
          <w:tcPr>
            <w:tcW w:w="1629" w:type="dxa"/>
            <w:tcBorders>
              <w:top w:val="single" w:color="auto" w:sz="6" w:space="0"/>
              <w:left w:val="single" w:color="auto" w:sz="6" w:space="0"/>
              <w:bottom w:val="single" w:color="auto" w:sz="6" w:space="0"/>
              <w:right w:val="single" w:color="auto" w:sz="6" w:space="0"/>
            </w:tcBorders>
            <w:vAlign w:val="center"/>
          </w:tcPr>
          <w:p w14:paraId="3629489B">
            <w:pPr>
              <w:spacing w:line="320" w:lineRule="atLeast"/>
              <w:jc w:val="center"/>
              <w:rPr>
                <w:spacing w:val="-10"/>
                <w:szCs w:val="21"/>
              </w:rPr>
            </w:pPr>
            <w:r>
              <w:rPr>
                <w:rFonts w:hint="eastAsia"/>
                <w:spacing w:val="-10"/>
                <w:szCs w:val="21"/>
              </w:rPr>
              <w:t>生产集中区附近</w:t>
            </w:r>
          </w:p>
        </w:tc>
        <w:tc>
          <w:tcPr>
            <w:tcW w:w="1809" w:type="dxa"/>
            <w:vMerge w:val="restart"/>
            <w:tcBorders>
              <w:top w:val="single" w:color="auto" w:sz="6" w:space="0"/>
              <w:left w:val="single" w:color="auto" w:sz="6" w:space="0"/>
              <w:right w:val="single" w:color="auto" w:sz="6" w:space="0"/>
            </w:tcBorders>
            <w:vAlign w:val="center"/>
          </w:tcPr>
          <w:p w14:paraId="747825E7">
            <w:pPr>
              <w:spacing w:line="320" w:lineRule="exact"/>
              <w:jc w:val="center"/>
              <w:rPr>
                <w:rFonts w:eastAsiaTheme="minorEastAsia"/>
                <w:szCs w:val="21"/>
                <w:highlight w:val="yellow"/>
              </w:rPr>
            </w:pP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23</w:t>
            </w:r>
            <w:r>
              <w:rPr>
                <w:rFonts w:hint="eastAsia" w:eastAsiaTheme="minorEastAsia"/>
                <w:szCs w:val="21"/>
              </w:rPr>
              <w:t>日</w:t>
            </w:r>
            <w:r>
              <w:rPr>
                <w:rFonts w:eastAsiaTheme="minorEastAsia"/>
                <w:szCs w:val="21"/>
              </w:rPr>
              <w:t>~2024</w:t>
            </w:r>
            <w:r>
              <w:rPr>
                <w:rFonts w:hint="eastAsia" w:eastAsiaTheme="minorEastAsia"/>
                <w:szCs w:val="21"/>
              </w:rPr>
              <w:t>年</w:t>
            </w:r>
            <w:r>
              <w:rPr>
                <w:rFonts w:eastAsiaTheme="minorEastAsia"/>
                <w:szCs w:val="21"/>
              </w:rPr>
              <w:t>1</w:t>
            </w:r>
            <w:r>
              <w:rPr>
                <w:rFonts w:hint="eastAsia" w:eastAsiaTheme="minorEastAsia"/>
                <w:szCs w:val="21"/>
              </w:rPr>
              <w:t>月</w:t>
            </w:r>
            <w:r>
              <w:rPr>
                <w:rFonts w:eastAsiaTheme="minorEastAsia"/>
                <w:szCs w:val="21"/>
              </w:rPr>
              <w:t>29</w:t>
            </w:r>
            <w:r>
              <w:rPr>
                <w:rFonts w:hint="eastAsia" w:eastAsiaTheme="minorEastAsia"/>
                <w:szCs w:val="21"/>
              </w:rPr>
              <w:t>日</w:t>
            </w:r>
          </w:p>
        </w:tc>
        <w:tc>
          <w:tcPr>
            <w:tcW w:w="1086" w:type="dxa"/>
            <w:vMerge w:val="restart"/>
            <w:tcBorders>
              <w:top w:val="single" w:color="auto" w:sz="6" w:space="0"/>
              <w:left w:val="single" w:color="auto" w:sz="6" w:space="0"/>
              <w:right w:val="single" w:color="auto" w:sz="6" w:space="0"/>
            </w:tcBorders>
            <w:vAlign w:val="center"/>
          </w:tcPr>
          <w:p w14:paraId="3A007B39">
            <w:pPr>
              <w:spacing w:line="320" w:lineRule="exact"/>
              <w:jc w:val="center"/>
              <w:rPr>
                <w:rFonts w:eastAsiaTheme="minorEastAsia"/>
                <w:kern w:val="20"/>
                <w:szCs w:val="21"/>
              </w:rPr>
            </w:pPr>
            <w:r>
              <w:rPr>
                <w:rFonts w:eastAsiaTheme="minorEastAsia"/>
                <w:kern w:val="20"/>
                <w:szCs w:val="21"/>
              </w:rPr>
              <w:t>TSP</w:t>
            </w:r>
          </w:p>
        </w:tc>
        <w:tc>
          <w:tcPr>
            <w:tcW w:w="1700" w:type="dxa"/>
            <w:vMerge w:val="restart"/>
            <w:tcBorders>
              <w:top w:val="single" w:color="auto" w:sz="6" w:space="0"/>
              <w:left w:val="single" w:color="auto" w:sz="6" w:space="0"/>
              <w:right w:val="single" w:color="auto" w:sz="12" w:space="0"/>
            </w:tcBorders>
            <w:vAlign w:val="center"/>
          </w:tcPr>
          <w:p w14:paraId="247D286B">
            <w:pPr>
              <w:spacing w:line="320" w:lineRule="exact"/>
              <w:jc w:val="center"/>
              <w:rPr>
                <w:rFonts w:eastAsiaTheme="minorEastAsia"/>
                <w:szCs w:val="21"/>
              </w:rPr>
            </w:pPr>
            <w:r>
              <w:rPr>
                <w:rFonts w:hint="eastAsia" w:eastAsiaTheme="minorEastAsia"/>
                <w:szCs w:val="21"/>
              </w:rPr>
              <w:t>续采样</w:t>
            </w:r>
            <w:r>
              <w:rPr>
                <w:rFonts w:eastAsiaTheme="minorEastAsia"/>
                <w:szCs w:val="21"/>
              </w:rPr>
              <w:t>7</w:t>
            </w:r>
            <w:r>
              <w:rPr>
                <w:rFonts w:hint="eastAsia" w:eastAsiaTheme="minorEastAsia"/>
                <w:szCs w:val="21"/>
              </w:rPr>
              <w:t>天，监测日均值</w:t>
            </w:r>
          </w:p>
        </w:tc>
      </w:tr>
      <w:tr w14:paraId="7C5F4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405" w:type="dxa"/>
            <w:vMerge w:val="continue"/>
            <w:tcBorders>
              <w:left w:val="single" w:color="auto" w:sz="12" w:space="0"/>
              <w:right w:val="single" w:color="auto" w:sz="6" w:space="0"/>
            </w:tcBorders>
            <w:vAlign w:val="center"/>
          </w:tcPr>
          <w:p w14:paraId="1F10328B">
            <w:pPr>
              <w:widowControl/>
              <w:spacing w:line="320" w:lineRule="exact"/>
              <w:jc w:val="left"/>
              <w:rPr>
                <w:rFonts w:eastAsiaTheme="minorEastAsia"/>
                <w:szCs w:val="21"/>
              </w:rPr>
            </w:pPr>
          </w:p>
        </w:tc>
        <w:tc>
          <w:tcPr>
            <w:tcW w:w="904" w:type="dxa"/>
            <w:tcBorders>
              <w:top w:val="single" w:color="auto" w:sz="6" w:space="0"/>
              <w:left w:val="single" w:color="auto" w:sz="6" w:space="0"/>
              <w:right w:val="single" w:color="auto" w:sz="6" w:space="0"/>
            </w:tcBorders>
            <w:vAlign w:val="center"/>
          </w:tcPr>
          <w:p w14:paraId="07C32756">
            <w:pPr>
              <w:spacing w:line="320" w:lineRule="exact"/>
              <w:jc w:val="center"/>
              <w:rPr>
                <w:rFonts w:eastAsiaTheme="minorEastAsia"/>
                <w:szCs w:val="21"/>
              </w:rPr>
            </w:pPr>
            <w:r>
              <w:rPr>
                <w:rFonts w:eastAsiaTheme="minorEastAsia"/>
                <w:szCs w:val="21"/>
              </w:rPr>
              <w:t>G2</w:t>
            </w:r>
          </w:p>
        </w:tc>
        <w:tc>
          <w:tcPr>
            <w:tcW w:w="1629" w:type="dxa"/>
            <w:tcBorders>
              <w:top w:val="single" w:color="auto" w:sz="6" w:space="0"/>
              <w:left w:val="single" w:color="auto" w:sz="6" w:space="0"/>
              <w:right w:val="single" w:color="auto" w:sz="6" w:space="0"/>
            </w:tcBorders>
            <w:vAlign w:val="center"/>
          </w:tcPr>
          <w:p w14:paraId="4DEF4441">
            <w:pPr>
              <w:spacing w:line="320" w:lineRule="atLeast"/>
              <w:jc w:val="center"/>
              <w:rPr>
                <w:spacing w:val="-10"/>
                <w:szCs w:val="21"/>
              </w:rPr>
            </w:pPr>
            <w:r>
              <w:rPr>
                <w:spacing w:val="-10"/>
                <w:szCs w:val="21"/>
              </w:rPr>
              <w:t>草店镇</w:t>
            </w:r>
          </w:p>
        </w:tc>
        <w:tc>
          <w:tcPr>
            <w:tcW w:w="1809" w:type="dxa"/>
            <w:vMerge w:val="continue"/>
            <w:tcBorders>
              <w:left w:val="single" w:color="auto" w:sz="6" w:space="0"/>
              <w:right w:val="single" w:color="auto" w:sz="6" w:space="0"/>
            </w:tcBorders>
            <w:vAlign w:val="center"/>
          </w:tcPr>
          <w:p w14:paraId="7D11AA60">
            <w:pPr>
              <w:widowControl/>
              <w:spacing w:line="320" w:lineRule="exact"/>
              <w:jc w:val="left"/>
              <w:rPr>
                <w:rFonts w:eastAsiaTheme="minorEastAsia"/>
                <w:szCs w:val="21"/>
                <w:highlight w:val="yellow"/>
              </w:rPr>
            </w:pPr>
          </w:p>
        </w:tc>
        <w:tc>
          <w:tcPr>
            <w:tcW w:w="1086" w:type="dxa"/>
            <w:vMerge w:val="continue"/>
            <w:tcBorders>
              <w:left w:val="single" w:color="auto" w:sz="6" w:space="0"/>
              <w:right w:val="single" w:color="auto" w:sz="6" w:space="0"/>
            </w:tcBorders>
            <w:vAlign w:val="center"/>
          </w:tcPr>
          <w:p w14:paraId="6AFBB7E9">
            <w:pPr>
              <w:widowControl/>
              <w:spacing w:line="320" w:lineRule="exact"/>
              <w:jc w:val="left"/>
              <w:rPr>
                <w:rFonts w:eastAsiaTheme="minorEastAsia"/>
                <w:kern w:val="20"/>
                <w:szCs w:val="21"/>
              </w:rPr>
            </w:pPr>
          </w:p>
        </w:tc>
        <w:tc>
          <w:tcPr>
            <w:tcW w:w="1700" w:type="dxa"/>
            <w:vMerge w:val="continue"/>
            <w:tcBorders>
              <w:left w:val="single" w:color="auto" w:sz="6" w:space="0"/>
              <w:right w:val="single" w:color="auto" w:sz="12" w:space="0"/>
            </w:tcBorders>
            <w:vAlign w:val="center"/>
          </w:tcPr>
          <w:p w14:paraId="71CB3081">
            <w:pPr>
              <w:widowControl/>
              <w:spacing w:line="320" w:lineRule="exact"/>
              <w:jc w:val="left"/>
              <w:rPr>
                <w:rFonts w:eastAsiaTheme="minorEastAsia"/>
                <w:szCs w:val="21"/>
              </w:rPr>
            </w:pPr>
          </w:p>
        </w:tc>
      </w:tr>
    </w:tbl>
    <w:p w14:paraId="7F2DAAE0">
      <w:pPr>
        <w:spacing w:line="360" w:lineRule="auto"/>
        <w:ind w:firstLine="480" w:firstLineChars="200"/>
        <w:rPr>
          <w:rFonts w:eastAsiaTheme="minorEastAsia"/>
          <w:sz w:val="24"/>
          <w:szCs w:val="21"/>
        </w:rPr>
      </w:pPr>
      <w:r>
        <w:rPr>
          <w:rFonts w:eastAsiaTheme="minorEastAsia"/>
          <w:sz w:val="24"/>
          <w:szCs w:val="21"/>
        </w:rPr>
        <w:t>（2）评价方法与评价标准</w:t>
      </w:r>
    </w:p>
    <w:p w14:paraId="1830EED0">
      <w:pPr>
        <w:spacing w:line="360" w:lineRule="auto"/>
        <w:ind w:firstLine="480" w:firstLineChars="200"/>
        <w:rPr>
          <w:rFonts w:eastAsiaTheme="minorEastAsia"/>
          <w:sz w:val="24"/>
          <w:szCs w:val="21"/>
        </w:rPr>
      </w:pPr>
      <w:r>
        <w:rPr>
          <w:rFonts w:eastAsiaTheme="minorEastAsia"/>
          <w:sz w:val="24"/>
          <w:szCs w:val="21"/>
        </w:rPr>
        <w:t>评价方法采用单因子最大评价指数法，计算公式为：</w:t>
      </w:r>
    </w:p>
    <w:p w14:paraId="0486B9E1">
      <w:pPr>
        <w:spacing w:line="360" w:lineRule="auto"/>
        <w:ind w:firstLine="480"/>
        <w:jc w:val="center"/>
        <w:rPr>
          <w:rFonts w:eastAsiaTheme="minorEastAsia"/>
          <w:sz w:val="24"/>
          <w:szCs w:val="21"/>
        </w:rPr>
      </w:pPr>
      <w:r>
        <w:rPr>
          <w:rFonts w:eastAsiaTheme="minorEastAsia"/>
          <w:sz w:val="24"/>
          <w:szCs w:val="21"/>
        </w:rPr>
        <w:t>Pi=Ci/Csi</w:t>
      </w:r>
    </w:p>
    <w:p w14:paraId="1AC24726">
      <w:pPr>
        <w:spacing w:line="360" w:lineRule="auto"/>
        <w:ind w:firstLine="480" w:firstLineChars="200"/>
        <w:rPr>
          <w:rFonts w:eastAsiaTheme="minorEastAsia"/>
          <w:sz w:val="24"/>
          <w:szCs w:val="21"/>
        </w:rPr>
      </w:pPr>
      <w:r>
        <w:rPr>
          <w:rFonts w:eastAsiaTheme="minorEastAsia"/>
          <w:sz w:val="24"/>
          <w:szCs w:val="21"/>
        </w:rPr>
        <w:t>式中：Pi——第i项污染物单项最大评价指数；</w:t>
      </w:r>
    </w:p>
    <w:p w14:paraId="17B52F20">
      <w:pPr>
        <w:spacing w:line="360" w:lineRule="auto"/>
        <w:ind w:firstLine="1200" w:firstLineChars="500"/>
        <w:rPr>
          <w:rFonts w:eastAsiaTheme="minorEastAsia"/>
          <w:sz w:val="24"/>
          <w:szCs w:val="21"/>
        </w:rPr>
      </w:pPr>
      <w:r>
        <w:rPr>
          <w:rFonts w:eastAsiaTheme="minorEastAsia"/>
          <w:sz w:val="24"/>
          <w:szCs w:val="21"/>
        </w:rPr>
        <w:t>Ci——第i项污染物实测日均或小时最大浓度值，mg/Nm³；</w:t>
      </w:r>
    </w:p>
    <w:p w14:paraId="3EC652EE">
      <w:pPr>
        <w:spacing w:line="360" w:lineRule="auto"/>
        <w:ind w:firstLine="1200" w:firstLineChars="500"/>
        <w:rPr>
          <w:rFonts w:eastAsiaTheme="minorEastAsia"/>
          <w:sz w:val="24"/>
        </w:rPr>
      </w:pPr>
      <w:r>
        <w:rPr>
          <w:rFonts w:eastAsiaTheme="minorEastAsia"/>
          <w:sz w:val="24"/>
        </w:rPr>
        <w:t>Csi——第i项污染物实测日均或小时浓度标准值，mg/Nm³。</w:t>
      </w:r>
    </w:p>
    <w:p w14:paraId="4EF6430A">
      <w:pPr>
        <w:spacing w:line="360" w:lineRule="auto"/>
        <w:ind w:firstLine="480" w:firstLineChars="200"/>
        <w:rPr>
          <w:rFonts w:eastAsiaTheme="minorEastAsia"/>
          <w:sz w:val="24"/>
        </w:rPr>
      </w:pPr>
      <w:r>
        <w:rPr>
          <w:rFonts w:eastAsiaTheme="minorEastAsia"/>
          <w:sz w:val="24"/>
        </w:rPr>
        <w:t>超标率计算公式为：</w:t>
      </w:r>
    </w:p>
    <w:p w14:paraId="3F8E3DDD">
      <w:pPr>
        <w:spacing w:line="360" w:lineRule="auto"/>
        <w:ind w:firstLine="480" w:firstLineChars="200"/>
        <w:jc w:val="center"/>
        <w:rPr>
          <w:rFonts w:eastAsiaTheme="minorEastAsia"/>
          <w:sz w:val="24"/>
        </w:rPr>
      </w:pPr>
      <w:r>
        <w:rPr>
          <w:rFonts w:eastAsiaTheme="minorEastAsia"/>
          <w:sz w:val="24"/>
        </w:rPr>
        <w:t>超标率=超标资料个数/总监测资料个数×100%</w:t>
      </w:r>
    </w:p>
    <w:p w14:paraId="038E5338">
      <w:pPr>
        <w:spacing w:line="360" w:lineRule="auto"/>
        <w:ind w:firstLine="480" w:firstLineChars="200"/>
        <w:rPr>
          <w:rFonts w:eastAsiaTheme="minorEastAsia"/>
          <w:kern w:val="20"/>
          <w:sz w:val="24"/>
        </w:rPr>
      </w:pPr>
      <w:r>
        <w:rPr>
          <w:rFonts w:eastAsiaTheme="minorEastAsia"/>
          <w:kern w:val="20"/>
          <w:sz w:val="24"/>
        </w:rPr>
        <w:t>TSP执行</w:t>
      </w:r>
      <w:r>
        <w:rPr>
          <w:rFonts w:eastAsiaTheme="minorEastAsia"/>
          <w:sz w:val="24"/>
        </w:rPr>
        <w:t>《环境空气质量标准》（GB3095-2012）及修改单规定的二级标准要求。</w:t>
      </w:r>
    </w:p>
    <w:p w14:paraId="5A3DC64A">
      <w:pPr>
        <w:spacing w:line="360" w:lineRule="auto"/>
        <w:ind w:firstLine="480" w:firstLineChars="200"/>
        <w:rPr>
          <w:rFonts w:eastAsiaTheme="minorEastAsia"/>
          <w:sz w:val="24"/>
        </w:rPr>
      </w:pPr>
      <w:r>
        <w:rPr>
          <w:rFonts w:eastAsiaTheme="minorEastAsia"/>
          <w:sz w:val="24"/>
        </w:rPr>
        <w:t>（3）监测结果与评价</w:t>
      </w:r>
    </w:p>
    <w:p w14:paraId="57F1E4D2">
      <w:pPr>
        <w:topLinePunct/>
        <w:spacing w:line="360" w:lineRule="auto"/>
        <w:ind w:firstLine="480" w:firstLineChars="200"/>
        <w:rPr>
          <w:rFonts w:eastAsiaTheme="minorEastAsia"/>
          <w:kern w:val="20"/>
          <w:sz w:val="24"/>
        </w:rPr>
      </w:pPr>
      <w:r>
        <w:rPr>
          <w:rFonts w:eastAsiaTheme="minorEastAsia"/>
          <w:kern w:val="20"/>
          <w:sz w:val="24"/>
        </w:rPr>
        <w:t>本次评价特征因子监测数据见下表。</w:t>
      </w:r>
    </w:p>
    <w:p w14:paraId="118557F8">
      <w:pPr>
        <w:widowControl/>
        <w:adjustRightInd w:val="0"/>
        <w:spacing w:line="360" w:lineRule="auto"/>
        <w:ind w:firstLine="422"/>
        <w:contextualSpacing/>
        <w:jc w:val="center"/>
        <w:rPr>
          <w:rFonts w:eastAsiaTheme="minorEastAsia"/>
          <w:b/>
          <w:kern w:val="0"/>
          <w:szCs w:val="21"/>
        </w:rPr>
      </w:pPr>
      <w:bookmarkStart w:id="109" w:name="_Hlk178262167"/>
      <w:r>
        <w:rPr>
          <w:rFonts w:eastAsiaTheme="minorEastAsia"/>
          <w:b/>
          <w:kern w:val="0"/>
          <w:szCs w:val="21"/>
        </w:rPr>
        <w:t>表</w:t>
      </w:r>
      <w:r>
        <w:rPr>
          <w:rFonts w:hint="eastAsia" w:eastAsiaTheme="minorEastAsia"/>
          <w:b/>
          <w:kern w:val="0"/>
          <w:szCs w:val="21"/>
        </w:rPr>
        <w:t>3.3</w:t>
      </w:r>
      <w:r>
        <w:rPr>
          <w:rFonts w:eastAsiaTheme="minorEastAsia"/>
          <w:b/>
          <w:kern w:val="0"/>
          <w:szCs w:val="21"/>
        </w:rPr>
        <w:t>.1-</w:t>
      </w:r>
      <w:r>
        <w:rPr>
          <w:rFonts w:hint="eastAsia" w:eastAsiaTheme="minorEastAsia"/>
          <w:b/>
          <w:kern w:val="0"/>
          <w:szCs w:val="21"/>
        </w:rPr>
        <w:t>4</w:t>
      </w:r>
      <w:r>
        <w:rPr>
          <w:rFonts w:eastAsiaTheme="minorEastAsia"/>
          <w:b/>
          <w:kern w:val="0"/>
          <w:szCs w:val="21"/>
        </w:rPr>
        <w:t xml:space="preserve">  环境空气特征因子现状监测及评价结果统计表</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59"/>
        <w:gridCol w:w="708"/>
        <w:gridCol w:w="708"/>
        <w:gridCol w:w="993"/>
        <w:gridCol w:w="1276"/>
        <w:gridCol w:w="993"/>
        <w:gridCol w:w="849"/>
        <w:gridCol w:w="1276"/>
        <w:gridCol w:w="766"/>
      </w:tblGrid>
      <w:tr w14:paraId="3DEF1F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tcBorders>
              <w:right w:val="single" w:color="auto" w:sz="4" w:space="0"/>
            </w:tcBorders>
            <w:vAlign w:val="center"/>
          </w:tcPr>
          <w:p w14:paraId="14E62318">
            <w:pPr>
              <w:jc w:val="center"/>
              <w:rPr>
                <w:rFonts w:ascii="Times New Roman" w:hAnsi="Times New Roman" w:eastAsiaTheme="minorEastAsia"/>
                <w:szCs w:val="21"/>
              </w:rPr>
            </w:pPr>
            <w:r>
              <w:rPr>
                <w:rFonts w:ascii="Times New Roman" w:hAnsi="Times New Roman" w:eastAsiaTheme="minorEastAsia"/>
                <w:szCs w:val="21"/>
              </w:rPr>
              <w:t>园区位置</w:t>
            </w:r>
          </w:p>
        </w:tc>
        <w:tc>
          <w:tcPr>
            <w:tcW w:w="415" w:type="pct"/>
            <w:tcBorders>
              <w:left w:val="single" w:color="auto" w:sz="4" w:space="0"/>
            </w:tcBorders>
            <w:vAlign w:val="center"/>
          </w:tcPr>
          <w:p w14:paraId="5F58FBB2">
            <w:pPr>
              <w:jc w:val="center"/>
              <w:rPr>
                <w:rFonts w:ascii="Times New Roman" w:hAnsi="Times New Roman" w:eastAsiaTheme="minorEastAsia"/>
                <w:bCs/>
                <w:szCs w:val="21"/>
              </w:rPr>
            </w:pPr>
            <w:r>
              <w:rPr>
                <w:rFonts w:ascii="Times New Roman" w:hAnsi="Times New Roman" w:eastAsiaTheme="minorEastAsia"/>
                <w:bCs/>
                <w:szCs w:val="21"/>
              </w:rPr>
              <w:t>评价点位</w:t>
            </w:r>
          </w:p>
        </w:tc>
        <w:tc>
          <w:tcPr>
            <w:tcW w:w="997" w:type="pct"/>
            <w:gridSpan w:val="2"/>
            <w:vAlign w:val="center"/>
          </w:tcPr>
          <w:p w14:paraId="52E3F11E">
            <w:pPr>
              <w:jc w:val="center"/>
              <w:rPr>
                <w:rFonts w:ascii="Times New Roman" w:hAnsi="Times New Roman" w:eastAsiaTheme="minorEastAsia"/>
                <w:bCs/>
                <w:szCs w:val="21"/>
              </w:rPr>
            </w:pPr>
            <w:r>
              <w:rPr>
                <w:rFonts w:ascii="Times New Roman" w:hAnsi="Times New Roman" w:eastAsiaTheme="minorEastAsia"/>
                <w:bCs/>
                <w:szCs w:val="21"/>
              </w:rPr>
              <w:t>监测因子</w:t>
            </w:r>
          </w:p>
        </w:tc>
        <w:tc>
          <w:tcPr>
            <w:tcW w:w="748" w:type="pct"/>
            <w:vAlign w:val="center"/>
          </w:tcPr>
          <w:p w14:paraId="64757B24">
            <w:pPr>
              <w:jc w:val="center"/>
              <w:rPr>
                <w:rFonts w:ascii="Times New Roman" w:hAnsi="Times New Roman" w:eastAsiaTheme="minorEastAsia"/>
                <w:bCs/>
                <w:szCs w:val="21"/>
              </w:rPr>
            </w:pPr>
            <w:r>
              <w:rPr>
                <w:rFonts w:ascii="Times New Roman" w:hAnsi="Times New Roman" w:eastAsiaTheme="minorEastAsia"/>
                <w:bCs/>
                <w:szCs w:val="21"/>
              </w:rPr>
              <w:t>范围（μg/m³）</w:t>
            </w:r>
          </w:p>
        </w:tc>
        <w:tc>
          <w:tcPr>
            <w:tcW w:w="582" w:type="pct"/>
            <w:vAlign w:val="center"/>
          </w:tcPr>
          <w:p w14:paraId="3C7C395E">
            <w:pPr>
              <w:ind w:left="-105" w:leftChars="-50" w:right="-105" w:rightChars="-50"/>
              <w:jc w:val="center"/>
              <w:rPr>
                <w:rFonts w:ascii="Times New Roman" w:hAnsi="Times New Roman" w:eastAsiaTheme="minorEastAsia"/>
                <w:bCs/>
                <w:szCs w:val="21"/>
              </w:rPr>
            </w:pPr>
            <w:r>
              <w:rPr>
                <w:rFonts w:ascii="Times New Roman" w:hAnsi="Times New Roman" w:eastAsiaTheme="minorEastAsia"/>
                <w:bCs/>
                <w:szCs w:val="21"/>
              </w:rPr>
              <w:t>标准限值</w:t>
            </w:r>
          </w:p>
          <w:p w14:paraId="4241238F">
            <w:pPr>
              <w:ind w:left="-105" w:leftChars="-50" w:right="-105" w:rightChars="-50"/>
              <w:jc w:val="center"/>
              <w:rPr>
                <w:rFonts w:ascii="Times New Roman" w:hAnsi="Times New Roman" w:eastAsiaTheme="minorEastAsia"/>
                <w:bCs/>
                <w:szCs w:val="21"/>
              </w:rPr>
            </w:pPr>
            <w:r>
              <w:rPr>
                <w:rFonts w:ascii="Times New Roman" w:hAnsi="Times New Roman" w:eastAsiaTheme="minorEastAsia"/>
                <w:bCs/>
                <w:szCs w:val="21"/>
              </w:rPr>
              <w:t>（μg/m³）</w:t>
            </w:r>
          </w:p>
        </w:tc>
        <w:tc>
          <w:tcPr>
            <w:tcW w:w="498" w:type="pct"/>
            <w:vAlign w:val="center"/>
          </w:tcPr>
          <w:p w14:paraId="5785649E">
            <w:pPr>
              <w:jc w:val="center"/>
              <w:rPr>
                <w:rFonts w:ascii="Times New Roman" w:hAnsi="Times New Roman" w:eastAsiaTheme="minorEastAsia"/>
                <w:bCs/>
                <w:szCs w:val="21"/>
              </w:rPr>
            </w:pPr>
            <w:r>
              <w:rPr>
                <w:rFonts w:ascii="Times New Roman" w:hAnsi="Times New Roman" w:eastAsiaTheme="minorEastAsia"/>
                <w:bCs/>
                <w:szCs w:val="21"/>
              </w:rPr>
              <w:t>超标率（%）</w:t>
            </w:r>
          </w:p>
        </w:tc>
        <w:tc>
          <w:tcPr>
            <w:tcW w:w="748" w:type="pct"/>
            <w:vAlign w:val="center"/>
          </w:tcPr>
          <w:p w14:paraId="7CEDC6DE">
            <w:pPr>
              <w:ind w:left="-105" w:leftChars="-50" w:right="-105" w:rightChars="-50"/>
              <w:jc w:val="center"/>
              <w:rPr>
                <w:rFonts w:ascii="Times New Roman" w:hAnsi="Times New Roman" w:eastAsiaTheme="minorEastAsia"/>
                <w:bCs/>
                <w:szCs w:val="21"/>
              </w:rPr>
            </w:pPr>
            <w:r>
              <w:rPr>
                <w:rFonts w:ascii="Times New Roman" w:hAnsi="Times New Roman" w:eastAsiaTheme="minorEastAsia"/>
                <w:bCs/>
                <w:szCs w:val="21"/>
              </w:rPr>
              <w:t>最大浓度占标率（%）</w:t>
            </w:r>
          </w:p>
        </w:tc>
        <w:tc>
          <w:tcPr>
            <w:tcW w:w="449" w:type="pct"/>
            <w:vAlign w:val="center"/>
          </w:tcPr>
          <w:p w14:paraId="02488A55">
            <w:pPr>
              <w:ind w:left="-105" w:leftChars="-50" w:right="-105" w:rightChars="-50"/>
              <w:jc w:val="center"/>
              <w:rPr>
                <w:rFonts w:ascii="Times New Roman" w:hAnsi="Times New Roman" w:eastAsiaTheme="minorEastAsia"/>
                <w:bCs/>
                <w:szCs w:val="21"/>
              </w:rPr>
            </w:pPr>
            <w:r>
              <w:rPr>
                <w:rFonts w:ascii="Times New Roman" w:hAnsi="Times New Roman" w:eastAsiaTheme="minorEastAsia"/>
                <w:bCs/>
                <w:szCs w:val="21"/>
              </w:rPr>
              <w:t>达标情况</w:t>
            </w:r>
          </w:p>
        </w:tc>
      </w:tr>
      <w:tr w14:paraId="719A09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restart"/>
            <w:tcBorders>
              <w:right w:val="single" w:color="auto" w:sz="4" w:space="0"/>
            </w:tcBorders>
            <w:vAlign w:val="center"/>
          </w:tcPr>
          <w:p w14:paraId="007285A0">
            <w:pPr>
              <w:jc w:val="center"/>
              <w:rPr>
                <w:rFonts w:ascii="Times New Roman" w:hAnsi="Times New Roman" w:eastAsiaTheme="minorEastAsia"/>
                <w:szCs w:val="21"/>
              </w:rPr>
            </w:pPr>
            <w:r>
              <w:rPr>
                <w:rFonts w:ascii="Times New Roman" w:hAnsi="Times New Roman" w:eastAsiaTheme="minorEastAsia"/>
                <w:szCs w:val="21"/>
              </w:rPr>
              <w:t>吴山闽商石材产业园</w:t>
            </w:r>
          </w:p>
        </w:tc>
        <w:tc>
          <w:tcPr>
            <w:tcW w:w="415" w:type="pct"/>
            <w:tcBorders>
              <w:left w:val="single" w:color="auto" w:sz="4" w:space="0"/>
            </w:tcBorders>
            <w:vAlign w:val="center"/>
          </w:tcPr>
          <w:p w14:paraId="006BE091">
            <w:pPr>
              <w:spacing w:line="320" w:lineRule="atLeast"/>
              <w:jc w:val="center"/>
              <w:rPr>
                <w:rFonts w:ascii="Times New Roman" w:hAnsi="Times New Roman"/>
                <w:spacing w:val="-10"/>
                <w:szCs w:val="21"/>
                <w:highlight w:val="yellow"/>
              </w:rPr>
            </w:pPr>
            <w:r>
              <w:rPr>
                <w:rFonts w:ascii="Times New Roman" w:hAnsi="Times New Roman"/>
                <w:spacing w:val="-10"/>
                <w:szCs w:val="21"/>
              </w:rPr>
              <w:t>G1</w:t>
            </w:r>
          </w:p>
        </w:tc>
        <w:tc>
          <w:tcPr>
            <w:tcW w:w="415" w:type="pct"/>
            <w:vAlign w:val="center"/>
          </w:tcPr>
          <w:p w14:paraId="3F2AF9D3">
            <w:pPr>
              <w:jc w:val="center"/>
              <w:rPr>
                <w:rFonts w:ascii="Times New Roman" w:hAnsi="Times New Roman" w:eastAsiaTheme="minorEastAsia"/>
                <w:bCs/>
                <w:szCs w:val="21"/>
              </w:rPr>
            </w:pPr>
            <w:r>
              <w:rPr>
                <w:rFonts w:ascii="Times New Roman" w:hAnsi="Times New Roman" w:eastAsiaTheme="minorEastAsia"/>
                <w:sz w:val="22"/>
                <w:szCs w:val="22"/>
              </w:rPr>
              <w:t>TSP</w:t>
            </w:r>
          </w:p>
        </w:tc>
        <w:tc>
          <w:tcPr>
            <w:tcW w:w="582" w:type="pct"/>
            <w:vAlign w:val="center"/>
          </w:tcPr>
          <w:p w14:paraId="3EEDD979">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195B2DD2">
            <w:pPr>
              <w:jc w:val="center"/>
              <w:rPr>
                <w:rFonts w:ascii="Times New Roman" w:hAnsi="Times New Roman" w:eastAsiaTheme="minorEastAsia"/>
                <w:sz w:val="22"/>
                <w:szCs w:val="22"/>
              </w:rPr>
            </w:pPr>
            <w:r>
              <w:rPr>
                <w:rFonts w:ascii="Times New Roman" w:hAnsi="Times New Roman" w:eastAsiaTheme="minorEastAsia"/>
                <w:sz w:val="22"/>
                <w:szCs w:val="22"/>
              </w:rPr>
              <w:t>138~174</w:t>
            </w:r>
          </w:p>
        </w:tc>
        <w:tc>
          <w:tcPr>
            <w:tcW w:w="582" w:type="pct"/>
            <w:vAlign w:val="center"/>
          </w:tcPr>
          <w:p w14:paraId="2E9EBF2A">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4B50B2FC">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6901EDDA">
            <w:pPr>
              <w:jc w:val="center"/>
              <w:rPr>
                <w:rFonts w:ascii="Times New Roman" w:hAnsi="Times New Roman" w:eastAsiaTheme="minorEastAsia"/>
                <w:sz w:val="22"/>
                <w:szCs w:val="22"/>
              </w:rPr>
            </w:pPr>
            <w:r>
              <w:rPr>
                <w:rFonts w:ascii="Times New Roman" w:hAnsi="Times New Roman" w:eastAsiaTheme="minorEastAsia"/>
                <w:sz w:val="22"/>
                <w:szCs w:val="22"/>
              </w:rPr>
              <w:t>58.0</w:t>
            </w:r>
          </w:p>
        </w:tc>
        <w:tc>
          <w:tcPr>
            <w:tcW w:w="449" w:type="pct"/>
            <w:vAlign w:val="center"/>
          </w:tcPr>
          <w:p w14:paraId="3D612FF3">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5D1AF3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24C06CCB">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3B51D834">
            <w:pPr>
              <w:spacing w:line="320" w:lineRule="atLeast"/>
              <w:jc w:val="center"/>
              <w:rPr>
                <w:rFonts w:ascii="Times New Roman" w:hAnsi="Times New Roman"/>
                <w:spacing w:val="-10"/>
                <w:szCs w:val="21"/>
                <w:highlight w:val="yellow"/>
              </w:rPr>
            </w:pPr>
            <w:r>
              <w:rPr>
                <w:rFonts w:ascii="Times New Roman" w:hAnsi="Times New Roman"/>
                <w:spacing w:val="-10"/>
                <w:szCs w:val="21"/>
              </w:rPr>
              <w:t>G2</w:t>
            </w:r>
          </w:p>
        </w:tc>
        <w:tc>
          <w:tcPr>
            <w:tcW w:w="415" w:type="pct"/>
            <w:vAlign w:val="center"/>
          </w:tcPr>
          <w:p w14:paraId="7D6E2282">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59F6A71D">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4B905D61">
            <w:pPr>
              <w:jc w:val="center"/>
              <w:rPr>
                <w:rFonts w:ascii="Times New Roman" w:hAnsi="Times New Roman" w:eastAsiaTheme="minorEastAsia"/>
                <w:sz w:val="22"/>
                <w:szCs w:val="22"/>
              </w:rPr>
            </w:pPr>
            <w:r>
              <w:rPr>
                <w:rFonts w:ascii="Times New Roman" w:hAnsi="Times New Roman" w:eastAsiaTheme="minorEastAsia"/>
                <w:sz w:val="22"/>
                <w:szCs w:val="22"/>
              </w:rPr>
              <w:t>142~176</w:t>
            </w:r>
          </w:p>
        </w:tc>
        <w:tc>
          <w:tcPr>
            <w:tcW w:w="582" w:type="pct"/>
            <w:vAlign w:val="center"/>
          </w:tcPr>
          <w:p w14:paraId="34875536">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198BE433">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4FA99A62">
            <w:pPr>
              <w:jc w:val="center"/>
              <w:rPr>
                <w:rFonts w:ascii="Times New Roman" w:hAnsi="Times New Roman" w:eastAsiaTheme="minorEastAsia"/>
                <w:sz w:val="22"/>
                <w:szCs w:val="22"/>
              </w:rPr>
            </w:pPr>
            <w:r>
              <w:rPr>
                <w:rFonts w:ascii="Times New Roman" w:hAnsi="Times New Roman" w:eastAsiaTheme="minorEastAsia"/>
                <w:sz w:val="22"/>
                <w:szCs w:val="22"/>
              </w:rPr>
              <w:t>58.7</w:t>
            </w:r>
          </w:p>
        </w:tc>
        <w:tc>
          <w:tcPr>
            <w:tcW w:w="449" w:type="pct"/>
            <w:vAlign w:val="center"/>
          </w:tcPr>
          <w:p w14:paraId="6A4B8408">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22587E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restart"/>
            <w:tcBorders>
              <w:right w:val="single" w:color="auto" w:sz="4" w:space="0"/>
            </w:tcBorders>
            <w:vAlign w:val="center"/>
          </w:tcPr>
          <w:p w14:paraId="2E34B8F3">
            <w:pPr>
              <w:jc w:val="center"/>
              <w:rPr>
                <w:rFonts w:ascii="Times New Roman" w:hAnsi="Times New Roman" w:eastAsiaTheme="minorEastAsia"/>
                <w:szCs w:val="21"/>
              </w:rPr>
            </w:pPr>
            <w:r>
              <w:rPr>
                <w:rFonts w:ascii="Times New Roman" w:hAnsi="Times New Roman" w:eastAsiaTheme="minorEastAsia"/>
                <w:szCs w:val="21"/>
              </w:rPr>
              <w:t>万和石材产业园</w:t>
            </w:r>
          </w:p>
        </w:tc>
        <w:tc>
          <w:tcPr>
            <w:tcW w:w="415" w:type="pct"/>
            <w:tcBorders>
              <w:left w:val="single" w:color="auto" w:sz="4" w:space="0"/>
            </w:tcBorders>
            <w:vAlign w:val="center"/>
          </w:tcPr>
          <w:p w14:paraId="24D6086A">
            <w:pPr>
              <w:spacing w:line="320" w:lineRule="atLeast"/>
              <w:jc w:val="center"/>
              <w:rPr>
                <w:rFonts w:ascii="Times New Roman" w:hAnsi="Times New Roman"/>
                <w:spacing w:val="-10"/>
                <w:szCs w:val="21"/>
                <w:highlight w:val="yellow"/>
              </w:rPr>
            </w:pPr>
            <w:r>
              <w:rPr>
                <w:rFonts w:ascii="Times New Roman" w:hAnsi="Times New Roman"/>
                <w:spacing w:val="-10"/>
                <w:szCs w:val="21"/>
              </w:rPr>
              <w:t>G1</w:t>
            </w:r>
          </w:p>
        </w:tc>
        <w:tc>
          <w:tcPr>
            <w:tcW w:w="415" w:type="pct"/>
            <w:vAlign w:val="center"/>
          </w:tcPr>
          <w:p w14:paraId="31FDD860">
            <w:pPr>
              <w:jc w:val="center"/>
              <w:rPr>
                <w:rFonts w:ascii="Times New Roman" w:hAnsi="Times New Roman" w:eastAsiaTheme="minorEastAsia"/>
                <w:bCs/>
                <w:szCs w:val="21"/>
              </w:rPr>
            </w:pPr>
            <w:r>
              <w:rPr>
                <w:rFonts w:ascii="Times New Roman" w:hAnsi="Times New Roman" w:eastAsiaTheme="minorEastAsia"/>
                <w:sz w:val="22"/>
                <w:szCs w:val="22"/>
              </w:rPr>
              <w:t>TSP</w:t>
            </w:r>
          </w:p>
        </w:tc>
        <w:tc>
          <w:tcPr>
            <w:tcW w:w="582" w:type="pct"/>
            <w:vAlign w:val="center"/>
          </w:tcPr>
          <w:p w14:paraId="2F6DEF5D">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2594508B">
            <w:pPr>
              <w:jc w:val="center"/>
              <w:rPr>
                <w:rFonts w:ascii="Times New Roman" w:hAnsi="Times New Roman" w:eastAsiaTheme="minorEastAsia"/>
                <w:sz w:val="22"/>
                <w:szCs w:val="22"/>
              </w:rPr>
            </w:pPr>
            <w:r>
              <w:rPr>
                <w:rFonts w:ascii="Times New Roman" w:hAnsi="Times New Roman" w:eastAsiaTheme="minorEastAsia"/>
                <w:sz w:val="22"/>
                <w:szCs w:val="22"/>
              </w:rPr>
              <w:t>140~175</w:t>
            </w:r>
          </w:p>
        </w:tc>
        <w:tc>
          <w:tcPr>
            <w:tcW w:w="582" w:type="pct"/>
            <w:vAlign w:val="center"/>
          </w:tcPr>
          <w:p w14:paraId="63E2479A">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5FF287AC">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65339A12">
            <w:pPr>
              <w:jc w:val="center"/>
              <w:rPr>
                <w:rFonts w:ascii="Times New Roman" w:hAnsi="Times New Roman" w:eastAsiaTheme="minorEastAsia"/>
                <w:sz w:val="22"/>
                <w:szCs w:val="22"/>
              </w:rPr>
            </w:pPr>
            <w:r>
              <w:rPr>
                <w:rFonts w:ascii="Times New Roman" w:hAnsi="Times New Roman" w:eastAsiaTheme="minorEastAsia"/>
                <w:sz w:val="22"/>
                <w:szCs w:val="22"/>
              </w:rPr>
              <w:t>58.</w:t>
            </w:r>
          </w:p>
        </w:tc>
        <w:tc>
          <w:tcPr>
            <w:tcW w:w="449" w:type="pct"/>
            <w:vAlign w:val="center"/>
          </w:tcPr>
          <w:p w14:paraId="1EF1E7AC">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24B511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0A1CB7FC">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71713124">
            <w:pPr>
              <w:spacing w:line="320" w:lineRule="atLeast"/>
              <w:jc w:val="center"/>
              <w:rPr>
                <w:rFonts w:ascii="Times New Roman" w:hAnsi="Times New Roman"/>
                <w:spacing w:val="-10"/>
                <w:szCs w:val="21"/>
                <w:highlight w:val="yellow"/>
              </w:rPr>
            </w:pPr>
            <w:r>
              <w:rPr>
                <w:rFonts w:ascii="Times New Roman" w:hAnsi="Times New Roman"/>
                <w:spacing w:val="-10"/>
                <w:szCs w:val="21"/>
              </w:rPr>
              <w:t>G2</w:t>
            </w:r>
          </w:p>
        </w:tc>
        <w:tc>
          <w:tcPr>
            <w:tcW w:w="415" w:type="pct"/>
            <w:vAlign w:val="center"/>
          </w:tcPr>
          <w:p w14:paraId="0A9B0B63">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3E6731B5">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0956D455">
            <w:pPr>
              <w:jc w:val="center"/>
              <w:rPr>
                <w:rFonts w:ascii="Times New Roman" w:hAnsi="Times New Roman" w:eastAsiaTheme="minorEastAsia"/>
                <w:sz w:val="22"/>
                <w:szCs w:val="22"/>
              </w:rPr>
            </w:pPr>
            <w:r>
              <w:rPr>
                <w:rFonts w:ascii="Times New Roman" w:hAnsi="Times New Roman" w:eastAsiaTheme="minorEastAsia"/>
                <w:sz w:val="22"/>
                <w:szCs w:val="22"/>
              </w:rPr>
              <w:t>139~172</w:t>
            </w:r>
          </w:p>
        </w:tc>
        <w:tc>
          <w:tcPr>
            <w:tcW w:w="582" w:type="pct"/>
            <w:vAlign w:val="center"/>
          </w:tcPr>
          <w:p w14:paraId="4203DF8D">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787EA438">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507427F8">
            <w:pPr>
              <w:jc w:val="center"/>
              <w:rPr>
                <w:rFonts w:ascii="Times New Roman" w:hAnsi="Times New Roman" w:eastAsiaTheme="minorEastAsia"/>
                <w:sz w:val="22"/>
                <w:szCs w:val="22"/>
              </w:rPr>
            </w:pPr>
            <w:r>
              <w:rPr>
                <w:rFonts w:ascii="Times New Roman" w:hAnsi="Times New Roman" w:eastAsiaTheme="minorEastAsia"/>
                <w:sz w:val="22"/>
                <w:szCs w:val="22"/>
              </w:rPr>
              <w:t>57.3</w:t>
            </w:r>
          </w:p>
        </w:tc>
        <w:tc>
          <w:tcPr>
            <w:tcW w:w="449" w:type="pct"/>
            <w:vAlign w:val="center"/>
          </w:tcPr>
          <w:p w14:paraId="522FB003">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40D5DD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7D7E3F4C">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53C709E4">
            <w:pPr>
              <w:spacing w:line="320" w:lineRule="atLeast"/>
              <w:jc w:val="center"/>
              <w:rPr>
                <w:rFonts w:ascii="Times New Roman" w:hAnsi="Times New Roman"/>
                <w:spacing w:val="-10"/>
                <w:szCs w:val="21"/>
                <w:highlight w:val="yellow"/>
              </w:rPr>
            </w:pPr>
            <w:r>
              <w:rPr>
                <w:rFonts w:ascii="Times New Roman" w:hAnsi="Times New Roman"/>
                <w:spacing w:val="-10"/>
                <w:szCs w:val="21"/>
              </w:rPr>
              <w:t>G3</w:t>
            </w:r>
          </w:p>
        </w:tc>
        <w:tc>
          <w:tcPr>
            <w:tcW w:w="415" w:type="pct"/>
            <w:vAlign w:val="center"/>
          </w:tcPr>
          <w:p w14:paraId="0652EA00">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2EAB5445">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7A191F1F">
            <w:pPr>
              <w:jc w:val="center"/>
              <w:rPr>
                <w:rFonts w:ascii="Times New Roman" w:hAnsi="Times New Roman" w:eastAsiaTheme="minorEastAsia"/>
                <w:sz w:val="22"/>
                <w:szCs w:val="22"/>
              </w:rPr>
            </w:pPr>
            <w:r>
              <w:rPr>
                <w:rFonts w:ascii="Times New Roman" w:hAnsi="Times New Roman" w:eastAsiaTheme="minorEastAsia"/>
                <w:sz w:val="22"/>
                <w:szCs w:val="22"/>
              </w:rPr>
              <w:t>138~175</w:t>
            </w:r>
          </w:p>
        </w:tc>
        <w:tc>
          <w:tcPr>
            <w:tcW w:w="582" w:type="pct"/>
            <w:vAlign w:val="center"/>
          </w:tcPr>
          <w:p w14:paraId="7CDDE75F">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777F88D2">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4A49E43F">
            <w:pPr>
              <w:jc w:val="center"/>
              <w:rPr>
                <w:rFonts w:ascii="Times New Roman" w:hAnsi="Times New Roman" w:eastAsiaTheme="minorEastAsia"/>
                <w:sz w:val="22"/>
                <w:szCs w:val="22"/>
              </w:rPr>
            </w:pPr>
            <w:r>
              <w:rPr>
                <w:rFonts w:ascii="Times New Roman" w:hAnsi="Times New Roman" w:eastAsiaTheme="minorEastAsia"/>
                <w:sz w:val="22"/>
                <w:szCs w:val="22"/>
              </w:rPr>
              <w:t>58.03</w:t>
            </w:r>
          </w:p>
        </w:tc>
        <w:tc>
          <w:tcPr>
            <w:tcW w:w="449" w:type="pct"/>
            <w:vAlign w:val="center"/>
          </w:tcPr>
          <w:p w14:paraId="3FFD64D8">
            <w:pPr>
              <w:jc w:val="center"/>
              <w:rPr>
                <w:rFonts w:ascii="Times New Roman" w:hAnsi="Times New Roman" w:eastAsiaTheme="minorEastAsia"/>
                <w:sz w:val="22"/>
                <w:szCs w:val="22"/>
              </w:rPr>
            </w:pPr>
            <w:r>
              <w:rPr>
                <w:rFonts w:ascii="Times New Roman" w:hAnsi="Times New Roman" w:eastAsiaTheme="minorEastAsia"/>
                <w:bCs/>
                <w:szCs w:val="21"/>
              </w:rPr>
              <w:t>达标</w:t>
            </w:r>
          </w:p>
        </w:tc>
      </w:tr>
      <w:tr w14:paraId="7B3E47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restart"/>
            <w:tcBorders>
              <w:right w:val="single" w:color="auto" w:sz="4" w:space="0"/>
            </w:tcBorders>
            <w:vAlign w:val="center"/>
          </w:tcPr>
          <w:p w14:paraId="2C3ADF26">
            <w:pPr>
              <w:jc w:val="center"/>
              <w:rPr>
                <w:rFonts w:ascii="Times New Roman" w:hAnsi="Times New Roman" w:eastAsiaTheme="minorEastAsia"/>
                <w:szCs w:val="21"/>
              </w:rPr>
            </w:pPr>
            <w:r>
              <w:rPr>
                <w:rFonts w:ascii="Times New Roman" w:hAnsi="Times New Roman" w:eastAsiaTheme="minorEastAsia"/>
                <w:szCs w:val="21"/>
              </w:rPr>
              <w:t>太白顶石材产业园</w:t>
            </w:r>
          </w:p>
        </w:tc>
        <w:tc>
          <w:tcPr>
            <w:tcW w:w="415" w:type="pct"/>
            <w:tcBorders>
              <w:left w:val="single" w:color="auto" w:sz="4" w:space="0"/>
            </w:tcBorders>
            <w:vAlign w:val="center"/>
          </w:tcPr>
          <w:p w14:paraId="385A7E08">
            <w:pPr>
              <w:jc w:val="center"/>
              <w:rPr>
                <w:rFonts w:ascii="Times New Roman" w:hAnsi="Times New Roman" w:eastAsiaTheme="minorEastAsia"/>
                <w:szCs w:val="21"/>
              </w:rPr>
            </w:pPr>
            <w:r>
              <w:rPr>
                <w:rFonts w:ascii="Times New Roman" w:hAnsi="Times New Roman" w:eastAsiaTheme="minorEastAsia"/>
                <w:szCs w:val="21"/>
              </w:rPr>
              <w:t>G1</w:t>
            </w:r>
          </w:p>
        </w:tc>
        <w:tc>
          <w:tcPr>
            <w:tcW w:w="415" w:type="pct"/>
            <w:vAlign w:val="center"/>
          </w:tcPr>
          <w:p w14:paraId="0716A131">
            <w:pPr>
              <w:jc w:val="center"/>
              <w:rPr>
                <w:rFonts w:ascii="Times New Roman" w:hAnsi="Times New Roman" w:eastAsiaTheme="minorEastAsia"/>
                <w:bCs/>
                <w:szCs w:val="21"/>
              </w:rPr>
            </w:pPr>
            <w:r>
              <w:rPr>
                <w:rFonts w:ascii="Times New Roman" w:hAnsi="Times New Roman" w:eastAsiaTheme="minorEastAsia"/>
                <w:sz w:val="22"/>
                <w:szCs w:val="22"/>
              </w:rPr>
              <w:t>TSP</w:t>
            </w:r>
          </w:p>
        </w:tc>
        <w:tc>
          <w:tcPr>
            <w:tcW w:w="582" w:type="pct"/>
            <w:vAlign w:val="center"/>
          </w:tcPr>
          <w:p w14:paraId="5D7F27A9">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2747B5B2">
            <w:pPr>
              <w:jc w:val="center"/>
              <w:rPr>
                <w:rFonts w:ascii="Times New Roman" w:hAnsi="Times New Roman" w:eastAsiaTheme="minorEastAsia"/>
                <w:sz w:val="22"/>
                <w:szCs w:val="22"/>
              </w:rPr>
            </w:pPr>
            <w:r>
              <w:rPr>
                <w:rFonts w:ascii="Times New Roman" w:hAnsi="Times New Roman" w:eastAsiaTheme="minorEastAsia"/>
                <w:sz w:val="22"/>
                <w:szCs w:val="22"/>
              </w:rPr>
              <w:t>140~174</w:t>
            </w:r>
          </w:p>
        </w:tc>
        <w:tc>
          <w:tcPr>
            <w:tcW w:w="582" w:type="pct"/>
            <w:vAlign w:val="center"/>
          </w:tcPr>
          <w:p w14:paraId="20B7898A">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46FDFBA9">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344936C2">
            <w:pPr>
              <w:jc w:val="center"/>
              <w:rPr>
                <w:rFonts w:ascii="Times New Roman" w:hAnsi="Times New Roman" w:eastAsiaTheme="minorEastAsia"/>
                <w:sz w:val="22"/>
                <w:szCs w:val="22"/>
              </w:rPr>
            </w:pPr>
            <w:r>
              <w:rPr>
                <w:rFonts w:ascii="Times New Roman" w:hAnsi="Times New Roman" w:eastAsiaTheme="minorEastAsia"/>
                <w:sz w:val="22"/>
                <w:szCs w:val="22"/>
              </w:rPr>
              <w:t>58.0</w:t>
            </w:r>
          </w:p>
        </w:tc>
        <w:tc>
          <w:tcPr>
            <w:tcW w:w="449" w:type="pct"/>
            <w:vAlign w:val="center"/>
          </w:tcPr>
          <w:p w14:paraId="27345724">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049854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2A39BFB9">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7754D1A5">
            <w:pPr>
              <w:jc w:val="center"/>
              <w:rPr>
                <w:rFonts w:ascii="Times New Roman" w:hAnsi="Times New Roman" w:eastAsiaTheme="minorEastAsia"/>
                <w:szCs w:val="21"/>
              </w:rPr>
            </w:pPr>
            <w:r>
              <w:rPr>
                <w:rFonts w:ascii="Times New Roman" w:hAnsi="Times New Roman" w:eastAsiaTheme="minorEastAsia"/>
                <w:szCs w:val="21"/>
              </w:rPr>
              <w:t>G2</w:t>
            </w:r>
          </w:p>
        </w:tc>
        <w:tc>
          <w:tcPr>
            <w:tcW w:w="415" w:type="pct"/>
            <w:vAlign w:val="center"/>
          </w:tcPr>
          <w:p w14:paraId="69E7FA67">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16C0DB66">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4BDAF2C0">
            <w:pPr>
              <w:jc w:val="center"/>
              <w:rPr>
                <w:rFonts w:ascii="Times New Roman" w:hAnsi="Times New Roman" w:eastAsiaTheme="minorEastAsia"/>
                <w:sz w:val="22"/>
                <w:szCs w:val="22"/>
              </w:rPr>
            </w:pPr>
            <w:r>
              <w:rPr>
                <w:rFonts w:ascii="Times New Roman" w:hAnsi="Times New Roman" w:eastAsiaTheme="minorEastAsia"/>
                <w:sz w:val="22"/>
                <w:szCs w:val="22"/>
              </w:rPr>
              <w:t>138~176</w:t>
            </w:r>
          </w:p>
        </w:tc>
        <w:tc>
          <w:tcPr>
            <w:tcW w:w="582" w:type="pct"/>
            <w:vAlign w:val="center"/>
          </w:tcPr>
          <w:p w14:paraId="799C3FD7">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140C68F6">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4FD7F0CB">
            <w:pPr>
              <w:jc w:val="center"/>
              <w:rPr>
                <w:rFonts w:ascii="Times New Roman" w:hAnsi="Times New Roman" w:eastAsiaTheme="minorEastAsia"/>
                <w:sz w:val="22"/>
                <w:szCs w:val="22"/>
              </w:rPr>
            </w:pPr>
            <w:r>
              <w:rPr>
                <w:rFonts w:ascii="Times New Roman" w:hAnsi="Times New Roman" w:eastAsiaTheme="minorEastAsia"/>
                <w:sz w:val="22"/>
                <w:szCs w:val="22"/>
              </w:rPr>
              <w:t>58.7</w:t>
            </w:r>
          </w:p>
        </w:tc>
        <w:tc>
          <w:tcPr>
            <w:tcW w:w="449" w:type="pct"/>
            <w:vAlign w:val="center"/>
          </w:tcPr>
          <w:p w14:paraId="32159473">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46D4F7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28EFA602">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231F939F">
            <w:pPr>
              <w:jc w:val="center"/>
              <w:rPr>
                <w:rFonts w:ascii="Times New Roman" w:hAnsi="Times New Roman" w:eastAsiaTheme="minorEastAsia"/>
                <w:szCs w:val="21"/>
              </w:rPr>
            </w:pPr>
            <w:r>
              <w:rPr>
                <w:rFonts w:ascii="Times New Roman" w:hAnsi="Times New Roman" w:eastAsiaTheme="minorEastAsia"/>
                <w:szCs w:val="21"/>
              </w:rPr>
              <w:t>G3</w:t>
            </w:r>
          </w:p>
        </w:tc>
        <w:tc>
          <w:tcPr>
            <w:tcW w:w="415" w:type="pct"/>
            <w:vAlign w:val="center"/>
          </w:tcPr>
          <w:p w14:paraId="70272EB3">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20377E72">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5A3918A1">
            <w:pPr>
              <w:jc w:val="center"/>
              <w:rPr>
                <w:rFonts w:ascii="Times New Roman" w:hAnsi="Times New Roman" w:eastAsiaTheme="minorEastAsia"/>
                <w:sz w:val="22"/>
                <w:szCs w:val="22"/>
              </w:rPr>
            </w:pPr>
            <w:r>
              <w:rPr>
                <w:rFonts w:ascii="Times New Roman" w:hAnsi="Times New Roman" w:eastAsiaTheme="minorEastAsia"/>
                <w:sz w:val="22"/>
                <w:szCs w:val="22"/>
              </w:rPr>
              <w:t>139~174</w:t>
            </w:r>
          </w:p>
        </w:tc>
        <w:tc>
          <w:tcPr>
            <w:tcW w:w="582" w:type="pct"/>
            <w:vAlign w:val="center"/>
          </w:tcPr>
          <w:p w14:paraId="001D2970">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27859D35">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3BFBA878">
            <w:pPr>
              <w:jc w:val="center"/>
              <w:rPr>
                <w:rFonts w:ascii="Times New Roman" w:hAnsi="Times New Roman" w:eastAsiaTheme="minorEastAsia"/>
                <w:sz w:val="22"/>
                <w:szCs w:val="22"/>
              </w:rPr>
            </w:pPr>
            <w:r>
              <w:rPr>
                <w:rFonts w:ascii="Times New Roman" w:hAnsi="Times New Roman" w:eastAsiaTheme="minorEastAsia"/>
                <w:sz w:val="22"/>
                <w:szCs w:val="22"/>
              </w:rPr>
              <w:t>58.0</w:t>
            </w:r>
          </w:p>
        </w:tc>
        <w:tc>
          <w:tcPr>
            <w:tcW w:w="449" w:type="pct"/>
            <w:vAlign w:val="center"/>
          </w:tcPr>
          <w:p w14:paraId="39C33107">
            <w:pPr>
              <w:jc w:val="center"/>
              <w:rPr>
                <w:rFonts w:ascii="Times New Roman" w:hAnsi="Times New Roman" w:eastAsiaTheme="minorEastAsia"/>
                <w:sz w:val="22"/>
                <w:szCs w:val="22"/>
              </w:rPr>
            </w:pPr>
            <w:r>
              <w:rPr>
                <w:rFonts w:ascii="Times New Roman" w:hAnsi="Times New Roman" w:eastAsiaTheme="minorEastAsia"/>
                <w:bCs/>
                <w:szCs w:val="21"/>
              </w:rPr>
              <w:t>达标</w:t>
            </w:r>
          </w:p>
        </w:tc>
      </w:tr>
      <w:tr w14:paraId="2C83B9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restart"/>
            <w:tcBorders>
              <w:right w:val="single" w:color="auto" w:sz="4" w:space="0"/>
            </w:tcBorders>
            <w:vAlign w:val="center"/>
          </w:tcPr>
          <w:p w14:paraId="0DB9E7CB">
            <w:pPr>
              <w:jc w:val="center"/>
              <w:rPr>
                <w:rFonts w:ascii="Times New Roman" w:hAnsi="Times New Roman" w:eastAsiaTheme="minorEastAsia"/>
                <w:szCs w:val="21"/>
              </w:rPr>
            </w:pPr>
            <w:r>
              <w:rPr>
                <w:rFonts w:ascii="Times New Roman" w:hAnsi="Times New Roman" w:eastAsiaTheme="minorEastAsia"/>
                <w:szCs w:val="21"/>
              </w:rPr>
              <w:t>草店石材产业园</w:t>
            </w:r>
          </w:p>
        </w:tc>
        <w:tc>
          <w:tcPr>
            <w:tcW w:w="415" w:type="pct"/>
            <w:tcBorders>
              <w:left w:val="single" w:color="auto" w:sz="4" w:space="0"/>
            </w:tcBorders>
            <w:vAlign w:val="center"/>
          </w:tcPr>
          <w:p w14:paraId="3D8F8591">
            <w:pPr>
              <w:jc w:val="center"/>
              <w:rPr>
                <w:rFonts w:ascii="Times New Roman" w:hAnsi="Times New Roman" w:eastAsiaTheme="minorEastAsia"/>
                <w:szCs w:val="21"/>
              </w:rPr>
            </w:pPr>
            <w:r>
              <w:rPr>
                <w:rFonts w:ascii="Times New Roman" w:hAnsi="Times New Roman" w:eastAsiaTheme="minorEastAsia"/>
                <w:szCs w:val="21"/>
              </w:rPr>
              <w:t>G1</w:t>
            </w:r>
          </w:p>
        </w:tc>
        <w:tc>
          <w:tcPr>
            <w:tcW w:w="415" w:type="pct"/>
            <w:vAlign w:val="center"/>
          </w:tcPr>
          <w:p w14:paraId="06F8E2F9">
            <w:pPr>
              <w:jc w:val="center"/>
              <w:rPr>
                <w:rFonts w:ascii="Times New Roman" w:hAnsi="Times New Roman" w:eastAsiaTheme="minorEastAsia"/>
                <w:bCs/>
                <w:szCs w:val="21"/>
              </w:rPr>
            </w:pPr>
            <w:r>
              <w:rPr>
                <w:rFonts w:ascii="Times New Roman" w:hAnsi="Times New Roman" w:eastAsiaTheme="minorEastAsia"/>
                <w:sz w:val="22"/>
                <w:szCs w:val="22"/>
              </w:rPr>
              <w:t>TSP</w:t>
            </w:r>
          </w:p>
        </w:tc>
        <w:tc>
          <w:tcPr>
            <w:tcW w:w="582" w:type="pct"/>
            <w:vAlign w:val="center"/>
          </w:tcPr>
          <w:p w14:paraId="173B750E">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1A8867BF">
            <w:pPr>
              <w:jc w:val="center"/>
              <w:rPr>
                <w:rFonts w:ascii="Times New Roman" w:hAnsi="Times New Roman" w:eastAsiaTheme="minorEastAsia"/>
                <w:sz w:val="22"/>
                <w:szCs w:val="22"/>
              </w:rPr>
            </w:pPr>
            <w:r>
              <w:rPr>
                <w:rFonts w:ascii="Times New Roman" w:hAnsi="Times New Roman" w:eastAsiaTheme="minorEastAsia"/>
                <w:sz w:val="22"/>
                <w:szCs w:val="22"/>
              </w:rPr>
              <w:t>142~175</w:t>
            </w:r>
          </w:p>
        </w:tc>
        <w:tc>
          <w:tcPr>
            <w:tcW w:w="582" w:type="pct"/>
            <w:vAlign w:val="center"/>
          </w:tcPr>
          <w:p w14:paraId="1E18F99F">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5A698DD0">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60DD21B7">
            <w:pPr>
              <w:jc w:val="center"/>
              <w:rPr>
                <w:rFonts w:ascii="Times New Roman" w:hAnsi="Times New Roman" w:eastAsiaTheme="minorEastAsia"/>
                <w:sz w:val="22"/>
                <w:szCs w:val="22"/>
              </w:rPr>
            </w:pPr>
            <w:r>
              <w:rPr>
                <w:rFonts w:ascii="Times New Roman" w:hAnsi="Times New Roman" w:eastAsiaTheme="minorEastAsia"/>
                <w:sz w:val="22"/>
                <w:szCs w:val="22"/>
              </w:rPr>
              <w:t>58.3</w:t>
            </w:r>
          </w:p>
        </w:tc>
        <w:tc>
          <w:tcPr>
            <w:tcW w:w="449" w:type="pct"/>
            <w:vAlign w:val="center"/>
          </w:tcPr>
          <w:p w14:paraId="27BE75CD">
            <w:pPr>
              <w:jc w:val="center"/>
              <w:rPr>
                <w:rFonts w:ascii="Times New Roman" w:hAnsi="Times New Roman" w:eastAsiaTheme="minorEastAsia"/>
                <w:bCs/>
                <w:szCs w:val="21"/>
              </w:rPr>
            </w:pPr>
            <w:r>
              <w:rPr>
                <w:rFonts w:ascii="Times New Roman" w:hAnsi="Times New Roman" w:eastAsiaTheme="minorEastAsia"/>
                <w:bCs/>
                <w:szCs w:val="21"/>
              </w:rPr>
              <w:t>达标</w:t>
            </w:r>
          </w:p>
        </w:tc>
      </w:tr>
      <w:tr w14:paraId="57EE0C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7" w:hRule="atLeast"/>
        </w:trPr>
        <w:tc>
          <w:tcPr>
            <w:tcW w:w="562" w:type="pct"/>
            <w:vMerge w:val="continue"/>
            <w:tcBorders>
              <w:right w:val="single" w:color="auto" w:sz="4" w:space="0"/>
            </w:tcBorders>
            <w:vAlign w:val="center"/>
          </w:tcPr>
          <w:p w14:paraId="0DA45787">
            <w:pPr>
              <w:spacing w:line="320" w:lineRule="atLeast"/>
              <w:jc w:val="center"/>
              <w:rPr>
                <w:rFonts w:ascii="Times New Roman" w:hAnsi="Times New Roman"/>
                <w:spacing w:val="-10"/>
                <w:szCs w:val="21"/>
                <w:highlight w:val="yellow"/>
              </w:rPr>
            </w:pPr>
          </w:p>
        </w:tc>
        <w:tc>
          <w:tcPr>
            <w:tcW w:w="415" w:type="pct"/>
            <w:tcBorders>
              <w:left w:val="single" w:color="auto" w:sz="4" w:space="0"/>
            </w:tcBorders>
            <w:vAlign w:val="center"/>
          </w:tcPr>
          <w:p w14:paraId="6796EB7E">
            <w:pPr>
              <w:jc w:val="center"/>
              <w:rPr>
                <w:rFonts w:ascii="Times New Roman" w:hAnsi="Times New Roman" w:eastAsiaTheme="minorEastAsia"/>
                <w:szCs w:val="21"/>
              </w:rPr>
            </w:pPr>
            <w:r>
              <w:rPr>
                <w:rFonts w:ascii="Times New Roman" w:hAnsi="Times New Roman" w:eastAsiaTheme="minorEastAsia"/>
                <w:szCs w:val="21"/>
              </w:rPr>
              <w:t>G2</w:t>
            </w:r>
          </w:p>
        </w:tc>
        <w:tc>
          <w:tcPr>
            <w:tcW w:w="415" w:type="pct"/>
            <w:vAlign w:val="center"/>
          </w:tcPr>
          <w:p w14:paraId="1D9DC74A">
            <w:pPr>
              <w:jc w:val="center"/>
              <w:rPr>
                <w:rFonts w:ascii="Times New Roman" w:hAnsi="Times New Roman" w:eastAsiaTheme="minorEastAsia"/>
                <w:sz w:val="22"/>
                <w:szCs w:val="22"/>
              </w:rPr>
            </w:pPr>
            <w:r>
              <w:rPr>
                <w:rFonts w:ascii="Times New Roman" w:hAnsi="Times New Roman" w:eastAsiaTheme="minorEastAsia"/>
                <w:sz w:val="22"/>
                <w:szCs w:val="22"/>
              </w:rPr>
              <w:t>TSP</w:t>
            </w:r>
          </w:p>
        </w:tc>
        <w:tc>
          <w:tcPr>
            <w:tcW w:w="582" w:type="pct"/>
            <w:vAlign w:val="center"/>
          </w:tcPr>
          <w:p w14:paraId="203154E7">
            <w:pPr>
              <w:jc w:val="center"/>
              <w:rPr>
                <w:rFonts w:ascii="Times New Roman" w:hAnsi="Times New Roman" w:eastAsiaTheme="minorEastAsia"/>
                <w:sz w:val="22"/>
                <w:szCs w:val="22"/>
              </w:rPr>
            </w:pPr>
            <w:r>
              <w:rPr>
                <w:rFonts w:ascii="Times New Roman" w:hAnsi="Times New Roman" w:eastAsiaTheme="minorEastAsia"/>
                <w:sz w:val="22"/>
                <w:szCs w:val="22"/>
              </w:rPr>
              <w:t>日均值</w:t>
            </w:r>
          </w:p>
        </w:tc>
        <w:tc>
          <w:tcPr>
            <w:tcW w:w="748" w:type="pct"/>
            <w:vAlign w:val="center"/>
          </w:tcPr>
          <w:p w14:paraId="677CF3EC">
            <w:pPr>
              <w:jc w:val="center"/>
              <w:rPr>
                <w:rFonts w:ascii="Times New Roman" w:hAnsi="Times New Roman" w:eastAsiaTheme="minorEastAsia"/>
                <w:sz w:val="22"/>
                <w:szCs w:val="22"/>
              </w:rPr>
            </w:pPr>
            <w:r>
              <w:rPr>
                <w:rFonts w:ascii="Times New Roman" w:hAnsi="Times New Roman" w:eastAsiaTheme="minorEastAsia"/>
                <w:sz w:val="22"/>
                <w:szCs w:val="22"/>
              </w:rPr>
              <w:t>141~174</w:t>
            </w:r>
          </w:p>
        </w:tc>
        <w:tc>
          <w:tcPr>
            <w:tcW w:w="582" w:type="pct"/>
            <w:vAlign w:val="center"/>
          </w:tcPr>
          <w:p w14:paraId="464E4414">
            <w:pPr>
              <w:pStyle w:val="45"/>
              <w:jc w:val="center"/>
              <w:rPr>
                <w:rFonts w:ascii="Times New Roman" w:hAnsi="Times New Roman" w:cs="Times New Roman" w:eastAsiaTheme="minorEastAsia"/>
                <w:sz w:val="22"/>
              </w:rPr>
            </w:pPr>
            <w:r>
              <w:rPr>
                <w:rFonts w:ascii="Times New Roman" w:hAnsi="Times New Roman" w:cs="Times New Roman" w:eastAsiaTheme="minorEastAsia"/>
                <w:sz w:val="22"/>
              </w:rPr>
              <w:t>300</w:t>
            </w:r>
          </w:p>
        </w:tc>
        <w:tc>
          <w:tcPr>
            <w:tcW w:w="498" w:type="pct"/>
            <w:vAlign w:val="center"/>
          </w:tcPr>
          <w:p w14:paraId="525EE8C0">
            <w:pPr>
              <w:jc w:val="center"/>
              <w:rPr>
                <w:rFonts w:ascii="Times New Roman" w:hAnsi="Times New Roman" w:eastAsiaTheme="minorEastAsia"/>
                <w:sz w:val="22"/>
                <w:szCs w:val="22"/>
              </w:rPr>
            </w:pPr>
            <w:r>
              <w:rPr>
                <w:rFonts w:ascii="Times New Roman" w:hAnsi="Times New Roman" w:eastAsiaTheme="minorEastAsia"/>
                <w:sz w:val="22"/>
                <w:szCs w:val="22"/>
              </w:rPr>
              <w:t>0</w:t>
            </w:r>
          </w:p>
        </w:tc>
        <w:tc>
          <w:tcPr>
            <w:tcW w:w="748" w:type="pct"/>
            <w:vAlign w:val="center"/>
          </w:tcPr>
          <w:p w14:paraId="4C2E4CDF">
            <w:pPr>
              <w:jc w:val="center"/>
              <w:rPr>
                <w:rFonts w:ascii="Times New Roman" w:hAnsi="Times New Roman" w:eastAsiaTheme="minorEastAsia"/>
                <w:sz w:val="22"/>
                <w:szCs w:val="22"/>
              </w:rPr>
            </w:pPr>
            <w:r>
              <w:rPr>
                <w:rFonts w:ascii="Times New Roman" w:hAnsi="Times New Roman" w:eastAsiaTheme="minorEastAsia"/>
                <w:sz w:val="22"/>
                <w:szCs w:val="22"/>
              </w:rPr>
              <w:t>58.0</w:t>
            </w:r>
          </w:p>
        </w:tc>
        <w:tc>
          <w:tcPr>
            <w:tcW w:w="449" w:type="pct"/>
            <w:vAlign w:val="center"/>
          </w:tcPr>
          <w:p w14:paraId="5C54D21E">
            <w:pPr>
              <w:jc w:val="center"/>
              <w:rPr>
                <w:rFonts w:ascii="Times New Roman" w:hAnsi="Times New Roman" w:eastAsiaTheme="minorEastAsia"/>
                <w:sz w:val="22"/>
                <w:szCs w:val="22"/>
              </w:rPr>
            </w:pPr>
            <w:r>
              <w:rPr>
                <w:rFonts w:ascii="Times New Roman" w:hAnsi="Times New Roman" w:eastAsiaTheme="minorEastAsia"/>
                <w:bCs/>
                <w:szCs w:val="21"/>
              </w:rPr>
              <w:t>达标</w:t>
            </w:r>
          </w:p>
        </w:tc>
      </w:tr>
      <w:bookmarkEnd w:id="109"/>
    </w:tbl>
    <w:p w14:paraId="7BC13555">
      <w:pPr>
        <w:spacing w:line="360" w:lineRule="auto"/>
        <w:ind w:firstLine="480" w:firstLineChars="200"/>
        <w:contextualSpacing/>
        <w:rPr>
          <w:rFonts w:eastAsiaTheme="minorEastAsia"/>
          <w:sz w:val="24"/>
        </w:rPr>
      </w:pPr>
      <w:r>
        <w:rPr>
          <w:rFonts w:eastAsiaTheme="minorEastAsia"/>
          <w:sz w:val="24"/>
        </w:rPr>
        <w:t>根据上表分析可知，</w:t>
      </w:r>
      <w:r>
        <w:rPr>
          <w:rFonts w:hint="eastAsia" w:eastAsiaTheme="minorEastAsia"/>
          <w:sz w:val="24"/>
        </w:rPr>
        <w:t>区域</w:t>
      </w:r>
      <w:r>
        <w:rPr>
          <w:rFonts w:eastAsiaTheme="minorEastAsia"/>
          <w:sz w:val="24"/>
        </w:rPr>
        <w:t>特征</w:t>
      </w:r>
      <w:r>
        <w:rPr>
          <w:rFonts w:hint="eastAsia" w:eastAsiaTheme="minorEastAsia"/>
          <w:sz w:val="24"/>
        </w:rPr>
        <w:t>因子</w:t>
      </w:r>
      <w:r>
        <w:rPr>
          <w:rFonts w:eastAsiaTheme="minorEastAsia"/>
          <w:sz w:val="24"/>
        </w:rPr>
        <w:t>TSP满足《环境空气质量标准》（GB3095-2012）及修改单规定的二级标准要求。</w:t>
      </w:r>
    </w:p>
    <w:p w14:paraId="7C59532B">
      <w:pPr>
        <w:keepNext/>
        <w:keepLines/>
        <w:widowControl/>
        <w:numPr>
          <w:ilvl w:val="2"/>
          <w:numId w:val="1"/>
        </w:numPr>
        <w:spacing w:before="120" w:after="120" w:line="360" w:lineRule="auto"/>
        <w:jc w:val="left"/>
        <w:outlineLvl w:val="2"/>
        <w:rPr>
          <w:rFonts w:eastAsiaTheme="minorEastAsia"/>
          <w:b/>
          <w:bCs/>
          <w:sz w:val="24"/>
        </w:rPr>
      </w:pPr>
      <w:bookmarkStart w:id="110" w:name="_Toc206494948"/>
      <w:r>
        <w:rPr>
          <w:rFonts w:hint="eastAsia" w:eastAsiaTheme="minorEastAsia"/>
          <w:b/>
          <w:bCs/>
          <w:sz w:val="24"/>
        </w:rPr>
        <w:t>地表水环境质量现状调查与评价</w:t>
      </w:r>
      <w:bookmarkEnd w:id="110"/>
    </w:p>
    <w:p w14:paraId="64019CF1">
      <w:pPr>
        <w:spacing w:line="360" w:lineRule="auto"/>
        <w:ind w:firstLine="480" w:firstLineChars="200"/>
        <w:contextualSpacing/>
        <w:rPr>
          <w:rFonts w:eastAsiaTheme="minorEastAsia"/>
          <w:sz w:val="24"/>
        </w:rPr>
      </w:pPr>
      <w:r>
        <w:rPr>
          <w:rFonts w:eastAsiaTheme="minorEastAsia"/>
          <w:sz w:val="24"/>
        </w:rPr>
        <w:t>规划园区内生产废水均处理后回用，生活污水经化粪池处理后排入</w:t>
      </w:r>
      <w:r>
        <w:rPr>
          <w:rFonts w:hint="eastAsia" w:eastAsiaTheme="minorEastAsia"/>
          <w:sz w:val="24"/>
        </w:rPr>
        <w:t>各乡镇</w:t>
      </w:r>
      <w:r>
        <w:rPr>
          <w:rFonts w:eastAsiaTheme="minorEastAsia"/>
          <w:sz w:val="24"/>
        </w:rPr>
        <w:t>污水处理厂。废水最终受纳水体主要为</w:t>
      </w:r>
      <w:r>
        <w:rPr>
          <w:rFonts w:hint="eastAsia" w:eastAsiaTheme="minorEastAsia"/>
          <w:sz w:val="24"/>
        </w:rPr>
        <w:t>溠水、厥水河、漂水、游河</w:t>
      </w:r>
      <w:r>
        <w:rPr>
          <w:rFonts w:eastAsiaTheme="minorEastAsia"/>
          <w:sz w:val="24"/>
        </w:rPr>
        <w:t>。水环境质量应满足《地表水环境质量标准》（GB3838-2002）</w:t>
      </w:r>
      <w:r>
        <w:rPr>
          <w:rFonts w:hint="eastAsia" w:eastAsiaTheme="minorEastAsia"/>
          <w:sz w:val="24"/>
        </w:rPr>
        <w:t>III</w:t>
      </w:r>
      <w:r>
        <w:rPr>
          <w:rFonts w:eastAsiaTheme="minorEastAsia"/>
          <w:sz w:val="24"/>
        </w:rPr>
        <w:t>类标准。</w:t>
      </w:r>
    </w:p>
    <w:p w14:paraId="70518574">
      <w:pPr>
        <w:spacing w:line="360" w:lineRule="auto"/>
        <w:ind w:firstLine="480" w:firstLineChars="200"/>
        <w:rPr>
          <w:rFonts w:eastAsiaTheme="minorEastAsia"/>
          <w:sz w:val="24"/>
          <w:szCs w:val="22"/>
        </w:rPr>
      </w:pPr>
      <w:r>
        <w:rPr>
          <w:rFonts w:eastAsiaTheme="minorEastAsia"/>
          <w:sz w:val="24"/>
        </w:rPr>
        <w:t>为了了解规划区域主要受纳水体水环境质量现状，本评价引用</w:t>
      </w:r>
      <w:r>
        <w:rPr>
          <w:rFonts w:hint="eastAsia" w:eastAsiaTheme="minorEastAsia"/>
          <w:bCs/>
          <w:snapToGrid w:val="0"/>
          <w:kern w:val="0"/>
          <w:sz w:val="24"/>
          <w:szCs w:val="20"/>
        </w:rPr>
        <w:t>随州市生态环境局网站公布的《随州市2024年环境状况公报》中随州市地表水环境质量监测数据进行分析</w:t>
      </w:r>
      <w:r>
        <w:rPr>
          <w:rFonts w:eastAsiaTheme="minorEastAsia"/>
          <w:bCs/>
          <w:snapToGrid w:val="0"/>
          <w:kern w:val="0"/>
          <w:sz w:val="24"/>
          <w:szCs w:val="20"/>
        </w:rPr>
        <w:t>。</w:t>
      </w:r>
      <w:r>
        <w:rPr>
          <w:rFonts w:eastAsiaTheme="minorEastAsia"/>
          <w:sz w:val="24"/>
          <w:szCs w:val="22"/>
        </w:rPr>
        <w:t>具体如下。</w:t>
      </w:r>
    </w:p>
    <w:p w14:paraId="38F5CD5A">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3.3.2</w:t>
      </w:r>
      <w:r>
        <w:rPr>
          <w:rFonts w:eastAsiaTheme="minorEastAsia"/>
          <w:b/>
          <w:szCs w:val="21"/>
        </w:rPr>
        <w:t>-</w:t>
      </w:r>
      <w:r>
        <w:rPr>
          <w:rFonts w:hint="eastAsia" w:eastAsiaTheme="minorEastAsia"/>
          <w:b/>
          <w:szCs w:val="21"/>
        </w:rPr>
        <w:t>1</w:t>
      </w:r>
      <w:r>
        <w:rPr>
          <w:rFonts w:eastAsiaTheme="minorEastAsia"/>
          <w:b/>
          <w:szCs w:val="21"/>
        </w:rPr>
        <w:t xml:space="preserve">  20</w:t>
      </w:r>
      <w:r>
        <w:rPr>
          <w:rFonts w:hint="eastAsia" w:eastAsiaTheme="minorEastAsia"/>
          <w:b/>
          <w:szCs w:val="21"/>
        </w:rPr>
        <w:t>24</w:t>
      </w:r>
      <w:r>
        <w:rPr>
          <w:rFonts w:eastAsiaTheme="minorEastAsia"/>
          <w:b/>
          <w:szCs w:val="21"/>
        </w:rPr>
        <w:t>年规划区域主要地表水水质状况</w:t>
      </w:r>
    </w:p>
    <w:tbl>
      <w:tblPr>
        <w:tblStyle w:val="88"/>
        <w:tblW w:w="5001"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15" w:type="dxa"/>
          <w:left w:w="15" w:type="dxa"/>
          <w:bottom w:w="15" w:type="dxa"/>
          <w:right w:w="15" w:type="dxa"/>
        </w:tblCellMar>
      </w:tblPr>
      <w:tblGrid>
        <w:gridCol w:w="1045"/>
        <w:gridCol w:w="1762"/>
        <w:gridCol w:w="1305"/>
        <w:gridCol w:w="1716"/>
        <w:gridCol w:w="1378"/>
        <w:gridCol w:w="1138"/>
      </w:tblGrid>
      <w:tr w14:paraId="2821CD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Align w:val="center"/>
          </w:tcPr>
          <w:p w14:paraId="3A5E7242">
            <w:pPr>
              <w:widowControl/>
              <w:spacing w:beforeAutospacing="1" w:afterAutospacing="1" w:line="320" w:lineRule="exact"/>
              <w:jc w:val="center"/>
              <w:rPr>
                <w:rFonts w:eastAsiaTheme="minorEastAsia"/>
                <w:kern w:val="0"/>
                <w:szCs w:val="21"/>
              </w:rPr>
            </w:pPr>
            <w:r>
              <w:rPr>
                <w:rFonts w:eastAsiaTheme="minorEastAsia"/>
                <w:kern w:val="0"/>
                <w:szCs w:val="21"/>
              </w:rPr>
              <w:t>水体名称</w:t>
            </w:r>
          </w:p>
        </w:tc>
        <w:tc>
          <w:tcPr>
            <w:tcW w:w="1056" w:type="pct"/>
            <w:vAlign w:val="center"/>
          </w:tcPr>
          <w:p w14:paraId="75A14E5C">
            <w:pPr>
              <w:widowControl/>
              <w:spacing w:beforeAutospacing="1" w:afterAutospacing="1" w:line="320" w:lineRule="exact"/>
              <w:jc w:val="center"/>
              <w:rPr>
                <w:rFonts w:eastAsiaTheme="minorEastAsia"/>
                <w:kern w:val="0"/>
                <w:szCs w:val="21"/>
              </w:rPr>
            </w:pPr>
            <w:r>
              <w:rPr>
                <w:rFonts w:hint="eastAsia" w:eastAsiaTheme="minorEastAsia"/>
                <w:kern w:val="0"/>
                <w:szCs w:val="21"/>
              </w:rPr>
              <w:t>断面</w:t>
            </w:r>
            <w:r>
              <w:rPr>
                <w:rFonts w:eastAsiaTheme="minorEastAsia"/>
                <w:kern w:val="0"/>
                <w:szCs w:val="21"/>
              </w:rPr>
              <w:t>名称</w:t>
            </w:r>
          </w:p>
        </w:tc>
        <w:tc>
          <w:tcPr>
            <w:tcW w:w="782" w:type="pct"/>
            <w:vAlign w:val="center"/>
          </w:tcPr>
          <w:p w14:paraId="00C42B8A">
            <w:pPr>
              <w:widowControl/>
              <w:spacing w:beforeAutospacing="1" w:afterAutospacing="1" w:line="320" w:lineRule="exact"/>
              <w:jc w:val="center"/>
              <w:rPr>
                <w:rFonts w:eastAsiaTheme="minorEastAsia"/>
                <w:kern w:val="0"/>
                <w:szCs w:val="21"/>
              </w:rPr>
            </w:pPr>
            <w:r>
              <w:rPr>
                <w:rFonts w:eastAsiaTheme="minorEastAsia"/>
                <w:kern w:val="0"/>
                <w:szCs w:val="21"/>
              </w:rPr>
              <w:t>规划类别</w:t>
            </w:r>
          </w:p>
        </w:tc>
        <w:tc>
          <w:tcPr>
            <w:tcW w:w="1028" w:type="pct"/>
            <w:vAlign w:val="center"/>
          </w:tcPr>
          <w:p w14:paraId="37591093">
            <w:pPr>
              <w:widowControl/>
              <w:spacing w:beforeAutospacing="1" w:afterAutospacing="1" w:line="320" w:lineRule="exact"/>
              <w:jc w:val="center"/>
              <w:rPr>
                <w:rFonts w:eastAsiaTheme="minorEastAsia"/>
                <w:kern w:val="0"/>
                <w:szCs w:val="21"/>
              </w:rPr>
            </w:pPr>
            <w:r>
              <w:rPr>
                <w:rFonts w:hint="eastAsia" w:eastAsiaTheme="minorEastAsia"/>
                <w:kern w:val="0"/>
                <w:szCs w:val="21"/>
              </w:rPr>
              <w:t>2023年</w:t>
            </w:r>
            <w:r>
              <w:rPr>
                <w:rFonts w:eastAsiaTheme="minorEastAsia"/>
                <w:kern w:val="0"/>
                <w:szCs w:val="21"/>
              </w:rPr>
              <w:t>水质监测类别</w:t>
            </w:r>
          </w:p>
        </w:tc>
        <w:tc>
          <w:tcPr>
            <w:tcW w:w="826" w:type="pct"/>
            <w:vAlign w:val="center"/>
          </w:tcPr>
          <w:p w14:paraId="4D2D0C00">
            <w:pPr>
              <w:widowControl/>
              <w:spacing w:beforeAutospacing="1" w:afterAutospacing="1" w:line="320" w:lineRule="exact"/>
              <w:jc w:val="center"/>
              <w:rPr>
                <w:rFonts w:eastAsiaTheme="minorEastAsia"/>
                <w:kern w:val="0"/>
                <w:szCs w:val="21"/>
              </w:rPr>
            </w:pPr>
            <w:r>
              <w:rPr>
                <w:rFonts w:hint="eastAsia" w:eastAsiaTheme="minorEastAsia"/>
                <w:kern w:val="0"/>
                <w:szCs w:val="21"/>
              </w:rPr>
              <w:t>2024年</w:t>
            </w:r>
            <w:r>
              <w:rPr>
                <w:rFonts w:eastAsiaTheme="minorEastAsia"/>
                <w:kern w:val="0"/>
                <w:szCs w:val="21"/>
              </w:rPr>
              <w:t>水质监测类别</w:t>
            </w:r>
          </w:p>
        </w:tc>
        <w:tc>
          <w:tcPr>
            <w:tcW w:w="682" w:type="pct"/>
            <w:vAlign w:val="center"/>
          </w:tcPr>
          <w:p w14:paraId="77739144">
            <w:pPr>
              <w:widowControl/>
              <w:spacing w:beforeAutospacing="1" w:afterAutospacing="1" w:line="320" w:lineRule="exact"/>
              <w:jc w:val="center"/>
              <w:rPr>
                <w:rFonts w:eastAsiaTheme="minorEastAsia"/>
                <w:kern w:val="0"/>
                <w:szCs w:val="21"/>
              </w:rPr>
            </w:pPr>
            <w:r>
              <w:rPr>
                <w:rFonts w:hint="eastAsia" w:eastAsiaTheme="minorEastAsia"/>
                <w:kern w:val="0"/>
                <w:szCs w:val="21"/>
              </w:rPr>
              <w:t>达标情况</w:t>
            </w:r>
          </w:p>
        </w:tc>
      </w:tr>
      <w:tr w14:paraId="272508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Align w:val="center"/>
          </w:tcPr>
          <w:p w14:paraId="6F38F09C">
            <w:pPr>
              <w:spacing w:beforeAutospacing="1" w:afterAutospacing="1" w:line="320" w:lineRule="exact"/>
              <w:jc w:val="center"/>
              <w:rPr>
                <w:rFonts w:eastAsiaTheme="minorEastAsia"/>
                <w:kern w:val="0"/>
                <w:szCs w:val="21"/>
              </w:rPr>
            </w:pPr>
            <w:r>
              <w:rPr>
                <w:rFonts w:eastAsiaTheme="minorEastAsia"/>
                <w:kern w:val="0"/>
                <w:szCs w:val="21"/>
              </w:rPr>
              <w:t>溠水</w:t>
            </w:r>
          </w:p>
        </w:tc>
        <w:tc>
          <w:tcPr>
            <w:tcW w:w="1056" w:type="pct"/>
            <w:vAlign w:val="center"/>
          </w:tcPr>
          <w:p w14:paraId="354A5AF5">
            <w:pPr>
              <w:widowControl/>
              <w:spacing w:beforeAutospacing="1" w:afterAutospacing="1" w:line="320" w:lineRule="exact"/>
              <w:jc w:val="center"/>
              <w:rPr>
                <w:rFonts w:eastAsiaTheme="minorEastAsia"/>
                <w:kern w:val="0"/>
                <w:szCs w:val="21"/>
              </w:rPr>
            </w:pPr>
            <w:r>
              <w:rPr>
                <w:rFonts w:eastAsiaTheme="minorEastAsia"/>
                <w:kern w:val="0"/>
                <w:szCs w:val="21"/>
              </w:rPr>
              <w:t>溠水</w:t>
            </w:r>
            <w:r>
              <w:rPr>
                <w:rFonts w:hint="eastAsia" w:eastAsiaTheme="minorEastAsia"/>
                <w:kern w:val="0"/>
                <w:szCs w:val="21"/>
              </w:rPr>
              <w:t>安居</w:t>
            </w:r>
          </w:p>
        </w:tc>
        <w:tc>
          <w:tcPr>
            <w:tcW w:w="782" w:type="pct"/>
            <w:vAlign w:val="center"/>
          </w:tcPr>
          <w:p w14:paraId="5908246C">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1028" w:type="pct"/>
            <w:vAlign w:val="center"/>
          </w:tcPr>
          <w:p w14:paraId="08E3BCFB">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826" w:type="pct"/>
            <w:vAlign w:val="center"/>
          </w:tcPr>
          <w:p w14:paraId="42746258">
            <w:pPr>
              <w:widowControl/>
              <w:spacing w:beforeAutospacing="1" w:afterAutospacing="1" w:line="320" w:lineRule="exact"/>
              <w:jc w:val="center"/>
              <w:rPr>
                <w:rFonts w:eastAsiaTheme="minorEastAsia"/>
                <w:kern w:val="0"/>
                <w:szCs w:val="21"/>
              </w:rPr>
            </w:pPr>
            <w:r>
              <w:rPr>
                <w:rFonts w:hint="eastAsia" w:eastAsiaTheme="minorEastAsia"/>
                <w:kern w:val="0"/>
                <w:szCs w:val="21"/>
              </w:rPr>
              <w:t>II</w:t>
            </w:r>
          </w:p>
        </w:tc>
        <w:tc>
          <w:tcPr>
            <w:tcW w:w="682" w:type="pct"/>
            <w:vAlign w:val="center"/>
          </w:tcPr>
          <w:p w14:paraId="4988DA67">
            <w:pPr>
              <w:widowControl/>
              <w:spacing w:beforeAutospacing="1" w:afterAutospacing="1" w:line="320" w:lineRule="exact"/>
              <w:jc w:val="center"/>
              <w:rPr>
                <w:rFonts w:eastAsiaTheme="minorEastAsia"/>
                <w:kern w:val="0"/>
                <w:szCs w:val="21"/>
              </w:rPr>
            </w:pPr>
            <w:r>
              <w:rPr>
                <w:rFonts w:hint="eastAsia" w:eastAsiaTheme="minorEastAsia"/>
                <w:kern w:val="0"/>
                <w:szCs w:val="21"/>
              </w:rPr>
              <w:t>达标</w:t>
            </w:r>
          </w:p>
        </w:tc>
      </w:tr>
      <w:tr w14:paraId="620AFF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Merge w:val="restart"/>
            <w:vAlign w:val="center"/>
          </w:tcPr>
          <w:p w14:paraId="5E8E0540">
            <w:pPr>
              <w:spacing w:beforeAutospacing="1" w:afterAutospacing="1" w:line="320" w:lineRule="exact"/>
              <w:jc w:val="center"/>
              <w:rPr>
                <w:rFonts w:eastAsiaTheme="minorEastAsia"/>
                <w:kern w:val="0"/>
                <w:szCs w:val="21"/>
              </w:rPr>
            </w:pPr>
            <w:r>
              <w:rPr>
                <w:rFonts w:eastAsiaTheme="minorEastAsia"/>
                <w:kern w:val="0"/>
                <w:szCs w:val="21"/>
              </w:rPr>
              <w:t>厥水河</w:t>
            </w:r>
          </w:p>
        </w:tc>
        <w:tc>
          <w:tcPr>
            <w:tcW w:w="1056" w:type="pct"/>
            <w:vAlign w:val="center"/>
          </w:tcPr>
          <w:p w14:paraId="4EC31DBA">
            <w:pPr>
              <w:widowControl/>
              <w:spacing w:beforeAutospacing="1" w:afterAutospacing="1" w:line="320" w:lineRule="exact"/>
              <w:jc w:val="center"/>
              <w:rPr>
                <w:rFonts w:eastAsiaTheme="minorEastAsia"/>
                <w:kern w:val="0"/>
                <w:szCs w:val="21"/>
              </w:rPr>
            </w:pPr>
            <w:r>
              <w:rPr>
                <w:rFonts w:eastAsiaTheme="minorEastAsia"/>
                <w:kern w:val="0"/>
                <w:szCs w:val="21"/>
              </w:rPr>
              <w:t>厥水</w:t>
            </w:r>
            <w:r>
              <w:rPr>
                <w:rFonts w:hint="eastAsia" w:eastAsiaTheme="minorEastAsia"/>
                <w:kern w:val="0"/>
                <w:szCs w:val="21"/>
              </w:rPr>
              <w:t>历山</w:t>
            </w:r>
          </w:p>
        </w:tc>
        <w:tc>
          <w:tcPr>
            <w:tcW w:w="782" w:type="pct"/>
            <w:vAlign w:val="center"/>
          </w:tcPr>
          <w:p w14:paraId="3731655F">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1028" w:type="pct"/>
            <w:vAlign w:val="center"/>
          </w:tcPr>
          <w:p w14:paraId="35F41B2A">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826" w:type="pct"/>
            <w:vAlign w:val="center"/>
          </w:tcPr>
          <w:p w14:paraId="24434134">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682" w:type="pct"/>
            <w:vAlign w:val="center"/>
          </w:tcPr>
          <w:p w14:paraId="25A70E5B">
            <w:pPr>
              <w:widowControl/>
              <w:spacing w:beforeAutospacing="1" w:afterAutospacing="1" w:line="320" w:lineRule="exact"/>
              <w:jc w:val="center"/>
              <w:rPr>
                <w:rFonts w:eastAsiaTheme="minorEastAsia"/>
                <w:kern w:val="0"/>
                <w:szCs w:val="21"/>
              </w:rPr>
            </w:pPr>
            <w:r>
              <w:rPr>
                <w:rFonts w:hint="eastAsia" w:eastAsiaTheme="minorEastAsia"/>
                <w:kern w:val="0"/>
                <w:szCs w:val="21"/>
              </w:rPr>
              <w:t>达标</w:t>
            </w:r>
          </w:p>
        </w:tc>
      </w:tr>
      <w:tr w14:paraId="565AA3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Merge w:val="continue"/>
            <w:vAlign w:val="center"/>
          </w:tcPr>
          <w:p w14:paraId="24198F40">
            <w:pPr>
              <w:spacing w:beforeAutospacing="1" w:afterAutospacing="1" w:line="320" w:lineRule="exact"/>
              <w:jc w:val="center"/>
              <w:rPr>
                <w:rFonts w:eastAsiaTheme="minorEastAsia"/>
                <w:kern w:val="0"/>
                <w:szCs w:val="21"/>
              </w:rPr>
            </w:pPr>
          </w:p>
        </w:tc>
        <w:tc>
          <w:tcPr>
            <w:tcW w:w="1056" w:type="pct"/>
            <w:vAlign w:val="center"/>
          </w:tcPr>
          <w:p w14:paraId="496A5D31">
            <w:pPr>
              <w:widowControl/>
              <w:spacing w:beforeAutospacing="1" w:afterAutospacing="1" w:line="320" w:lineRule="exact"/>
              <w:jc w:val="center"/>
              <w:rPr>
                <w:rFonts w:eastAsiaTheme="minorEastAsia"/>
                <w:kern w:val="0"/>
                <w:szCs w:val="21"/>
              </w:rPr>
            </w:pPr>
            <w:r>
              <w:rPr>
                <w:rFonts w:hint="eastAsia" w:eastAsiaTheme="minorEastAsia"/>
                <w:kern w:val="0"/>
                <w:szCs w:val="21"/>
              </w:rPr>
              <w:t>厥水自来水厂</w:t>
            </w:r>
          </w:p>
        </w:tc>
        <w:tc>
          <w:tcPr>
            <w:tcW w:w="782" w:type="pct"/>
            <w:vAlign w:val="center"/>
          </w:tcPr>
          <w:p w14:paraId="5C93E0B9">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1028" w:type="pct"/>
            <w:vAlign w:val="center"/>
          </w:tcPr>
          <w:p w14:paraId="155DF194">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826" w:type="pct"/>
            <w:vAlign w:val="center"/>
          </w:tcPr>
          <w:p w14:paraId="476C4FF2">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682" w:type="pct"/>
            <w:vAlign w:val="center"/>
          </w:tcPr>
          <w:p w14:paraId="392CE726">
            <w:pPr>
              <w:widowControl/>
              <w:spacing w:beforeAutospacing="1" w:afterAutospacing="1" w:line="320" w:lineRule="exact"/>
              <w:jc w:val="center"/>
              <w:rPr>
                <w:rFonts w:eastAsiaTheme="minorEastAsia"/>
                <w:kern w:val="0"/>
                <w:szCs w:val="21"/>
              </w:rPr>
            </w:pPr>
            <w:r>
              <w:rPr>
                <w:rFonts w:hint="eastAsia" w:eastAsiaTheme="minorEastAsia"/>
                <w:kern w:val="0"/>
                <w:szCs w:val="21"/>
              </w:rPr>
              <w:t>达标</w:t>
            </w:r>
          </w:p>
        </w:tc>
      </w:tr>
      <w:tr w14:paraId="097565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Merge w:val="restart"/>
            <w:vAlign w:val="center"/>
          </w:tcPr>
          <w:p w14:paraId="328D78DA">
            <w:pPr>
              <w:spacing w:before="100" w:beforeAutospacing="1" w:after="100" w:afterAutospacing="1" w:line="320" w:lineRule="exact"/>
              <w:jc w:val="center"/>
              <w:rPr>
                <w:rFonts w:eastAsiaTheme="minorEastAsia"/>
                <w:kern w:val="0"/>
                <w:szCs w:val="21"/>
              </w:rPr>
            </w:pPr>
            <w:r>
              <w:rPr>
                <w:rFonts w:hint="eastAsia" w:eastAsiaTheme="minorEastAsia"/>
                <w:kern w:val="0"/>
                <w:szCs w:val="21"/>
              </w:rPr>
              <w:t>漂水</w:t>
            </w:r>
          </w:p>
        </w:tc>
        <w:tc>
          <w:tcPr>
            <w:tcW w:w="1056" w:type="pct"/>
            <w:vAlign w:val="center"/>
          </w:tcPr>
          <w:p w14:paraId="1A4819D9">
            <w:pPr>
              <w:widowControl/>
              <w:spacing w:before="100" w:beforeAutospacing="1" w:after="100" w:afterAutospacing="1" w:line="320" w:lineRule="exact"/>
              <w:jc w:val="center"/>
              <w:rPr>
                <w:rFonts w:eastAsiaTheme="minorEastAsia"/>
                <w:kern w:val="0"/>
                <w:szCs w:val="21"/>
              </w:rPr>
            </w:pPr>
            <w:r>
              <w:rPr>
                <w:rFonts w:hint="eastAsia" w:eastAsiaTheme="minorEastAsia"/>
                <w:kern w:val="0"/>
                <w:szCs w:val="21"/>
              </w:rPr>
              <w:t>漂水万店</w:t>
            </w:r>
          </w:p>
        </w:tc>
        <w:tc>
          <w:tcPr>
            <w:tcW w:w="782" w:type="pct"/>
            <w:vAlign w:val="center"/>
          </w:tcPr>
          <w:p w14:paraId="19F121BC">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III</w:t>
            </w:r>
          </w:p>
        </w:tc>
        <w:tc>
          <w:tcPr>
            <w:tcW w:w="1028" w:type="pct"/>
            <w:vAlign w:val="center"/>
          </w:tcPr>
          <w:p w14:paraId="58C43441">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III</w:t>
            </w:r>
          </w:p>
        </w:tc>
        <w:tc>
          <w:tcPr>
            <w:tcW w:w="826" w:type="pct"/>
            <w:vAlign w:val="center"/>
          </w:tcPr>
          <w:p w14:paraId="7536CFD7">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w:t>
            </w:r>
          </w:p>
        </w:tc>
        <w:tc>
          <w:tcPr>
            <w:tcW w:w="682" w:type="pct"/>
            <w:vAlign w:val="center"/>
          </w:tcPr>
          <w:p w14:paraId="12C2721B">
            <w:pPr>
              <w:widowControl/>
              <w:spacing w:before="100" w:beforeAutospacing="1" w:after="100" w:afterAutospacing="1" w:line="320" w:lineRule="exact"/>
              <w:jc w:val="center"/>
              <w:rPr>
                <w:rFonts w:eastAsiaTheme="minorEastAsia"/>
                <w:kern w:val="0"/>
                <w:szCs w:val="21"/>
              </w:rPr>
            </w:pPr>
            <w:r>
              <w:rPr>
                <w:rFonts w:hint="eastAsia" w:eastAsiaTheme="minorEastAsia"/>
                <w:kern w:val="0"/>
                <w:szCs w:val="21"/>
              </w:rPr>
              <w:t>达标</w:t>
            </w:r>
          </w:p>
        </w:tc>
      </w:tr>
      <w:tr w14:paraId="4318AD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Merge w:val="continue"/>
            <w:vAlign w:val="center"/>
          </w:tcPr>
          <w:p w14:paraId="6A9E2613">
            <w:pPr>
              <w:widowControl/>
              <w:jc w:val="left"/>
              <w:rPr>
                <w:rFonts w:eastAsiaTheme="minorEastAsia"/>
                <w:kern w:val="0"/>
                <w:szCs w:val="21"/>
              </w:rPr>
            </w:pPr>
          </w:p>
        </w:tc>
        <w:tc>
          <w:tcPr>
            <w:tcW w:w="1056" w:type="pct"/>
            <w:vAlign w:val="center"/>
          </w:tcPr>
          <w:p w14:paraId="2D03CA4D">
            <w:pPr>
              <w:widowControl/>
              <w:spacing w:before="100" w:beforeAutospacing="1" w:after="100" w:afterAutospacing="1" w:line="320" w:lineRule="exact"/>
              <w:jc w:val="center"/>
              <w:rPr>
                <w:rFonts w:eastAsiaTheme="minorEastAsia"/>
                <w:kern w:val="0"/>
                <w:szCs w:val="21"/>
              </w:rPr>
            </w:pPr>
            <w:r>
              <w:rPr>
                <w:rFonts w:hint="eastAsia" w:eastAsiaTheme="minorEastAsia"/>
                <w:kern w:val="0"/>
                <w:szCs w:val="21"/>
              </w:rPr>
              <w:t>漂水河大桥</w:t>
            </w:r>
          </w:p>
        </w:tc>
        <w:tc>
          <w:tcPr>
            <w:tcW w:w="782" w:type="pct"/>
            <w:vAlign w:val="center"/>
          </w:tcPr>
          <w:p w14:paraId="0F6F251B">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III</w:t>
            </w:r>
          </w:p>
        </w:tc>
        <w:tc>
          <w:tcPr>
            <w:tcW w:w="1028" w:type="pct"/>
            <w:vAlign w:val="center"/>
          </w:tcPr>
          <w:p w14:paraId="49DA8357">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III</w:t>
            </w:r>
          </w:p>
        </w:tc>
        <w:tc>
          <w:tcPr>
            <w:tcW w:w="826" w:type="pct"/>
            <w:vAlign w:val="center"/>
          </w:tcPr>
          <w:p w14:paraId="3DB9B33E">
            <w:pPr>
              <w:widowControl/>
              <w:spacing w:before="100" w:beforeAutospacing="1" w:after="100" w:afterAutospacing="1" w:line="320" w:lineRule="exact"/>
              <w:jc w:val="center"/>
              <w:rPr>
                <w:rFonts w:eastAsiaTheme="minorEastAsia"/>
                <w:kern w:val="0"/>
                <w:szCs w:val="21"/>
              </w:rPr>
            </w:pPr>
            <w:r>
              <w:rPr>
                <w:rFonts w:eastAsiaTheme="minorEastAsia"/>
                <w:kern w:val="0"/>
                <w:szCs w:val="21"/>
              </w:rPr>
              <w:t>III</w:t>
            </w:r>
          </w:p>
        </w:tc>
        <w:tc>
          <w:tcPr>
            <w:tcW w:w="682" w:type="pct"/>
            <w:vAlign w:val="center"/>
          </w:tcPr>
          <w:p w14:paraId="57521584">
            <w:pPr>
              <w:widowControl/>
              <w:spacing w:before="100" w:beforeAutospacing="1" w:after="100" w:afterAutospacing="1" w:line="320" w:lineRule="exact"/>
              <w:jc w:val="center"/>
              <w:rPr>
                <w:rFonts w:eastAsiaTheme="minorEastAsia"/>
                <w:kern w:val="0"/>
                <w:szCs w:val="21"/>
              </w:rPr>
            </w:pPr>
            <w:r>
              <w:rPr>
                <w:rFonts w:hint="eastAsia" w:eastAsiaTheme="minorEastAsia"/>
                <w:kern w:val="0"/>
                <w:szCs w:val="21"/>
              </w:rPr>
              <w:t>达标</w:t>
            </w:r>
          </w:p>
        </w:tc>
      </w:tr>
      <w:tr w14:paraId="014938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82" w:hRule="atLeast"/>
          <w:tblHeader/>
        </w:trPr>
        <w:tc>
          <w:tcPr>
            <w:tcW w:w="626" w:type="pct"/>
            <w:vAlign w:val="center"/>
          </w:tcPr>
          <w:p w14:paraId="3B87B4CE">
            <w:pPr>
              <w:spacing w:beforeAutospacing="1" w:afterAutospacing="1" w:line="320" w:lineRule="exact"/>
              <w:jc w:val="center"/>
              <w:rPr>
                <w:rFonts w:eastAsiaTheme="minorEastAsia"/>
                <w:kern w:val="0"/>
                <w:szCs w:val="21"/>
              </w:rPr>
            </w:pPr>
            <w:r>
              <w:rPr>
                <w:rFonts w:eastAsiaTheme="minorEastAsia"/>
                <w:kern w:val="0"/>
                <w:szCs w:val="21"/>
              </w:rPr>
              <w:t>游河</w:t>
            </w:r>
          </w:p>
        </w:tc>
        <w:tc>
          <w:tcPr>
            <w:tcW w:w="1056" w:type="pct"/>
            <w:vAlign w:val="center"/>
          </w:tcPr>
          <w:p w14:paraId="1FC20F8C">
            <w:pPr>
              <w:widowControl/>
              <w:spacing w:beforeAutospacing="1" w:afterAutospacing="1" w:line="320" w:lineRule="exact"/>
              <w:jc w:val="center"/>
              <w:rPr>
                <w:rFonts w:eastAsiaTheme="minorEastAsia"/>
                <w:kern w:val="0"/>
                <w:szCs w:val="21"/>
              </w:rPr>
            </w:pPr>
            <w:r>
              <w:rPr>
                <w:rFonts w:eastAsiaTheme="minorEastAsia"/>
                <w:kern w:val="0"/>
                <w:szCs w:val="21"/>
              </w:rPr>
              <w:t>游河草店</w:t>
            </w:r>
          </w:p>
        </w:tc>
        <w:tc>
          <w:tcPr>
            <w:tcW w:w="782" w:type="pct"/>
            <w:vAlign w:val="center"/>
          </w:tcPr>
          <w:p w14:paraId="42D31B7B">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1028" w:type="pct"/>
            <w:vAlign w:val="center"/>
          </w:tcPr>
          <w:p w14:paraId="61A571EB">
            <w:pPr>
              <w:widowControl/>
              <w:spacing w:beforeAutospacing="1" w:afterAutospacing="1" w:line="320" w:lineRule="exact"/>
              <w:jc w:val="center"/>
              <w:rPr>
                <w:rFonts w:eastAsiaTheme="minorEastAsia"/>
                <w:kern w:val="0"/>
                <w:szCs w:val="21"/>
              </w:rPr>
            </w:pPr>
            <w:r>
              <w:rPr>
                <w:rFonts w:hint="eastAsia" w:eastAsiaTheme="minorEastAsia"/>
                <w:kern w:val="0"/>
                <w:szCs w:val="21"/>
              </w:rPr>
              <w:t>III</w:t>
            </w:r>
          </w:p>
        </w:tc>
        <w:tc>
          <w:tcPr>
            <w:tcW w:w="826" w:type="pct"/>
            <w:vAlign w:val="center"/>
          </w:tcPr>
          <w:p w14:paraId="0A8B1830">
            <w:pPr>
              <w:widowControl/>
              <w:spacing w:beforeAutospacing="1" w:afterAutospacing="1" w:line="320" w:lineRule="exact"/>
              <w:jc w:val="center"/>
              <w:rPr>
                <w:rFonts w:eastAsiaTheme="minorEastAsia"/>
                <w:kern w:val="0"/>
                <w:szCs w:val="21"/>
              </w:rPr>
            </w:pPr>
            <w:r>
              <w:rPr>
                <w:rFonts w:hint="eastAsia" w:eastAsiaTheme="minorEastAsia"/>
                <w:kern w:val="0"/>
                <w:szCs w:val="21"/>
              </w:rPr>
              <w:t>II</w:t>
            </w:r>
          </w:p>
        </w:tc>
        <w:tc>
          <w:tcPr>
            <w:tcW w:w="682" w:type="pct"/>
            <w:vAlign w:val="center"/>
          </w:tcPr>
          <w:p w14:paraId="0778BB79">
            <w:pPr>
              <w:widowControl/>
              <w:spacing w:beforeAutospacing="1" w:afterAutospacing="1" w:line="320" w:lineRule="exact"/>
              <w:jc w:val="center"/>
              <w:rPr>
                <w:rFonts w:eastAsiaTheme="minorEastAsia"/>
                <w:kern w:val="0"/>
                <w:szCs w:val="21"/>
              </w:rPr>
            </w:pPr>
            <w:r>
              <w:rPr>
                <w:rFonts w:hint="eastAsia" w:eastAsiaTheme="minorEastAsia"/>
                <w:kern w:val="0"/>
                <w:szCs w:val="21"/>
              </w:rPr>
              <w:t>达标</w:t>
            </w:r>
          </w:p>
        </w:tc>
      </w:tr>
    </w:tbl>
    <w:p w14:paraId="33A9BE0B">
      <w:pPr>
        <w:spacing w:line="360" w:lineRule="auto"/>
        <w:ind w:firstLine="480" w:firstLineChars="200"/>
        <w:rPr>
          <w:sz w:val="24"/>
        </w:rPr>
      </w:pPr>
      <w:r>
        <w:rPr>
          <w:sz w:val="24"/>
        </w:rPr>
        <w:t>由上表可知，</w:t>
      </w:r>
      <w:r>
        <w:rPr>
          <w:rFonts w:hint="eastAsia"/>
          <w:sz w:val="24"/>
        </w:rPr>
        <w:t>2023年至2024年期间，规划园区范围主要受纳水体</w:t>
      </w:r>
      <w:r>
        <w:rPr>
          <w:rFonts w:hint="eastAsia" w:eastAsiaTheme="minorEastAsia"/>
          <w:sz w:val="24"/>
        </w:rPr>
        <w:t>溠水、厥水河、漂水、游河</w:t>
      </w:r>
      <w:r>
        <w:rPr>
          <w:rFonts w:hint="eastAsia"/>
          <w:sz w:val="24"/>
        </w:rPr>
        <w:t>地表水环境质量</w:t>
      </w:r>
      <w:r>
        <w:rPr>
          <w:sz w:val="24"/>
        </w:rPr>
        <w:t>均满足《地表水环境质量标准》（GB3838-2002）中</w:t>
      </w:r>
      <w:r>
        <w:rPr>
          <w:rFonts w:hint="eastAsia"/>
          <w:sz w:val="24"/>
        </w:rPr>
        <w:t>III</w:t>
      </w:r>
      <w:r>
        <w:rPr>
          <w:sz w:val="24"/>
        </w:rPr>
        <w:t>类水质标准，属于地表水环境质量达标区。</w:t>
      </w:r>
    </w:p>
    <w:p w14:paraId="7B1856A9">
      <w:pPr>
        <w:keepNext/>
        <w:keepLines/>
        <w:widowControl/>
        <w:numPr>
          <w:ilvl w:val="2"/>
          <w:numId w:val="1"/>
        </w:numPr>
        <w:spacing w:before="120" w:after="120" w:line="360" w:lineRule="auto"/>
        <w:jc w:val="left"/>
        <w:outlineLvl w:val="2"/>
        <w:rPr>
          <w:rFonts w:eastAsiaTheme="minorEastAsia"/>
          <w:b/>
          <w:bCs/>
          <w:sz w:val="24"/>
        </w:rPr>
      </w:pPr>
      <w:bookmarkStart w:id="111" w:name="_Toc206494949"/>
      <w:r>
        <w:rPr>
          <w:rFonts w:hint="eastAsia" w:eastAsiaTheme="minorEastAsia"/>
          <w:b/>
          <w:bCs/>
          <w:sz w:val="24"/>
        </w:rPr>
        <w:t>地下水环境质量现状调查与评价</w:t>
      </w:r>
      <w:bookmarkEnd w:id="111"/>
    </w:p>
    <w:p w14:paraId="1F92EFF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现状监测内容</w:t>
      </w:r>
    </w:p>
    <w:p w14:paraId="6C4AFFD1">
      <w:pPr>
        <w:spacing w:line="360" w:lineRule="auto"/>
        <w:ind w:firstLine="480" w:firstLineChars="200"/>
        <w:rPr>
          <w:rFonts w:eastAsiaTheme="minorEastAsia"/>
          <w:sz w:val="24"/>
        </w:rPr>
      </w:pPr>
      <w:r>
        <w:rPr>
          <w:rFonts w:eastAsiaTheme="minorEastAsia"/>
          <w:sz w:val="24"/>
        </w:rPr>
        <w:t>（1）监测布点</w:t>
      </w:r>
    </w:p>
    <w:p w14:paraId="6C7B6EF9">
      <w:pPr>
        <w:spacing w:line="360" w:lineRule="auto"/>
        <w:ind w:firstLine="480" w:firstLineChars="200"/>
        <w:rPr>
          <w:rFonts w:eastAsiaTheme="minorEastAsia"/>
          <w:sz w:val="24"/>
          <w:lang w:val="zh-CN"/>
        </w:rPr>
      </w:pPr>
      <w:r>
        <w:rPr>
          <w:rFonts w:hint="eastAsia"/>
          <w:sz w:val="24"/>
        </w:rPr>
        <w:t>为了了解区域地下水环境质量，本次评价委托</w:t>
      </w:r>
      <w:r>
        <w:rPr>
          <w:rFonts w:hint="eastAsia" w:ascii="宋体" w:cs="宋体" w:hAnsiTheme="minorHAnsi"/>
          <w:kern w:val="0"/>
          <w:sz w:val="24"/>
        </w:rPr>
        <w:t>湖北华钧检测有限公司</w:t>
      </w:r>
      <w:r>
        <w:rPr>
          <w:rFonts w:eastAsiaTheme="minorEastAsia"/>
          <w:sz w:val="24"/>
        </w:rPr>
        <w:t>对</w:t>
      </w:r>
      <w:r>
        <w:rPr>
          <w:rFonts w:hint="eastAsia" w:eastAsiaTheme="minorEastAsia"/>
          <w:sz w:val="24"/>
        </w:rPr>
        <w:t>生产加工集聚区的</w:t>
      </w:r>
      <w:r>
        <w:rPr>
          <w:rFonts w:eastAsiaTheme="minorEastAsia"/>
          <w:sz w:val="24"/>
        </w:rPr>
        <w:t>四个加工组团</w:t>
      </w:r>
      <w:r>
        <w:rPr>
          <w:rFonts w:hint="eastAsia"/>
          <w:sz w:val="24"/>
        </w:rPr>
        <w:t>地下水环境质量进行了现状监测，</w:t>
      </w:r>
      <w:r>
        <w:rPr>
          <w:rFonts w:eastAsiaTheme="minorEastAsia"/>
          <w:sz w:val="24"/>
        </w:rPr>
        <w:t>主要</w:t>
      </w:r>
      <w:r>
        <w:rPr>
          <w:rFonts w:hint="eastAsia" w:eastAsiaTheme="minorEastAsia"/>
          <w:sz w:val="24"/>
        </w:rPr>
        <w:t>为吴山石材产业园、万和石材产业园、草店石材产业园和太白顶石材产业园四个加工组团，</w:t>
      </w:r>
      <w:r>
        <w:rPr>
          <w:rFonts w:hint="eastAsia"/>
          <w:sz w:val="24"/>
        </w:rPr>
        <w:t>监测时间为2024年5月10日。</w:t>
      </w:r>
      <w:r>
        <w:rPr>
          <w:rFonts w:eastAsiaTheme="minorEastAsia"/>
          <w:sz w:val="24"/>
          <w:lang w:val="zh-CN"/>
        </w:rPr>
        <w:t>具体监测布点情况见下表。</w:t>
      </w:r>
    </w:p>
    <w:p w14:paraId="4131478B">
      <w:pPr>
        <w:spacing w:line="360" w:lineRule="auto"/>
        <w:ind w:firstLine="422"/>
        <w:jc w:val="center"/>
        <w:rPr>
          <w:rFonts w:eastAsiaTheme="minorEastAsia"/>
          <w:b/>
          <w:szCs w:val="21"/>
        </w:rPr>
      </w:pPr>
      <w:r>
        <w:rPr>
          <w:rFonts w:eastAsiaTheme="minorEastAsia"/>
          <w:b/>
          <w:szCs w:val="21"/>
        </w:rPr>
        <w:t>表</w:t>
      </w:r>
      <w:r>
        <w:rPr>
          <w:rFonts w:hint="eastAsia" w:eastAsiaTheme="minorEastAsia"/>
          <w:b/>
          <w:kern w:val="0"/>
          <w:szCs w:val="21"/>
        </w:rPr>
        <w:t>3.3</w:t>
      </w:r>
      <w:r>
        <w:rPr>
          <w:rFonts w:eastAsiaTheme="minorEastAsia"/>
          <w:b/>
          <w:kern w:val="0"/>
          <w:szCs w:val="21"/>
        </w:rPr>
        <w:t>.3-1</w:t>
      </w:r>
      <w:r>
        <w:rPr>
          <w:rFonts w:eastAsiaTheme="minorEastAsia"/>
          <w:b/>
          <w:szCs w:val="21"/>
        </w:rPr>
        <w:t xml:space="preserve">   地下水环境质量的监测布点情况</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0" w:type="dxa"/>
          <w:bottom w:w="28" w:type="dxa"/>
          <w:right w:w="0" w:type="dxa"/>
        </w:tblCellMar>
      </w:tblPr>
      <w:tblGrid>
        <w:gridCol w:w="1149"/>
        <w:gridCol w:w="851"/>
        <w:gridCol w:w="2835"/>
        <w:gridCol w:w="1844"/>
        <w:gridCol w:w="1663"/>
      </w:tblGrid>
      <w:tr w14:paraId="46A0B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0" w:type="dxa"/>
            <w:bottom w:w="28" w:type="dxa"/>
            <w:right w:w="0" w:type="dxa"/>
          </w:tblCellMar>
        </w:tblPrEx>
        <w:trPr>
          <w:trHeight w:val="369" w:hRule="atLeast"/>
          <w:jc w:val="center"/>
        </w:trPr>
        <w:tc>
          <w:tcPr>
            <w:tcW w:w="689" w:type="pct"/>
            <w:vAlign w:val="center"/>
          </w:tcPr>
          <w:p w14:paraId="5D531CD1">
            <w:pPr>
              <w:jc w:val="center"/>
              <w:rPr>
                <w:rFonts w:eastAsiaTheme="minorEastAsia"/>
                <w:szCs w:val="21"/>
              </w:rPr>
            </w:pPr>
            <w:r>
              <w:rPr>
                <w:rFonts w:hint="eastAsia" w:eastAsiaTheme="minorEastAsia"/>
                <w:szCs w:val="21"/>
              </w:rPr>
              <w:t>园区位置</w:t>
            </w:r>
          </w:p>
        </w:tc>
        <w:tc>
          <w:tcPr>
            <w:tcW w:w="510" w:type="pct"/>
            <w:vAlign w:val="center"/>
          </w:tcPr>
          <w:p w14:paraId="1B55D978">
            <w:pPr>
              <w:widowControl/>
              <w:spacing w:line="320" w:lineRule="exact"/>
              <w:jc w:val="center"/>
              <w:rPr>
                <w:kern w:val="0"/>
                <w:szCs w:val="21"/>
              </w:rPr>
            </w:pPr>
            <w:bookmarkStart w:id="112" w:name="_Hlk178262707"/>
            <w:r>
              <w:rPr>
                <w:rFonts w:hint="eastAsia"/>
                <w:kern w:val="0"/>
                <w:szCs w:val="21"/>
              </w:rPr>
              <w:t>点位</w:t>
            </w:r>
            <w:r>
              <w:rPr>
                <w:kern w:val="0"/>
                <w:szCs w:val="21"/>
              </w:rPr>
              <w:t>编号</w:t>
            </w:r>
          </w:p>
        </w:tc>
        <w:tc>
          <w:tcPr>
            <w:tcW w:w="1699" w:type="pct"/>
            <w:vAlign w:val="center"/>
          </w:tcPr>
          <w:p w14:paraId="34FE398A">
            <w:pPr>
              <w:jc w:val="center"/>
              <w:rPr>
                <w:bCs/>
                <w:szCs w:val="21"/>
              </w:rPr>
            </w:pPr>
            <w:r>
              <w:rPr>
                <w:bCs/>
                <w:szCs w:val="21"/>
              </w:rPr>
              <w:t>监测点位</w:t>
            </w:r>
          </w:p>
        </w:tc>
        <w:tc>
          <w:tcPr>
            <w:tcW w:w="1105" w:type="pct"/>
            <w:vAlign w:val="center"/>
          </w:tcPr>
          <w:p w14:paraId="558657A9">
            <w:pPr>
              <w:jc w:val="center"/>
              <w:rPr>
                <w:bCs/>
                <w:szCs w:val="21"/>
              </w:rPr>
            </w:pPr>
            <w:r>
              <w:rPr>
                <w:rFonts w:hint="eastAsia"/>
                <w:spacing w:val="-10"/>
                <w:szCs w:val="21"/>
              </w:rPr>
              <w:t>监测点与园区关系</w:t>
            </w:r>
          </w:p>
        </w:tc>
        <w:tc>
          <w:tcPr>
            <w:tcW w:w="997" w:type="pct"/>
            <w:vAlign w:val="center"/>
          </w:tcPr>
          <w:p w14:paraId="1A67028C">
            <w:pPr>
              <w:jc w:val="center"/>
              <w:rPr>
                <w:bCs/>
                <w:szCs w:val="21"/>
              </w:rPr>
            </w:pPr>
            <w:r>
              <w:rPr>
                <w:bCs/>
                <w:szCs w:val="21"/>
              </w:rPr>
              <w:t>监测因子</w:t>
            </w:r>
          </w:p>
        </w:tc>
      </w:tr>
      <w:tr w14:paraId="41A3E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restart"/>
            <w:vAlign w:val="center"/>
          </w:tcPr>
          <w:p w14:paraId="2FCA83A3">
            <w:pPr>
              <w:jc w:val="center"/>
              <w:rPr>
                <w:rFonts w:eastAsiaTheme="minorEastAsia"/>
                <w:szCs w:val="21"/>
              </w:rPr>
            </w:pPr>
            <w:r>
              <w:rPr>
                <w:rFonts w:eastAsiaTheme="minorEastAsia"/>
                <w:szCs w:val="21"/>
              </w:rPr>
              <w:t>吴山闽商石材产业园</w:t>
            </w:r>
          </w:p>
        </w:tc>
        <w:tc>
          <w:tcPr>
            <w:tcW w:w="510" w:type="pct"/>
            <w:vAlign w:val="center"/>
          </w:tcPr>
          <w:p w14:paraId="4933A569">
            <w:pPr>
              <w:widowControl/>
              <w:spacing w:line="320" w:lineRule="exact"/>
              <w:jc w:val="center"/>
              <w:rPr>
                <w:kern w:val="0"/>
                <w:szCs w:val="21"/>
              </w:rPr>
            </w:pPr>
            <w:r>
              <w:rPr>
                <w:kern w:val="0"/>
                <w:szCs w:val="21"/>
              </w:rPr>
              <w:t>1#</w:t>
            </w:r>
          </w:p>
        </w:tc>
        <w:tc>
          <w:tcPr>
            <w:tcW w:w="1699" w:type="pct"/>
            <w:tcBorders>
              <w:top w:val="single" w:color="auto" w:sz="6" w:space="0"/>
              <w:left w:val="single" w:color="auto" w:sz="6" w:space="0"/>
              <w:bottom w:val="single" w:color="auto" w:sz="6" w:space="0"/>
              <w:right w:val="single" w:color="auto" w:sz="6" w:space="0"/>
            </w:tcBorders>
            <w:vAlign w:val="center"/>
          </w:tcPr>
          <w:p w14:paraId="7996FCDC">
            <w:pPr>
              <w:jc w:val="center"/>
              <w:rPr>
                <w:sz w:val="19"/>
                <w:szCs w:val="19"/>
              </w:rPr>
            </w:pPr>
            <w:r>
              <w:rPr>
                <w:rFonts w:hint="eastAsia"/>
                <w:szCs w:val="21"/>
              </w:rPr>
              <w:t>园区内福磊附近监测井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00370623">
            <w:pPr>
              <w:jc w:val="center"/>
              <w:rPr>
                <w:bCs/>
                <w:szCs w:val="21"/>
              </w:rPr>
            </w:pPr>
            <w:r>
              <w:rPr>
                <w:rFonts w:hint="eastAsia"/>
                <w:szCs w:val="21"/>
              </w:rPr>
              <w:t>园区内监测井</w:t>
            </w:r>
          </w:p>
        </w:tc>
        <w:tc>
          <w:tcPr>
            <w:tcW w:w="997" w:type="pct"/>
            <w:vMerge w:val="restart"/>
            <w:vAlign w:val="center"/>
          </w:tcPr>
          <w:p w14:paraId="4AF8B518">
            <w:pPr>
              <w:jc w:val="center"/>
              <w:rPr>
                <w:bCs/>
                <w:szCs w:val="21"/>
              </w:rPr>
            </w:pPr>
            <w:r>
              <w:rPr>
                <w:rFonts w:hint="eastAsia"/>
                <w:bCs/>
                <w:szCs w:val="21"/>
              </w:rPr>
              <w:t>环境因子+基本因子</w:t>
            </w:r>
          </w:p>
        </w:tc>
      </w:tr>
      <w:tr w14:paraId="3256B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64FE8562">
            <w:pPr>
              <w:widowControl/>
              <w:spacing w:line="320" w:lineRule="exact"/>
              <w:jc w:val="center"/>
              <w:rPr>
                <w:kern w:val="0"/>
                <w:szCs w:val="21"/>
              </w:rPr>
            </w:pPr>
          </w:p>
        </w:tc>
        <w:tc>
          <w:tcPr>
            <w:tcW w:w="510" w:type="pct"/>
            <w:vAlign w:val="center"/>
          </w:tcPr>
          <w:p w14:paraId="668D9469">
            <w:pPr>
              <w:widowControl/>
              <w:spacing w:line="320" w:lineRule="exact"/>
              <w:jc w:val="center"/>
              <w:rPr>
                <w:kern w:val="0"/>
                <w:szCs w:val="21"/>
              </w:rPr>
            </w:pPr>
            <w:r>
              <w:rPr>
                <w:rFonts w:hint="eastAsia"/>
                <w:kern w:val="0"/>
                <w:szCs w:val="21"/>
              </w:rPr>
              <w:t>2</w:t>
            </w:r>
            <w:r>
              <w:rPr>
                <w:kern w:val="0"/>
                <w:szCs w:val="21"/>
              </w:rPr>
              <w:t>#</w:t>
            </w:r>
          </w:p>
        </w:tc>
        <w:tc>
          <w:tcPr>
            <w:tcW w:w="1699" w:type="pct"/>
            <w:tcBorders>
              <w:top w:val="single" w:color="auto" w:sz="6" w:space="0"/>
              <w:left w:val="single" w:color="auto" w:sz="6" w:space="0"/>
              <w:bottom w:val="single" w:color="auto" w:sz="6" w:space="0"/>
              <w:right w:val="single" w:color="auto" w:sz="6" w:space="0"/>
            </w:tcBorders>
            <w:vAlign w:val="center"/>
          </w:tcPr>
          <w:p w14:paraId="5E7632E6">
            <w:pPr>
              <w:jc w:val="center"/>
              <w:rPr>
                <w:szCs w:val="21"/>
              </w:rPr>
            </w:pPr>
            <w:r>
              <w:rPr>
                <w:rFonts w:hint="eastAsia"/>
                <w:szCs w:val="21"/>
              </w:rPr>
              <w:t>园区内</w:t>
            </w:r>
            <w:r>
              <w:rPr>
                <w:rFonts w:hint="eastAsia"/>
                <w:spacing w:val="-10"/>
                <w:szCs w:val="21"/>
              </w:rPr>
              <w:t>国盛石业附近</w:t>
            </w:r>
            <w:r>
              <w:rPr>
                <w:rFonts w:hint="eastAsia"/>
                <w:szCs w:val="21"/>
              </w:rPr>
              <w:t>监测井</w:t>
            </w:r>
          </w:p>
        </w:tc>
        <w:tc>
          <w:tcPr>
            <w:tcW w:w="1105" w:type="pct"/>
            <w:tcBorders>
              <w:top w:val="single" w:color="auto" w:sz="6" w:space="0"/>
              <w:left w:val="single" w:color="auto" w:sz="6" w:space="0"/>
              <w:bottom w:val="single" w:color="auto" w:sz="6" w:space="0"/>
              <w:right w:val="single" w:color="auto" w:sz="6" w:space="0"/>
            </w:tcBorders>
            <w:vAlign w:val="center"/>
          </w:tcPr>
          <w:p w14:paraId="1683213D">
            <w:pPr>
              <w:jc w:val="center"/>
              <w:rPr>
                <w:szCs w:val="21"/>
              </w:rPr>
            </w:pPr>
            <w:r>
              <w:rPr>
                <w:rFonts w:hint="eastAsia"/>
                <w:szCs w:val="21"/>
              </w:rPr>
              <w:t>园区内监测井</w:t>
            </w:r>
          </w:p>
        </w:tc>
        <w:tc>
          <w:tcPr>
            <w:tcW w:w="997" w:type="pct"/>
            <w:vMerge w:val="continue"/>
            <w:vAlign w:val="center"/>
          </w:tcPr>
          <w:p w14:paraId="3FCCB4B7">
            <w:pPr>
              <w:jc w:val="center"/>
              <w:rPr>
                <w:bCs/>
                <w:szCs w:val="21"/>
              </w:rPr>
            </w:pPr>
          </w:p>
        </w:tc>
      </w:tr>
      <w:tr w14:paraId="5178B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4286C70B">
            <w:pPr>
              <w:widowControl/>
              <w:spacing w:line="320" w:lineRule="exact"/>
              <w:jc w:val="center"/>
              <w:rPr>
                <w:kern w:val="0"/>
                <w:szCs w:val="21"/>
              </w:rPr>
            </w:pPr>
          </w:p>
        </w:tc>
        <w:tc>
          <w:tcPr>
            <w:tcW w:w="510" w:type="pct"/>
            <w:vAlign w:val="center"/>
          </w:tcPr>
          <w:p w14:paraId="58BC7043">
            <w:pPr>
              <w:widowControl/>
              <w:spacing w:line="320" w:lineRule="exact"/>
              <w:jc w:val="center"/>
              <w:rPr>
                <w:kern w:val="0"/>
                <w:szCs w:val="21"/>
              </w:rPr>
            </w:pPr>
            <w:r>
              <w:rPr>
                <w:rFonts w:hint="eastAsia"/>
                <w:kern w:val="0"/>
                <w:szCs w:val="21"/>
              </w:rPr>
              <w:t>3</w:t>
            </w:r>
            <w:r>
              <w:rPr>
                <w:kern w:val="0"/>
                <w:szCs w:val="21"/>
              </w:rPr>
              <w:t>#</w:t>
            </w:r>
          </w:p>
        </w:tc>
        <w:tc>
          <w:tcPr>
            <w:tcW w:w="1699" w:type="pct"/>
            <w:tcBorders>
              <w:top w:val="single" w:color="auto" w:sz="6" w:space="0"/>
              <w:left w:val="single" w:color="auto" w:sz="6" w:space="0"/>
              <w:bottom w:val="single" w:color="auto" w:sz="6" w:space="0"/>
              <w:right w:val="single" w:color="auto" w:sz="6" w:space="0"/>
            </w:tcBorders>
            <w:vAlign w:val="center"/>
          </w:tcPr>
          <w:p w14:paraId="4F21233F">
            <w:pPr>
              <w:jc w:val="center"/>
              <w:rPr>
                <w:szCs w:val="21"/>
              </w:rPr>
            </w:pPr>
            <w:r>
              <w:rPr>
                <w:rFonts w:hint="eastAsia"/>
                <w:szCs w:val="21"/>
              </w:rPr>
              <w:t>园区内康有石业附近监测井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22F2EB20">
            <w:pPr>
              <w:jc w:val="center"/>
              <w:rPr>
                <w:szCs w:val="21"/>
              </w:rPr>
            </w:pPr>
            <w:r>
              <w:rPr>
                <w:rFonts w:hint="eastAsia"/>
                <w:szCs w:val="21"/>
              </w:rPr>
              <w:t>园区内监测井</w:t>
            </w:r>
          </w:p>
        </w:tc>
        <w:tc>
          <w:tcPr>
            <w:tcW w:w="997" w:type="pct"/>
            <w:vMerge w:val="continue"/>
            <w:vAlign w:val="center"/>
          </w:tcPr>
          <w:p w14:paraId="4EB2A7CE">
            <w:pPr>
              <w:jc w:val="center"/>
              <w:rPr>
                <w:bCs/>
                <w:szCs w:val="21"/>
              </w:rPr>
            </w:pPr>
          </w:p>
        </w:tc>
      </w:tr>
      <w:tr w14:paraId="11086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restart"/>
            <w:vAlign w:val="center"/>
          </w:tcPr>
          <w:p w14:paraId="32D8E44D">
            <w:pPr>
              <w:spacing w:line="320" w:lineRule="atLeast"/>
              <w:jc w:val="center"/>
              <w:rPr>
                <w:spacing w:val="-10"/>
                <w:szCs w:val="21"/>
                <w:highlight w:val="yellow"/>
              </w:rPr>
            </w:pPr>
            <w:r>
              <w:rPr>
                <w:rFonts w:eastAsiaTheme="minorEastAsia"/>
                <w:szCs w:val="21"/>
              </w:rPr>
              <w:t>万和石材产业园</w:t>
            </w:r>
          </w:p>
        </w:tc>
        <w:tc>
          <w:tcPr>
            <w:tcW w:w="510" w:type="pct"/>
            <w:vAlign w:val="center"/>
          </w:tcPr>
          <w:p w14:paraId="6CC0FE7F">
            <w:pPr>
              <w:widowControl/>
              <w:spacing w:line="320" w:lineRule="exact"/>
              <w:jc w:val="center"/>
              <w:rPr>
                <w:kern w:val="0"/>
                <w:szCs w:val="21"/>
              </w:rPr>
            </w:pPr>
            <w:r>
              <w:rPr>
                <w:kern w:val="0"/>
                <w:szCs w:val="21"/>
              </w:rPr>
              <w:t>1#</w:t>
            </w:r>
          </w:p>
        </w:tc>
        <w:tc>
          <w:tcPr>
            <w:tcW w:w="1699" w:type="pct"/>
            <w:tcBorders>
              <w:top w:val="single" w:color="auto" w:sz="6" w:space="0"/>
              <w:left w:val="single" w:color="auto" w:sz="6" w:space="0"/>
              <w:bottom w:val="single" w:color="auto" w:sz="6" w:space="0"/>
              <w:right w:val="single" w:color="auto" w:sz="6" w:space="0"/>
            </w:tcBorders>
            <w:vAlign w:val="center"/>
          </w:tcPr>
          <w:p w14:paraId="0BAF0F86">
            <w:pPr>
              <w:jc w:val="center"/>
              <w:rPr>
                <w:sz w:val="19"/>
                <w:szCs w:val="19"/>
              </w:rPr>
            </w:pPr>
            <w:r>
              <w:rPr>
                <w:rFonts w:hint="eastAsia"/>
                <w:szCs w:val="21"/>
              </w:rPr>
              <w:t>南片区宝顺石业附近监测井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66781387">
            <w:pPr>
              <w:jc w:val="center"/>
              <w:rPr>
                <w:bCs/>
                <w:szCs w:val="21"/>
              </w:rPr>
            </w:pPr>
            <w:r>
              <w:rPr>
                <w:rFonts w:hint="eastAsia"/>
                <w:szCs w:val="21"/>
              </w:rPr>
              <w:t>南部片区监测井</w:t>
            </w:r>
          </w:p>
        </w:tc>
        <w:tc>
          <w:tcPr>
            <w:tcW w:w="997" w:type="pct"/>
            <w:vMerge w:val="restart"/>
            <w:vAlign w:val="center"/>
          </w:tcPr>
          <w:p w14:paraId="1E63C925">
            <w:pPr>
              <w:jc w:val="center"/>
              <w:rPr>
                <w:bCs/>
                <w:szCs w:val="21"/>
              </w:rPr>
            </w:pPr>
            <w:r>
              <w:rPr>
                <w:rFonts w:hint="eastAsia"/>
                <w:bCs/>
                <w:szCs w:val="21"/>
              </w:rPr>
              <w:t>环境因子+基本因子</w:t>
            </w:r>
          </w:p>
        </w:tc>
      </w:tr>
      <w:tr w14:paraId="0D7B1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206E0EF4">
            <w:pPr>
              <w:widowControl/>
              <w:spacing w:line="320" w:lineRule="exact"/>
              <w:jc w:val="center"/>
              <w:rPr>
                <w:kern w:val="0"/>
                <w:szCs w:val="21"/>
              </w:rPr>
            </w:pPr>
          </w:p>
        </w:tc>
        <w:tc>
          <w:tcPr>
            <w:tcW w:w="510" w:type="pct"/>
            <w:vAlign w:val="center"/>
          </w:tcPr>
          <w:p w14:paraId="0A3CC02F">
            <w:pPr>
              <w:widowControl/>
              <w:spacing w:line="320" w:lineRule="exact"/>
              <w:jc w:val="center"/>
              <w:rPr>
                <w:kern w:val="0"/>
                <w:szCs w:val="21"/>
              </w:rPr>
            </w:pPr>
            <w:r>
              <w:rPr>
                <w:rFonts w:hint="eastAsia"/>
                <w:kern w:val="0"/>
                <w:szCs w:val="21"/>
              </w:rPr>
              <w:t>2</w:t>
            </w:r>
            <w:r>
              <w:rPr>
                <w:kern w:val="0"/>
                <w:szCs w:val="21"/>
              </w:rPr>
              <w:t>#</w:t>
            </w:r>
          </w:p>
        </w:tc>
        <w:tc>
          <w:tcPr>
            <w:tcW w:w="1699" w:type="pct"/>
            <w:tcBorders>
              <w:top w:val="single" w:color="auto" w:sz="6" w:space="0"/>
              <w:left w:val="single" w:color="auto" w:sz="6" w:space="0"/>
              <w:bottom w:val="single" w:color="auto" w:sz="6" w:space="0"/>
              <w:right w:val="single" w:color="auto" w:sz="6" w:space="0"/>
            </w:tcBorders>
            <w:vAlign w:val="center"/>
          </w:tcPr>
          <w:p w14:paraId="1D0CF262">
            <w:pPr>
              <w:jc w:val="center"/>
              <w:rPr>
                <w:szCs w:val="21"/>
              </w:rPr>
            </w:pPr>
            <w:r>
              <w:rPr>
                <w:rFonts w:hint="eastAsia"/>
                <w:szCs w:val="21"/>
              </w:rPr>
              <w:t>南片区新瑞兴附近监测井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100DBFFE">
            <w:pPr>
              <w:jc w:val="center"/>
              <w:rPr>
                <w:szCs w:val="21"/>
              </w:rPr>
            </w:pPr>
            <w:r>
              <w:rPr>
                <w:rFonts w:hint="eastAsia"/>
                <w:szCs w:val="21"/>
              </w:rPr>
              <w:t>南部片区监测井</w:t>
            </w:r>
          </w:p>
        </w:tc>
        <w:tc>
          <w:tcPr>
            <w:tcW w:w="997" w:type="pct"/>
            <w:vMerge w:val="continue"/>
            <w:vAlign w:val="center"/>
          </w:tcPr>
          <w:p w14:paraId="1648B75F">
            <w:pPr>
              <w:jc w:val="center"/>
              <w:rPr>
                <w:bCs/>
                <w:szCs w:val="21"/>
              </w:rPr>
            </w:pPr>
          </w:p>
        </w:tc>
      </w:tr>
      <w:tr w14:paraId="34A05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415DE12A">
            <w:pPr>
              <w:widowControl/>
              <w:spacing w:line="320" w:lineRule="exact"/>
              <w:jc w:val="center"/>
              <w:rPr>
                <w:kern w:val="0"/>
                <w:szCs w:val="21"/>
              </w:rPr>
            </w:pPr>
          </w:p>
        </w:tc>
        <w:tc>
          <w:tcPr>
            <w:tcW w:w="510" w:type="pct"/>
            <w:vAlign w:val="center"/>
          </w:tcPr>
          <w:p w14:paraId="798D3062">
            <w:pPr>
              <w:widowControl/>
              <w:spacing w:line="320" w:lineRule="exact"/>
              <w:jc w:val="center"/>
              <w:rPr>
                <w:kern w:val="0"/>
                <w:szCs w:val="21"/>
              </w:rPr>
            </w:pPr>
            <w:r>
              <w:rPr>
                <w:rFonts w:hint="eastAsia"/>
                <w:kern w:val="0"/>
                <w:szCs w:val="21"/>
              </w:rPr>
              <w:t>3</w:t>
            </w:r>
            <w:r>
              <w:rPr>
                <w:kern w:val="0"/>
                <w:szCs w:val="21"/>
              </w:rPr>
              <w:t>#</w:t>
            </w:r>
          </w:p>
        </w:tc>
        <w:tc>
          <w:tcPr>
            <w:tcW w:w="1699" w:type="pct"/>
            <w:tcBorders>
              <w:top w:val="single" w:color="auto" w:sz="6" w:space="0"/>
              <w:left w:val="single" w:color="auto" w:sz="6" w:space="0"/>
              <w:bottom w:val="single" w:color="auto" w:sz="6" w:space="0"/>
              <w:right w:val="single" w:color="auto" w:sz="6" w:space="0"/>
            </w:tcBorders>
            <w:vAlign w:val="center"/>
          </w:tcPr>
          <w:p w14:paraId="040ABF77">
            <w:pPr>
              <w:jc w:val="center"/>
              <w:rPr>
                <w:szCs w:val="21"/>
              </w:rPr>
            </w:pPr>
            <w:r>
              <w:rPr>
                <w:rFonts w:hint="eastAsia"/>
                <w:szCs w:val="21"/>
              </w:rPr>
              <w:t>中部片区金源石业附近监测井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50732F19">
            <w:pPr>
              <w:jc w:val="center"/>
              <w:rPr>
                <w:szCs w:val="21"/>
              </w:rPr>
            </w:pPr>
            <w:r>
              <w:rPr>
                <w:rFonts w:hint="eastAsia"/>
                <w:szCs w:val="21"/>
              </w:rPr>
              <w:t>中部片区监测井</w:t>
            </w:r>
          </w:p>
        </w:tc>
        <w:tc>
          <w:tcPr>
            <w:tcW w:w="997" w:type="pct"/>
            <w:vMerge w:val="continue"/>
            <w:vAlign w:val="center"/>
          </w:tcPr>
          <w:p w14:paraId="504DC4B7">
            <w:pPr>
              <w:jc w:val="center"/>
              <w:rPr>
                <w:bCs/>
                <w:szCs w:val="21"/>
              </w:rPr>
            </w:pPr>
          </w:p>
        </w:tc>
      </w:tr>
      <w:tr w14:paraId="48CE2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4F75FE9E">
            <w:pPr>
              <w:widowControl/>
              <w:spacing w:line="320" w:lineRule="exact"/>
              <w:jc w:val="center"/>
              <w:rPr>
                <w:kern w:val="0"/>
                <w:szCs w:val="21"/>
              </w:rPr>
            </w:pPr>
          </w:p>
        </w:tc>
        <w:tc>
          <w:tcPr>
            <w:tcW w:w="510" w:type="pct"/>
            <w:vAlign w:val="center"/>
          </w:tcPr>
          <w:p w14:paraId="3FCBE730">
            <w:pPr>
              <w:widowControl/>
              <w:spacing w:line="320" w:lineRule="exact"/>
              <w:jc w:val="center"/>
              <w:rPr>
                <w:kern w:val="0"/>
                <w:szCs w:val="21"/>
              </w:rPr>
            </w:pPr>
            <w:r>
              <w:rPr>
                <w:rFonts w:hint="eastAsia"/>
                <w:kern w:val="0"/>
                <w:szCs w:val="21"/>
              </w:rPr>
              <w:t>4</w:t>
            </w:r>
            <w:r>
              <w:rPr>
                <w:kern w:val="0"/>
                <w:szCs w:val="21"/>
              </w:rPr>
              <w:t>#</w:t>
            </w:r>
          </w:p>
        </w:tc>
        <w:tc>
          <w:tcPr>
            <w:tcW w:w="1699" w:type="pct"/>
            <w:tcBorders>
              <w:top w:val="single" w:color="auto" w:sz="6" w:space="0"/>
              <w:left w:val="single" w:color="auto" w:sz="6" w:space="0"/>
              <w:bottom w:val="single" w:color="auto" w:sz="6" w:space="0"/>
              <w:right w:val="single" w:color="auto" w:sz="6" w:space="0"/>
            </w:tcBorders>
            <w:vAlign w:val="center"/>
          </w:tcPr>
          <w:p w14:paraId="76B5BA46">
            <w:pPr>
              <w:jc w:val="center"/>
              <w:rPr>
                <w:szCs w:val="21"/>
              </w:rPr>
            </w:pPr>
            <w:r>
              <w:rPr>
                <w:rFonts w:hint="eastAsia"/>
                <w:szCs w:val="21"/>
              </w:rPr>
              <w:t>北片区联鑫石业附近监测井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67CA3AB6">
            <w:pPr>
              <w:jc w:val="center"/>
              <w:rPr>
                <w:szCs w:val="21"/>
              </w:rPr>
            </w:pPr>
            <w:r>
              <w:rPr>
                <w:rFonts w:hint="eastAsia"/>
                <w:szCs w:val="21"/>
              </w:rPr>
              <w:t>北部片区监测井</w:t>
            </w:r>
          </w:p>
        </w:tc>
        <w:tc>
          <w:tcPr>
            <w:tcW w:w="997" w:type="pct"/>
            <w:vMerge w:val="continue"/>
            <w:vAlign w:val="center"/>
          </w:tcPr>
          <w:p w14:paraId="69C2EC57">
            <w:pPr>
              <w:jc w:val="center"/>
              <w:rPr>
                <w:bCs/>
                <w:szCs w:val="21"/>
              </w:rPr>
            </w:pPr>
          </w:p>
        </w:tc>
      </w:tr>
      <w:tr w14:paraId="35A2D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restart"/>
            <w:vAlign w:val="center"/>
          </w:tcPr>
          <w:p w14:paraId="04B3701E">
            <w:pPr>
              <w:spacing w:line="320" w:lineRule="atLeast"/>
              <w:jc w:val="center"/>
              <w:rPr>
                <w:spacing w:val="-10"/>
                <w:szCs w:val="21"/>
                <w:highlight w:val="yellow"/>
              </w:rPr>
            </w:pPr>
            <w:r>
              <w:rPr>
                <w:rFonts w:hint="eastAsia" w:eastAsiaTheme="minorEastAsia"/>
                <w:szCs w:val="21"/>
              </w:rPr>
              <w:t>太白顶石材产业园</w:t>
            </w:r>
          </w:p>
        </w:tc>
        <w:tc>
          <w:tcPr>
            <w:tcW w:w="510" w:type="pct"/>
            <w:vAlign w:val="center"/>
          </w:tcPr>
          <w:p w14:paraId="73BCB227">
            <w:pPr>
              <w:widowControl/>
              <w:spacing w:line="320" w:lineRule="exact"/>
              <w:jc w:val="center"/>
              <w:rPr>
                <w:kern w:val="0"/>
                <w:szCs w:val="21"/>
              </w:rPr>
            </w:pPr>
            <w:r>
              <w:rPr>
                <w:kern w:val="0"/>
                <w:szCs w:val="21"/>
              </w:rPr>
              <w:t>1#</w:t>
            </w:r>
          </w:p>
        </w:tc>
        <w:tc>
          <w:tcPr>
            <w:tcW w:w="1699" w:type="pct"/>
            <w:tcBorders>
              <w:top w:val="single" w:color="auto" w:sz="6" w:space="0"/>
              <w:left w:val="single" w:color="auto" w:sz="6" w:space="0"/>
              <w:bottom w:val="single" w:color="auto" w:sz="6" w:space="0"/>
              <w:right w:val="single" w:color="auto" w:sz="6" w:space="0"/>
            </w:tcBorders>
            <w:vAlign w:val="center"/>
          </w:tcPr>
          <w:p w14:paraId="798CCD9F">
            <w:pPr>
              <w:jc w:val="center"/>
              <w:rPr>
                <w:sz w:val="19"/>
                <w:szCs w:val="19"/>
              </w:rPr>
            </w:pPr>
            <w:r>
              <w:rPr>
                <w:rFonts w:hint="eastAsia"/>
                <w:szCs w:val="21"/>
              </w:rPr>
              <w:t>恒达石业附近监测井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3A4F53C5">
            <w:pPr>
              <w:jc w:val="center"/>
              <w:rPr>
                <w:bCs/>
                <w:szCs w:val="21"/>
              </w:rPr>
            </w:pPr>
            <w:r>
              <w:rPr>
                <w:rFonts w:hint="eastAsia"/>
                <w:szCs w:val="21"/>
              </w:rPr>
              <w:t>园区北侧内监测井</w:t>
            </w:r>
          </w:p>
        </w:tc>
        <w:tc>
          <w:tcPr>
            <w:tcW w:w="997" w:type="pct"/>
            <w:vMerge w:val="restart"/>
            <w:vAlign w:val="center"/>
          </w:tcPr>
          <w:p w14:paraId="49251F73">
            <w:pPr>
              <w:jc w:val="center"/>
              <w:rPr>
                <w:bCs/>
                <w:szCs w:val="21"/>
              </w:rPr>
            </w:pPr>
            <w:r>
              <w:rPr>
                <w:rFonts w:hint="eastAsia"/>
                <w:bCs/>
                <w:szCs w:val="21"/>
              </w:rPr>
              <w:t>环境因子</w:t>
            </w:r>
            <w:r>
              <w:rPr>
                <w:bCs/>
                <w:szCs w:val="21"/>
              </w:rPr>
              <w:t>+</w:t>
            </w:r>
            <w:r>
              <w:rPr>
                <w:rFonts w:hint="eastAsia"/>
                <w:bCs/>
                <w:szCs w:val="21"/>
              </w:rPr>
              <w:t>基本因子</w:t>
            </w:r>
          </w:p>
        </w:tc>
      </w:tr>
      <w:tr w14:paraId="46905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1DEDC5FF">
            <w:pPr>
              <w:jc w:val="center"/>
              <w:rPr>
                <w:rFonts w:eastAsiaTheme="minorEastAsia"/>
                <w:szCs w:val="21"/>
              </w:rPr>
            </w:pPr>
          </w:p>
        </w:tc>
        <w:tc>
          <w:tcPr>
            <w:tcW w:w="510" w:type="pct"/>
            <w:vAlign w:val="center"/>
          </w:tcPr>
          <w:p w14:paraId="51C53D13">
            <w:pPr>
              <w:widowControl/>
              <w:spacing w:line="320" w:lineRule="exact"/>
              <w:jc w:val="center"/>
              <w:rPr>
                <w:kern w:val="0"/>
                <w:szCs w:val="21"/>
              </w:rPr>
            </w:pPr>
            <w:r>
              <w:rPr>
                <w:kern w:val="0"/>
                <w:szCs w:val="21"/>
              </w:rPr>
              <w:t>2#</w:t>
            </w:r>
          </w:p>
        </w:tc>
        <w:tc>
          <w:tcPr>
            <w:tcW w:w="1699" w:type="pct"/>
            <w:tcBorders>
              <w:top w:val="single" w:color="auto" w:sz="6" w:space="0"/>
              <w:left w:val="single" w:color="auto" w:sz="6" w:space="0"/>
              <w:bottom w:val="single" w:color="auto" w:sz="6" w:space="0"/>
              <w:right w:val="single" w:color="auto" w:sz="6" w:space="0"/>
            </w:tcBorders>
            <w:vAlign w:val="center"/>
          </w:tcPr>
          <w:p w14:paraId="78EDDA91">
            <w:pPr>
              <w:jc w:val="center"/>
              <w:rPr>
                <w:szCs w:val="21"/>
              </w:rPr>
            </w:pPr>
            <w:r>
              <w:rPr>
                <w:rFonts w:hint="eastAsia"/>
                <w:spacing w:val="-10"/>
                <w:szCs w:val="21"/>
              </w:rPr>
              <w:t>鑫旺石材</w:t>
            </w:r>
            <w:r>
              <w:rPr>
                <w:rFonts w:hint="eastAsia"/>
                <w:szCs w:val="21"/>
              </w:rPr>
              <w:t>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0B02E4ED">
            <w:pPr>
              <w:jc w:val="center"/>
              <w:rPr>
                <w:szCs w:val="21"/>
              </w:rPr>
            </w:pPr>
            <w:r>
              <w:rPr>
                <w:rFonts w:hint="eastAsia"/>
                <w:szCs w:val="21"/>
              </w:rPr>
              <w:t>主园区内监测井</w:t>
            </w:r>
          </w:p>
        </w:tc>
        <w:tc>
          <w:tcPr>
            <w:tcW w:w="997" w:type="pct"/>
            <w:vMerge w:val="continue"/>
            <w:vAlign w:val="center"/>
          </w:tcPr>
          <w:p w14:paraId="692CC798">
            <w:pPr>
              <w:jc w:val="center"/>
              <w:rPr>
                <w:bCs/>
                <w:szCs w:val="21"/>
              </w:rPr>
            </w:pPr>
          </w:p>
        </w:tc>
      </w:tr>
      <w:tr w14:paraId="794F8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Merge w:val="continue"/>
            <w:vAlign w:val="center"/>
          </w:tcPr>
          <w:p w14:paraId="64E7E908">
            <w:pPr>
              <w:spacing w:line="320" w:lineRule="atLeast"/>
              <w:jc w:val="center"/>
              <w:rPr>
                <w:spacing w:val="-10"/>
                <w:szCs w:val="21"/>
                <w:highlight w:val="yellow"/>
              </w:rPr>
            </w:pPr>
          </w:p>
        </w:tc>
        <w:tc>
          <w:tcPr>
            <w:tcW w:w="510" w:type="pct"/>
            <w:vAlign w:val="center"/>
          </w:tcPr>
          <w:p w14:paraId="2E27240A">
            <w:pPr>
              <w:widowControl/>
              <w:spacing w:line="320" w:lineRule="exact"/>
              <w:jc w:val="center"/>
              <w:rPr>
                <w:kern w:val="0"/>
                <w:szCs w:val="21"/>
              </w:rPr>
            </w:pPr>
            <w:r>
              <w:rPr>
                <w:kern w:val="0"/>
                <w:szCs w:val="21"/>
              </w:rPr>
              <w:t>3#</w:t>
            </w:r>
          </w:p>
        </w:tc>
        <w:tc>
          <w:tcPr>
            <w:tcW w:w="1699" w:type="pct"/>
            <w:tcBorders>
              <w:top w:val="single" w:color="auto" w:sz="6" w:space="0"/>
              <w:left w:val="single" w:color="auto" w:sz="6" w:space="0"/>
              <w:bottom w:val="single" w:color="auto" w:sz="6" w:space="0"/>
              <w:right w:val="single" w:color="auto" w:sz="6" w:space="0"/>
            </w:tcBorders>
            <w:vAlign w:val="center"/>
          </w:tcPr>
          <w:p w14:paraId="57C9F4A8">
            <w:pPr>
              <w:jc w:val="center"/>
              <w:rPr>
                <w:szCs w:val="21"/>
              </w:rPr>
            </w:pPr>
            <w:r>
              <w:rPr>
                <w:rFonts w:hint="eastAsia"/>
                <w:szCs w:val="21"/>
              </w:rPr>
              <w:t>义纯石材附近监测井</w:t>
            </w:r>
          </w:p>
        </w:tc>
        <w:tc>
          <w:tcPr>
            <w:tcW w:w="1105" w:type="pct"/>
            <w:tcBorders>
              <w:top w:val="single" w:color="auto" w:sz="6" w:space="0"/>
              <w:left w:val="single" w:color="auto" w:sz="6" w:space="0"/>
              <w:bottom w:val="single" w:color="auto" w:sz="6" w:space="0"/>
              <w:right w:val="single" w:color="auto" w:sz="6" w:space="0"/>
            </w:tcBorders>
            <w:vAlign w:val="center"/>
          </w:tcPr>
          <w:p w14:paraId="212A4EC2">
            <w:pPr>
              <w:jc w:val="center"/>
              <w:rPr>
                <w:szCs w:val="21"/>
              </w:rPr>
            </w:pPr>
            <w:r>
              <w:rPr>
                <w:rFonts w:hint="eastAsia"/>
                <w:szCs w:val="21"/>
              </w:rPr>
              <w:t>园区南侧内监测井</w:t>
            </w:r>
          </w:p>
        </w:tc>
        <w:tc>
          <w:tcPr>
            <w:tcW w:w="997" w:type="pct"/>
            <w:vMerge w:val="continue"/>
            <w:vAlign w:val="center"/>
          </w:tcPr>
          <w:p w14:paraId="2C41FE23">
            <w:pPr>
              <w:jc w:val="center"/>
              <w:rPr>
                <w:bCs/>
                <w:szCs w:val="21"/>
              </w:rPr>
            </w:pPr>
          </w:p>
        </w:tc>
      </w:tr>
      <w:tr w14:paraId="7EDB9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9" w:type="pct"/>
            <w:vAlign w:val="center"/>
          </w:tcPr>
          <w:p w14:paraId="2192EE9A">
            <w:pPr>
              <w:widowControl/>
              <w:spacing w:line="320" w:lineRule="exact"/>
              <w:jc w:val="center"/>
              <w:rPr>
                <w:kern w:val="0"/>
                <w:szCs w:val="21"/>
              </w:rPr>
            </w:pPr>
            <w:r>
              <w:rPr>
                <w:rFonts w:hint="eastAsia" w:eastAsiaTheme="minorEastAsia"/>
                <w:szCs w:val="21"/>
              </w:rPr>
              <w:t>草店石材产业园</w:t>
            </w:r>
          </w:p>
        </w:tc>
        <w:tc>
          <w:tcPr>
            <w:tcW w:w="510" w:type="pct"/>
            <w:vAlign w:val="center"/>
          </w:tcPr>
          <w:p w14:paraId="000D17F4">
            <w:pPr>
              <w:widowControl/>
              <w:spacing w:line="320" w:lineRule="exact"/>
              <w:jc w:val="center"/>
              <w:rPr>
                <w:kern w:val="0"/>
                <w:szCs w:val="21"/>
              </w:rPr>
            </w:pPr>
            <w:r>
              <w:rPr>
                <w:kern w:val="0"/>
                <w:szCs w:val="21"/>
              </w:rPr>
              <w:t>1#</w:t>
            </w:r>
          </w:p>
        </w:tc>
        <w:tc>
          <w:tcPr>
            <w:tcW w:w="1699" w:type="pct"/>
            <w:tcBorders>
              <w:top w:val="single" w:color="auto" w:sz="6" w:space="0"/>
              <w:left w:val="single" w:color="auto" w:sz="6" w:space="0"/>
              <w:bottom w:val="single" w:color="auto" w:sz="12" w:space="0"/>
              <w:right w:val="single" w:color="auto" w:sz="6" w:space="0"/>
            </w:tcBorders>
            <w:vAlign w:val="center"/>
          </w:tcPr>
          <w:p w14:paraId="66789F98">
            <w:pPr>
              <w:jc w:val="center"/>
              <w:rPr>
                <w:sz w:val="19"/>
                <w:szCs w:val="19"/>
              </w:rPr>
            </w:pPr>
            <w:r>
              <w:rPr>
                <w:rFonts w:hint="eastAsia"/>
                <w:szCs w:val="21"/>
              </w:rPr>
              <w:t>鸿发石业附近监测井</w:t>
            </w:r>
          </w:p>
        </w:tc>
        <w:tc>
          <w:tcPr>
            <w:tcW w:w="1105" w:type="pct"/>
            <w:tcBorders>
              <w:top w:val="single" w:color="auto" w:sz="6" w:space="0"/>
              <w:left w:val="single" w:color="auto" w:sz="6" w:space="0"/>
              <w:bottom w:val="single" w:color="auto" w:sz="12" w:space="0"/>
              <w:right w:val="single" w:color="auto" w:sz="6" w:space="0"/>
            </w:tcBorders>
            <w:vAlign w:val="center"/>
          </w:tcPr>
          <w:p w14:paraId="5AF40255">
            <w:pPr>
              <w:jc w:val="center"/>
              <w:rPr>
                <w:bCs/>
                <w:szCs w:val="21"/>
              </w:rPr>
            </w:pPr>
            <w:r>
              <w:rPr>
                <w:rFonts w:hint="eastAsia"/>
                <w:szCs w:val="21"/>
              </w:rPr>
              <w:t>园区内监测井</w:t>
            </w:r>
          </w:p>
        </w:tc>
        <w:tc>
          <w:tcPr>
            <w:tcW w:w="997" w:type="pct"/>
            <w:vAlign w:val="center"/>
          </w:tcPr>
          <w:p w14:paraId="692EDCD0">
            <w:pPr>
              <w:jc w:val="center"/>
              <w:rPr>
                <w:bCs/>
                <w:szCs w:val="21"/>
              </w:rPr>
            </w:pPr>
            <w:r>
              <w:rPr>
                <w:rFonts w:hint="eastAsia"/>
                <w:bCs/>
                <w:szCs w:val="21"/>
              </w:rPr>
              <w:t>环境因子+基本因子</w:t>
            </w:r>
          </w:p>
        </w:tc>
      </w:tr>
      <w:bookmarkEnd w:id="112"/>
    </w:tbl>
    <w:p w14:paraId="0A6C9C91">
      <w:pPr>
        <w:spacing w:line="360" w:lineRule="auto"/>
        <w:ind w:firstLine="480" w:firstLineChars="200"/>
        <w:rPr>
          <w:rFonts w:eastAsiaTheme="minorEastAsia"/>
          <w:sz w:val="24"/>
        </w:rPr>
      </w:pPr>
      <w:r>
        <w:rPr>
          <w:rFonts w:eastAsiaTheme="minorEastAsia"/>
          <w:sz w:val="24"/>
        </w:rPr>
        <w:t>（2）监测项目、频次</w:t>
      </w:r>
    </w:p>
    <w:p w14:paraId="2D317FA3">
      <w:pPr>
        <w:spacing w:line="360" w:lineRule="auto"/>
        <w:ind w:firstLine="480" w:firstLineChars="200"/>
        <w:rPr>
          <w:sz w:val="24"/>
        </w:rPr>
      </w:pPr>
      <w:r>
        <w:rPr>
          <w:sz w:val="24"/>
        </w:rPr>
        <w:t>环境因子：</w:t>
      </w:r>
      <w:r>
        <w:rPr>
          <w:rFonts w:hint="eastAsia"/>
          <w:sz w:val="24"/>
        </w:rPr>
        <w:t>K</w:t>
      </w:r>
      <w:r>
        <w:rPr>
          <w:rFonts w:hint="eastAsia"/>
          <w:sz w:val="24"/>
          <w:vertAlign w:val="superscript"/>
        </w:rPr>
        <w:t>+</w:t>
      </w:r>
      <w:r>
        <w:rPr>
          <w:rFonts w:hint="eastAsia"/>
          <w:sz w:val="24"/>
        </w:rPr>
        <w:t>+Na</w:t>
      </w:r>
      <w:r>
        <w:rPr>
          <w:rFonts w:hint="eastAsia"/>
          <w:sz w:val="24"/>
          <w:vertAlign w:val="superscript"/>
        </w:rPr>
        <w:t>+</w:t>
      </w:r>
      <w:r>
        <w:rPr>
          <w:rFonts w:hint="eastAsia"/>
          <w:sz w:val="24"/>
        </w:rPr>
        <w:t>、Ca</w:t>
      </w:r>
      <w:r>
        <w:rPr>
          <w:rFonts w:hint="eastAsia"/>
          <w:sz w:val="24"/>
          <w:vertAlign w:val="superscript"/>
        </w:rPr>
        <w:t>2+</w:t>
      </w:r>
      <w:r>
        <w:rPr>
          <w:rFonts w:hint="eastAsia"/>
          <w:sz w:val="24"/>
        </w:rPr>
        <w:t>、Mg</w:t>
      </w:r>
      <w:r>
        <w:rPr>
          <w:rFonts w:hint="eastAsia"/>
          <w:sz w:val="24"/>
          <w:vertAlign w:val="superscript"/>
        </w:rPr>
        <w:t>2+</w:t>
      </w:r>
      <w:r>
        <w:rPr>
          <w:rFonts w:hint="eastAsia"/>
          <w:sz w:val="24"/>
        </w:rPr>
        <w:t>、CO</w:t>
      </w:r>
      <w:r>
        <w:rPr>
          <w:rFonts w:hint="eastAsia"/>
          <w:sz w:val="24"/>
          <w:vertAlign w:val="subscript"/>
        </w:rPr>
        <w:t>3</w:t>
      </w:r>
      <w:r>
        <w:rPr>
          <w:rFonts w:hint="eastAsia"/>
          <w:sz w:val="24"/>
          <w:vertAlign w:val="superscript"/>
        </w:rPr>
        <w:t>2-</w:t>
      </w:r>
      <w:r>
        <w:rPr>
          <w:rFonts w:hint="eastAsia"/>
          <w:sz w:val="24"/>
        </w:rPr>
        <w:t>、HCO</w:t>
      </w:r>
      <w:r>
        <w:rPr>
          <w:rFonts w:hint="eastAsia"/>
          <w:sz w:val="24"/>
          <w:vertAlign w:val="subscript"/>
        </w:rPr>
        <w:t>3</w:t>
      </w:r>
      <w:r>
        <w:rPr>
          <w:rFonts w:hint="eastAsia"/>
          <w:sz w:val="24"/>
          <w:vertAlign w:val="superscript"/>
        </w:rPr>
        <w:t>-</w:t>
      </w:r>
      <w:r>
        <w:rPr>
          <w:rFonts w:hint="eastAsia"/>
          <w:sz w:val="24"/>
        </w:rPr>
        <w:t>、Cl</w:t>
      </w:r>
      <w:r>
        <w:rPr>
          <w:rFonts w:hint="eastAsia"/>
          <w:sz w:val="24"/>
          <w:vertAlign w:val="superscript"/>
        </w:rPr>
        <w:t>-</w:t>
      </w:r>
      <w:r>
        <w:rPr>
          <w:rFonts w:hint="eastAsia"/>
          <w:sz w:val="24"/>
        </w:rPr>
        <w:t>、SO</w:t>
      </w:r>
      <w:r>
        <w:rPr>
          <w:rFonts w:hint="eastAsia"/>
          <w:sz w:val="24"/>
          <w:vertAlign w:val="subscript"/>
        </w:rPr>
        <w:t>4</w:t>
      </w:r>
      <w:r>
        <w:rPr>
          <w:rFonts w:hint="eastAsia"/>
          <w:sz w:val="24"/>
          <w:vertAlign w:val="superscript"/>
        </w:rPr>
        <w:t>2-</w:t>
      </w:r>
      <w:r>
        <w:rPr>
          <w:rFonts w:hint="eastAsia"/>
          <w:sz w:val="24"/>
        </w:rPr>
        <w:t>。</w:t>
      </w:r>
    </w:p>
    <w:p w14:paraId="2E4DF195">
      <w:pPr>
        <w:spacing w:line="360" w:lineRule="auto"/>
        <w:ind w:firstLine="480" w:firstLineChars="200"/>
        <w:rPr>
          <w:sz w:val="24"/>
        </w:rPr>
      </w:pPr>
      <w:r>
        <w:rPr>
          <w:rFonts w:hint="eastAsia"/>
          <w:sz w:val="24"/>
        </w:rPr>
        <w:t>基本因子：</w:t>
      </w:r>
      <w:r>
        <w:rPr>
          <w:sz w:val="24"/>
        </w:rPr>
        <w:t>pH、氨氮、硝酸盐、亚硝酸盐、挥发性酚类、氰化物、砷、汞、六价铬、</w:t>
      </w:r>
      <w:r>
        <w:rPr>
          <w:rFonts w:hint="eastAsia"/>
          <w:sz w:val="24"/>
        </w:rPr>
        <w:t>总硬度、</w:t>
      </w:r>
      <w:r>
        <w:rPr>
          <w:sz w:val="24"/>
        </w:rPr>
        <w:t>氯化物、硫酸盐、铅、氟化物、</w:t>
      </w:r>
      <w:r>
        <w:rPr>
          <w:rFonts w:hint="eastAsia"/>
          <w:sz w:val="24"/>
        </w:rPr>
        <w:t>硫化物、</w:t>
      </w:r>
      <w:r>
        <w:rPr>
          <w:sz w:val="24"/>
        </w:rPr>
        <w:t>镉、铁、锰、溶解性总固体、</w:t>
      </w:r>
      <w:r>
        <w:rPr>
          <w:rFonts w:hint="eastAsia"/>
          <w:sz w:val="24"/>
        </w:rPr>
        <w:t>耗氧量</w:t>
      </w:r>
      <w:r>
        <w:rPr>
          <w:sz w:val="24"/>
        </w:rPr>
        <w:t>、总大肠菌群、</w:t>
      </w:r>
      <w:r>
        <w:rPr>
          <w:rFonts w:hint="eastAsia"/>
          <w:sz w:val="24"/>
        </w:rPr>
        <w:t>细菌总数</w:t>
      </w:r>
      <w:r>
        <w:rPr>
          <w:sz w:val="24"/>
        </w:rPr>
        <w:t>。</w:t>
      </w:r>
    </w:p>
    <w:p w14:paraId="0C2556E5">
      <w:pPr>
        <w:pStyle w:val="3393"/>
      </w:pPr>
      <w:r>
        <w:t>频次：监测一天，一天一次。</w:t>
      </w:r>
    </w:p>
    <w:p w14:paraId="6E0DE3C8">
      <w:pPr>
        <w:pStyle w:val="3393"/>
      </w:pPr>
      <w:r>
        <w:t>（3）监测方法</w:t>
      </w:r>
    </w:p>
    <w:p w14:paraId="19FC2A23">
      <w:pPr>
        <w:pStyle w:val="3393"/>
      </w:pPr>
      <w:r>
        <w:t>采样和分析方法参照《地下水环境质量标准》（GB/T 14848-2017）中水质监测分析有关规定。</w:t>
      </w:r>
    </w:p>
    <w:p w14:paraId="65E0FEC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质量标准和评价方法</w:t>
      </w:r>
    </w:p>
    <w:p w14:paraId="382020F0">
      <w:pPr>
        <w:pStyle w:val="3393"/>
      </w:pPr>
      <w:r>
        <w:t>区域地下水水质执行《地下水质量标准》(GB/T14848-2017)中Ⅲ类标准要求。</w:t>
      </w:r>
    </w:p>
    <w:p w14:paraId="68347DCE">
      <w:pPr>
        <w:pStyle w:val="3393"/>
      </w:pPr>
      <w:r>
        <w:t>根据各监测点位的监测数据，按照《环境影响评价技术导则 地下水环境》，（HJ 610-2016）推荐的标准指数法要求统计分析。</w:t>
      </w:r>
    </w:p>
    <w:p w14:paraId="382D6BBC">
      <w:pPr>
        <w:pStyle w:val="3393"/>
      </w:pPr>
      <w:r>
        <w:t>（1）pH值评价模式</w:t>
      </w:r>
    </w:p>
    <w:p w14:paraId="2EDAB9DE">
      <w:pPr>
        <w:pStyle w:val="51"/>
        <w:spacing w:line="360" w:lineRule="auto"/>
        <w:jc w:val="center"/>
        <w:rPr>
          <w:rFonts w:ascii="Times New Roman" w:hAnsi="Times New Roman" w:cs="Times New Roman" w:eastAsiaTheme="minorEastAsia"/>
          <w:sz w:val="24"/>
        </w:rPr>
      </w:pPr>
      <w:r>
        <w:drawing>
          <wp:inline distT="0" distB="0" distL="0" distR="0">
            <wp:extent cx="2070100" cy="474345"/>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2077970" cy="476201"/>
                    </a:xfrm>
                    <a:prstGeom prst="rect">
                      <a:avLst/>
                    </a:prstGeom>
                  </pic:spPr>
                </pic:pic>
              </a:graphicData>
            </a:graphic>
          </wp:inline>
        </w:drawing>
      </w:r>
    </w:p>
    <w:p w14:paraId="194D19B0">
      <w:pPr>
        <w:pStyle w:val="51"/>
        <w:spacing w:line="360" w:lineRule="auto"/>
        <w:jc w:val="center"/>
        <w:rPr>
          <w:rFonts w:ascii="Times New Roman" w:hAnsi="Times New Roman" w:cs="Times New Roman" w:eastAsiaTheme="minorEastAsia"/>
          <w:sz w:val="24"/>
        </w:rPr>
      </w:pPr>
      <w:r>
        <w:drawing>
          <wp:inline distT="0" distB="0" distL="0" distR="0">
            <wp:extent cx="2442845" cy="521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2444864" cy="522696"/>
                    </a:xfrm>
                    <a:prstGeom prst="rect">
                      <a:avLst/>
                    </a:prstGeom>
                  </pic:spPr>
                </pic:pic>
              </a:graphicData>
            </a:graphic>
          </wp:inline>
        </w:drawing>
      </w:r>
    </w:p>
    <w:p w14:paraId="7A84D6D3">
      <w:pPr>
        <w:pStyle w:val="51"/>
        <w:spacing w:line="360" w:lineRule="auto"/>
        <w:ind w:left="900" w:firstLine="540"/>
        <w:rPr>
          <w:rFonts w:ascii="Times New Roman" w:hAnsi="Times New Roman" w:cs="Times New Roman" w:eastAsiaTheme="minorEastAsia"/>
          <w:sz w:val="24"/>
        </w:rPr>
      </w:pPr>
      <w:r>
        <w:rPr>
          <w:rFonts w:ascii="Times New Roman" w:hAnsi="Times New Roman" w:cs="Times New Roman" w:eastAsiaTheme="minorEastAsia"/>
          <w:sz w:val="24"/>
        </w:rPr>
        <w:t>式中：</w:t>
      </w:r>
    </w:p>
    <w:p w14:paraId="2D426C55">
      <w:pPr>
        <w:pStyle w:val="51"/>
        <w:spacing w:line="360" w:lineRule="auto"/>
        <w:ind w:left="900" w:firstLine="540"/>
        <w:rPr>
          <w:rFonts w:ascii="Times New Roman" w:hAnsi="Times New Roman" w:cs="Times New Roman" w:eastAsiaTheme="minorEastAsia"/>
          <w:sz w:val="24"/>
        </w:rPr>
      </w:pPr>
      <w:r>
        <w:rPr>
          <w:rFonts w:hint="eastAsia" w:ascii="Times New Roman" w:hAnsi="Times New Roman" w:cs="Times New Roman" w:eastAsiaTheme="minorEastAsia"/>
          <w:sz w:val="24"/>
        </w:rPr>
        <w:t>P</w:t>
      </w:r>
      <w:r>
        <w:rPr>
          <w:rFonts w:ascii="Times New Roman" w:hAnsi="Times New Roman" w:cs="Times New Roman" w:eastAsiaTheme="minorEastAsia"/>
          <w:sz w:val="24"/>
          <w:vertAlign w:val="subscript"/>
        </w:rPr>
        <w:t>pH</w:t>
      </w:r>
      <w:r>
        <w:rPr>
          <w:rFonts w:ascii="Times New Roman" w:hAnsi="Times New Roman" w:cs="Times New Roman" w:eastAsiaTheme="minorEastAsia"/>
          <w:sz w:val="24"/>
        </w:rPr>
        <w:t>——pH的标准指数，量纲为</w:t>
      </w:r>
      <w:r>
        <w:rPr>
          <w:rFonts w:hint="eastAsia" w:ascii="Times New Roman" w:hAnsi="Times New Roman" w:cs="Times New Roman" w:eastAsiaTheme="minorEastAsia"/>
          <w:sz w:val="24"/>
        </w:rPr>
        <w:t>1</w:t>
      </w:r>
      <w:r>
        <w:rPr>
          <w:rFonts w:ascii="Times New Roman" w:hAnsi="Times New Roman" w:cs="Times New Roman" w:eastAsiaTheme="minorEastAsia"/>
          <w:sz w:val="24"/>
        </w:rPr>
        <w:t>；</w:t>
      </w:r>
    </w:p>
    <w:p w14:paraId="44D008E6">
      <w:pPr>
        <w:pStyle w:val="51"/>
        <w:spacing w:line="360" w:lineRule="auto"/>
        <w:ind w:left="420" w:firstLine="1132" w:firstLineChars="472"/>
        <w:rPr>
          <w:rFonts w:ascii="Times New Roman" w:hAnsi="Times New Roman" w:cs="Times New Roman" w:eastAsiaTheme="minorEastAsia"/>
          <w:sz w:val="24"/>
        </w:rPr>
      </w:pPr>
      <w:r>
        <w:rPr>
          <w:rFonts w:ascii="Times New Roman" w:hAnsi="Times New Roman" w:cs="Times New Roman" w:eastAsiaTheme="minorEastAsia"/>
          <w:sz w:val="24"/>
        </w:rPr>
        <w:t>pH——pH监测值；</w:t>
      </w:r>
    </w:p>
    <w:p w14:paraId="3700649C">
      <w:pPr>
        <w:pStyle w:val="51"/>
        <w:spacing w:line="360" w:lineRule="auto"/>
        <w:ind w:left="420" w:firstLine="1132" w:firstLineChars="472"/>
        <w:rPr>
          <w:rFonts w:ascii="Times New Roman" w:hAnsi="Times New Roman" w:cs="Times New Roman" w:eastAsiaTheme="minorEastAsia"/>
          <w:sz w:val="24"/>
        </w:rPr>
      </w:pPr>
      <w:r>
        <w:rPr>
          <w:rFonts w:ascii="Times New Roman" w:hAnsi="Times New Roman" w:cs="Times New Roman" w:eastAsiaTheme="minorEastAsia"/>
          <w:sz w:val="24"/>
        </w:rPr>
        <w:t>pH</w:t>
      </w:r>
      <w:r>
        <w:rPr>
          <w:rFonts w:ascii="Times New Roman" w:hAnsi="Times New Roman" w:cs="Times New Roman" w:eastAsiaTheme="minorEastAsia"/>
          <w:sz w:val="24"/>
          <w:vertAlign w:val="subscript"/>
        </w:rPr>
        <w:t>s</w:t>
      </w:r>
      <w:r>
        <w:rPr>
          <w:rFonts w:hint="eastAsia" w:ascii="Times New Roman" w:hAnsi="Times New Roman" w:cs="Times New Roman" w:eastAsiaTheme="minorEastAsia"/>
          <w:sz w:val="24"/>
          <w:vertAlign w:val="subscript"/>
        </w:rPr>
        <w:t>u</w:t>
      </w:r>
      <w:r>
        <w:rPr>
          <w:rFonts w:ascii="Times New Roman" w:hAnsi="Times New Roman" w:cs="Times New Roman" w:eastAsiaTheme="minorEastAsia"/>
          <w:sz w:val="24"/>
        </w:rPr>
        <w:t>——标准中pH</w:t>
      </w:r>
      <w:r>
        <w:rPr>
          <w:rFonts w:hint="eastAsia" w:ascii="Times New Roman" w:hAnsi="Times New Roman" w:cs="Times New Roman" w:eastAsiaTheme="minorEastAsia"/>
          <w:sz w:val="24"/>
        </w:rPr>
        <w:t>的</w:t>
      </w:r>
      <w:r>
        <w:rPr>
          <w:rFonts w:ascii="Times New Roman" w:hAnsi="Times New Roman" w:cs="Times New Roman" w:eastAsiaTheme="minorEastAsia"/>
          <w:sz w:val="24"/>
        </w:rPr>
        <w:t>上限值；</w:t>
      </w:r>
    </w:p>
    <w:p w14:paraId="6817D54C">
      <w:pPr>
        <w:pStyle w:val="51"/>
        <w:spacing w:line="360" w:lineRule="auto"/>
        <w:ind w:left="420" w:firstLine="1132" w:firstLineChars="472"/>
        <w:rPr>
          <w:rFonts w:ascii="Times New Roman" w:hAnsi="Times New Roman" w:cs="Times New Roman" w:eastAsiaTheme="minorEastAsia"/>
          <w:sz w:val="24"/>
        </w:rPr>
      </w:pPr>
      <w:r>
        <w:rPr>
          <w:rFonts w:ascii="Times New Roman" w:hAnsi="Times New Roman" w:cs="Times New Roman" w:eastAsiaTheme="minorEastAsia"/>
          <w:sz w:val="24"/>
        </w:rPr>
        <w:t>pH</w:t>
      </w:r>
      <w:r>
        <w:rPr>
          <w:rFonts w:ascii="Times New Roman" w:hAnsi="Times New Roman" w:cs="Times New Roman" w:eastAsiaTheme="minorEastAsia"/>
          <w:sz w:val="24"/>
          <w:vertAlign w:val="subscript"/>
        </w:rPr>
        <w:t>s</w:t>
      </w:r>
      <w:r>
        <w:rPr>
          <w:rFonts w:hint="eastAsia" w:ascii="Times New Roman" w:hAnsi="Times New Roman" w:cs="Times New Roman" w:eastAsiaTheme="minorEastAsia"/>
          <w:sz w:val="24"/>
          <w:vertAlign w:val="subscript"/>
        </w:rPr>
        <w:t>d</w:t>
      </w:r>
      <w:r>
        <w:rPr>
          <w:rFonts w:ascii="Times New Roman" w:hAnsi="Times New Roman" w:cs="Times New Roman" w:eastAsiaTheme="minorEastAsia"/>
          <w:sz w:val="24"/>
        </w:rPr>
        <w:t>——标准中pH</w:t>
      </w:r>
      <w:r>
        <w:rPr>
          <w:rFonts w:hint="eastAsia" w:ascii="Times New Roman" w:hAnsi="Times New Roman" w:cs="Times New Roman" w:eastAsiaTheme="minorEastAsia"/>
          <w:sz w:val="24"/>
        </w:rPr>
        <w:t>的下</w:t>
      </w:r>
      <w:r>
        <w:rPr>
          <w:rFonts w:ascii="Times New Roman" w:hAnsi="Times New Roman" w:cs="Times New Roman" w:eastAsiaTheme="minorEastAsia"/>
          <w:sz w:val="24"/>
        </w:rPr>
        <w:t>限值；</w:t>
      </w:r>
    </w:p>
    <w:p w14:paraId="56B69AF9">
      <w:pPr>
        <w:pStyle w:val="3393"/>
      </w:pPr>
      <w:r>
        <w:t>（2）其他指标评价模式</w:t>
      </w:r>
    </w:p>
    <w:p w14:paraId="21C26433">
      <w:pPr>
        <w:pStyle w:val="51"/>
        <w:spacing w:line="360" w:lineRule="auto"/>
        <w:jc w:val="center"/>
        <w:rPr>
          <w:rFonts w:ascii="Times New Roman" w:hAnsi="Times New Roman" w:cs="Times New Roman" w:eastAsiaTheme="minorEastAsia"/>
          <w:sz w:val="24"/>
        </w:rPr>
      </w:pPr>
      <w:r>
        <w:drawing>
          <wp:inline distT="0" distB="0" distL="0" distR="0">
            <wp:extent cx="716280" cy="54038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718919" cy="542343"/>
                    </a:xfrm>
                    <a:prstGeom prst="rect">
                      <a:avLst/>
                    </a:prstGeom>
                  </pic:spPr>
                </pic:pic>
              </a:graphicData>
            </a:graphic>
          </wp:inline>
        </w:drawing>
      </w:r>
    </w:p>
    <w:p w14:paraId="1F0573EB">
      <w:pPr>
        <w:pStyle w:val="51"/>
        <w:spacing w:line="360" w:lineRule="auto"/>
        <w:ind w:left="900" w:firstLine="540"/>
        <w:rPr>
          <w:rFonts w:ascii="Times New Roman" w:hAnsi="Times New Roman" w:cs="Times New Roman" w:eastAsiaTheme="minorEastAsia"/>
          <w:sz w:val="24"/>
        </w:rPr>
      </w:pPr>
      <w:r>
        <w:rPr>
          <w:rFonts w:ascii="Times New Roman" w:hAnsi="Times New Roman" w:cs="Times New Roman" w:eastAsiaTheme="minorEastAsia"/>
          <w:sz w:val="24"/>
        </w:rPr>
        <w:t>式中：</w:t>
      </w:r>
    </w:p>
    <w:p w14:paraId="34CF5907">
      <w:pPr>
        <w:pStyle w:val="51"/>
        <w:spacing w:line="360" w:lineRule="auto"/>
        <w:ind w:left="900" w:firstLine="540"/>
        <w:rPr>
          <w:rFonts w:ascii="Times New Roman" w:hAnsi="Times New Roman" w:cs="Times New Roman" w:eastAsiaTheme="minorEastAsia"/>
          <w:sz w:val="24"/>
        </w:rPr>
      </w:pPr>
      <w:r>
        <w:rPr>
          <w:rFonts w:hint="eastAsia" w:ascii="Times New Roman" w:hAnsi="Times New Roman" w:cs="Times New Roman" w:eastAsiaTheme="minorEastAsia"/>
          <w:sz w:val="24"/>
        </w:rPr>
        <w:t>P</w:t>
      </w:r>
      <w:r>
        <w:rPr>
          <w:rFonts w:ascii="Times New Roman" w:hAnsi="Times New Roman" w:cs="Times New Roman" w:eastAsiaTheme="minorEastAsia"/>
          <w:sz w:val="24"/>
          <w:vertAlign w:val="subscript"/>
        </w:rPr>
        <w:t>i</w:t>
      </w:r>
      <w:r>
        <w:rPr>
          <w:rFonts w:ascii="Times New Roman" w:hAnsi="Times New Roman" w:cs="Times New Roman" w:eastAsiaTheme="minorEastAsia"/>
          <w:sz w:val="24"/>
        </w:rPr>
        <w:t>——</w:t>
      </w:r>
      <w:r>
        <w:rPr>
          <w:rFonts w:hint="eastAsia" w:ascii="Times New Roman" w:hAnsi="Times New Roman" w:cs="Times New Roman" w:eastAsiaTheme="minorEastAsia"/>
          <w:sz w:val="24"/>
        </w:rPr>
        <w:t>第</w:t>
      </w:r>
      <w:r>
        <w:rPr>
          <w:rFonts w:ascii="Times New Roman" w:hAnsi="Times New Roman" w:cs="Times New Roman" w:eastAsiaTheme="minorEastAsia"/>
          <w:sz w:val="24"/>
        </w:rPr>
        <w:t>i个水质因子的标准指数，量纲为</w:t>
      </w:r>
      <w:r>
        <w:rPr>
          <w:rFonts w:hint="eastAsia" w:ascii="Times New Roman" w:hAnsi="Times New Roman" w:cs="Times New Roman" w:eastAsiaTheme="minorEastAsia"/>
          <w:sz w:val="24"/>
        </w:rPr>
        <w:t>1</w:t>
      </w:r>
      <w:r>
        <w:rPr>
          <w:rFonts w:ascii="Times New Roman" w:hAnsi="Times New Roman" w:cs="Times New Roman" w:eastAsiaTheme="minorEastAsia"/>
          <w:sz w:val="24"/>
        </w:rPr>
        <w:t>；</w:t>
      </w:r>
    </w:p>
    <w:p w14:paraId="245ED82D">
      <w:pPr>
        <w:pStyle w:val="51"/>
        <w:spacing w:line="360" w:lineRule="auto"/>
        <w:ind w:left="900" w:firstLine="540"/>
        <w:rPr>
          <w:rFonts w:ascii="Times New Roman" w:hAnsi="Times New Roman" w:cs="Times New Roman" w:eastAsiaTheme="minorEastAsia"/>
          <w:sz w:val="24"/>
        </w:rPr>
      </w:pPr>
      <w:r>
        <w:rPr>
          <w:rFonts w:ascii="Times New Roman" w:hAnsi="Times New Roman" w:cs="Times New Roman" w:eastAsiaTheme="minorEastAsia"/>
          <w:sz w:val="24"/>
        </w:rPr>
        <w:t>C</w:t>
      </w:r>
      <w:r>
        <w:rPr>
          <w:rFonts w:ascii="Times New Roman" w:hAnsi="Times New Roman" w:cs="Times New Roman" w:eastAsiaTheme="minorEastAsia"/>
          <w:sz w:val="24"/>
          <w:vertAlign w:val="subscript"/>
        </w:rPr>
        <w:t>i</w:t>
      </w:r>
      <w:r>
        <w:rPr>
          <w:rFonts w:ascii="Times New Roman" w:hAnsi="Times New Roman" w:cs="Times New Roman" w:eastAsiaTheme="minorEastAsia"/>
          <w:sz w:val="24"/>
        </w:rPr>
        <w:t>——</w:t>
      </w:r>
      <w:r>
        <w:rPr>
          <w:rFonts w:hint="eastAsia" w:ascii="Times New Roman" w:hAnsi="Times New Roman" w:cs="Times New Roman" w:eastAsiaTheme="minorEastAsia"/>
          <w:sz w:val="24"/>
        </w:rPr>
        <w:t>第</w:t>
      </w:r>
      <w:r>
        <w:rPr>
          <w:rFonts w:ascii="Times New Roman" w:hAnsi="Times New Roman" w:cs="Times New Roman" w:eastAsiaTheme="minorEastAsia"/>
          <w:sz w:val="24"/>
        </w:rPr>
        <w:t>i个水质因子的监测浓度值，mg/L；</w:t>
      </w:r>
    </w:p>
    <w:p w14:paraId="6BE55327">
      <w:pPr>
        <w:pStyle w:val="51"/>
        <w:spacing w:line="360" w:lineRule="auto"/>
        <w:ind w:left="900" w:firstLine="540"/>
        <w:rPr>
          <w:rFonts w:ascii="Times New Roman" w:hAnsi="Times New Roman" w:cs="Times New Roman" w:eastAsiaTheme="minorEastAsia"/>
          <w:sz w:val="24"/>
        </w:rPr>
      </w:pPr>
      <w:r>
        <w:rPr>
          <w:rFonts w:ascii="Times New Roman" w:hAnsi="Times New Roman" w:cs="Times New Roman" w:eastAsiaTheme="minorEastAsia"/>
          <w:sz w:val="24"/>
        </w:rPr>
        <w:t>C</w:t>
      </w:r>
      <w:r>
        <w:rPr>
          <w:rFonts w:ascii="Times New Roman" w:hAnsi="Times New Roman" w:cs="Times New Roman" w:eastAsiaTheme="minorEastAsia"/>
          <w:sz w:val="24"/>
          <w:vertAlign w:val="subscript"/>
        </w:rPr>
        <w:t>si</w:t>
      </w:r>
      <w:r>
        <w:rPr>
          <w:rFonts w:ascii="Times New Roman" w:hAnsi="Times New Roman" w:cs="Times New Roman" w:eastAsiaTheme="minorEastAsia"/>
          <w:sz w:val="24"/>
        </w:rPr>
        <w:t>——</w:t>
      </w:r>
      <w:r>
        <w:rPr>
          <w:rFonts w:hint="eastAsia" w:ascii="Times New Roman" w:hAnsi="Times New Roman" w:cs="Times New Roman" w:eastAsiaTheme="minorEastAsia"/>
          <w:sz w:val="24"/>
        </w:rPr>
        <w:t>第</w:t>
      </w:r>
      <w:r>
        <w:rPr>
          <w:rFonts w:ascii="Times New Roman" w:hAnsi="Times New Roman" w:cs="Times New Roman" w:eastAsiaTheme="minorEastAsia"/>
          <w:sz w:val="24"/>
        </w:rPr>
        <w:t>i个水质因子的标准浓度值，mg/L。</w:t>
      </w:r>
    </w:p>
    <w:p w14:paraId="3F4FDE6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地下水环境质量调查结果与评价</w:t>
      </w:r>
    </w:p>
    <w:p w14:paraId="14D12D81">
      <w:pPr>
        <w:pStyle w:val="3393"/>
        <w:rPr>
          <w:b/>
          <w:szCs w:val="21"/>
        </w:rPr>
      </w:pPr>
      <w:r>
        <w:t>地下水水质现状监测结果见下表。</w:t>
      </w:r>
    </w:p>
    <w:p w14:paraId="44A63DF1">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3.3.3</w:t>
      </w:r>
      <w:r>
        <w:rPr>
          <w:rFonts w:eastAsiaTheme="minorEastAsia"/>
          <w:b/>
          <w:szCs w:val="21"/>
        </w:rPr>
        <w:t>-</w:t>
      </w:r>
      <w:r>
        <w:rPr>
          <w:rFonts w:hint="eastAsia" w:eastAsiaTheme="minorEastAsia"/>
          <w:b/>
          <w:szCs w:val="21"/>
        </w:rPr>
        <w:t>2</w:t>
      </w:r>
      <w:r>
        <w:rPr>
          <w:rFonts w:eastAsiaTheme="minorEastAsia"/>
          <w:b/>
          <w:szCs w:val="21"/>
        </w:rPr>
        <w:t xml:space="preserve">  吴山闽商石材产业区域地下水水质现状监测及评价结果一览表</w:t>
      </w:r>
    </w:p>
    <w:p w14:paraId="6496E1DD">
      <w:pPr>
        <w:spacing w:line="360" w:lineRule="auto"/>
        <w:ind w:firstLine="420"/>
        <w:jc w:val="center"/>
        <w:rPr>
          <w:rFonts w:eastAsiaTheme="minorEastAsia"/>
          <w:szCs w:val="21"/>
        </w:rPr>
      </w:pPr>
      <w:r>
        <w:rPr>
          <w:rFonts w:eastAsiaTheme="minorEastAsia"/>
          <w:szCs w:val="21"/>
        </w:rPr>
        <w:t>（单位：pH无量纲，总大肠菌群MPN/100mL，菌落总数CFU/mL，其它为mg/L）</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3"/>
        <w:gridCol w:w="1134"/>
        <w:gridCol w:w="851"/>
        <w:gridCol w:w="1136"/>
        <w:gridCol w:w="1134"/>
        <w:gridCol w:w="993"/>
        <w:gridCol w:w="849"/>
        <w:gridCol w:w="1048"/>
      </w:tblGrid>
      <w:tr w14:paraId="65177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Merge w:val="restart"/>
            <w:vAlign w:val="center"/>
          </w:tcPr>
          <w:p w14:paraId="55C70666">
            <w:pPr>
              <w:spacing w:line="320" w:lineRule="exact"/>
              <w:ind w:left="-53" w:leftChars="-25" w:right="-53" w:rightChars="-25"/>
              <w:jc w:val="center"/>
              <w:rPr>
                <w:snapToGrid w:val="0"/>
                <w:kern w:val="0"/>
                <w:szCs w:val="21"/>
              </w:rPr>
            </w:pPr>
            <w:bookmarkStart w:id="113" w:name="_Hlk169532395"/>
            <w:r>
              <w:rPr>
                <w:snapToGrid w:val="0"/>
                <w:kern w:val="0"/>
                <w:szCs w:val="21"/>
              </w:rPr>
              <w:t>检测项目</w:t>
            </w:r>
          </w:p>
        </w:tc>
        <w:tc>
          <w:tcPr>
            <w:tcW w:w="665" w:type="pct"/>
            <w:vMerge w:val="restart"/>
            <w:vAlign w:val="center"/>
          </w:tcPr>
          <w:p w14:paraId="22A37BF6">
            <w:pPr>
              <w:spacing w:line="320" w:lineRule="exact"/>
              <w:ind w:left="-53" w:leftChars="-25" w:right="-53" w:rightChars="-25"/>
              <w:jc w:val="center"/>
              <w:rPr>
                <w:snapToGrid w:val="0"/>
                <w:kern w:val="0"/>
                <w:szCs w:val="21"/>
              </w:rPr>
            </w:pPr>
            <w:r>
              <w:rPr>
                <w:snapToGrid w:val="0"/>
                <w:kern w:val="0"/>
                <w:szCs w:val="21"/>
              </w:rPr>
              <w:t>标准值</w:t>
            </w:r>
          </w:p>
        </w:tc>
        <w:tc>
          <w:tcPr>
            <w:tcW w:w="3524" w:type="pct"/>
            <w:gridSpan w:val="6"/>
            <w:vAlign w:val="center"/>
          </w:tcPr>
          <w:p w14:paraId="49D6C497">
            <w:pPr>
              <w:spacing w:line="320" w:lineRule="exact"/>
              <w:ind w:left="-53" w:leftChars="-25" w:right="-53" w:rightChars="-25"/>
              <w:jc w:val="center"/>
              <w:rPr>
                <w:snapToGrid w:val="0"/>
                <w:kern w:val="0"/>
                <w:szCs w:val="21"/>
              </w:rPr>
            </w:pPr>
            <w:r>
              <w:rPr>
                <w:snapToGrid w:val="0"/>
                <w:kern w:val="0"/>
                <w:szCs w:val="21"/>
              </w:rPr>
              <w:t>检测结果</w:t>
            </w:r>
          </w:p>
        </w:tc>
      </w:tr>
      <w:tr w14:paraId="3D06F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Merge w:val="continue"/>
            <w:vAlign w:val="center"/>
          </w:tcPr>
          <w:p w14:paraId="73821368">
            <w:pPr>
              <w:spacing w:line="320" w:lineRule="exact"/>
              <w:ind w:left="-53" w:leftChars="-25" w:right="-53" w:rightChars="-25"/>
              <w:jc w:val="center"/>
              <w:rPr>
                <w:snapToGrid w:val="0"/>
                <w:kern w:val="0"/>
                <w:szCs w:val="21"/>
              </w:rPr>
            </w:pPr>
          </w:p>
        </w:tc>
        <w:tc>
          <w:tcPr>
            <w:tcW w:w="665" w:type="pct"/>
            <w:vMerge w:val="continue"/>
            <w:vAlign w:val="center"/>
          </w:tcPr>
          <w:p w14:paraId="4DD83688">
            <w:pPr>
              <w:spacing w:line="320" w:lineRule="exact"/>
              <w:ind w:left="-53" w:leftChars="-25" w:right="-53" w:rightChars="-25"/>
              <w:jc w:val="center"/>
              <w:rPr>
                <w:snapToGrid w:val="0"/>
                <w:kern w:val="0"/>
                <w:szCs w:val="21"/>
              </w:rPr>
            </w:pPr>
          </w:p>
        </w:tc>
        <w:tc>
          <w:tcPr>
            <w:tcW w:w="499" w:type="pct"/>
            <w:vAlign w:val="center"/>
          </w:tcPr>
          <w:p w14:paraId="2A6DBA2E">
            <w:pPr>
              <w:spacing w:line="320" w:lineRule="exact"/>
              <w:ind w:left="-53" w:leftChars="-25" w:right="-53" w:rightChars="-25"/>
              <w:jc w:val="center"/>
              <w:rPr>
                <w:snapToGrid w:val="0"/>
                <w:kern w:val="0"/>
                <w:szCs w:val="21"/>
              </w:rPr>
            </w:pPr>
            <w:r>
              <w:rPr>
                <w:snapToGrid w:val="0"/>
                <w:kern w:val="0"/>
                <w:szCs w:val="21"/>
              </w:rPr>
              <w:t>1#</w:t>
            </w:r>
          </w:p>
        </w:tc>
        <w:tc>
          <w:tcPr>
            <w:tcW w:w="666" w:type="pct"/>
            <w:vAlign w:val="center"/>
          </w:tcPr>
          <w:p w14:paraId="518AA1E0">
            <w:pPr>
              <w:spacing w:line="320" w:lineRule="exact"/>
              <w:ind w:left="-53" w:leftChars="-25" w:right="-53" w:rightChars="-25"/>
              <w:jc w:val="center"/>
              <w:rPr>
                <w:snapToGrid w:val="0"/>
                <w:kern w:val="0"/>
                <w:szCs w:val="21"/>
              </w:rPr>
            </w:pPr>
            <w:r>
              <w:rPr>
                <w:snapToGrid w:val="0"/>
                <w:kern w:val="0"/>
                <w:szCs w:val="21"/>
              </w:rPr>
              <w:t>评价指数</w:t>
            </w:r>
          </w:p>
        </w:tc>
        <w:tc>
          <w:tcPr>
            <w:tcW w:w="665" w:type="pct"/>
            <w:vAlign w:val="center"/>
          </w:tcPr>
          <w:p w14:paraId="7BCF9611">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w:t>
            </w:r>
          </w:p>
        </w:tc>
        <w:tc>
          <w:tcPr>
            <w:tcW w:w="582" w:type="pct"/>
            <w:vAlign w:val="center"/>
          </w:tcPr>
          <w:p w14:paraId="5D86365C">
            <w:pPr>
              <w:spacing w:line="320" w:lineRule="exact"/>
              <w:ind w:left="-53" w:leftChars="-25" w:right="-53" w:rightChars="-25"/>
              <w:jc w:val="center"/>
              <w:rPr>
                <w:snapToGrid w:val="0"/>
                <w:kern w:val="0"/>
                <w:szCs w:val="21"/>
              </w:rPr>
            </w:pPr>
            <w:r>
              <w:rPr>
                <w:snapToGrid w:val="0"/>
                <w:kern w:val="0"/>
                <w:szCs w:val="21"/>
              </w:rPr>
              <w:t>评价指数</w:t>
            </w:r>
          </w:p>
        </w:tc>
        <w:tc>
          <w:tcPr>
            <w:tcW w:w="498" w:type="pct"/>
            <w:vAlign w:val="center"/>
          </w:tcPr>
          <w:p w14:paraId="137EAFA4">
            <w:pPr>
              <w:spacing w:line="320" w:lineRule="exact"/>
              <w:ind w:left="-53" w:leftChars="-25" w:right="-53" w:rightChars="-25"/>
              <w:jc w:val="center"/>
              <w:rPr>
                <w:snapToGrid w:val="0"/>
                <w:kern w:val="0"/>
                <w:szCs w:val="21"/>
              </w:rPr>
            </w:pPr>
            <w:r>
              <w:rPr>
                <w:rFonts w:hint="eastAsia"/>
                <w:snapToGrid w:val="0"/>
                <w:kern w:val="0"/>
                <w:szCs w:val="21"/>
              </w:rPr>
              <w:t>3</w:t>
            </w:r>
            <w:r>
              <w:rPr>
                <w:snapToGrid w:val="0"/>
                <w:kern w:val="0"/>
                <w:szCs w:val="21"/>
              </w:rPr>
              <w:t>#</w:t>
            </w:r>
          </w:p>
        </w:tc>
        <w:tc>
          <w:tcPr>
            <w:tcW w:w="614" w:type="pct"/>
            <w:vAlign w:val="center"/>
          </w:tcPr>
          <w:p w14:paraId="6EA394E7">
            <w:pPr>
              <w:spacing w:line="320" w:lineRule="exact"/>
              <w:ind w:left="-53" w:leftChars="-25" w:right="-53" w:rightChars="-25"/>
              <w:jc w:val="center"/>
              <w:rPr>
                <w:snapToGrid w:val="0"/>
                <w:kern w:val="0"/>
                <w:szCs w:val="21"/>
              </w:rPr>
            </w:pPr>
            <w:r>
              <w:rPr>
                <w:snapToGrid w:val="0"/>
                <w:kern w:val="0"/>
                <w:szCs w:val="21"/>
              </w:rPr>
              <w:t>评价指数</w:t>
            </w:r>
          </w:p>
        </w:tc>
      </w:tr>
      <w:tr w14:paraId="7AA01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7CE0049">
            <w:pPr>
              <w:spacing w:line="320" w:lineRule="exact"/>
              <w:ind w:left="-53" w:leftChars="-25" w:right="-53" w:rightChars="-25"/>
              <w:jc w:val="center"/>
              <w:rPr>
                <w:snapToGrid w:val="0"/>
                <w:kern w:val="0"/>
                <w:szCs w:val="21"/>
              </w:rPr>
            </w:pPr>
            <w:r>
              <w:rPr>
                <w:snapToGrid w:val="0"/>
                <w:kern w:val="0"/>
                <w:szCs w:val="21"/>
              </w:rPr>
              <w:t>*钾离子</w:t>
            </w:r>
          </w:p>
        </w:tc>
        <w:tc>
          <w:tcPr>
            <w:tcW w:w="665" w:type="pct"/>
            <w:vAlign w:val="center"/>
          </w:tcPr>
          <w:p w14:paraId="649CBBC8">
            <w:pPr>
              <w:spacing w:line="320" w:lineRule="exact"/>
              <w:ind w:left="-53" w:leftChars="-25" w:right="-53" w:rightChars="-25"/>
              <w:jc w:val="center"/>
              <w:rPr>
                <w:snapToGrid w:val="0"/>
                <w:kern w:val="0"/>
                <w:szCs w:val="21"/>
              </w:rPr>
            </w:pPr>
            <w:r>
              <w:rPr>
                <w:rFonts w:hint="eastAsia"/>
                <w:snapToGrid w:val="0"/>
                <w:kern w:val="0"/>
                <w:szCs w:val="21"/>
              </w:rPr>
              <w:t>/</w:t>
            </w:r>
          </w:p>
        </w:tc>
        <w:tc>
          <w:tcPr>
            <w:tcW w:w="499" w:type="pct"/>
            <w:vAlign w:val="center"/>
          </w:tcPr>
          <w:p w14:paraId="46E8F265">
            <w:pPr>
              <w:spacing w:line="320" w:lineRule="exact"/>
              <w:ind w:left="-53" w:leftChars="-25" w:right="-53" w:rightChars="-25"/>
              <w:jc w:val="center"/>
              <w:rPr>
                <w:snapToGrid w:val="0"/>
                <w:kern w:val="0"/>
                <w:szCs w:val="21"/>
              </w:rPr>
            </w:pPr>
            <w:r>
              <w:rPr>
                <w:rFonts w:hint="eastAsia"/>
                <w:snapToGrid w:val="0"/>
                <w:kern w:val="0"/>
                <w:szCs w:val="21"/>
              </w:rPr>
              <w:t>4.62</w:t>
            </w:r>
          </w:p>
        </w:tc>
        <w:tc>
          <w:tcPr>
            <w:tcW w:w="666" w:type="pct"/>
            <w:shd w:val="clear" w:color="auto" w:fill="auto"/>
            <w:vAlign w:val="center"/>
          </w:tcPr>
          <w:p w14:paraId="7810035E">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2DB05869">
            <w:pPr>
              <w:spacing w:line="320" w:lineRule="exact"/>
              <w:ind w:left="-53" w:leftChars="-25" w:right="-53" w:rightChars="-25"/>
              <w:jc w:val="center"/>
              <w:rPr>
                <w:snapToGrid w:val="0"/>
                <w:kern w:val="0"/>
                <w:szCs w:val="21"/>
              </w:rPr>
            </w:pPr>
            <w:r>
              <w:rPr>
                <w:szCs w:val="21"/>
              </w:rPr>
              <w:t>3.54</w:t>
            </w:r>
          </w:p>
        </w:tc>
        <w:tc>
          <w:tcPr>
            <w:tcW w:w="582" w:type="pct"/>
            <w:shd w:val="clear" w:color="auto" w:fill="auto"/>
            <w:vAlign w:val="center"/>
          </w:tcPr>
          <w:p w14:paraId="0DCF7E29">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068B8A8F">
            <w:pPr>
              <w:spacing w:line="320" w:lineRule="exact"/>
              <w:ind w:left="-53" w:leftChars="-25" w:right="-53" w:rightChars="-25"/>
              <w:jc w:val="center"/>
              <w:rPr>
                <w:snapToGrid w:val="0"/>
                <w:kern w:val="0"/>
                <w:szCs w:val="21"/>
              </w:rPr>
            </w:pPr>
            <w:r>
              <w:rPr>
                <w:szCs w:val="21"/>
              </w:rPr>
              <w:t>4.29</w:t>
            </w:r>
          </w:p>
        </w:tc>
        <w:tc>
          <w:tcPr>
            <w:tcW w:w="614" w:type="pct"/>
            <w:shd w:val="clear" w:color="auto" w:fill="auto"/>
            <w:vAlign w:val="center"/>
          </w:tcPr>
          <w:p w14:paraId="08F2D933">
            <w:pPr>
              <w:spacing w:line="320" w:lineRule="exact"/>
              <w:ind w:left="-53" w:leftChars="-25" w:right="-53" w:rightChars="-25"/>
              <w:jc w:val="center"/>
              <w:rPr>
                <w:snapToGrid w:val="0"/>
                <w:kern w:val="0"/>
                <w:szCs w:val="21"/>
              </w:rPr>
            </w:pPr>
            <w:r>
              <w:rPr>
                <w:szCs w:val="21"/>
              </w:rPr>
              <w:t>/</w:t>
            </w:r>
          </w:p>
        </w:tc>
      </w:tr>
      <w:tr w14:paraId="79AEF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761836F">
            <w:pPr>
              <w:spacing w:line="320" w:lineRule="exact"/>
              <w:ind w:left="-53" w:leftChars="-25" w:right="-53" w:rightChars="-25"/>
              <w:jc w:val="center"/>
              <w:rPr>
                <w:snapToGrid w:val="0"/>
                <w:kern w:val="0"/>
                <w:szCs w:val="21"/>
              </w:rPr>
            </w:pPr>
            <w:r>
              <w:rPr>
                <w:snapToGrid w:val="0"/>
                <w:kern w:val="0"/>
                <w:szCs w:val="21"/>
              </w:rPr>
              <w:t>*钠离子</w:t>
            </w:r>
          </w:p>
        </w:tc>
        <w:tc>
          <w:tcPr>
            <w:tcW w:w="665" w:type="pct"/>
            <w:vAlign w:val="center"/>
          </w:tcPr>
          <w:p w14:paraId="620FC537">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00</w:t>
            </w:r>
          </w:p>
        </w:tc>
        <w:tc>
          <w:tcPr>
            <w:tcW w:w="499" w:type="pct"/>
            <w:vAlign w:val="center"/>
          </w:tcPr>
          <w:p w14:paraId="54B4AACF">
            <w:pPr>
              <w:spacing w:line="320" w:lineRule="exact"/>
              <w:ind w:left="-53" w:leftChars="-25" w:right="-53" w:rightChars="-25"/>
              <w:jc w:val="center"/>
              <w:rPr>
                <w:snapToGrid w:val="0"/>
                <w:kern w:val="0"/>
                <w:szCs w:val="21"/>
              </w:rPr>
            </w:pPr>
            <w:r>
              <w:rPr>
                <w:rFonts w:hint="eastAsia"/>
                <w:snapToGrid w:val="0"/>
                <w:kern w:val="0"/>
                <w:szCs w:val="21"/>
              </w:rPr>
              <w:t>18.2</w:t>
            </w:r>
          </w:p>
        </w:tc>
        <w:tc>
          <w:tcPr>
            <w:tcW w:w="666" w:type="pct"/>
            <w:shd w:val="clear" w:color="auto" w:fill="auto"/>
            <w:vAlign w:val="center"/>
          </w:tcPr>
          <w:p w14:paraId="4C2428A9">
            <w:pPr>
              <w:spacing w:line="320" w:lineRule="exact"/>
              <w:ind w:left="-53" w:leftChars="-25" w:right="-53" w:rightChars="-25"/>
              <w:jc w:val="center"/>
              <w:rPr>
                <w:snapToGrid w:val="0"/>
                <w:kern w:val="0"/>
                <w:szCs w:val="21"/>
              </w:rPr>
            </w:pPr>
            <w:r>
              <w:rPr>
                <w:szCs w:val="21"/>
              </w:rPr>
              <w:t>0.091</w:t>
            </w:r>
          </w:p>
        </w:tc>
        <w:tc>
          <w:tcPr>
            <w:tcW w:w="665" w:type="pct"/>
            <w:shd w:val="clear" w:color="auto" w:fill="auto"/>
            <w:vAlign w:val="center"/>
          </w:tcPr>
          <w:p w14:paraId="4C845F6C">
            <w:pPr>
              <w:spacing w:line="320" w:lineRule="exact"/>
              <w:ind w:left="-53" w:leftChars="-25" w:right="-53" w:rightChars="-25"/>
              <w:jc w:val="center"/>
              <w:rPr>
                <w:snapToGrid w:val="0"/>
                <w:kern w:val="0"/>
                <w:szCs w:val="21"/>
              </w:rPr>
            </w:pPr>
            <w:r>
              <w:rPr>
                <w:szCs w:val="21"/>
              </w:rPr>
              <w:t>18</w:t>
            </w:r>
          </w:p>
        </w:tc>
        <w:tc>
          <w:tcPr>
            <w:tcW w:w="582" w:type="pct"/>
            <w:shd w:val="clear" w:color="auto" w:fill="auto"/>
            <w:vAlign w:val="center"/>
          </w:tcPr>
          <w:p w14:paraId="69A08C49">
            <w:pPr>
              <w:spacing w:line="320" w:lineRule="exact"/>
              <w:ind w:left="-53" w:leftChars="-25" w:right="-53" w:rightChars="-25"/>
              <w:jc w:val="center"/>
              <w:rPr>
                <w:snapToGrid w:val="0"/>
                <w:kern w:val="0"/>
                <w:szCs w:val="21"/>
              </w:rPr>
            </w:pPr>
            <w:r>
              <w:rPr>
                <w:szCs w:val="21"/>
              </w:rPr>
              <w:t>0.09</w:t>
            </w:r>
          </w:p>
        </w:tc>
        <w:tc>
          <w:tcPr>
            <w:tcW w:w="498" w:type="pct"/>
            <w:shd w:val="clear" w:color="auto" w:fill="auto"/>
            <w:vAlign w:val="center"/>
          </w:tcPr>
          <w:p w14:paraId="47C6AE67">
            <w:pPr>
              <w:spacing w:line="320" w:lineRule="exact"/>
              <w:ind w:left="-53" w:leftChars="-25" w:right="-53" w:rightChars="-25"/>
              <w:jc w:val="center"/>
              <w:rPr>
                <w:snapToGrid w:val="0"/>
                <w:kern w:val="0"/>
                <w:szCs w:val="21"/>
              </w:rPr>
            </w:pPr>
            <w:r>
              <w:rPr>
                <w:szCs w:val="21"/>
              </w:rPr>
              <w:t>18</w:t>
            </w:r>
          </w:p>
        </w:tc>
        <w:tc>
          <w:tcPr>
            <w:tcW w:w="614" w:type="pct"/>
            <w:shd w:val="clear" w:color="auto" w:fill="auto"/>
            <w:vAlign w:val="center"/>
          </w:tcPr>
          <w:p w14:paraId="5D5B0771">
            <w:pPr>
              <w:spacing w:line="320" w:lineRule="exact"/>
              <w:ind w:left="-53" w:leftChars="-25" w:right="-53" w:rightChars="-25"/>
              <w:jc w:val="center"/>
              <w:rPr>
                <w:snapToGrid w:val="0"/>
                <w:kern w:val="0"/>
                <w:szCs w:val="21"/>
              </w:rPr>
            </w:pPr>
            <w:r>
              <w:rPr>
                <w:szCs w:val="21"/>
              </w:rPr>
              <w:t xml:space="preserve">0.09 </w:t>
            </w:r>
          </w:p>
        </w:tc>
      </w:tr>
      <w:tr w14:paraId="55F55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4EFA88F">
            <w:pPr>
              <w:spacing w:line="320" w:lineRule="exact"/>
              <w:ind w:left="-53" w:leftChars="-25" w:right="-53" w:rightChars="-25"/>
              <w:jc w:val="center"/>
              <w:rPr>
                <w:snapToGrid w:val="0"/>
                <w:kern w:val="0"/>
                <w:szCs w:val="21"/>
              </w:rPr>
            </w:pPr>
            <w:r>
              <w:rPr>
                <w:snapToGrid w:val="0"/>
                <w:kern w:val="0"/>
                <w:szCs w:val="21"/>
              </w:rPr>
              <w:t>*钙离子</w:t>
            </w:r>
          </w:p>
        </w:tc>
        <w:tc>
          <w:tcPr>
            <w:tcW w:w="665" w:type="pct"/>
            <w:vAlign w:val="center"/>
          </w:tcPr>
          <w:p w14:paraId="5193DF33">
            <w:pPr>
              <w:spacing w:line="320" w:lineRule="exact"/>
              <w:ind w:left="-53" w:leftChars="-25" w:right="-53" w:rightChars="-25"/>
              <w:jc w:val="center"/>
              <w:rPr>
                <w:snapToGrid w:val="0"/>
                <w:kern w:val="0"/>
                <w:szCs w:val="21"/>
              </w:rPr>
            </w:pPr>
            <w:r>
              <w:rPr>
                <w:rFonts w:hint="eastAsia"/>
                <w:snapToGrid w:val="0"/>
                <w:kern w:val="0"/>
                <w:szCs w:val="21"/>
              </w:rPr>
              <w:t>/</w:t>
            </w:r>
          </w:p>
        </w:tc>
        <w:tc>
          <w:tcPr>
            <w:tcW w:w="499" w:type="pct"/>
            <w:vAlign w:val="center"/>
          </w:tcPr>
          <w:p w14:paraId="3EB54613">
            <w:pPr>
              <w:spacing w:line="320" w:lineRule="exact"/>
              <w:ind w:left="-53" w:leftChars="-25" w:right="-53" w:rightChars="-25"/>
              <w:jc w:val="center"/>
              <w:rPr>
                <w:snapToGrid w:val="0"/>
                <w:kern w:val="0"/>
                <w:szCs w:val="21"/>
              </w:rPr>
            </w:pPr>
            <w:r>
              <w:rPr>
                <w:rFonts w:hint="eastAsia"/>
                <w:snapToGrid w:val="0"/>
                <w:kern w:val="0"/>
                <w:szCs w:val="21"/>
              </w:rPr>
              <w:t>61.0</w:t>
            </w:r>
          </w:p>
        </w:tc>
        <w:tc>
          <w:tcPr>
            <w:tcW w:w="666" w:type="pct"/>
            <w:shd w:val="clear" w:color="auto" w:fill="auto"/>
            <w:vAlign w:val="center"/>
          </w:tcPr>
          <w:p w14:paraId="713B3B7E">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3C3BD485">
            <w:pPr>
              <w:spacing w:line="320" w:lineRule="exact"/>
              <w:ind w:left="-53" w:leftChars="-25" w:right="-53" w:rightChars="-25"/>
              <w:jc w:val="center"/>
              <w:rPr>
                <w:snapToGrid w:val="0"/>
                <w:kern w:val="0"/>
                <w:szCs w:val="21"/>
              </w:rPr>
            </w:pPr>
            <w:r>
              <w:rPr>
                <w:szCs w:val="21"/>
              </w:rPr>
              <w:t>55.2</w:t>
            </w:r>
          </w:p>
        </w:tc>
        <w:tc>
          <w:tcPr>
            <w:tcW w:w="582" w:type="pct"/>
            <w:shd w:val="clear" w:color="auto" w:fill="auto"/>
            <w:vAlign w:val="center"/>
          </w:tcPr>
          <w:p w14:paraId="6B37CB01">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33DAFED9">
            <w:pPr>
              <w:spacing w:line="320" w:lineRule="exact"/>
              <w:ind w:left="-53" w:leftChars="-25" w:right="-53" w:rightChars="-25"/>
              <w:jc w:val="center"/>
              <w:rPr>
                <w:snapToGrid w:val="0"/>
                <w:kern w:val="0"/>
                <w:szCs w:val="21"/>
              </w:rPr>
            </w:pPr>
            <w:r>
              <w:rPr>
                <w:szCs w:val="21"/>
              </w:rPr>
              <w:t>36.8</w:t>
            </w:r>
          </w:p>
        </w:tc>
        <w:tc>
          <w:tcPr>
            <w:tcW w:w="614" w:type="pct"/>
            <w:shd w:val="clear" w:color="auto" w:fill="auto"/>
            <w:vAlign w:val="center"/>
          </w:tcPr>
          <w:p w14:paraId="1C75F28B">
            <w:pPr>
              <w:spacing w:line="320" w:lineRule="exact"/>
              <w:ind w:left="-53" w:leftChars="-25" w:right="-53" w:rightChars="-25"/>
              <w:jc w:val="center"/>
              <w:rPr>
                <w:snapToGrid w:val="0"/>
                <w:kern w:val="0"/>
                <w:szCs w:val="21"/>
              </w:rPr>
            </w:pPr>
            <w:r>
              <w:rPr>
                <w:szCs w:val="21"/>
              </w:rPr>
              <w:t>/</w:t>
            </w:r>
          </w:p>
        </w:tc>
      </w:tr>
      <w:tr w14:paraId="3984E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4E78B987">
            <w:pPr>
              <w:spacing w:line="320" w:lineRule="exact"/>
              <w:ind w:left="-53" w:leftChars="-25" w:right="-53" w:rightChars="-25"/>
              <w:jc w:val="center"/>
              <w:rPr>
                <w:snapToGrid w:val="0"/>
                <w:kern w:val="0"/>
                <w:szCs w:val="21"/>
              </w:rPr>
            </w:pPr>
            <w:r>
              <w:rPr>
                <w:snapToGrid w:val="0"/>
                <w:kern w:val="0"/>
                <w:szCs w:val="21"/>
              </w:rPr>
              <w:t>*镁离子</w:t>
            </w:r>
          </w:p>
        </w:tc>
        <w:tc>
          <w:tcPr>
            <w:tcW w:w="665" w:type="pct"/>
            <w:vAlign w:val="center"/>
          </w:tcPr>
          <w:p w14:paraId="4ECEA289">
            <w:pPr>
              <w:spacing w:line="320" w:lineRule="exact"/>
              <w:ind w:left="-53" w:leftChars="-25" w:right="-53" w:rightChars="-25"/>
              <w:jc w:val="center"/>
              <w:rPr>
                <w:snapToGrid w:val="0"/>
                <w:kern w:val="0"/>
                <w:szCs w:val="21"/>
              </w:rPr>
            </w:pPr>
            <w:r>
              <w:rPr>
                <w:rFonts w:hint="eastAsia"/>
                <w:snapToGrid w:val="0"/>
                <w:kern w:val="0"/>
                <w:szCs w:val="21"/>
              </w:rPr>
              <w:t>/</w:t>
            </w:r>
          </w:p>
        </w:tc>
        <w:tc>
          <w:tcPr>
            <w:tcW w:w="499" w:type="pct"/>
            <w:vAlign w:val="center"/>
          </w:tcPr>
          <w:p w14:paraId="0A862A40">
            <w:pPr>
              <w:spacing w:line="320" w:lineRule="exact"/>
              <w:ind w:left="-53" w:leftChars="-25" w:right="-53" w:rightChars="-25"/>
              <w:jc w:val="center"/>
              <w:rPr>
                <w:snapToGrid w:val="0"/>
                <w:kern w:val="0"/>
                <w:szCs w:val="21"/>
              </w:rPr>
            </w:pPr>
            <w:r>
              <w:rPr>
                <w:rFonts w:hint="eastAsia"/>
                <w:snapToGrid w:val="0"/>
                <w:kern w:val="0"/>
                <w:szCs w:val="21"/>
              </w:rPr>
              <w:t>39.6</w:t>
            </w:r>
          </w:p>
        </w:tc>
        <w:tc>
          <w:tcPr>
            <w:tcW w:w="666" w:type="pct"/>
            <w:shd w:val="clear" w:color="auto" w:fill="auto"/>
            <w:vAlign w:val="center"/>
          </w:tcPr>
          <w:p w14:paraId="61199603">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42E05616">
            <w:pPr>
              <w:spacing w:line="320" w:lineRule="exact"/>
              <w:ind w:left="-53" w:leftChars="-25" w:right="-53" w:rightChars="-25"/>
              <w:jc w:val="center"/>
              <w:rPr>
                <w:snapToGrid w:val="0"/>
                <w:kern w:val="0"/>
                <w:szCs w:val="21"/>
              </w:rPr>
            </w:pPr>
            <w:r>
              <w:rPr>
                <w:szCs w:val="21"/>
              </w:rPr>
              <w:t>21.4</w:t>
            </w:r>
          </w:p>
        </w:tc>
        <w:tc>
          <w:tcPr>
            <w:tcW w:w="582" w:type="pct"/>
            <w:shd w:val="clear" w:color="auto" w:fill="auto"/>
            <w:vAlign w:val="center"/>
          </w:tcPr>
          <w:p w14:paraId="0644305C">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363483C9">
            <w:pPr>
              <w:spacing w:line="320" w:lineRule="exact"/>
              <w:ind w:left="-53" w:leftChars="-25" w:right="-53" w:rightChars="-25"/>
              <w:jc w:val="center"/>
              <w:rPr>
                <w:snapToGrid w:val="0"/>
                <w:kern w:val="0"/>
                <w:szCs w:val="21"/>
              </w:rPr>
            </w:pPr>
            <w:r>
              <w:rPr>
                <w:szCs w:val="21"/>
              </w:rPr>
              <w:t>29.4</w:t>
            </w:r>
          </w:p>
        </w:tc>
        <w:tc>
          <w:tcPr>
            <w:tcW w:w="614" w:type="pct"/>
            <w:shd w:val="clear" w:color="auto" w:fill="auto"/>
            <w:vAlign w:val="center"/>
          </w:tcPr>
          <w:p w14:paraId="5B5215E3">
            <w:pPr>
              <w:spacing w:line="320" w:lineRule="exact"/>
              <w:ind w:left="-53" w:leftChars="-25" w:right="-53" w:rightChars="-25"/>
              <w:jc w:val="center"/>
              <w:rPr>
                <w:snapToGrid w:val="0"/>
                <w:kern w:val="0"/>
                <w:szCs w:val="21"/>
              </w:rPr>
            </w:pPr>
            <w:r>
              <w:rPr>
                <w:szCs w:val="21"/>
              </w:rPr>
              <w:t>/</w:t>
            </w:r>
          </w:p>
        </w:tc>
      </w:tr>
      <w:tr w14:paraId="5C7D2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7B6C45EA">
            <w:pPr>
              <w:spacing w:line="320" w:lineRule="exact"/>
              <w:ind w:left="-53" w:leftChars="-25" w:right="-53" w:rightChars="-25"/>
              <w:jc w:val="center"/>
              <w:rPr>
                <w:snapToGrid w:val="0"/>
                <w:kern w:val="0"/>
                <w:szCs w:val="21"/>
              </w:rPr>
            </w:pPr>
            <w:r>
              <w:rPr>
                <w:snapToGrid w:val="0"/>
                <w:kern w:val="0"/>
                <w:szCs w:val="21"/>
              </w:rPr>
              <w:t>碳酸根</w:t>
            </w:r>
          </w:p>
        </w:tc>
        <w:tc>
          <w:tcPr>
            <w:tcW w:w="665" w:type="pct"/>
            <w:vAlign w:val="center"/>
          </w:tcPr>
          <w:p w14:paraId="5FAE95D3">
            <w:pPr>
              <w:spacing w:line="320" w:lineRule="exact"/>
              <w:ind w:left="-53" w:leftChars="-25" w:right="-53" w:rightChars="-25"/>
              <w:jc w:val="center"/>
              <w:rPr>
                <w:snapToGrid w:val="0"/>
                <w:kern w:val="0"/>
                <w:szCs w:val="21"/>
              </w:rPr>
            </w:pPr>
            <w:r>
              <w:rPr>
                <w:rFonts w:hint="eastAsia"/>
                <w:snapToGrid w:val="0"/>
                <w:kern w:val="0"/>
                <w:szCs w:val="21"/>
              </w:rPr>
              <w:t>/</w:t>
            </w:r>
          </w:p>
        </w:tc>
        <w:tc>
          <w:tcPr>
            <w:tcW w:w="499" w:type="pct"/>
            <w:vAlign w:val="center"/>
          </w:tcPr>
          <w:p w14:paraId="5A42C19D">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33D36343">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74DE0417">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3EC4B288">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56D540BF">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61604DDB">
            <w:pPr>
              <w:spacing w:line="320" w:lineRule="exact"/>
              <w:ind w:left="-53" w:leftChars="-25" w:right="-53" w:rightChars="-25"/>
              <w:jc w:val="center"/>
              <w:rPr>
                <w:snapToGrid w:val="0"/>
                <w:kern w:val="0"/>
                <w:szCs w:val="21"/>
              </w:rPr>
            </w:pPr>
            <w:r>
              <w:rPr>
                <w:szCs w:val="21"/>
              </w:rPr>
              <w:t>/</w:t>
            </w:r>
          </w:p>
        </w:tc>
      </w:tr>
      <w:tr w14:paraId="275CC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2350F27F">
            <w:pPr>
              <w:spacing w:line="320" w:lineRule="exact"/>
              <w:ind w:left="-53" w:leftChars="-25" w:right="-53" w:rightChars="-25"/>
              <w:jc w:val="center"/>
              <w:rPr>
                <w:snapToGrid w:val="0"/>
                <w:kern w:val="0"/>
                <w:szCs w:val="21"/>
              </w:rPr>
            </w:pPr>
            <w:r>
              <w:rPr>
                <w:rFonts w:hint="eastAsia"/>
                <w:snapToGrid w:val="0"/>
                <w:kern w:val="0"/>
                <w:szCs w:val="21"/>
              </w:rPr>
              <w:t>碳酸氢根</w:t>
            </w:r>
          </w:p>
        </w:tc>
        <w:tc>
          <w:tcPr>
            <w:tcW w:w="665" w:type="pct"/>
            <w:vAlign w:val="center"/>
          </w:tcPr>
          <w:p w14:paraId="1D26CD40">
            <w:pPr>
              <w:spacing w:line="320" w:lineRule="exact"/>
              <w:ind w:left="-53" w:leftChars="-25" w:right="-53" w:rightChars="-25"/>
              <w:jc w:val="center"/>
              <w:rPr>
                <w:snapToGrid w:val="0"/>
                <w:kern w:val="0"/>
                <w:szCs w:val="21"/>
              </w:rPr>
            </w:pPr>
            <w:r>
              <w:rPr>
                <w:rFonts w:hint="eastAsia"/>
                <w:snapToGrid w:val="0"/>
                <w:kern w:val="0"/>
                <w:szCs w:val="21"/>
              </w:rPr>
              <w:t>/</w:t>
            </w:r>
          </w:p>
        </w:tc>
        <w:tc>
          <w:tcPr>
            <w:tcW w:w="499" w:type="pct"/>
            <w:vAlign w:val="center"/>
          </w:tcPr>
          <w:p w14:paraId="062696BB">
            <w:pPr>
              <w:spacing w:line="320" w:lineRule="exact"/>
              <w:ind w:left="-53" w:leftChars="-25" w:right="-53" w:rightChars="-25"/>
              <w:jc w:val="center"/>
              <w:rPr>
                <w:snapToGrid w:val="0"/>
                <w:kern w:val="0"/>
                <w:szCs w:val="21"/>
              </w:rPr>
            </w:pPr>
            <w:r>
              <w:rPr>
                <w:rFonts w:hint="eastAsia"/>
                <w:snapToGrid w:val="0"/>
                <w:kern w:val="0"/>
                <w:szCs w:val="21"/>
              </w:rPr>
              <w:t>434</w:t>
            </w:r>
          </w:p>
        </w:tc>
        <w:tc>
          <w:tcPr>
            <w:tcW w:w="666" w:type="pct"/>
            <w:shd w:val="clear" w:color="auto" w:fill="auto"/>
            <w:vAlign w:val="center"/>
          </w:tcPr>
          <w:p w14:paraId="141473F7">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35ECA257">
            <w:pPr>
              <w:spacing w:line="320" w:lineRule="exact"/>
              <w:ind w:left="-53" w:leftChars="-25" w:right="-53" w:rightChars="-25"/>
              <w:jc w:val="center"/>
              <w:rPr>
                <w:snapToGrid w:val="0"/>
                <w:kern w:val="0"/>
                <w:szCs w:val="21"/>
              </w:rPr>
            </w:pPr>
            <w:r>
              <w:rPr>
                <w:szCs w:val="21"/>
              </w:rPr>
              <w:t>441</w:t>
            </w:r>
          </w:p>
        </w:tc>
        <w:tc>
          <w:tcPr>
            <w:tcW w:w="582" w:type="pct"/>
            <w:shd w:val="clear" w:color="auto" w:fill="auto"/>
            <w:vAlign w:val="center"/>
          </w:tcPr>
          <w:p w14:paraId="221C897D">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2779B656">
            <w:pPr>
              <w:spacing w:line="320" w:lineRule="exact"/>
              <w:ind w:left="-53" w:leftChars="-25" w:right="-53" w:rightChars="-25"/>
              <w:jc w:val="center"/>
              <w:rPr>
                <w:snapToGrid w:val="0"/>
                <w:kern w:val="0"/>
                <w:szCs w:val="21"/>
              </w:rPr>
            </w:pPr>
            <w:r>
              <w:rPr>
                <w:szCs w:val="21"/>
              </w:rPr>
              <w:t>459</w:t>
            </w:r>
          </w:p>
        </w:tc>
        <w:tc>
          <w:tcPr>
            <w:tcW w:w="614" w:type="pct"/>
            <w:shd w:val="clear" w:color="auto" w:fill="auto"/>
            <w:vAlign w:val="center"/>
          </w:tcPr>
          <w:p w14:paraId="655BD8B3">
            <w:pPr>
              <w:spacing w:line="320" w:lineRule="exact"/>
              <w:ind w:left="-53" w:leftChars="-25" w:right="-53" w:rightChars="-25"/>
              <w:jc w:val="center"/>
              <w:rPr>
                <w:snapToGrid w:val="0"/>
                <w:kern w:val="0"/>
                <w:szCs w:val="21"/>
              </w:rPr>
            </w:pPr>
            <w:r>
              <w:rPr>
                <w:szCs w:val="21"/>
              </w:rPr>
              <w:t>/</w:t>
            </w:r>
          </w:p>
        </w:tc>
      </w:tr>
      <w:tr w14:paraId="754BA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7AD1ED1">
            <w:pPr>
              <w:spacing w:line="320" w:lineRule="exact"/>
              <w:ind w:left="-53" w:leftChars="-25" w:right="-53" w:rightChars="-25"/>
              <w:jc w:val="center"/>
              <w:rPr>
                <w:snapToGrid w:val="0"/>
                <w:kern w:val="0"/>
                <w:szCs w:val="21"/>
              </w:rPr>
            </w:pPr>
            <w:r>
              <w:rPr>
                <w:snapToGrid w:val="0"/>
                <w:kern w:val="0"/>
                <w:szCs w:val="21"/>
              </w:rPr>
              <w:t>pH值</w:t>
            </w:r>
          </w:p>
        </w:tc>
        <w:tc>
          <w:tcPr>
            <w:tcW w:w="665" w:type="pct"/>
            <w:vAlign w:val="center"/>
          </w:tcPr>
          <w:p w14:paraId="041CBA1D">
            <w:pPr>
              <w:spacing w:line="320" w:lineRule="exact"/>
              <w:ind w:left="-53" w:leftChars="-25" w:right="-53" w:rightChars="-25"/>
              <w:jc w:val="center"/>
              <w:rPr>
                <w:snapToGrid w:val="0"/>
                <w:kern w:val="0"/>
                <w:szCs w:val="21"/>
              </w:rPr>
            </w:pPr>
            <w:r>
              <w:rPr>
                <w:rFonts w:hint="eastAsia"/>
                <w:snapToGrid w:val="0"/>
                <w:kern w:val="0"/>
                <w:szCs w:val="21"/>
              </w:rPr>
              <w:t>6.</w:t>
            </w:r>
            <w:r>
              <w:rPr>
                <w:snapToGrid w:val="0"/>
                <w:kern w:val="0"/>
                <w:szCs w:val="21"/>
              </w:rPr>
              <w:t>5</w:t>
            </w:r>
            <w:r>
              <w:rPr>
                <w:rFonts w:hint="eastAsia"/>
                <w:snapToGrid w:val="0"/>
                <w:kern w:val="0"/>
                <w:szCs w:val="21"/>
              </w:rPr>
              <w:t>~</w:t>
            </w:r>
            <w:r>
              <w:rPr>
                <w:snapToGrid w:val="0"/>
                <w:kern w:val="0"/>
                <w:szCs w:val="21"/>
              </w:rPr>
              <w:t>8.5</w:t>
            </w:r>
          </w:p>
        </w:tc>
        <w:tc>
          <w:tcPr>
            <w:tcW w:w="499" w:type="pct"/>
            <w:vAlign w:val="center"/>
          </w:tcPr>
          <w:p w14:paraId="312E22C9">
            <w:pPr>
              <w:spacing w:line="320" w:lineRule="exact"/>
              <w:ind w:left="-53" w:leftChars="-25" w:right="-53" w:rightChars="-25"/>
              <w:jc w:val="center"/>
              <w:rPr>
                <w:snapToGrid w:val="0"/>
                <w:kern w:val="0"/>
                <w:szCs w:val="21"/>
              </w:rPr>
            </w:pPr>
            <w:r>
              <w:rPr>
                <w:rFonts w:hint="eastAsia"/>
                <w:snapToGrid w:val="0"/>
                <w:kern w:val="0"/>
                <w:szCs w:val="21"/>
              </w:rPr>
              <w:t>7.2</w:t>
            </w:r>
          </w:p>
        </w:tc>
        <w:tc>
          <w:tcPr>
            <w:tcW w:w="666" w:type="pct"/>
            <w:shd w:val="clear" w:color="auto" w:fill="auto"/>
            <w:vAlign w:val="center"/>
          </w:tcPr>
          <w:p w14:paraId="6847C494">
            <w:pPr>
              <w:spacing w:line="320" w:lineRule="exact"/>
              <w:ind w:left="-53" w:leftChars="-25" w:right="-53" w:rightChars="-25"/>
              <w:jc w:val="center"/>
              <w:rPr>
                <w:snapToGrid w:val="0"/>
                <w:kern w:val="0"/>
                <w:szCs w:val="21"/>
              </w:rPr>
            </w:pPr>
            <w:r>
              <w:rPr>
                <w:szCs w:val="21"/>
              </w:rPr>
              <w:t xml:space="preserve">0.13 </w:t>
            </w:r>
          </w:p>
        </w:tc>
        <w:tc>
          <w:tcPr>
            <w:tcW w:w="665" w:type="pct"/>
            <w:shd w:val="clear" w:color="auto" w:fill="auto"/>
            <w:vAlign w:val="center"/>
          </w:tcPr>
          <w:p w14:paraId="0C879570">
            <w:pPr>
              <w:spacing w:line="320" w:lineRule="exact"/>
              <w:ind w:left="-53" w:leftChars="-25" w:right="-53" w:rightChars="-25"/>
              <w:jc w:val="center"/>
              <w:rPr>
                <w:snapToGrid w:val="0"/>
                <w:kern w:val="0"/>
                <w:szCs w:val="21"/>
              </w:rPr>
            </w:pPr>
            <w:r>
              <w:rPr>
                <w:szCs w:val="21"/>
              </w:rPr>
              <w:t>7.4</w:t>
            </w:r>
          </w:p>
        </w:tc>
        <w:tc>
          <w:tcPr>
            <w:tcW w:w="582" w:type="pct"/>
            <w:shd w:val="clear" w:color="auto" w:fill="auto"/>
            <w:vAlign w:val="center"/>
          </w:tcPr>
          <w:p w14:paraId="084D7C6D">
            <w:pPr>
              <w:spacing w:line="320" w:lineRule="exact"/>
              <w:ind w:left="-53" w:leftChars="-25" w:right="-53" w:rightChars="-25"/>
              <w:jc w:val="center"/>
              <w:rPr>
                <w:snapToGrid w:val="0"/>
                <w:kern w:val="0"/>
                <w:szCs w:val="21"/>
              </w:rPr>
            </w:pPr>
            <w:r>
              <w:rPr>
                <w:szCs w:val="21"/>
              </w:rPr>
              <w:t xml:space="preserve">0.27 </w:t>
            </w:r>
          </w:p>
        </w:tc>
        <w:tc>
          <w:tcPr>
            <w:tcW w:w="498" w:type="pct"/>
            <w:shd w:val="clear" w:color="auto" w:fill="auto"/>
            <w:vAlign w:val="center"/>
          </w:tcPr>
          <w:p w14:paraId="56061AF4">
            <w:pPr>
              <w:spacing w:line="320" w:lineRule="exact"/>
              <w:ind w:left="-53" w:leftChars="-25" w:right="-53" w:rightChars="-25"/>
              <w:jc w:val="center"/>
              <w:rPr>
                <w:snapToGrid w:val="0"/>
                <w:kern w:val="0"/>
                <w:szCs w:val="21"/>
              </w:rPr>
            </w:pPr>
            <w:r>
              <w:rPr>
                <w:szCs w:val="21"/>
              </w:rPr>
              <w:t>7.6</w:t>
            </w:r>
          </w:p>
        </w:tc>
        <w:tc>
          <w:tcPr>
            <w:tcW w:w="614" w:type="pct"/>
            <w:shd w:val="clear" w:color="auto" w:fill="auto"/>
            <w:vAlign w:val="center"/>
          </w:tcPr>
          <w:p w14:paraId="1353F560">
            <w:pPr>
              <w:spacing w:line="320" w:lineRule="exact"/>
              <w:ind w:left="-53" w:leftChars="-25" w:right="-53" w:rightChars="-25"/>
              <w:jc w:val="center"/>
              <w:rPr>
                <w:snapToGrid w:val="0"/>
                <w:kern w:val="0"/>
                <w:szCs w:val="21"/>
              </w:rPr>
            </w:pPr>
            <w:r>
              <w:rPr>
                <w:szCs w:val="21"/>
              </w:rPr>
              <w:t xml:space="preserve">0.40 </w:t>
            </w:r>
          </w:p>
        </w:tc>
      </w:tr>
      <w:tr w14:paraId="735FE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5F45C04E">
            <w:pPr>
              <w:spacing w:line="320" w:lineRule="exact"/>
              <w:ind w:left="-53" w:leftChars="-25" w:right="-53" w:rightChars="-25"/>
              <w:jc w:val="center"/>
              <w:rPr>
                <w:snapToGrid w:val="0"/>
                <w:kern w:val="0"/>
                <w:szCs w:val="21"/>
              </w:rPr>
            </w:pPr>
            <w:r>
              <w:rPr>
                <w:snapToGrid w:val="0"/>
                <w:kern w:val="0"/>
                <w:szCs w:val="21"/>
              </w:rPr>
              <w:t>氨氮</w:t>
            </w:r>
          </w:p>
        </w:tc>
        <w:tc>
          <w:tcPr>
            <w:tcW w:w="665" w:type="pct"/>
            <w:vAlign w:val="center"/>
          </w:tcPr>
          <w:p w14:paraId="6100CFD6">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.5</w:t>
            </w:r>
          </w:p>
        </w:tc>
        <w:tc>
          <w:tcPr>
            <w:tcW w:w="499" w:type="pct"/>
            <w:vAlign w:val="center"/>
          </w:tcPr>
          <w:p w14:paraId="3B9512DF">
            <w:pPr>
              <w:spacing w:line="320" w:lineRule="exact"/>
              <w:ind w:left="-53" w:leftChars="-25" w:right="-53" w:rightChars="-25"/>
              <w:jc w:val="center"/>
              <w:rPr>
                <w:snapToGrid w:val="0"/>
                <w:kern w:val="0"/>
                <w:szCs w:val="21"/>
              </w:rPr>
            </w:pPr>
            <w:r>
              <w:rPr>
                <w:rFonts w:hint="eastAsia"/>
                <w:snapToGrid w:val="0"/>
                <w:kern w:val="0"/>
                <w:szCs w:val="21"/>
              </w:rPr>
              <w:t>0.151</w:t>
            </w:r>
          </w:p>
        </w:tc>
        <w:tc>
          <w:tcPr>
            <w:tcW w:w="666" w:type="pct"/>
            <w:shd w:val="clear" w:color="auto" w:fill="auto"/>
            <w:vAlign w:val="center"/>
          </w:tcPr>
          <w:p w14:paraId="37C20D9E">
            <w:pPr>
              <w:spacing w:line="320" w:lineRule="exact"/>
              <w:ind w:left="-53" w:leftChars="-25" w:right="-53" w:rightChars="-25"/>
              <w:jc w:val="center"/>
              <w:rPr>
                <w:snapToGrid w:val="0"/>
                <w:kern w:val="0"/>
                <w:szCs w:val="21"/>
              </w:rPr>
            </w:pPr>
            <w:r>
              <w:rPr>
                <w:szCs w:val="21"/>
              </w:rPr>
              <w:t xml:space="preserve">0.30 </w:t>
            </w:r>
          </w:p>
        </w:tc>
        <w:tc>
          <w:tcPr>
            <w:tcW w:w="665" w:type="pct"/>
            <w:shd w:val="clear" w:color="auto" w:fill="auto"/>
            <w:vAlign w:val="center"/>
          </w:tcPr>
          <w:p w14:paraId="132A0D50">
            <w:pPr>
              <w:spacing w:line="320" w:lineRule="exact"/>
              <w:ind w:left="-53" w:leftChars="-25" w:right="-53" w:rightChars="-25"/>
              <w:jc w:val="center"/>
              <w:rPr>
                <w:snapToGrid w:val="0"/>
                <w:kern w:val="0"/>
                <w:szCs w:val="21"/>
              </w:rPr>
            </w:pPr>
            <w:r>
              <w:rPr>
                <w:szCs w:val="21"/>
              </w:rPr>
              <w:t>0.095</w:t>
            </w:r>
          </w:p>
        </w:tc>
        <w:tc>
          <w:tcPr>
            <w:tcW w:w="582" w:type="pct"/>
            <w:shd w:val="clear" w:color="auto" w:fill="auto"/>
            <w:vAlign w:val="center"/>
          </w:tcPr>
          <w:p w14:paraId="44D51AA3">
            <w:pPr>
              <w:spacing w:line="320" w:lineRule="exact"/>
              <w:ind w:left="-53" w:leftChars="-25" w:right="-53" w:rightChars="-25"/>
              <w:jc w:val="center"/>
              <w:rPr>
                <w:snapToGrid w:val="0"/>
                <w:kern w:val="0"/>
                <w:szCs w:val="21"/>
              </w:rPr>
            </w:pPr>
            <w:r>
              <w:rPr>
                <w:szCs w:val="21"/>
              </w:rPr>
              <w:t>0.19</w:t>
            </w:r>
          </w:p>
        </w:tc>
        <w:tc>
          <w:tcPr>
            <w:tcW w:w="498" w:type="pct"/>
            <w:shd w:val="clear" w:color="auto" w:fill="auto"/>
            <w:vAlign w:val="center"/>
          </w:tcPr>
          <w:p w14:paraId="6C0278C2">
            <w:pPr>
              <w:spacing w:line="320" w:lineRule="exact"/>
              <w:ind w:left="-53" w:leftChars="-25" w:right="-53" w:rightChars="-25"/>
              <w:jc w:val="center"/>
              <w:rPr>
                <w:snapToGrid w:val="0"/>
                <w:kern w:val="0"/>
                <w:szCs w:val="21"/>
              </w:rPr>
            </w:pPr>
            <w:r>
              <w:rPr>
                <w:szCs w:val="21"/>
              </w:rPr>
              <w:t>0.047</w:t>
            </w:r>
          </w:p>
        </w:tc>
        <w:tc>
          <w:tcPr>
            <w:tcW w:w="614" w:type="pct"/>
            <w:shd w:val="clear" w:color="auto" w:fill="auto"/>
            <w:vAlign w:val="center"/>
          </w:tcPr>
          <w:p w14:paraId="0F461190">
            <w:pPr>
              <w:spacing w:line="320" w:lineRule="exact"/>
              <w:ind w:left="-53" w:leftChars="-25" w:right="-53" w:rightChars="-25"/>
              <w:jc w:val="center"/>
              <w:rPr>
                <w:snapToGrid w:val="0"/>
                <w:kern w:val="0"/>
                <w:szCs w:val="21"/>
              </w:rPr>
            </w:pPr>
            <w:r>
              <w:rPr>
                <w:szCs w:val="21"/>
              </w:rPr>
              <w:t xml:space="preserve">0.09 </w:t>
            </w:r>
          </w:p>
        </w:tc>
      </w:tr>
      <w:tr w14:paraId="21B449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2AB06D11">
            <w:pPr>
              <w:spacing w:line="320" w:lineRule="exact"/>
              <w:ind w:left="-53" w:leftChars="-25" w:right="-53" w:rightChars="-25"/>
              <w:jc w:val="center"/>
              <w:rPr>
                <w:snapToGrid w:val="0"/>
                <w:kern w:val="0"/>
                <w:szCs w:val="21"/>
              </w:rPr>
            </w:pPr>
            <w:r>
              <w:rPr>
                <w:snapToGrid w:val="0"/>
                <w:kern w:val="0"/>
                <w:szCs w:val="21"/>
              </w:rPr>
              <w:t>亚硝酸盐</w:t>
            </w:r>
          </w:p>
        </w:tc>
        <w:tc>
          <w:tcPr>
            <w:tcW w:w="665" w:type="pct"/>
            <w:vAlign w:val="center"/>
          </w:tcPr>
          <w:p w14:paraId="1FE0FBEA">
            <w:pPr>
              <w:spacing w:line="320" w:lineRule="exact"/>
              <w:ind w:left="-53" w:leftChars="-25" w:right="-53" w:rightChars="-25"/>
              <w:jc w:val="center"/>
              <w:rPr>
                <w:snapToGrid w:val="0"/>
                <w:kern w:val="0"/>
                <w:szCs w:val="21"/>
              </w:rPr>
            </w:pPr>
            <w:r>
              <w:rPr>
                <w:rFonts w:hint="eastAsia"/>
                <w:snapToGrid w:val="0"/>
                <w:kern w:val="0"/>
                <w:szCs w:val="21"/>
              </w:rPr>
              <w:t>1</w:t>
            </w:r>
          </w:p>
        </w:tc>
        <w:tc>
          <w:tcPr>
            <w:tcW w:w="499" w:type="pct"/>
            <w:vAlign w:val="center"/>
          </w:tcPr>
          <w:p w14:paraId="5C1C26AC">
            <w:pPr>
              <w:spacing w:line="320" w:lineRule="exact"/>
              <w:ind w:left="-53" w:leftChars="-25" w:right="-53" w:rightChars="-25"/>
              <w:jc w:val="center"/>
              <w:rPr>
                <w:snapToGrid w:val="0"/>
                <w:kern w:val="0"/>
                <w:szCs w:val="21"/>
              </w:rPr>
            </w:pPr>
            <w:r>
              <w:rPr>
                <w:rFonts w:hint="eastAsia"/>
                <w:snapToGrid w:val="0"/>
                <w:kern w:val="0"/>
                <w:szCs w:val="21"/>
              </w:rPr>
              <w:t>0.010</w:t>
            </w:r>
          </w:p>
        </w:tc>
        <w:tc>
          <w:tcPr>
            <w:tcW w:w="666" w:type="pct"/>
            <w:shd w:val="clear" w:color="auto" w:fill="auto"/>
            <w:vAlign w:val="center"/>
          </w:tcPr>
          <w:p w14:paraId="57229D2C">
            <w:pPr>
              <w:spacing w:line="320" w:lineRule="exact"/>
              <w:ind w:left="-53" w:leftChars="-25" w:right="-53" w:rightChars="-25"/>
              <w:jc w:val="center"/>
              <w:rPr>
                <w:snapToGrid w:val="0"/>
                <w:kern w:val="0"/>
                <w:szCs w:val="21"/>
              </w:rPr>
            </w:pPr>
            <w:r>
              <w:rPr>
                <w:szCs w:val="21"/>
              </w:rPr>
              <w:t xml:space="preserve">0.01 </w:t>
            </w:r>
          </w:p>
        </w:tc>
        <w:tc>
          <w:tcPr>
            <w:tcW w:w="665" w:type="pct"/>
            <w:shd w:val="clear" w:color="auto" w:fill="auto"/>
            <w:vAlign w:val="center"/>
          </w:tcPr>
          <w:p w14:paraId="22996A60">
            <w:pPr>
              <w:spacing w:line="320" w:lineRule="exact"/>
              <w:ind w:left="-53" w:leftChars="-25" w:right="-53" w:rightChars="-25"/>
              <w:jc w:val="center"/>
              <w:rPr>
                <w:snapToGrid w:val="0"/>
                <w:kern w:val="0"/>
                <w:szCs w:val="21"/>
              </w:rPr>
            </w:pPr>
            <w:r>
              <w:rPr>
                <w:szCs w:val="21"/>
              </w:rPr>
              <w:t>0.008</w:t>
            </w:r>
          </w:p>
        </w:tc>
        <w:tc>
          <w:tcPr>
            <w:tcW w:w="582" w:type="pct"/>
            <w:shd w:val="clear" w:color="auto" w:fill="auto"/>
            <w:vAlign w:val="center"/>
          </w:tcPr>
          <w:p w14:paraId="1765C339">
            <w:pPr>
              <w:spacing w:line="320" w:lineRule="exact"/>
              <w:ind w:left="-53" w:leftChars="-25" w:right="-53" w:rightChars="-25"/>
              <w:jc w:val="center"/>
              <w:rPr>
                <w:snapToGrid w:val="0"/>
                <w:kern w:val="0"/>
                <w:szCs w:val="21"/>
              </w:rPr>
            </w:pPr>
            <w:r>
              <w:rPr>
                <w:szCs w:val="21"/>
              </w:rPr>
              <w:t>0.008</w:t>
            </w:r>
          </w:p>
        </w:tc>
        <w:tc>
          <w:tcPr>
            <w:tcW w:w="498" w:type="pct"/>
            <w:shd w:val="clear" w:color="auto" w:fill="auto"/>
            <w:vAlign w:val="center"/>
          </w:tcPr>
          <w:p w14:paraId="7489E758">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3B3682E7">
            <w:pPr>
              <w:spacing w:line="320" w:lineRule="exact"/>
              <w:ind w:left="-53" w:leftChars="-25" w:right="-53" w:rightChars="-25"/>
              <w:jc w:val="center"/>
              <w:rPr>
                <w:snapToGrid w:val="0"/>
                <w:kern w:val="0"/>
                <w:szCs w:val="21"/>
              </w:rPr>
            </w:pPr>
            <w:r>
              <w:rPr>
                <w:szCs w:val="21"/>
              </w:rPr>
              <w:t>/</w:t>
            </w:r>
          </w:p>
        </w:tc>
      </w:tr>
      <w:tr w14:paraId="74B11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26DB39C1">
            <w:pPr>
              <w:spacing w:line="320" w:lineRule="exact"/>
              <w:ind w:left="-53" w:leftChars="-25" w:right="-53" w:rightChars="-25"/>
              <w:jc w:val="center"/>
              <w:rPr>
                <w:snapToGrid w:val="0"/>
                <w:kern w:val="0"/>
                <w:szCs w:val="21"/>
              </w:rPr>
            </w:pPr>
            <w:r>
              <w:rPr>
                <w:snapToGrid w:val="0"/>
                <w:kern w:val="0"/>
                <w:szCs w:val="21"/>
              </w:rPr>
              <w:t>挥发酚</w:t>
            </w:r>
          </w:p>
        </w:tc>
        <w:tc>
          <w:tcPr>
            <w:tcW w:w="665" w:type="pct"/>
            <w:vAlign w:val="center"/>
          </w:tcPr>
          <w:p w14:paraId="7A694973">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.002</w:t>
            </w:r>
          </w:p>
        </w:tc>
        <w:tc>
          <w:tcPr>
            <w:tcW w:w="499" w:type="pct"/>
            <w:vAlign w:val="center"/>
          </w:tcPr>
          <w:p w14:paraId="2CF5A5DE">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40C9B9E8">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7D20FBEF">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26765C6F">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579C21C5">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06F33D82">
            <w:pPr>
              <w:spacing w:line="320" w:lineRule="exact"/>
              <w:ind w:left="-53" w:leftChars="-25" w:right="-53" w:rightChars="-25"/>
              <w:jc w:val="center"/>
              <w:rPr>
                <w:snapToGrid w:val="0"/>
                <w:kern w:val="0"/>
                <w:szCs w:val="21"/>
              </w:rPr>
            </w:pPr>
            <w:r>
              <w:rPr>
                <w:szCs w:val="21"/>
              </w:rPr>
              <w:t>/</w:t>
            </w:r>
          </w:p>
        </w:tc>
      </w:tr>
      <w:tr w14:paraId="69A9D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13B4176C">
            <w:pPr>
              <w:spacing w:line="320" w:lineRule="exact"/>
              <w:ind w:left="-53" w:leftChars="-25" w:right="-53" w:rightChars="-25"/>
              <w:jc w:val="center"/>
              <w:rPr>
                <w:snapToGrid w:val="0"/>
                <w:kern w:val="0"/>
                <w:szCs w:val="21"/>
              </w:rPr>
            </w:pPr>
            <w:r>
              <w:rPr>
                <w:snapToGrid w:val="0"/>
                <w:kern w:val="0"/>
                <w:szCs w:val="21"/>
              </w:rPr>
              <w:t>氰化物</w:t>
            </w:r>
          </w:p>
        </w:tc>
        <w:tc>
          <w:tcPr>
            <w:tcW w:w="665" w:type="pct"/>
            <w:vAlign w:val="center"/>
          </w:tcPr>
          <w:p w14:paraId="5EA2344C">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499" w:type="pct"/>
            <w:vAlign w:val="center"/>
          </w:tcPr>
          <w:p w14:paraId="2436C16C">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4939E236">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5BF87EC5">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3C24414D">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413FBA79">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2ECF9C9A">
            <w:pPr>
              <w:spacing w:line="320" w:lineRule="exact"/>
              <w:ind w:left="-53" w:leftChars="-25" w:right="-53" w:rightChars="-25"/>
              <w:jc w:val="center"/>
              <w:rPr>
                <w:snapToGrid w:val="0"/>
                <w:kern w:val="0"/>
                <w:szCs w:val="21"/>
              </w:rPr>
            </w:pPr>
            <w:r>
              <w:rPr>
                <w:szCs w:val="21"/>
              </w:rPr>
              <w:t>/</w:t>
            </w:r>
          </w:p>
        </w:tc>
      </w:tr>
      <w:tr w14:paraId="588023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3BB8190A">
            <w:pPr>
              <w:spacing w:line="320" w:lineRule="exact"/>
              <w:ind w:left="-53" w:leftChars="-25" w:right="-53" w:rightChars="-25"/>
              <w:jc w:val="center"/>
              <w:rPr>
                <w:snapToGrid w:val="0"/>
                <w:kern w:val="0"/>
                <w:szCs w:val="21"/>
              </w:rPr>
            </w:pPr>
            <w:r>
              <w:rPr>
                <w:snapToGrid w:val="0"/>
                <w:kern w:val="0"/>
                <w:szCs w:val="21"/>
              </w:rPr>
              <w:t>总硬度</w:t>
            </w:r>
          </w:p>
        </w:tc>
        <w:tc>
          <w:tcPr>
            <w:tcW w:w="665" w:type="pct"/>
            <w:vAlign w:val="center"/>
          </w:tcPr>
          <w:p w14:paraId="7356305C">
            <w:pPr>
              <w:spacing w:line="320" w:lineRule="exact"/>
              <w:ind w:left="-53" w:leftChars="-25" w:right="-53" w:rightChars="-25"/>
              <w:jc w:val="center"/>
              <w:rPr>
                <w:snapToGrid w:val="0"/>
                <w:kern w:val="0"/>
                <w:szCs w:val="21"/>
              </w:rPr>
            </w:pPr>
            <w:r>
              <w:rPr>
                <w:rFonts w:hint="eastAsia"/>
                <w:snapToGrid w:val="0"/>
                <w:kern w:val="0"/>
                <w:szCs w:val="21"/>
              </w:rPr>
              <w:t>4</w:t>
            </w:r>
            <w:r>
              <w:rPr>
                <w:snapToGrid w:val="0"/>
                <w:kern w:val="0"/>
                <w:szCs w:val="21"/>
              </w:rPr>
              <w:t>50</w:t>
            </w:r>
          </w:p>
        </w:tc>
        <w:tc>
          <w:tcPr>
            <w:tcW w:w="499" w:type="pct"/>
            <w:vAlign w:val="center"/>
          </w:tcPr>
          <w:p w14:paraId="3957C38C">
            <w:pPr>
              <w:spacing w:line="320" w:lineRule="exact"/>
              <w:ind w:left="-53" w:leftChars="-25" w:right="-53" w:rightChars="-25"/>
              <w:jc w:val="center"/>
              <w:rPr>
                <w:snapToGrid w:val="0"/>
                <w:kern w:val="0"/>
                <w:szCs w:val="21"/>
              </w:rPr>
            </w:pPr>
            <w:r>
              <w:rPr>
                <w:rFonts w:hint="eastAsia"/>
                <w:snapToGrid w:val="0"/>
                <w:kern w:val="0"/>
                <w:szCs w:val="21"/>
              </w:rPr>
              <w:t>324</w:t>
            </w:r>
          </w:p>
        </w:tc>
        <w:tc>
          <w:tcPr>
            <w:tcW w:w="666" w:type="pct"/>
            <w:shd w:val="clear" w:color="auto" w:fill="auto"/>
            <w:vAlign w:val="center"/>
          </w:tcPr>
          <w:p w14:paraId="1EEC3A26">
            <w:pPr>
              <w:spacing w:line="320" w:lineRule="exact"/>
              <w:ind w:left="-53" w:leftChars="-25" w:right="-53" w:rightChars="-25"/>
              <w:jc w:val="center"/>
              <w:rPr>
                <w:snapToGrid w:val="0"/>
                <w:kern w:val="0"/>
                <w:szCs w:val="21"/>
              </w:rPr>
            </w:pPr>
            <w:r>
              <w:rPr>
                <w:szCs w:val="21"/>
              </w:rPr>
              <w:t xml:space="preserve">0.72 </w:t>
            </w:r>
          </w:p>
        </w:tc>
        <w:tc>
          <w:tcPr>
            <w:tcW w:w="665" w:type="pct"/>
            <w:shd w:val="clear" w:color="auto" w:fill="auto"/>
            <w:vAlign w:val="center"/>
          </w:tcPr>
          <w:p w14:paraId="7A12429A">
            <w:pPr>
              <w:spacing w:line="320" w:lineRule="exact"/>
              <w:ind w:left="-53" w:leftChars="-25" w:right="-53" w:rightChars="-25"/>
              <w:jc w:val="center"/>
              <w:rPr>
                <w:snapToGrid w:val="0"/>
                <w:kern w:val="0"/>
                <w:szCs w:val="21"/>
              </w:rPr>
            </w:pPr>
            <w:r>
              <w:rPr>
                <w:szCs w:val="21"/>
              </w:rPr>
              <w:t>304</w:t>
            </w:r>
          </w:p>
        </w:tc>
        <w:tc>
          <w:tcPr>
            <w:tcW w:w="582" w:type="pct"/>
            <w:shd w:val="clear" w:color="auto" w:fill="auto"/>
            <w:vAlign w:val="center"/>
          </w:tcPr>
          <w:p w14:paraId="4082A3C8">
            <w:pPr>
              <w:spacing w:line="320" w:lineRule="exact"/>
              <w:ind w:left="-53" w:leftChars="-25" w:right="-53" w:rightChars="-25"/>
              <w:jc w:val="center"/>
              <w:rPr>
                <w:snapToGrid w:val="0"/>
                <w:kern w:val="0"/>
                <w:szCs w:val="21"/>
              </w:rPr>
            </w:pPr>
            <w:r>
              <w:rPr>
                <w:szCs w:val="21"/>
              </w:rPr>
              <w:t xml:space="preserve">0.68 </w:t>
            </w:r>
          </w:p>
        </w:tc>
        <w:tc>
          <w:tcPr>
            <w:tcW w:w="498" w:type="pct"/>
            <w:shd w:val="clear" w:color="auto" w:fill="auto"/>
            <w:vAlign w:val="center"/>
          </w:tcPr>
          <w:p w14:paraId="1F10BB82">
            <w:pPr>
              <w:spacing w:line="320" w:lineRule="exact"/>
              <w:ind w:left="-53" w:leftChars="-25" w:right="-53" w:rightChars="-25"/>
              <w:jc w:val="center"/>
              <w:rPr>
                <w:snapToGrid w:val="0"/>
                <w:kern w:val="0"/>
                <w:szCs w:val="21"/>
              </w:rPr>
            </w:pPr>
            <w:r>
              <w:rPr>
                <w:szCs w:val="21"/>
              </w:rPr>
              <w:t>260</w:t>
            </w:r>
          </w:p>
        </w:tc>
        <w:tc>
          <w:tcPr>
            <w:tcW w:w="614" w:type="pct"/>
            <w:shd w:val="clear" w:color="auto" w:fill="auto"/>
            <w:vAlign w:val="center"/>
          </w:tcPr>
          <w:p w14:paraId="13993216">
            <w:pPr>
              <w:spacing w:line="320" w:lineRule="exact"/>
              <w:ind w:left="-53" w:leftChars="-25" w:right="-53" w:rightChars="-25"/>
              <w:jc w:val="center"/>
              <w:rPr>
                <w:snapToGrid w:val="0"/>
                <w:kern w:val="0"/>
                <w:szCs w:val="21"/>
              </w:rPr>
            </w:pPr>
            <w:r>
              <w:rPr>
                <w:szCs w:val="21"/>
              </w:rPr>
              <w:t xml:space="preserve">0.58 </w:t>
            </w:r>
          </w:p>
        </w:tc>
      </w:tr>
      <w:tr w14:paraId="1C95E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2210C4F8">
            <w:pPr>
              <w:spacing w:line="320" w:lineRule="exact"/>
              <w:ind w:left="-53" w:leftChars="-25" w:right="-53" w:rightChars="-25"/>
              <w:jc w:val="center"/>
              <w:rPr>
                <w:snapToGrid w:val="0"/>
                <w:kern w:val="0"/>
                <w:szCs w:val="21"/>
              </w:rPr>
            </w:pPr>
            <w:r>
              <w:rPr>
                <w:snapToGrid w:val="0"/>
                <w:kern w:val="0"/>
                <w:szCs w:val="21"/>
              </w:rPr>
              <w:t>溶解性总固体</w:t>
            </w:r>
          </w:p>
        </w:tc>
        <w:tc>
          <w:tcPr>
            <w:tcW w:w="665" w:type="pct"/>
            <w:vAlign w:val="center"/>
          </w:tcPr>
          <w:p w14:paraId="6FB0FCB2">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000</w:t>
            </w:r>
          </w:p>
        </w:tc>
        <w:tc>
          <w:tcPr>
            <w:tcW w:w="499" w:type="pct"/>
            <w:vAlign w:val="center"/>
          </w:tcPr>
          <w:p w14:paraId="7BFC0160">
            <w:pPr>
              <w:spacing w:line="320" w:lineRule="exact"/>
              <w:ind w:left="-53" w:leftChars="-25" w:right="-53" w:rightChars="-25"/>
              <w:jc w:val="center"/>
              <w:rPr>
                <w:snapToGrid w:val="0"/>
                <w:kern w:val="0"/>
                <w:szCs w:val="21"/>
              </w:rPr>
            </w:pPr>
            <w:r>
              <w:rPr>
                <w:rFonts w:hint="eastAsia"/>
                <w:snapToGrid w:val="0"/>
                <w:kern w:val="0"/>
                <w:szCs w:val="21"/>
              </w:rPr>
              <w:t>403</w:t>
            </w:r>
          </w:p>
        </w:tc>
        <w:tc>
          <w:tcPr>
            <w:tcW w:w="666" w:type="pct"/>
            <w:shd w:val="clear" w:color="auto" w:fill="auto"/>
            <w:vAlign w:val="center"/>
          </w:tcPr>
          <w:p w14:paraId="6E823A36">
            <w:pPr>
              <w:spacing w:line="320" w:lineRule="exact"/>
              <w:ind w:left="-53" w:leftChars="-25" w:right="-53" w:rightChars="-25"/>
              <w:jc w:val="center"/>
              <w:rPr>
                <w:snapToGrid w:val="0"/>
                <w:kern w:val="0"/>
                <w:szCs w:val="21"/>
              </w:rPr>
            </w:pPr>
            <w:r>
              <w:rPr>
                <w:szCs w:val="21"/>
              </w:rPr>
              <w:t xml:space="preserve">0.40 </w:t>
            </w:r>
          </w:p>
        </w:tc>
        <w:tc>
          <w:tcPr>
            <w:tcW w:w="665" w:type="pct"/>
            <w:shd w:val="clear" w:color="auto" w:fill="auto"/>
            <w:vAlign w:val="center"/>
          </w:tcPr>
          <w:p w14:paraId="6D31A409">
            <w:pPr>
              <w:spacing w:line="320" w:lineRule="exact"/>
              <w:ind w:left="-53" w:leftChars="-25" w:right="-53" w:rightChars="-25"/>
              <w:jc w:val="center"/>
              <w:rPr>
                <w:snapToGrid w:val="0"/>
                <w:kern w:val="0"/>
                <w:szCs w:val="21"/>
              </w:rPr>
            </w:pPr>
            <w:r>
              <w:rPr>
                <w:szCs w:val="21"/>
              </w:rPr>
              <w:t>352</w:t>
            </w:r>
          </w:p>
        </w:tc>
        <w:tc>
          <w:tcPr>
            <w:tcW w:w="582" w:type="pct"/>
            <w:shd w:val="clear" w:color="auto" w:fill="auto"/>
            <w:vAlign w:val="center"/>
          </w:tcPr>
          <w:p w14:paraId="40804788">
            <w:pPr>
              <w:spacing w:line="320" w:lineRule="exact"/>
              <w:ind w:left="-53" w:leftChars="-25" w:right="-53" w:rightChars="-25"/>
              <w:jc w:val="center"/>
              <w:rPr>
                <w:snapToGrid w:val="0"/>
                <w:kern w:val="0"/>
                <w:szCs w:val="21"/>
              </w:rPr>
            </w:pPr>
            <w:r>
              <w:rPr>
                <w:szCs w:val="21"/>
              </w:rPr>
              <w:t>0.352</w:t>
            </w:r>
          </w:p>
        </w:tc>
        <w:tc>
          <w:tcPr>
            <w:tcW w:w="498" w:type="pct"/>
            <w:shd w:val="clear" w:color="auto" w:fill="auto"/>
            <w:vAlign w:val="center"/>
          </w:tcPr>
          <w:p w14:paraId="25E83EEA">
            <w:pPr>
              <w:spacing w:line="320" w:lineRule="exact"/>
              <w:ind w:left="-53" w:leftChars="-25" w:right="-53" w:rightChars="-25"/>
              <w:jc w:val="center"/>
              <w:rPr>
                <w:snapToGrid w:val="0"/>
                <w:kern w:val="0"/>
                <w:szCs w:val="21"/>
              </w:rPr>
            </w:pPr>
            <w:r>
              <w:rPr>
                <w:szCs w:val="21"/>
              </w:rPr>
              <w:t>317</w:t>
            </w:r>
          </w:p>
        </w:tc>
        <w:tc>
          <w:tcPr>
            <w:tcW w:w="614" w:type="pct"/>
            <w:shd w:val="clear" w:color="auto" w:fill="auto"/>
            <w:vAlign w:val="center"/>
          </w:tcPr>
          <w:p w14:paraId="4AB33907">
            <w:pPr>
              <w:spacing w:line="320" w:lineRule="exact"/>
              <w:ind w:left="-53" w:leftChars="-25" w:right="-53" w:rightChars="-25"/>
              <w:jc w:val="center"/>
              <w:rPr>
                <w:snapToGrid w:val="0"/>
                <w:kern w:val="0"/>
                <w:szCs w:val="21"/>
              </w:rPr>
            </w:pPr>
            <w:r>
              <w:rPr>
                <w:szCs w:val="21"/>
              </w:rPr>
              <w:t xml:space="preserve">0.32 </w:t>
            </w:r>
          </w:p>
        </w:tc>
      </w:tr>
      <w:tr w14:paraId="64D75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81F7307">
            <w:pPr>
              <w:spacing w:line="320" w:lineRule="exact"/>
              <w:ind w:left="-53" w:leftChars="-25" w:right="-53" w:rightChars="-25"/>
              <w:jc w:val="center"/>
              <w:rPr>
                <w:snapToGrid w:val="0"/>
                <w:kern w:val="0"/>
                <w:szCs w:val="21"/>
              </w:rPr>
            </w:pPr>
            <w:r>
              <w:rPr>
                <w:rFonts w:hint="eastAsia"/>
                <w:snapToGrid w:val="0"/>
                <w:kern w:val="0"/>
                <w:szCs w:val="21"/>
              </w:rPr>
              <w:t>高锰酸盐指数</w:t>
            </w:r>
          </w:p>
        </w:tc>
        <w:tc>
          <w:tcPr>
            <w:tcW w:w="665" w:type="pct"/>
            <w:vAlign w:val="center"/>
          </w:tcPr>
          <w:p w14:paraId="2A3D677B">
            <w:pPr>
              <w:spacing w:line="320" w:lineRule="exact"/>
              <w:ind w:left="-53" w:leftChars="-25" w:right="-53" w:rightChars="-25"/>
              <w:jc w:val="center"/>
              <w:rPr>
                <w:snapToGrid w:val="0"/>
                <w:kern w:val="0"/>
                <w:szCs w:val="21"/>
              </w:rPr>
            </w:pPr>
            <w:r>
              <w:rPr>
                <w:rFonts w:hint="eastAsia"/>
                <w:snapToGrid w:val="0"/>
                <w:kern w:val="0"/>
                <w:szCs w:val="21"/>
              </w:rPr>
              <w:t>3</w:t>
            </w:r>
          </w:p>
        </w:tc>
        <w:tc>
          <w:tcPr>
            <w:tcW w:w="499" w:type="pct"/>
            <w:vAlign w:val="center"/>
          </w:tcPr>
          <w:p w14:paraId="5FE105E4">
            <w:pPr>
              <w:spacing w:line="320" w:lineRule="exact"/>
              <w:ind w:left="-53" w:leftChars="-25" w:right="-53" w:rightChars="-25"/>
              <w:jc w:val="center"/>
              <w:rPr>
                <w:snapToGrid w:val="0"/>
                <w:kern w:val="0"/>
                <w:szCs w:val="21"/>
              </w:rPr>
            </w:pPr>
            <w:r>
              <w:rPr>
                <w:rFonts w:hint="eastAsia"/>
                <w:snapToGrid w:val="0"/>
                <w:kern w:val="0"/>
                <w:szCs w:val="21"/>
              </w:rPr>
              <w:t>0.84</w:t>
            </w:r>
          </w:p>
        </w:tc>
        <w:tc>
          <w:tcPr>
            <w:tcW w:w="666" w:type="pct"/>
            <w:shd w:val="clear" w:color="auto" w:fill="auto"/>
            <w:vAlign w:val="center"/>
          </w:tcPr>
          <w:p w14:paraId="728928A3">
            <w:pPr>
              <w:spacing w:line="320" w:lineRule="exact"/>
              <w:ind w:left="-53" w:leftChars="-25" w:right="-53" w:rightChars="-25"/>
              <w:jc w:val="center"/>
              <w:rPr>
                <w:snapToGrid w:val="0"/>
                <w:kern w:val="0"/>
                <w:szCs w:val="21"/>
              </w:rPr>
            </w:pPr>
            <w:r>
              <w:rPr>
                <w:szCs w:val="21"/>
              </w:rPr>
              <w:t xml:space="preserve">0.28 </w:t>
            </w:r>
          </w:p>
        </w:tc>
        <w:tc>
          <w:tcPr>
            <w:tcW w:w="665" w:type="pct"/>
            <w:shd w:val="clear" w:color="auto" w:fill="auto"/>
            <w:vAlign w:val="center"/>
          </w:tcPr>
          <w:p w14:paraId="53A205A7">
            <w:pPr>
              <w:spacing w:line="320" w:lineRule="exact"/>
              <w:ind w:left="-53" w:leftChars="-25" w:right="-53" w:rightChars="-25"/>
              <w:jc w:val="center"/>
              <w:rPr>
                <w:snapToGrid w:val="0"/>
                <w:kern w:val="0"/>
                <w:szCs w:val="21"/>
              </w:rPr>
            </w:pPr>
            <w:r>
              <w:rPr>
                <w:szCs w:val="21"/>
              </w:rPr>
              <w:t>1.41</w:t>
            </w:r>
          </w:p>
        </w:tc>
        <w:tc>
          <w:tcPr>
            <w:tcW w:w="582" w:type="pct"/>
            <w:shd w:val="clear" w:color="auto" w:fill="auto"/>
            <w:vAlign w:val="center"/>
          </w:tcPr>
          <w:p w14:paraId="6AB17F4C">
            <w:pPr>
              <w:spacing w:line="320" w:lineRule="exact"/>
              <w:ind w:left="-53" w:leftChars="-25" w:right="-53" w:rightChars="-25"/>
              <w:jc w:val="center"/>
              <w:rPr>
                <w:snapToGrid w:val="0"/>
                <w:kern w:val="0"/>
                <w:szCs w:val="21"/>
              </w:rPr>
            </w:pPr>
            <w:r>
              <w:rPr>
                <w:szCs w:val="21"/>
              </w:rPr>
              <w:t xml:space="preserve">0.47 </w:t>
            </w:r>
          </w:p>
        </w:tc>
        <w:tc>
          <w:tcPr>
            <w:tcW w:w="498" w:type="pct"/>
            <w:shd w:val="clear" w:color="auto" w:fill="auto"/>
            <w:vAlign w:val="center"/>
          </w:tcPr>
          <w:p w14:paraId="216B5CC7">
            <w:pPr>
              <w:spacing w:line="320" w:lineRule="exact"/>
              <w:ind w:left="-53" w:leftChars="-25" w:right="-53" w:rightChars="-25"/>
              <w:jc w:val="center"/>
              <w:rPr>
                <w:snapToGrid w:val="0"/>
                <w:kern w:val="0"/>
                <w:szCs w:val="21"/>
              </w:rPr>
            </w:pPr>
            <w:r>
              <w:rPr>
                <w:szCs w:val="21"/>
              </w:rPr>
              <w:t>1.53</w:t>
            </w:r>
          </w:p>
        </w:tc>
        <w:tc>
          <w:tcPr>
            <w:tcW w:w="614" w:type="pct"/>
            <w:shd w:val="clear" w:color="auto" w:fill="auto"/>
            <w:vAlign w:val="center"/>
          </w:tcPr>
          <w:p w14:paraId="6C53016C">
            <w:pPr>
              <w:spacing w:line="320" w:lineRule="exact"/>
              <w:ind w:left="-53" w:leftChars="-25" w:right="-53" w:rightChars="-25"/>
              <w:jc w:val="center"/>
              <w:rPr>
                <w:snapToGrid w:val="0"/>
                <w:kern w:val="0"/>
                <w:szCs w:val="21"/>
              </w:rPr>
            </w:pPr>
            <w:r>
              <w:rPr>
                <w:szCs w:val="21"/>
              </w:rPr>
              <w:t xml:space="preserve">0.51 </w:t>
            </w:r>
          </w:p>
        </w:tc>
      </w:tr>
      <w:tr w14:paraId="4B8ED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194BE9F2">
            <w:pPr>
              <w:spacing w:line="320" w:lineRule="exact"/>
              <w:ind w:left="-53" w:leftChars="-25" w:right="-53" w:rightChars="-25"/>
              <w:jc w:val="center"/>
              <w:rPr>
                <w:snapToGrid w:val="0"/>
                <w:kern w:val="0"/>
                <w:szCs w:val="21"/>
              </w:rPr>
            </w:pPr>
            <w:r>
              <w:rPr>
                <w:snapToGrid w:val="0"/>
                <w:kern w:val="0"/>
                <w:szCs w:val="21"/>
              </w:rPr>
              <w:t>氟化物</w:t>
            </w:r>
          </w:p>
        </w:tc>
        <w:tc>
          <w:tcPr>
            <w:tcW w:w="665" w:type="pct"/>
            <w:vAlign w:val="center"/>
          </w:tcPr>
          <w:p w14:paraId="27FC2F3D">
            <w:pPr>
              <w:spacing w:line="320" w:lineRule="exact"/>
              <w:ind w:left="-53" w:leftChars="-25" w:right="-53" w:rightChars="-25"/>
              <w:jc w:val="center"/>
              <w:rPr>
                <w:snapToGrid w:val="0"/>
                <w:kern w:val="0"/>
                <w:szCs w:val="21"/>
              </w:rPr>
            </w:pPr>
            <w:r>
              <w:rPr>
                <w:rFonts w:hint="eastAsia"/>
                <w:snapToGrid w:val="0"/>
                <w:kern w:val="0"/>
                <w:szCs w:val="21"/>
              </w:rPr>
              <w:t>1</w:t>
            </w:r>
          </w:p>
        </w:tc>
        <w:tc>
          <w:tcPr>
            <w:tcW w:w="499" w:type="pct"/>
            <w:vAlign w:val="center"/>
          </w:tcPr>
          <w:p w14:paraId="6D8AC3D0">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1EC11039">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1BE541AA">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30677BC7">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5DC36CB8">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4F56E804">
            <w:pPr>
              <w:spacing w:line="320" w:lineRule="exact"/>
              <w:ind w:left="-53" w:leftChars="-25" w:right="-53" w:rightChars="-25"/>
              <w:jc w:val="center"/>
              <w:rPr>
                <w:snapToGrid w:val="0"/>
                <w:kern w:val="0"/>
                <w:szCs w:val="21"/>
              </w:rPr>
            </w:pPr>
            <w:r>
              <w:rPr>
                <w:szCs w:val="21"/>
              </w:rPr>
              <w:t>/</w:t>
            </w:r>
          </w:p>
        </w:tc>
      </w:tr>
      <w:tr w14:paraId="2E28C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B5BAA13">
            <w:pPr>
              <w:spacing w:line="320" w:lineRule="exact"/>
              <w:ind w:left="-53" w:leftChars="-25" w:right="-53" w:rightChars="-25"/>
              <w:jc w:val="center"/>
              <w:rPr>
                <w:snapToGrid w:val="0"/>
                <w:kern w:val="0"/>
                <w:szCs w:val="21"/>
              </w:rPr>
            </w:pPr>
            <w:r>
              <w:rPr>
                <w:snapToGrid w:val="0"/>
                <w:kern w:val="0"/>
                <w:szCs w:val="21"/>
              </w:rPr>
              <w:t>氯化物</w:t>
            </w:r>
          </w:p>
        </w:tc>
        <w:tc>
          <w:tcPr>
            <w:tcW w:w="665" w:type="pct"/>
            <w:vAlign w:val="center"/>
          </w:tcPr>
          <w:p w14:paraId="3282C2B1">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499" w:type="pct"/>
            <w:vAlign w:val="center"/>
          </w:tcPr>
          <w:p w14:paraId="5D53E474">
            <w:pPr>
              <w:spacing w:line="320" w:lineRule="exact"/>
              <w:ind w:left="-53" w:leftChars="-25" w:right="-53" w:rightChars="-25"/>
              <w:jc w:val="center"/>
              <w:rPr>
                <w:snapToGrid w:val="0"/>
                <w:kern w:val="0"/>
                <w:szCs w:val="21"/>
              </w:rPr>
            </w:pPr>
            <w:r>
              <w:rPr>
                <w:rFonts w:hint="eastAsia"/>
                <w:snapToGrid w:val="0"/>
                <w:kern w:val="0"/>
                <w:szCs w:val="21"/>
              </w:rPr>
              <w:t>17.8</w:t>
            </w:r>
          </w:p>
        </w:tc>
        <w:tc>
          <w:tcPr>
            <w:tcW w:w="666" w:type="pct"/>
            <w:shd w:val="clear" w:color="auto" w:fill="auto"/>
            <w:vAlign w:val="center"/>
          </w:tcPr>
          <w:p w14:paraId="598BC6EA">
            <w:pPr>
              <w:spacing w:line="320" w:lineRule="exact"/>
              <w:ind w:left="-53" w:leftChars="-25" w:right="-53" w:rightChars="-25"/>
              <w:jc w:val="center"/>
              <w:rPr>
                <w:snapToGrid w:val="0"/>
                <w:kern w:val="0"/>
                <w:szCs w:val="21"/>
              </w:rPr>
            </w:pPr>
            <w:r>
              <w:rPr>
                <w:szCs w:val="21"/>
              </w:rPr>
              <w:t xml:space="preserve">0.07 </w:t>
            </w:r>
          </w:p>
        </w:tc>
        <w:tc>
          <w:tcPr>
            <w:tcW w:w="665" w:type="pct"/>
            <w:shd w:val="clear" w:color="auto" w:fill="auto"/>
            <w:vAlign w:val="center"/>
          </w:tcPr>
          <w:p w14:paraId="69920740">
            <w:pPr>
              <w:spacing w:line="320" w:lineRule="exact"/>
              <w:ind w:left="-53" w:leftChars="-25" w:right="-53" w:rightChars="-25"/>
              <w:jc w:val="center"/>
              <w:rPr>
                <w:snapToGrid w:val="0"/>
                <w:kern w:val="0"/>
                <w:szCs w:val="21"/>
              </w:rPr>
            </w:pPr>
            <w:r>
              <w:rPr>
                <w:szCs w:val="21"/>
              </w:rPr>
              <w:t>37.8</w:t>
            </w:r>
          </w:p>
        </w:tc>
        <w:tc>
          <w:tcPr>
            <w:tcW w:w="582" w:type="pct"/>
            <w:shd w:val="clear" w:color="auto" w:fill="auto"/>
            <w:vAlign w:val="center"/>
          </w:tcPr>
          <w:p w14:paraId="76612E66">
            <w:pPr>
              <w:spacing w:line="320" w:lineRule="exact"/>
              <w:ind w:left="-53" w:leftChars="-25" w:right="-53" w:rightChars="-25"/>
              <w:jc w:val="center"/>
              <w:rPr>
                <w:snapToGrid w:val="0"/>
                <w:kern w:val="0"/>
                <w:szCs w:val="21"/>
              </w:rPr>
            </w:pPr>
            <w:r>
              <w:rPr>
                <w:szCs w:val="21"/>
              </w:rPr>
              <w:t xml:space="preserve">0.15 </w:t>
            </w:r>
          </w:p>
        </w:tc>
        <w:tc>
          <w:tcPr>
            <w:tcW w:w="498" w:type="pct"/>
            <w:shd w:val="clear" w:color="auto" w:fill="auto"/>
            <w:vAlign w:val="center"/>
          </w:tcPr>
          <w:p w14:paraId="0E50943D">
            <w:pPr>
              <w:spacing w:line="320" w:lineRule="exact"/>
              <w:ind w:left="-53" w:leftChars="-25" w:right="-53" w:rightChars="-25"/>
              <w:jc w:val="center"/>
              <w:rPr>
                <w:snapToGrid w:val="0"/>
                <w:kern w:val="0"/>
                <w:szCs w:val="21"/>
              </w:rPr>
            </w:pPr>
            <w:r>
              <w:rPr>
                <w:szCs w:val="21"/>
              </w:rPr>
              <w:t>32.8</w:t>
            </w:r>
          </w:p>
        </w:tc>
        <w:tc>
          <w:tcPr>
            <w:tcW w:w="614" w:type="pct"/>
            <w:shd w:val="clear" w:color="auto" w:fill="auto"/>
            <w:vAlign w:val="center"/>
          </w:tcPr>
          <w:p w14:paraId="04FCD2EF">
            <w:pPr>
              <w:spacing w:line="320" w:lineRule="exact"/>
              <w:ind w:left="-53" w:leftChars="-25" w:right="-53" w:rightChars="-25"/>
              <w:jc w:val="center"/>
              <w:rPr>
                <w:snapToGrid w:val="0"/>
                <w:kern w:val="0"/>
                <w:szCs w:val="21"/>
              </w:rPr>
            </w:pPr>
            <w:r>
              <w:rPr>
                <w:szCs w:val="21"/>
              </w:rPr>
              <w:t xml:space="preserve">0.13 </w:t>
            </w:r>
          </w:p>
        </w:tc>
      </w:tr>
      <w:tr w14:paraId="34C42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0FD502B8">
            <w:pPr>
              <w:spacing w:line="320" w:lineRule="exact"/>
              <w:ind w:left="-53" w:leftChars="-25" w:right="-53" w:rightChars="-25"/>
              <w:jc w:val="center"/>
              <w:rPr>
                <w:snapToGrid w:val="0"/>
                <w:kern w:val="0"/>
                <w:szCs w:val="21"/>
              </w:rPr>
            </w:pPr>
            <w:r>
              <w:rPr>
                <w:snapToGrid w:val="0"/>
                <w:kern w:val="0"/>
                <w:szCs w:val="21"/>
              </w:rPr>
              <w:t>硝酸盐</w:t>
            </w:r>
          </w:p>
        </w:tc>
        <w:tc>
          <w:tcPr>
            <w:tcW w:w="665" w:type="pct"/>
            <w:vAlign w:val="center"/>
          </w:tcPr>
          <w:p w14:paraId="6CED2693">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w:t>
            </w:r>
          </w:p>
        </w:tc>
        <w:tc>
          <w:tcPr>
            <w:tcW w:w="499" w:type="pct"/>
            <w:vAlign w:val="center"/>
          </w:tcPr>
          <w:p w14:paraId="14461340">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77195AA5">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33BCAC9F">
            <w:pPr>
              <w:spacing w:line="320" w:lineRule="exact"/>
              <w:ind w:left="-53" w:leftChars="-25" w:right="-53" w:rightChars="-25"/>
              <w:jc w:val="center"/>
              <w:rPr>
                <w:snapToGrid w:val="0"/>
                <w:kern w:val="0"/>
                <w:szCs w:val="21"/>
              </w:rPr>
            </w:pPr>
            <w:r>
              <w:rPr>
                <w:szCs w:val="21"/>
              </w:rPr>
              <w:t>1.82</w:t>
            </w:r>
          </w:p>
        </w:tc>
        <w:tc>
          <w:tcPr>
            <w:tcW w:w="582" w:type="pct"/>
            <w:shd w:val="clear" w:color="auto" w:fill="auto"/>
            <w:vAlign w:val="center"/>
          </w:tcPr>
          <w:p w14:paraId="7F34C7A0">
            <w:pPr>
              <w:spacing w:line="320" w:lineRule="exact"/>
              <w:ind w:left="-53" w:leftChars="-25" w:right="-53" w:rightChars="-25"/>
              <w:jc w:val="center"/>
              <w:rPr>
                <w:snapToGrid w:val="0"/>
                <w:kern w:val="0"/>
                <w:szCs w:val="21"/>
              </w:rPr>
            </w:pPr>
            <w:r>
              <w:rPr>
                <w:szCs w:val="21"/>
              </w:rPr>
              <w:t xml:space="preserve">0.09 </w:t>
            </w:r>
          </w:p>
        </w:tc>
        <w:tc>
          <w:tcPr>
            <w:tcW w:w="498" w:type="pct"/>
            <w:shd w:val="clear" w:color="auto" w:fill="auto"/>
            <w:vAlign w:val="center"/>
          </w:tcPr>
          <w:p w14:paraId="4A29BEDC">
            <w:pPr>
              <w:spacing w:line="320" w:lineRule="exact"/>
              <w:ind w:left="-53" w:leftChars="-25" w:right="-53" w:rightChars="-25"/>
              <w:jc w:val="center"/>
              <w:rPr>
                <w:snapToGrid w:val="0"/>
                <w:kern w:val="0"/>
                <w:szCs w:val="21"/>
              </w:rPr>
            </w:pPr>
            <w:r>
              <w:rPr>
                <w:szCs w:val="21"/>
              </w:rPr>
              <w:t>0.64</w:t>
            </w:r>
          </w:p>
        </w:tc>
        <w:tc>
          <w:tcPr>
            <w:tcW w:w="614" w:type="pct"/>
            <w:shd w:val="clear" w:color="auto" w:fill="auto"/>
            <w:vAlign w:val="center"/>
          </w:tcPr>
          <w:p w14:paraId="0E3F3547">
            <w:pPr>
              <w:spacing w:line="320" w:lineRule="exact"/>
              <w:ind w:left="-53" w:leftChars="-25" w:right="-53" w:rightChars="-25"/>
              <w:jc w:val="center"/>
              <w:rPr>
                <w:snapToGrid w:val="0"/>
                <w:kern w:val="0"/>
                <w:szCs w:val="21"/>
              </w:rPr>
            </w:pPr>
            <w:r>
              <w:rPr>
                <w:szCs w:val="21"/>
              </w:rPr>
              <w:t xml:space="preserve">0.03 </w:t>
            </w:r>
          </w:p>
        </w:tc>
      </w:tr>
      <w:tr w14:paraId="71855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4ED28861">
            <w:pPr>
              <w:spacing w:line="320" w:lineRule="exact"/>
              <w:ind w:left="-53" w:leftChars="-25" w:right="-53" w:rightChars="-25"/>
              <w:jc w:val="center"/>
              <w:rPr>
                <w:snapToGrid w:val="0"/>
                <w:kern w:val="0"/>
                <w:szCs w:val="21"/>
              </w:rPr>
            </w:pPr>
            <w:r>
              <w:rPr>
                <w:snapToGrid w:val="0"/>
                <w:kern w:val="0"/>
                <w:szCs w:val="21"/>
              </w:rPr>
              <w:t>硫酸盐</w:t>
            </w:r>
          </w:p>
        </w:tc>
        <w:tc>
          <w:tcPr>
            <w:tcW w:w="665" w:type="pct"/>
            <w:vAlign w:val="center"/>
          </w:tcPr>
          <w:p w14:paraId="5508CDD8">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499" w:type="pct"/>
            <w:vAlign w:val="center"/>
          </w:tcPr>
          <w:p w14:paraId="76315581">
            <w:pPr>
              <w:spacing w:line="320" w:lineRule="exact"/>
              <w:ind w:left="-53" w:leftChars="-25" w:right="-53" w:rightChars="-25"/>
              <w:jc w:val="center"/>
              <w:rPr>
                <w:snapToGrid w:val="0"/>
                <w:kern w:val="0"/>
                <w:szCs w:val="21"/>
              </w:rPr>
            </w:pPr>
            <w:r>
              <w:rPr>
                <w:rFonts w:hint="eastAsia"/>
                <w:snapToGrid w:val="0"/>
                <w:kern w:val="0"/>
                <w:szCs w:val="21"/>
              </w:rPr>
              <w:t>13.4</w:t>
            </w:r>
          </w:p>
        </w:tc>
        <w:tc>
          <w:tcPr>
            <w:tcW w:w="666" w:type="pct"/>
            <w:shd w:val="clear" w:color="auto" w:fill="auto"/>
            <w:vAlign w:val="center"/>
          </w:tcPr>
          <w:p w14:paraId="1DF66BD6">
            <w:pPr>
              <w:spacing w:line="320" w:lineRule="exact"/>
              <w:ind w:left="-53" w:leftChars="-25" w:right="-53" w:rightChars="-25"/>
              <w:jc w:val="center"/>
              <w:rPr>
                <w:snapToGrid w:val="0"/>
                <w:kern w:val="0"/>
                <w:szCs w:val="21"/>
              </w:rPr>
            </w:pPr>
            <w:r>
              <w:rPr>
                <w:szCs w:val="21"/>
              </w:rPr>
              <w:t xml:space="preserve">0.05 </w:t>
            </w:r>
          </w:p>
        </w:tc>
        <w:tc>
          <w:tcPr>
            <w:tcW w:w="665" w:type="pct"/>
            <w:shd w:val="clear" w:color="auto" w:fill="auto"/>
            <w:vAlign w:val="center"/>
          </w:tcPr>
          <w:p w14:paraId="48C814BA">
            <w:pPr>
              <w:spacing w:line="320" w:lineRule="exact"/>
              <w:ind w:left="-53" w:leftChars="-25" w:right="-53" w:rightChars="-25"/>
              <w:jc w:val="center"/>
              <w:rPr>
                <w:snapToGrid w:val="0"/>
                <w:kern w:val="0"/>
                <w:szCs w:val="21"/>
              </w:rPr>
            </w:pPr>
            <w:r>
              <w:rPr>
                <w:szCs w:val="21"/>
              </w:rPr>
              <w:t>28.3</w:t>
            </w:r>
          </w:p>
        </w:tc>
        <w:tc>
          <w:tcPr>
            <w:tcW w:w="582" w:type="pct"/>
            <w:shd w:val="clear" w:color="auto" w:fill="auto"/>
            <w:vAlign w:val="center"/>
          </w:tcPr>
          <w:p w14:paraId="63F3BE6A">
            <w:pPr>
              <w:spacing w:line="320" w:lineRule="exact"/>
              <w:ind w:left="-53" w:leftChars="-25" w:right="-53" w:rightChars="-25"/>
              <w:jc w:val="center"/>
              <w:rPr>
                <w:snapToGrid w:val="0"/>
                <w:kern w:val="0"/>
                <w:szCs w:val="21"/>
              </w:rPr>
            </w:pPr>
            <w:r>
              <w:rPr>
                <w:szCs w:val="21"/>
              </w:rPr>
              <w:t xml:space="preserve">0.11 </w:t>
            </w:r>
          </w:p>
        </w:tc>
        <w:tc>
          <w:tcPr>
            <w:tcW w:w="498" w:type="pct"/>
            <w:shd w:val="clear" w:color="auto" w:fill="auto"/>
            <w:vAlign w:val="center"/>
          </w:tcPr>
          <w:p w14:paraId="660311F8">
            <w:pPr>
              <w:spacing w:line="320" w:lineRule="exact"/>
              <w:ind w:left="-53" w:leftChars="-25" w:right="-53" w:rightChars="-25"/>
              <w:jc w:val="center"/>
              <w:rPr>
                <w:snapToGrid w:val="0"/>
                <w:kern w:val="0"/>
                <w:szCs w:val="21"/>
              </w:rPr>
            </w:pPr>
            <w:r>
              <w:rPr>
                <w:szCs w:val="21"/>
              </w:rPr>
              <w:t>19.8</w:t>
            </w:r>
          </w:p>
        </w:tc>
        <w:tc>
          <w:tcPr>
            <w:tcW w:w="614" w:type="pct"/>
            <w:shd w:val="clear" w:color="auto" w:fill="auto"/>
            <w:vAlign w:val="center"/>
          </w:tcPr>
          <w:p w14:paraId="0182CB65">
            <w:pPr>
              <w:spacing w:line="320" w:lineRule="exact"/>
              <w:ind w:left="-53" w:leftChars="-25" w:right="-53" w:rightChars="-25"/>
              <w:jc w:val="center"/>
              <w:rPr>
                <w:snapToGrid w:val="0"/>
                <w:kern w:val="0"/>
                <w:szCs w:val="21"/>
              </w:rPr>
            </w:pPr>
            <w:r>
              <w:rPr>
                <w:szCs w:val="21"/>
              </w:rPr>
              <w:t xml:space="preserve">0.08 </w:t>
            </w:r>
          </w:p>
        </w:tc>
      </w:tr>
      <w:tr w14:paraId="1C6FF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3BFD2C6">
            <w:pPr>
              <w:spacing w:line="320" w:lineRule="exact"/>
              <w:ind w:left="-53" w:leftChars="-25" w:right="-53" w:rightChars="-25"/>
              <w:jc w:val="center"/>
              <w:rPr>
                <w:snapToGrid w:val="0"/>
                <w:kern w:val="0"/>
                <w:szCs w:val="21"/>
              </w:rPr>
            </w:pPr>
            <w:r>
              <w:rPr>
                <w:rFonts w:hint="eastAsia"/>
                <w:snapToGrid w:val="0"/>
                <w:kern w:val="0"/>
                <w:szCs w:val="21"/>
              </w:rPr>
              <w:t>硫化物</w:t>
            </w:r>
          </w:p>
        </w:tc>
        <w:tc>
          <w:tcPr>
            <w:tcW w:w="665" w:type="pct"/>
            <w:vAlign w:val="center"/>
          </w:tcPr>
          <w:p w14:paraId="25460AD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.02</w:t>
            </w:r>
          </w:p>
        </w:tc>
        <w:tc>
          <w:tcPr>
            <w:tcW w:w="499" w:type="pct"/>
            <w:vAlign w:val="center"/>
          </w:tcPr>
          <w:p w14:paraId="2FBA5AA8">
            <w:pPr>
              <w:spacing w:line="320" w:lineRule="exact"/>
              <w:ind w:left="-53" w:leftChars="-25" w:right="-53" w:rightChars="-25"/>
              <w:jc w:val="center"/>
              <w:rPr>
                <w:snapToGrid w:val="0"/>
                <w:kern w:val="0"/>
                <w:szCs w:val="21"/>
              </w:rPr>
            </w:pPr>
            <w:r>
              <w:rPr>
                <w:rFonts w:hint="eastAsia"/>
                <w:snapToGrid w:val="0"/>
                <w:kern w:val="0"/>
                <w:szCs w:val="21"/>
              </w:rPr>
              <w:t>0.010</w:t>
            </w:r>
          </w:p>
        </w:tc>
        <w:tc>
          <w:tcPr>
            <w:tcW w:w="666" w:type="pct"/>
            <w:shd w:val="clear" w:color="auto" w:fill="auto"/>
            <w:vAlign w:val="center"/>
          </w:tcPr>
          <w:p w14:paraId="1DF8E759">
            <w:pPr>
              <w:spacing w:line="320" w:lineRule="exact"/>
              <w:ind w:left="-53" w:leftChars="-25" w:right="-53" w:rightChars="-25"/>
              <w:jc w:val="center"/>
              <w:rPr>
                <w:snapToGrid w:val="0"/>
                <w:kern w:val="0"/>
                <w:szCs w:val="21"/>
              </w:rPr>
            </w:pPr>
            <w:r>
              <w:rPr>
                <w:szCs w:val="21"/>
              </w:rPr>
              <w:t xml:space="preserve">0.50 </w:t>
            </w:r>
          </w:p>
        </w:tc>
        <w:tc>
          <w:tcPr>
            <w:tcW w:w="665" w:type="pct"/>
            <w:shd w:val="clear" w:color="auto" w:fill="auto"/>
            <w:vAlign w:val="center"/>
          </w:tcPr>
          <w:p w14:paraId="19750D51">
            <w:pPr>
              <w:spacing w:line="320" w:lineRule="exact"/>
              <w:ind w:left="-53" w:leftChars="-25" w:right="-53" w:rightChars="-25"/>
              <w:jc w:val="center"/>
              <w:rPr>
                <w:snapToGrid w:val="0"/>
                <w:kern w:val="0"/>
                <w:szCs w:val="21"/>
              </w:rPr>
            </w:pPr>
            <w:r>
              <w:rPr>
                <w:szCs w:val="21"/>
              </w:rPr>
              <w:t>0.012</w:t>
            </w:r>
          </w:p>
        </w:tc>
        <w:tc>
          <w:tcPr>
            <w:tcW w:w="582" w:type="pct"/>
            <w:shd w:val="clear" w:color="auto" w:fill="auto"/>
            <w:vAlign w:val="center"/>
          </w:tcPr>
          <w:p w14:paraId="48561AE9">
            <w:pPr>
              <w:spacing w:line="320" w:lineRule="exact"/>
              <w:ind w:left="-53" w:leftChars="-25" w:right="-53" w:rightChars="-25"/>
              <w:jc w:val="center"/>
              <w:rPr>
                <w:snapToGrid w:val="0"/>
                <w:kern w:val="0"/>
                <w:szCs w:val="21"/>
              </w:rPr>
            </w:pPr>
            <w:r>
              <w:rPr>
                <w:szCs w:val="21"/>
              </w:rPr>
              <w:t xml:space="preserve">0.60 </w:t>
            </w:r>
          </w:p>
        </w:tc>
        <w:tc>
          <w:tcPr>
            <w:tcW w:w="498" w:type="pct"/>
            <w:shd w:val="clear" w:color="auto" w:fill="auto"/>
            <w:vAlign w:val="center"/>
          </w:tcPr>
          <w:p w14:paraId="76F52958">
            <w:pPr>
              <w:spacing w:line="320" w:lineRule="exact"/>
              <w:ind w:left="-53" w:leftChars="-25" w:right="-53" w:rightChars="-25"/>
              <w:jc w:val="center"/>
              <w:rPr>
                <w:snapToGrid w:val="0"/>
                <w:kern w:val="0"/>
                <w:szCs w:val="21"/>
              </w:rPr>
            </w:pPr>
            <w:r>
              <w:rPr>
                <w:szCs w:val="21"/>
              </w:rPr>
              <w:t>0.012</w:t>
            </w:r>
          </w:p>
        </w:tc>
        <w:tc>
          <w:tcPr>
            <w:tcW w:w="614" w:type="pct"/>
            <w:shd w:val="clear" w:color="auto" w:fill="auto"/>
            <w:vAlign w:val="center"/>
          </w:tcPr>
          <w:p w14:paraId="1984C5B2">
            <w:pPr>
              <w:spacing w:line="320" w:lineRule="exact"/>
              <w:ind w:left="-53" w:leftChars="-25" w:right="-53" w:rightChars="-25"/>
              <w:jc w:val="center"/>
              <w:rPr>
                <w:snapToGrid w:val="0"/>
                <w:kern w:val="0"/>
                <w:szCs w:val="21"/>
              </w:rPr>
            </w:pPr>
            <w:r>
              <w:rPr>
                <w:szCs w:val="21"/>
              </w:rPr>
              <w:t>0.6</w:t>
            </w:r>
          </w:p>
        </w:tc>
      </w:tr>
      <w:tr w14:paraId="5CEAE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0D0E7703">
            <w:pPr>
              <w:spacing w:line="320" w:lineRule="exact"/>
              <w:ind w:left="-53" w:leftChars="-25" w:right="-53" w:rightChars="-25"/>
              <w:jc w:val="center"/>
              <w:rPr>
                <w:snapToGrid w:val="0"/>
                <w:kern w:val="0"/>
                <w:szCs w:val="21"/>
              </w:rPr>
            </w:pPr>
            <w:r>
              <w:rPr>
                <w:snapToGrid w:val="0"/>
                <w:kern w:val="0"/>
                <w:szCs w:val="21"/>
              </w:rPr>
              <w:t>砷</w:t>
            </w:r>
          </w:p>
        </w:tc>
        <w:tc>
          <w:tcPr>
            <w:tcW w:w="665" w:type="pct"/>
            <w:vAlign w:val="center"/>
          </w:tcPr>
          <w:p w14:paraId="36831FD6">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499" w:type="pct"/>
            <w:vAlign w:val="center"/>
          </w:tcPr>
          <w:p w14:paraId="60537BD7">
            <w:pPr>
              <w:spacing w:line="320" w:lineRule="exact"/>
              <w:ind w:left="-53" w:leftChars="-25" w:right="-53" w:rightChars="-25"/>
              <w:jc w:val="center"/>
              <w:rPr>
                <w:snapToGrid w:val="0"/>
                <w:kern w:val="0"/>
                <w:szCs w:val="21"/>
              </w:rPr>
            </w:pPr>
            <w:r>
              <w:rPr>
                <w:rFonts w:hint="eastAsia"/>
                <w:snapToGrid w:val="0"/>
                <w:kern w:val="0"/>
                <w:szCs w:val="21"/>
              </w:rPr>
              <w:t>0.0007</w:t>
            </w:r>
          </w:p>
        </w:tc>
        <w:tc>
          <w:tcPr>
            <w:tcW w:w="666" w:type="pct"/>
            <w:shd w:val="clear" w:color="auto" w:fill="auto"/>
            <w:vAlign w:val="center"/>
          </w:tcPr>
          <w:p w14:paraId="7C901196">
            <w:pPr>
              <w:spacing w:line="320" w:lineRule="exact"/>
              <w:ind w:left="-53" w:leftChars="-25" w:right="-53" w:rightChars="-25"/>
              <w:jc w:val="center"/>
              <w:rPr>
                <w:snapToGrid w:val="0"/>
                <w:kern w:val="0"/>
                <w:szCs w:val="21"/>
              </w:rPr>
            </w:pPr>
            <w:r>
              <w:rPr>
                <w:szCs w:val="21"/>
              </w:rPr>
              <w:t xml:space="preserve">0.07 </w:t>
            </w:r>
          </w:p>
        </w:tc>
        <w:tc>
          <w:tcPr>
            <w:tcW w:w="665" w:type="pct"/>
            <w:shd w:val="clear" w:color="auto" w:fill="auto"/>
            <w:vAlign w:val="center"/>
          </w:tcPr>
          <w:p w14:paraId="50E37CFF">
            <w:pPr>
              <w:spacing w:line="320" w:lineRule="exact"/>
              <w:ind w:left="-53" w:leftChars="-25" w:right="-53" w:rightChars="-25"/>
              <w:jc w:val="center"/>
              <w:rPr>
                <w:snapToGrid w:val="0"/>
                <w:kern w:val="0"/>
                <w:szCs w:val="21"/>
              </w:rPr>
            </w:pPr>
            <w:r>
              <w:rPr>
                <w:szCs w:val="21"/>
              </w:rPr>
              <w:t>0.0022</w:t>
            </w:r>
          </w:p>
        </w:tc>
        <w:tc>
          <w:tcPr>
            <w:tcW w:w="582" w:type="pct"/>
            <w:shd w:val="clear" w:color="auto" w:fill="auto"/>
            <w:vAlign w:val="center"/>
          </w:tcPr>
          <w:p w14:paraId="7A9352FD">
            <w:pPr>
              <w:spacing w:line="320" w:lineRule="exact"/>
              <w:ind w:left="-53" w:leftChars="-25" w:right="-53" w:rightChars="-25"/>
              <w:jc w:val="center"/>
              <w:rPr>
                <w:snapToGrid w:val="0"/>
                <w:kern w:val="0"/>
                <w:szCs w:val="21"/>
              </w:rPr>
            </w:pPr>
            <w:r>
              <w:rPr>
                <w:szCs w:val="21"/>
              </w:rPr>
              <w:t xml:space="preserve">0.22 </w:t>
            </w:r>
          </w:p>
        </w:tc>
        <w:tc>
          <w:tcPr>
            <w:tcW w:w="498" w:type="pct"/>
            <w:shd w:val="clear" w:color="auto" w:fill="auto"/>
            <w:vAlign w:val="center"/>
          </w:tcPr>
          <w:p w14:paraId="2F53B8D6">
            <w:pPr>
              <w:spacing w:line="320" w:lineRule="exact"/>
              <w:ind w:left="-53" w:leftChars="-25" w:right="-53" w:rightChars="-25"/>
              <w:jc w:val="center"/>
              <w:rPr>
                <w:snapToGrid w:val="0"/>
                <w:kern w:val="0"/>
                <w:szCs w:val="21"/>
              </w:rPr>
            </w:pPr>
            <w:r>
              <w:rPr>
                <w:szCs w:val="21"/>
              </w:rPr>
              <w:t>0.0022</w:t>
            </w:r>
          </w:p>
        </w:tc>
        <w:tc>
          <w:tcPr>
            <w:tcW w:w="614" w:type="pct"/>
            <w:shd w:val="clear" w:color="auto" w:fill="auto"/>
            <w:vAlign w:val="center"/>
          </w:tcPr>
          <w:p w14:paraId="4437D3F6">
            <w:pPr>
              <w:spacing w:line="320" w:lineRule="exact"/>
              <w:ind w:left="-53" w:leftChars="-25" w:right="-53" w:rightChars="-25"/>
              <w:jc w:val="center"/>
              <w:rPr>
                <w:snapToGrid w:val="0"/>
                <w:kern w:val="0"/>
                <w:szCs w:val="21"/>
              </w:rPr>
            </w:pPr>
            <w:r>
              <w:rPr>
                <w:szCs w:val="21"/>
              </w:rPr>
              <w:t>0.22</w:t>
            </w:r>
          </w:p>
        </w:tc>
      </w:tr>
      <w:tr w14:paraId="0D22C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5C7C9F33">
            <w:pPr>
              <w:spacing w:line="320" w:lineRule="exact"/>
              <w:ind w:left="-53" w:leftChars="-25" w:right="-53" w:rightChars="-25"/>
              <w:jc w:val="center"/>
              <w:rPr>
                <w:snapToGrid w:val="0"/>
                <w:kern w:val="0"/>
                <w:szCs w:val="21"/>
              </w:rPr>
            </w:pPr>
            <w:r>
              <w:rPr>
                <w:snapToGrid w:val="0"/>
                <w:kern w:val="0"/>
                <w:szCs w:val="21"/>
              </w:rPr>
              <w:t>汞</w:t>
            </w:r>
          </w:p>
        </w:tc>
        <w:tc>
          <w:tcPr>
            <w:tcW w:w="665" w:type="pct"/>
            <w:vAlign w:val="center"/>
          </w:tcPr>
          <w:p w14:paraId="5562F345">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.001</w:t>
            </w:r>
          </w:p>
        </w:tc>
        <w:tc>
          <w:tcPr>
            <w:tcW w:w="499" w:type="pct"/>
            <w:vAlign w:val="center"/>
          </w:tcPr>
          <w:p w14:paraId="60333B7E">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68DC31F9">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4B0977B5">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4AD69EE6">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135BECE3">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0CF03847">
            <w:pPr>
              <w:spacing w:line="320" w:lineRule="exact"/>
              <w:ind w:left="-53" w:leftChars="-25" w:right="-53" w:rightChars="-25"/>
              <w:jc w:val="center"/>
              <w:rPr>
                <w:snapToGrid w:val="0"/>
                <w:kern w:val="0"/>
                <w:szCs w:val="21"/>
              </w:rPr>
            </w:pPr>
            <w:r>
              <w:rPr>
                <w:szCs w:val="21"/>
              </w:rPr>
              <w:t>/</w:t>
            </w:r>
          </w:p>
        </w:tc>
      </w:tr>
      <w:tr w14:paraId="4A6D2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5AC443E0">
            <w:pPr>
              <w:spacing w:line="320" w:lineRule="exact"/>
              <w:ind w:left="-53" w:leftChars="-25" w:right="-53" w:rightChars="-25"/>
              <w:jc w:val="center"/>
              <w:rPr>
                <w:snapToGrid w:val="0"/>
                <w:kern w:val="0"/>
                <w:szCs w:val="21"/>
              </w:rPr>
            </w:pPr>
            <w:r>
              <w:rPr>
                <w:snapToGrid w:val="0"/>
                <w:kern w:val="0"/>
                <w:szCs w:val="21"/>
              </w:rPr>
              <w:t>六价铬</w:t>
            </w:r>
          </w:p>
        </w:tc>
        <w:tc>
          <w:tcPr>
            <w:tcW w:w="665" w:type="pct"/>
            <w:vAlign w:val="center"/>
          </w:tcPr>
          <w:p w14:paraId="116EF562">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499" w:type="pct"/>
            <w:vAlign w:val="center"/>
          </w:tcPr>
          <w:p w14:paraId="4EB5E379">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68060074">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00B232F5">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4450C95E">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107735CB">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5646FAD0">
            <w:pPr>
              <w:spacing w:line="320" w:lineRule="exact"/>
              <w:ind w:left="-53" w:leftChars="-25" w:right="-53" w:rightChars="-25"/>
              <w:jc w:val="center"/>
              <w:rPr>
                <w:snapToGrid w:val="0"/>
                <w:kern w:val="0"/>
                <w:szCs w:val="21"/>
              </w:rPr>
            </w:pPr>
            <w:r>
              <w:rPr>
                <w:szCs w:val="21"/>
              </w:rPr>
              <w:t>/</w:t>
            </w:r>
          </w:p>
        </w:tc>
      </w:tr>
      <w:tr w14:paraId="4A556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77635078">
            <w:pPr>
              <w:spacing w:line="320" w:lineRule="exact"/>
              <w:ind w:left="-53" w:leftChars="-25" w:right="-53" w:rightChars="-25"/>
              <w:jc w:val="center"/>
              <w:rPr>
                <w:snapToGrid w:val="0"/>
                <w:kern w:val="0"/>
                <w:szCs w:val="21"/>
              </w:rPr>
            </w:pPr>
            <w:r>
              <w:rPr>
                <w:snapToGrid w:val="0"/>
                <w:kern w:val="0"/>
                <w:szCs w:val="21"/>
              </w:rPr>
              <w:t>铅</w:t>
            </w:r>
          </w:p>
        </w:tc>
        <w:tc>
          <w:tcPr>
            <w:tcW w:w="665" w:type="pct"/>
            <w:vAlign w:val="center"/>
          </w:tcPr>
          <w:p w14:paraId="6A97851E">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499" w:type="pct"/>
            <w:vAlign w:val="center"/>
          </w:tcPr>
          <w:p w14:paraId="4F659BE5">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1CBFD079">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0AA64657">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61F1EAA5">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19217D26">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1E48920F">
            <w:pPr>
              <w:spacing w:line="320" w:lineRule="exact"/>
              <w:ind w:left="-53" w:leftChars="-25" w:right="-53" w:rightChars="-25"/>
              <w:jc w:val="center"/>
              <w:rPr>
                <w:snapToGrid w:val="0"/>
                <w:kern w:val="0"/>
                <w:szCs w:val="21"/>
              </w:rPr>
            </w:pPr>
            <w:r>
              <w:rPr>
                <w:szCs w:val="21"/>
              </w:rPr>
              <w:t>/</w:t>
            </w:r>
          </w:p>
        </w:tc>
      </w:tr>
      <w:tr w14:paraId="124C8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772D324A">
            <w:pPr>
              <w:spacing w:line="320" w:lineRule="exact"/>
              <w:ind w:left="-53" w:leftChars="-25" w:right="-53" w:rightChars="-25"/>
              <w:jc w:val="center"/>
              <w:rPr>
                <w:snapToGrid w:val="0"/>
                <w:kern w:val="0"/>
                <w:szCs w:val="21"/>
              </w:rPr>
            </w:pPr>
            <w:r>
              <w:rPr>
                <w:snapToGrid w:val="0"/>
                <w:kern w:val="0"/>
                <w:szCs w:val="21"/>
              </w:rPr>
              <w:t>镉</w:t>
            </w:r>
          </w:p>
        </w:tc>
        <w:tc>
          <w:tcPr>
            <w:tcW w:w="665" w:type="pct"/>
            <w:vAlign w:val="center"/>
          </w:tcPr>
          <w:p w14:paraId="0B1511DF">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.005</w:t>
            </w:r>
          </w:p>
        </w:tc>
        <w:tc>
          <w:tcPr>
            <w:tcW w:w="499" w:type="pct"/>
            <w:vAlign w:val="center"/>
          </w:tcPr>
          <w:p w14:paraId="445B035C">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6FA86239">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356D7726">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7A93CB03">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43E5E742">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578AE9A8">
            <w:pPr>
              <w:spacing w:line="320" w:lineRule="exact"/>
              <w:ind w:left="-53" w:leftChars="-25" w:right="-53" w:rightChars="-25"/>
              <w:jc w:val="center"/>
              <w:rPr>
                <w:snapToGrid w:val="0"/>
                <w:kern w:val="0"/>
                <w:szCs w:val="21"/>
              </w:rPr>
            </w:pPr>
            <w:r>
              <w:rPr>
                <w:szCs w:val="21"/>
              </w:rPr>
              <w:t>/</w:t>
            </w:r>
          </w:p>
        </w:tc>
      </w:tr>
      <w:tr w14:paraId="1BBB5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B69D71F">
            <w:pPr>
              <w:spacing w:line="320" w:lineRule="exact"/>
              <w:ind w:left="-53" w:leftChars="-25" w:right="-53" w:rightChars="-25"/>
              <w:jc w:val="center"/>
              <w:rPr>
                <w:snapToGrid w:val="0"/>
                <w:kern w:val="0"/>
                <w:szCs w:val="21"/>
              </w:rPr>
            </w:pPr>
            <w:r>
              <w:rPr>
                <w:snapToGrid w:val="0"/>
                <w:kern w:val="0"/>
                <w:szCs w:val="21"/>
              </w:rPr>
              <w:t>铁</w:t>
            </w:r>
          </w:p>
        </w:tc>
        <w:tc>
          <w:tcPr>
            <w:tcW w:w="665" w:type="pct"/>
            <w:vAlign w:val="center"/>
          </w:tcPr>
          <w:p w14:paraId="0516DA49">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.3</w:t>
            </w:r>
          </w:p>
        </w:tc>
        <w:tc>
          <w:tcPr>
            <w:tcW w:w="499" w:type="pct"/>
            <w:vAlign w:val="center"/>
          </w:tcPr>
          <w:p w14:paraId="474250D1">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6A9C2151">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0696D100">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7F0C16A0">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7562A745">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574F0DD5">
            <w:pPr>
              <w:spacing w:line="320" w:lineRule="exact"/>
              <w:ind w:left="-53" w:leftChars="-25" w:right="-53" w:rightChars="-25"/>
              <w:jc w:val="center"/>
              <w:rPr>
                <w:snapToGrid w:val="0"/>
                <w:kern w:val="0"/>
                <w:szCs w:val="21"/>
              </w:rPr>
            </w:pPr>
            <w:r>
              <w:rPr>
                <w:szCs w:val="21"/>
              </w:rPr>
              <w:t>/</w:t>
            </w:r>
          </w:p>
        </w:tc>
      </w:tr>
      <w:tr w14:paraId="5005A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7126737">
            <w:pPr>
              <w:spacing w:line="320" w:lineRule="exact"/>
              <w:ind w:left="-53" w:leftChars="-25" w:right="-53" w:rightChars="-25"/>
              <w:jc w:val="center"/>
              <w:rPr>
                <w:snapToGrid w:val="0"/>
                <w:kern w:val="0"/>
                <w:szCs w:val="21"/>
              </w:rPr>
            </w:pPr>
            <w:r>
              <w:rPr>
                <w:snapToGrid w:val="0"/>
                <w:kern w:val="0"/>
                <w:szCs w:val="21"/>
              </w:rPr>
              <w:t>锰</w:t>
            </w:r>
          </w:p>
        </w:tc>
        <w:tc>
          <w:tcPr>
            <w:tcW w:w="665" w:type="pct"/>
            <w:vAlign w:val="center"/>
          </w:tcPr>
          <w:p w14:paraId="05E9A349">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.1</w:t>
            </w:r>
          </w:p>
        </w:tc>
        <w:tc>
          <w:tcPr>
            <w:tcW w:w="499" w:type="pct"/>
            <w:vAlign w:val="center"/>
          </w:tcPr>
          <w:p w14:paraId="2A6A766C">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32962DE6">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4DB4B5EF">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64E21D53">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26CB50E4">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2591E90F">
            <w:pPr>
              <w:spacing w:line="320" w:lineRule="exact"/>
              <w:ind w:left="-53" w:leftChars="-25" w:right="-53" w:rightChars="-25"/>
              <w:jc w:val="center"/>
              <w:rPr>
                <w:snapToGrid w:val="0"/>
                <w:kern w:val="0"/>
                <w:szCs w:val="21"/>
              </w:rPr>
            </w:pPr>
            <w:r>
              <w:rPr>
                <w:szCs w:val="21"/>
              </w:rPr>
              <w:t>/</w:t>
            </w:r>
          </w:p>
        </w:tc>
      </w:tr>
      <w:tr w14:paraId="05EFD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412B7332">
            <w:pPr>
              <w:spacing w:line="320" w:lineRule="exact"/>
              <w:ind w:left="-53" w:leftChars="-25" w:right="-53" w:rightChars="-25"/>
              <w:jc w:val="center"/>
              <w:rPr>
                <w:snapToGrid w:val="0"/>
                <w:kern w:val="0"/>
                <w:szCs w:val="21"/>
              </w:rPr>
            </w:pPr>
            <w:r>
              <w:rPr>
                <w:snapToGrid w:val="0"/>
                <w:kern w:val="0"/>
                <w:szCs w:val="21"/>
              </w:rPr>
              <w:t>总大肠菌群</w:t>
            </w:r>
          </w:p>
        </w:tc>
        <w:tc>
          <w:tcPr>
            <w:tcW w:w="665" w:type="pct"/>
            <w:vAlign w:val="center"/>
          </w:tcPr>
          <w:p w14:paraId="6CD54223">
            <w:pPr>
              <w:spacing w:line="320" w:lineRule="exact"/>
              <w:ind w:left="-53" w:leftChars="-25" w:right="-53" w:rightChars="-25"/>
              <w:jc w:val="center"/>
              <w:rPr>
                <w:snapToGrid w:val="0"/>
                <w:kern w:val="0"/>
                <w:szCs w:val="21"/>
              </w:rPr>
            </w:pPr>
            <w:r>
              <w:rPr>
                <w:rFonts w:hint="eastAsia"/>
                <w:snapToGrid w:val="0"/>
                <w:kern w:val="0"/>
                <w:szCs w:val="21"/>
              </w:rPr>
              <w:t>3</w:t>
            </w:r>
          </w:p>
        </w:tc>
        <w:tc>
          <w:tcPr>
            <w:tcW w:w="499" w:type="pct"/>
            <w:vAlign w:val="center"/>
          </w:tcPr>
          <w:p w14:paraId="3BBC07F3">
            <w:pPr>
              <w:spacing w:line="320" w:lineRule="exact"/>
              <w:ind w:left="-53" w:leftChars="-25" w:right="-53" w:rightChars="-25"/>
              <w:jc w:val="center"/>
              <w:rPr>
                <w:snapToGrid w:val="0"/>
                <w:kern w:val="0"/>
                <w:szCs w:val="21"/>
              </w:rPr>
            </w:pPr>
            <w:r>
              <w:rPr>
                <w:rFonts w:hint="eastAsia"/>
                <w:snapToGrid w:val="0"/>
                <w:kern w:val="0"/>
                <w:szCs w:val="21"/>
              </w:rPr>
              <w:t>ND</w:t>
            </w:r>
          </w:p>
        </w:tc>
        <w:tc>
          <w:tcPr>
            <w:tcW w:w="666" w:type="pct"/>
            <w:shd w:val="clear" w:color="auto" w:fill="auto"/>
            <w:vAlign w:val="center"/>
          </w:tcPr>
          <w:p w14:paraId="783400E5">
            <w:pPr>
              <w:spacing w:line="320" w:lineRule="exact"/>
              <w:ind w:left="-53" w:leftChars="-25" w:right="-53" w:rightChars="-25"/>
              <w:jc w:val="center"/>
              <w:rPr>
                <w:snapToGrid w:val="0"/>
                <w:kern w:val="0"/>
                <w:szCs w:val="21"/>
              </w:rPr>
            </w:pPr>
            <w:r>
              <w:rPr>
                <w:szCs w:val="21"/>
              </w:rPr>
              <w:t>/</w:t>
            </w:r>
          </w:p>
        </w:tc>
        <w:tc>
          <w:tcPr>
            <w:tcW w:w="665" w:type="pct"/>
            <w:shd w:val="clear" w:color="auto" w:fill="auto"/>
            <w:vAlign w:val="center"/>
          </w:tcPr>
          <w:p w14:paraId="2E696666">
            <w:pPr>
              <w:spacing w:line="320" w:lineRule="exact"/>
              <w:ind w:left="-53" w:leftChars="-25" w:right="-53" w:rightChars="-25"/>
              <w:jc w:val="center"/>
              <w:rPr>
                <w:snapToGrid w:val="0"/>
                <w:kern w:val="0"/>
                <w:szCs w:val="21"/>
              </w:rPr>
            </w:pPr>
            <w:r>
              <w:rPr>
                <w:szCs w:val="21"/>
              </w:rPr>
              <w:t>ND</w:t>
            </w:r>
          </w:p>
        </w:tc>
        <w:tc>
          <w:tcPr>
            <w:tcW w:w="582" w:type="pct"/>
            <w:shd w:val="clear" w:color="auto" w:fill="auto"/>
            <w:vAlign w:val="center"/>
          </w:tcPr>
          <w:p w14:paraId="356BEC81">
            <w:pPr>
              <w:spacing w:line="320" w:lineRule="exact"/>
              <w:ind w:left="-53" w:leftChars="-25" w:right="-53" w:rightChars="-25"/>
              <w:jc w:val="center"/>
              <w:rPr>
                <w:snapToGrid w:val="0"/>
                <w:kern w:val="0"/>
                <w:szCs w:val="21"/>
              </w:rPr>
            </w:pPr>
            <w:r>
              <w:rPr>
                <w:szCs w:val="21"/>
              </w:rPr>
              <w:t>/</w:t>
            </w:r>
          </w:p>
        </w:tc>
        <w:tc>
          <w:tcPr>
            <w:tcW w:w="498" w:type="pct"/>
            <w:shd w:val="clear" w:color="auto" w:fill="auto"/>
            <w:vAlign w:val="center"/>
          </w:tcPr>
          <w:p w14:paraId="597D99A8">
            <w:pPr>
              <w:spacing w:line="320" w:lineRule="exact"/>
              <w:ind w:left="-53" w:leftChars="-25" w:right="-53" w:rightChars="-25"/>
              <w:jc w:val="center"/>
              <w:rPr>
                <w:snapToGrid w:val="0"/>
                <w:kern w:val="0"/>
                <w:szCs w:val="21"/>
              </w:rPr>
            </w:pPr>
            <w:r>
              <w:rPr>
                <w:szCs w:val="21"/>
              </w:rPr>
              <w:t>ND</w:t>
            </w:r>
          </w:p>
        </w:tc>
        <w:tc>
          <w:tcPr>
            <w:tcW w:w="614" w:type="pct"/>
            <w:shd w:val="clear" w:color="auto" w:fill="auto"/>
            <w:vAlign w:val="center"/>
          </w:tcPr>
          <w:p w14:paraId="4F8FE9D3">
            <w:pPr>
              <w:spacing w:line="320" w:lineRule="exact"/>
              <w:ind w:left="-53" w:leftChars="-25" w:right="-53" w:rightChars="-25"/>
              <w:jc w:val="center"/>
              <w:rPr>
                <w:snapToGrid w:val="0"/>
                <w:kern w:val="0"/>
                <w:szCs w:val="21"/>
              </w:rPr>
            </w:pPr>
            <w:r>
              <w:rPr>
                <w:szCs w:val="21"/>
              </w:rPr>
              <w:t>/</w:t>
            </w:r>
          </w:p>
        </w:tc>
      </w:tr>
      <w:tr w14:paraId="222A2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6AA8363E">
            <w:pPr>
              <w:spacing w:line="320" w:lineRule="exact"/>
              <w:ind w:left="-53" w:leftChars="-25" w:right="-53" w:rightChars="-25"/>
              <w:jc w:val="center"/>
              <w:rPr>
                <w:snapToGrid w:val="0"/>
                <w:kern w:val="0"/>
                <w:szCs w:val="21"/>
              </w:rPr>
            </w:pPr>
            <w:r>
              <w:rPr>
                <w:snapToGrid w:val="0"/>
                <w:kern w:val="0"/>
                <w:szCs w:val="21"/>
              </w:rPr>
              <w:t>菌落总数</w:t>
            </w:r>
          </w:p>
        </w:tc>
        <w:tc>
          <w:tcPr>
            <w:tcW w:w="665" w:type="pct"/>
            <w:vAlign w:val="center"/>
          </w:tcPr>
          <w:p w14:paraId="11BB6135">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w:t>
            </w:r>
          </w:p>
        </w:tc>
        <w:tc>
          <w:tcPr>
            <w:tcW w:w="499" w:type="pct"/>
            <w:vAlign w:val="center"/>
          </w:tcPr>
          <w:p w14:paraId="383ECD15">
            <w:pPr>
              <w:spacing w:line="320" w:lineRule="exact"/>
              <w:ind w:left="-53" w:leftChars="-25" w:right="-53" w:rightChars="-25"/>
              <w:jc w:val="center"/>
              <w:rPr>
                <w:snapToGrid w:val="0"/>
                <w:kern w:val="0"/>
                <w:szCs w:val="21"/>
              </w:rPr>
            </w:pPr>
            <w:r>
              <w:rPr>
                <w:rFonts w:hint="eastAsia"/>
                <w:snapToGrid w:val="0"/>
                <w:kern w:val="0"/>
                <w:szCs w:val="21"/>
              </w:rPr>
              <w:t>33</w:t>
            </w:r>
          </w:p>
        </w:tc>
        <w:tc>
          <w:tcPr>
            <w:tcW w:w="666" w:type="pct"/>
            <w:shd w:val="clear" w:color="auto" w:fill="auto"/>
            <w:vAlign w:val="center"/>
          </w:tcPr>
          <w:p w14:paraId="4F1FD6A5">
            <w:pPr>
              <w:spacing w:line="320" w:lineRule="exact"/>
              <w:ind w:left="-53" w:leftChars="-25" w:right="-53" w:rightChars="-25"/>
              <w:jc w:val="center"/>
              <w:rPr>
                <w:snapToGrid w:val="0"/>
                <w:kern w:val="0"/>
                <w:szCs w:val="21"/>
              </w:rPr>
            </w:pPr>
            <w:r>
              <w:rPr>
                <w:szCs w:val="21"/>
              </w:rPr>
              <w:t xml:space="preserve">0.33 </w:t>
            </w:r>
          </w:p>
        </w:tc>
        <w:tc>
          <w:tcPr>
            <w:tcW w:w="665" w:type="pct"/>
            <w:shd w:val="clear" w:color="auto" w:fill="auto"/>
            <w:vAlign w:val="center"/>
          </w:tcPr>
          <w:p w14:paraId="247625F1">
            <w:pPr>
              <w:spacing w:line="320" w:lineRule="exact"/>
              <w:ind w:left="-53" w:leftChars="-25" w:right="-53" w:rightChars="-25"/>
              <w:jc w:val="center"/>
              <w:rPr>
                <w:snapToGrid w:val="0"/>
                <w:kern w:val="0"/>
                <w:szCs w:val="21"/>
              </w:rPr>
            </w:pPr>
            <w:r>
              <w:rPr>
                <w:szCs w:val="21"/>
              </w:rPr>
              <w:t>28</w:t>
            </w:r>
          </w:p>
        </w:tc>
        <w:tc>
          <w:tcPr>
            <w:tcW w:w="582" w:type="pct"/>
            <w:shd w:val="clear" w:color="auto" w:fill="auto"/>
            <w:vAlign w:val="center"/>
          </w:tcPr>
          <w:p w14:paraId="0D3D4FE2">
            <w:pPr>
              <w:spacing w:line="320" w:lineRule="exact"/>
              <w:ind w:left="-53" w:leftChars="-25" w:right="-53" w:rightChars="-25"/>
              <w:jc w:val="center"/>
              <w:rPr>
                <w:snapToGrid w:val="0"/>
                <w:kern w:val="0"/>
                <w:szCs w:val="21"/>
              </w:rPr>
            </w:pPr>
            <w:r>
              <w:rPr>
                <w:szCs w:val="21"/>
              </w:rPr>
              <w:t xml:space="preserve">0.28 </w:t>
            </w:r>
          </w:p>
        </w:tc>
        <w:tc>
          <w:tcPr>
            <w:tcW w:w="498" w:type="pct"/>
            <w:shd w:val="clear" w:color="auto" w:fill="auto"/>
            <w:vAlign w:val="center"/>
          </w:tcPr>
          <w:p w14:paraId="2BE6B7A3">
            <w:pPr>
              <w:spacing w:line="320" w:lineRule="exact"/>
              <w:ind w:left="-53" w:leftChars="-25" w:right="-53" w:rightChars="-25"/>
              <w:jc w:val="center"/>
              <w:rPr>
                <w:snapToGrid w:val="0"/>
                <w:kern w:val="0"/>
                <w:szCs w:val="21"/>
              </w:rPr>
            </w:pPr>
            <w:r>
              <w:rPr>
                <w:szCs w:val="21"/>
              </w:rPr>
              <w:t>27</w:t>
            </w:r>
          </w:p>
        </w:tc>
        <w:tc>
          <w:tcPr>
            <w:tcW w:w="614" w:type="pct"/>
            <w:shd w:val="clear" w:color="auto" w:fill="auto"/>
            <w:vAlign w:val="center"/>
          </w:tcPr>
          <w:p w14:paraId="16665D10">
            <w:pPr>
              <w:spacing w:line="320" w:lineRule="exact"/>
              <w:ind w:left="-53" w:leftChars="-25" w:right="-53" w:rightChars="-25"/>
              <w:jc w:val="center"/>
              <w:rPr>
                <w:snapToGrid w:val="0"/>
                <w:kern w:val="0"/>
                <w:szCs w:val="21"/>
              </w:rPr>
            </w:pPr>
            <w:r>
              <w:rPr>
                <w:szCs w:val="21"/>
              </w:rPr>
              <w:t>0.27</w:t>
            </w:r>
          </w:p>
        </w:tc>
      </w:tr>
      <w:tr w14:paraId="349F8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Align w:val="center"/>
          </w:tcPr>
          <w:p w14:paraId="03A76749">
            <w:pPr>
              <w:spacing w:line="320" w:lineRule="exact"/>
              <w:ind w:left="-53" w:leftChars="-25" w:right="-53" w:rightChars="-25"/>
              <w:jc w:val="center"/>
              <w:rPr>
                <w:snapToGrid w:val="0"/>
                <w:kern w:val="0"/>
                <w:szCs w:val="21"/>
              </w:rPr>
            </w:pPr>
            <w:r>
              <w:rPr>
                <w:rFonts w:hint="eastAsia"/>
                <w:snapToGrid w:val="0"/>
                <w:kern w:val="0"/>
                <w:szCs w:val="21"/>
              </w:rPr>
              <w:t>备注</w:t>
            </w:r>
          </w:p>
        </w:tc>
        <w:tc>
          <w:tcPr>
            <w:tcW w:w="4189" w:type="pct"/>
            <w:gridSpan w:val="7"/>
            <w:vAlign w:val="center"/>
          </w:tcPr>
          <w:p w14:paraId="1B9768A1">
            <w:pPr>
              <w:spacing w:line="320" w:lineRule="exact"/>
              <w:ind w:left="-53" w:leftChars="-25" w:right="-53" w:rightChars="-25"/>
              <w:rPr>
                <w:snapToGrid w:val="0"/>
                <w:kern w:val="0"/>
                <w:szCs w:val="21"/>
              </w:rPr>
            </w:pPr>
            <w:r>
              <w:rPr>
                <w:rFonts w:hint="eastAsia"/>
                <w:snapToGrid w:val="0"/>
                <w:kern w:val="0"/>
                <w:szCs w:val="21"/>
              </w:rPr>
              <w:t>ND表示检测结果低于方法检出限。</w:t>
            </w:r>
          </w:p>
        </w:tc>
      </w:tr>
      <w:bookmarkEnd w:id="113"/>
    </w:tbl>
    <w:p w14:paraId="00C9EA46">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3.3.3</w:t>
      </w:r>
      <w:r>
        <w:rPr>
          <w:rFonts w:eastAsiaTheme="minorEastAsia"/>
          <w:b/>
          <w:szCs w:val="21"/>
        </w:rPr>
        <w:t>-</w:t>
      </w:r>
      <w:r>
        <w:rPr>
          <w:rFonts w:hint="eastAsia" w:eastAsiaTheme="minorEastAsia"/>
          <w:b/>
          <w:szCs w:val="21"/>
        </w:rPr>
        <w:t>3</w:t>
      </w:r>
      <w:r>
        <w:rPr>
          <w:rFonts w:eastAsiaTheme="minorEastAsia"/>
          <w:b/>
          <w:szCs w:val="21"/>
        </w:rPr>
        <w:t xml:space="preserve">  </w:t>
      </w:r>
      <w:r>
        <w:rPr>
          <w:rFonts w:hint="eastAsia" w:eastAsiaTheme="minorEastAsia"/>
          <w:b/>
          <w:szCs w:val="21"/>
        </w:rPr>
        <w:t>万和</w:t>
      </w:r>
      <w:r>
        <w:rPr>
          <w:rFonts w:eastAsiaTheme="minorEastAsia"/>
          <w:b/>
          <w:szCs w:val="21"/>
        </w:rPr>
        <w:t>石材产业区域地下水水质现状监测及评价结果一览表</w:t>
      </w:r>
    </w:p>
    <w:p w14:paraId="05B5F904">
      <w:pPr>
        <w:spacing w:line="360" w:lineRule="auto"/>
        <w:ind w:firstLine="420"/>
        <w:jc w:val="center"/>
        <w:rPr>
          <w:rFonts w:eastAsiaTheme="minorEastAsia"/>
          <w:b/>
          <w:szCs w:val="21"/>
        </w:rPr>
      </w:pPr>
      <w:r>
        <w:rPr>
          <w:rFonts w:eastAsiaTheme="minorEastAsia"/>
          <w:szCs w:val="21"/>
        </w:rPr>
        <w:t>（单位：pH无量纲，总大肠菌群MPN/100mL，菌落总数CFU/mL，其它为mg/L）</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8"/>
        <w:gridCol w:w="911"/>
        <w:gridCol w:w="682"/>
        <w:gridCol w:w="912"/>
        <w:gridCol w:w="911"/>
        <w:gridCol w:w="798"/>
        <w:gridCol w:w="681"/>
        <w:gridCol w:w="841"/>
        <w:gridCol w:w="843"/>
        <w:gridCol w:w="841"/>
      </w:tblGrid>
      <w:tr w14:paraId="5E3D1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Merge w:val="restart"/>
            <w:vAlign w:val="center"/>
          </w:tcPr>
          <w:p w14:paraId="2321C52F">
            <w:pPr>
              <w:spacing w:line="320" w:lineRule="exact"/>
              <w:ind w:left="-53" w:leftChars="-25" w:right="-53" w:rightChars="-25"/>
              <w:jc w:val="center"/>
              <w:rPr>
                <w:snapToGrid w:val="0"/>
                <w:kern w:val="0"/>
                <w:szCs w:val="21"/>
              </w:rPr>
            </w:pPr>
            <w:r>
              <w:rPr>
                <w:snapToGrid w:val="0"/>
                <w:kern w:val="0"/>
                <w:szCs w:val="21"/>
              </w:rPr>
              <w:t>检测项目</w:t>
            </w:r>
          </w:p>
        </w:tc>
        <w:tc>
          <w:tcPr>
            <w:tcW w:w="534" w:type="pct"/>
            <w:vMerge w:val="restart"/>
            <w:vAlign w:val="center"/>
          </w:tcPr>
          <w:p w14:paraId="536A433D">
            <w:pPr>
              <w:spacing w:line="320" w:lineRule="exact"/>
              <w:ind w:left="-53" w:leftChars="-25" w:right="-53" w:rightChars="-25"/>
              <w:jc w:val="center"/>
              <w:rPr>
                <w:snapToGrid w:val="0"/>
                <w:kern w:val="0"/>
                <w:szCs w:val="21"/>
              </w:rPr>
            </w:pPr>
            <w:r>
              <w:rPr>
                <w:snapToGrid w:val="0"/>
                <w:kern w:val="0"/>
                <w:szCs w:val="21"/>
              </w:rPr>
              <w:t>标准值</w:t>
            </w:r>
          </w:p>
        </w:tc>
        <w:tc>
          <w:tcPr>
            <w:tcW w:w="3816" w:type="pct"/>
            <w:gridSpan w:val="8"/>
            <w:vAlign w:val="center"/>
          </w:tcPr>
          <w:p w14:paraId="7F8862E9">
            <w:pPr>
              <w:spacing w:line="320" w:lineRule="exact"/>
              <w:ind w:left="-53" w:leftChars="-25" w:right="-53" w:rightChars="-25"/>
              <w:jc w:val="center"/>
              <w:rPr>
                <w:snapToGrid w:val="0"/>
                <w:kern w:val="0"/>
                <w:szCs w:val="21"/>
              </w:rPr>
            </w:pPr>
            <w:r>
              <w:rPr>
                <w:snapToGrid w:val="0"/>
                <w:kern w:val="0"/>
                <w:szCs w:val="21"/>
              </w:rPr>
              <w:t>检测结果</w:t>
            </w:r>
          </w:p>
        </w:tc>
      </w:tr>
      <w:tr w14:paraId="074DA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Merge w:val="continue"/>
            <w:vAlign w:val="center"/>
          </w:tcPr>
          <w:p w14:paraId="50E9C090">
            <w:pPr>
              <w:spacing w:line="320" w:lineRule="exact"/>
              <w:ind w:left="-53" w:leftChars="-25" w:right="-53" w:rightChars="-25"/>
              <w:jc w:val="center"/>
              <w:rPr>
                <w:snapToGrid w:val="0"/>
                <w:kern w:val="0"/>
                <w:szCs w:val="21"/>
              </w:rPr>
            </w:pPr>
          </w:p>
        </w:tc>
        <w:tc>
          <w:tcPr>
            <w:tcW w:w="534" w:type="pct"/>
            <w:vMerge w:val="continue"/>
            <w:vAlign w:val="center"/>
          </w:tcPr>
          <w:p w14:paraId="0A498AFB">
            <w:pPr>
              <w:spacing w:line="320" w:lineRule="exact"/>
              <w:ind w:left="-53" w:leftChars="-25" w:right="-53" w:rightChars="-25"/>
              <w:jc w:val="center"/>
              <w:rPr>
                <w:snapToGrid w:val="0"/>
                <w:kern w:val="0"/>
                <w:szCs w:val="21"/>
              </w:rPr>
            </w:pPr>
          </w:p>
        </w:tc>
        <w:tc>
          <w:tcPr>
            <w:tcW w:w="400" w:type="pct"/>
            <w:vAlign w:val="center"/>
          </w:tcPr>
          <w:p w14:paraId="780ED319">
            <w:pPr>
              <w:spacing w:line="320" w:lineRule="exact"/>
              <w:ind w:left="-53" w:leftChars="-25" w:right="-53" w:rightChars="-25"/>
              <w:jc w:val="center"/>
              <w:rPr>
                <w:snapToGrid w:val="0"/>
                <w:kern w:val="0"/>
                <w:szCs w:val="21"/>
              </w:rPr>
            </w:pPr>
            <w:r>
              <w:rPr>
                <w:snapToGrid w:val="0"/>
                <w:kern w:val="0"/>
                <w:szCs w:val="21"/>
              </w:rPr>
              <w:t>1#</w:t>
            </w:r>
          </w:p>
        </w:tc>
        <w:tc>
          <w:tcPr>
            <w:tcW w:w="535" w:type="pct"/>
            <w:vAlign w:val="center"/>
          </w:tcPr>
          <w:p w14:paraId="2D7628AB">
            <w:pPr>
              <w:spacing w:line="320" w:lineRule="exact"/>
              <w:ind w:left="-53" w:leftChars="-25" w:right="-53" w:rightChars="-25"/>
              <w:jc w:val="center"/>
              <w:rPr>
                <w:snapToGrid w:val="0"/>
                <w:kern w:val="0"/>
                <w:szCs w:val="21"/>
              </w:rPr>
            </w:pPr>
            <w:r>
              <w:rPr>
                <w:snapToGrid w:val="0"/>
                <w:kern w:val="0"/>
                <w:szCs w:val="21"/>
              </w:rPr>
              <w:t>评价指数</w:t>
            </w:r>
          </w:p>
        </w:tc>
        <w:tc>
          <w:tcPr>
            <w:tcW w:w="534" w:type="pct"/>
            <w:vAlign w:val="center"/>
          </w:tcPr>
          <w:p w14:paraId="6BB1B0A6">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w:t>
            </w:r>
          </w:p>
        </w:tc>
        <w:tc>
          <w:tcPr>
            <w:tcW w:w="468" w:type="pct"/>
            <w:vAlign w:val="center"/>
          </w:tcPr>
          <w:p w14:paraId="0D8DB669">
            <w:pPr>
              <w:spacing w:line="320" w:lineRule="exact"/>
              <w:ind w:left="-53" w:leftChars="-25" w:right="-53" w:rightChars="-25"/>
              <w:jc w:val="center"/>
              <w:rPr>
                <w:snapToGrid w:val="0"/>
                <w:kern w:val="0"/>
                <w:szCs w:val="21"/>
              </w:rPr>
            </w:pPr>
            <w:r>
              <w:rPr>
                <w:snapToGrid w:val="0"/>
                <w:kern w:val="0"/>
                <w:szCs w:val="21"/>
              </w:rPr>
              <w:t>评价指数</w:t>
            </w:r>
          </w:p>
        </w:tc>
        <w:tc>
          <w:tcPr>
            <w:tcW w:w="399" w:type="pct"/>
            <w:vAlign w:val="center"/>
          </w:tcPr>
          <w:p w14:paraId="5DFE9B4B">
            <w:pPr>
              <w:spacing w:line="320" w:lineRule="exact"/>
              <w:ind w:left="-53" w:leftChars="-25" w:right="-53" w:rightChars="-25"/>
              <w:jc w:val="center"/>
              <w:rPr>
                <w:snapToGrid w:val="0"/>
                <w:kern w:val="0"/>
                <w:szCs w:val="21"/>
              </w:rPr>
            </w:pPr>
            <w:r>
              <w:rPr>
                <w:rFonts w:hint="eastAsia"/>
                <w:snapToGrid w:val="0"/>
                <w:kern w:val="0"/>
                <w:szCs w:val="21"/>
              </w:rPr>
              <w:t>3</w:t>
            </w:r>
            <w:r>
              <w:rPr>
                <w:snapToGrid w:val="0"/>
                <w:kern w:val="0"/>
                <w:szCs w:val="21"/>
              </w:rPr>
              <w:t>#</w:t>
            </w:r>
          </w:p>
        </w:tc>
        <w:tc>
          <w:tcPr>
            <w:tcW w:w="493" w:type="pct"/>
            <w:vAlign w:val="center"/>
          </w:tcPr>
          <w:p w14:paraId="2C6053DB">
            <w:pPr>
              <w:spacing w:line="320" w:lineRule="exact"/>
              <w:ind w:left="-53" w:leftChars="-25" w:right="-53" w:rightChars="-25"/>
              <w:jc w:val="center"/>
              <w:rPr>
                <w:snapToGrid w:val="0"/>
                <w:kern w:val="0"/>
                <w:szCs w:val="21"/>
              </w:rPr>
            </w:pPr>
            <w:r>
              <w:rPr>
                <w:snapToGrid w:val="0"/>
                <w:kern w:val="0"/>
                <w:szCs w:val="21"/>
              </w:rPr>
              <w:t>评价指数</w:t>
            </w:r>
          </w:p>
        </w:tc>
        <w:tc>
          <w:tcPr>
            <w:tcW w:w="494" w:type="pct"/>
            <w:vAlign w:val="center"/>
          </w:tcPr>
          <w:p w14:paraId="44EEF896">
            <w:pPr>
              <w:spacing w:line="320" w:lineRule="exact"/>
              <w:ind w:left="-53" w:leftChars="-25" w:right="-53" w:rightChars="-25"/>
              <w:jc w:val="center"/>
              <w:rPr>
                <w:snapToGrid w:val="0"/>
                <w:kern w:val="0"/>
                <w:szCs w:val="21"/>
              </w:rPr>
            </w:pPr>
            <w:r>
              <w:rPr>
                <w:rFonts w:hint="eastAsia"/>
                <w:snapToGrid w:val="0"/>
                <w:kern w:val="0"/>
                <w:szCs w:val="21"/>
              </w:rPr>
              <w:t>4#</w:t>
            </w:r>
          </w:p>
        </w:tc>
        <w:tc>
          <w:tcPr>
            <w:tcW w:w="493" w:type="pct"/>
            <w:vAlign w:val="center"/>
          </w:tcPr>
          <w:p w14:paraId="134DB875">
            <w:pPr>
              <w:spacing w:line="320" w:lineRule="exact"/>
              <w:ind w:left="-53" w:leftChars="-25" w:right="-53" w:rightChars="-25"/>
              <w:jc w:val="center"/>
              <w:rPr>
                <w:snapToGrid w:val="0"/>
                <w:kern w:val="0"/>
                <w:szCs w:val="21"/>
              </w:rPr>
            </w:pPr>
            <w:r>
              <w:rPr>
                <w:snapToGrid w:val="0"/>
                <w:kern w:val="0"/>
                <w:szCs w:val="21"/>
              </w:rPr>
              <w:t>评价指数</w:t>
            </w:r>
          </w:p>
        </w:tc>
      </w:tr>
      <w:tr w14:paraId="30744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64421A7">
            <w:pPr>
              <w:spacing w:line="320" w:lineRule="exact"/>
              <w:ind w:left="-53" w:leftChars="-25" w:right="-53" w:rightChars="-25"/>
              <w:jc w:val="center"/>
              <w:rPr>
                <w:snapToGrid w:val="0"/>
                <w:kern w:val="0"/>
                <w:szCs w:val="21"/>
              </w:rPr>
            </w:pPr>
            <w:r>
              <w:rPr>
                <w:snapToGrid w:val="0"/>
                <w:kern w:val="0"/>
                <w:szCs w:val="21"/>
              </w:rPr>
              <w:t>*钾离子</w:t>
            </w:r>
          </w:p>
        </w:tc>
        <w:tc>
          <w:tcPr>
            <w:tcW w:w="534" w:type="pct"/>
            <w:vAlign w:val="center"/>
          </w:tcPr>
          <w:p w14:paraId="132B8BBD">
            <w:pPr>
              <w:spacing w:line="320" w:lineRule="exact"/>
              <w:ind w:left="-53" w:leftChars="-25" w:right="-53" w:rightChars="-25"/>
              <w:jc w:val="center"/>
              <w:rPr>
                <w:snapToGrid w:val="0"/>
                <w:kern w:val="0"/>
                <w:szCs w:val="21"/>
              </w:rPr>
            </w:pPr>
            <w:r>
              <w:rPr>
                <w:rFonts w:hint="eastAsia"/>
                <w:snapToGrid w:val="0"/>
                <w:kern w:val="0"/>
                <w:szCs w:val="21"/>
              </w:rPr>
              <w:t>/</w:t>
            </w:r>
          </w:p>
        </w:tc>
        <w:tc>
          <w:tcPr>
            <w:tcW w:w="400" w:type="pct"/>
            <w:vAlign w:val="center"/>
          </w:tcPr>
          <w:p w14:paraId="0F66F253">
            <w:pPr>
              <w:spacing w:line="320" w:lineRule="exact"/>
              <w:ind w:left="-53" w:leftChars="-25" w:right="-53" w:rightChars="-25"/>
              <w:jc w:val="center"/>
              <w:rPr>
                <w:snapToGrid w:val="0"/>
                <w:kern w:val="0"/>
                <w:szCs w:val="21"/>
              </w:rPr>
            </w:pPr>
            <w:r>
              <w:rPr>
                <w:rFonts w:hint="eastAsia"/>
                <w:snapToGrid w:val="0"/>
                <w:kern w:val="0"/>
                <w:szCs w:val="21"/>
              </w:rPr>
              <w:t>3.38</w:t>
            </w:r>
          </w:p>
        </w:tc>
        <w:tc>
          <w:tcPr>
            <w:tcW w:w="535" w:type="pct"/>
            <w:shd w:val="clear" w:color="auto" w:fill="auto"/>
            <w:vAlign w:val="center"/>
          </w:tcPr>
          <w:p w14:paraId="7A3C6244">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095DA2B8">
            <w:pPr>
              <w:spacing w:line="320" w:lineRule="exact"/>
              <w:ind w:left="-53" w:leftChars="-25" w:right="-53" w:rightChars="-25"/>
              <w:jc w:val="center"/>
              <w:rPr>
                <w:snapToGrid w:val="0"/>
                <w:kern w:val="0"/>
                <w:szCs w:val="21"/>
              </w:rPr>
            </w:pPr>
            <w:r>
              <w:rPr>
                <w:szCs w:val="21"/>
              </w:rPr>
              <w:t>1.67</w:t>
            </w:r>
          </w:p>
        </w:tc>
        <w:tc>
          <w:tcPr>
            <w:tcW w:w="468" w:type="pct"/>
            <w:shd w:val="clear" w:color="auto" w:fill="auto"/>
            <w:vAlign w:val="center"/>
          </w:tcPr>
          <w:p w14:paraId="7B900C92">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720418BA">
            <w:pPr>
              <w:spacing w:line="320" w:lineRule="exact"/>
              <w:ind w:left="-53" w:leftChars="-25" w:right="-53" w:rightChars="-25"/>
              <w:jc w:val="center"/>
              <w:rPr>
                <w:snapToGrid w:val="0"/>
                <w:kern w:val="0"/>
                <w:szCs w:val="21"/>
              </w:rPr>
            </w:pPr>
            <w:r>
              <w:rPr>
                <w:szCs w:val="21"/>
              </w:rPr>
              <w:t>2.48</w:t>
            </w:r>
          </w:p>
        </w:tc>
        <w:tc>
          <w:tcPr>
            <w:tcW w:w="493" w:type="pct"/>
            <w:shd w:val="clear" w:color="auto" w:fill="auto"/>
            <w:vAlign w:val="center"/>
          </w:tcPr>
          <w:p w14:paraId="3B08C3B4">
            <w:pPr>
              <w:spacing w:line="320" w:lineRule="exact"/>
              <w:ind w:left="-53" w:leftChars="-25" w:right="-53" w:rightChars="-25"/>
              <w:jc w:val="center"/>
              <w:rPr>
                <w:szCs w:val="21"/>
              </w:rPr>
            </w:pPr>
            <w:r>
              <w:rPr>
                <w:szCs w:val="21"/>
              </w:rPr>
              <w:t>/</w:t>
            </w:r>
          </w:p>
        </w:tc>
        <w:tc>
          <w:tcPr>
            <w:tcW w:w="494" w:type="pct"/>
            <w:shd w:val="clear" w:color="auto" w:fill="auto"/>
            <w:vAlign w:val="center"/>
          </w:tcPr>
          <w:p w14:paraId="20C5523A">
            <w:pPr>
              <w:spacing w:line="320" w:lineRule="exact"/>
              <w:ind w:left="-53" w:leftChars="-25" w:right="-53" w:rightChars="-25"/>
              <w:jc w:val="center"/>
              <w:rPr>
                <w:szCs w:val="21"/>
              </w:rPr>
            </w:pPr>
            <w:r>
              <w:rPr>
                <w:szCs w:val="21"/>
              </w:rPr>
              <w:t>5.24</w:t>
            </w:r>
          </w:p>
        </w:tc>
        <w:tc>
          <w:tcPr>
            <w:tcW w:w="493" w:type="pct"/>
            <w:shd w:val="clear" w:color="auto" w:fill="auto"/>
            <w:vAlign w:val="center"/>
          </w:tcPr>
          <w:p w14:paraId="04DFF4DB">
            <w:pPr>
              <w:spacing w:line="320" w:lineRule="exact"/>
              <w:ind w:left="-53" w:leftChars="-25" w:right="-53" w:rightChars="-25"/>
              <w:jc w:val="center"/>
              <w:rPr>
                <w:snapToGrid w:val="0"/>
                <w:kern w:val="0"/>
                <w:szCs w:val="21"/>
              </w:rPr>
            </w:pPr>
            <w:r>
              <w:rPr>
                <w:szCs w:val="21"/>
              </w:rPr>
              <w:t>/</w:t>
            </w:r>
          </w:p>
        </w:tc>
      </w:tr>
      <w:tr w14:paraId="30EDC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42886EAE">
            <w:pPr>
              <w:spacing w:line="320" w:lineRule="exact"/>
              <w:ind w:left="-53" w:leftChars="-25" w:right="-53" w:rightChars="-25"/>
              <w:jc w:val="center"/>
              <w:rPr>
                <w:snapToGrid w:val="0"/>
                <w:kern w:val="0"/>
                <w:szCs w:val="21"/>
              </w:rPr>
            </w:pPr>
            <w:r>
              <w:rPr>
                <w:snapToGrid w:val="0"/>
                <w:kern w:val="0"/>
                <w:szCs w:val="21"/>
              </w:rPr>
              <w:t>*钠离子</w:t>
            </w:r>
          </w:p>
        </w:tc>
        <w:tc>
          <w:tcPr>
            <w:tcW w:w="534" w:type="pct"/>
            <w:vAlign w:val="center"/>
          </w:tcPr>
          <w:p w14:paraId="3BA53F41">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00</w:t>
            </w:r>
          </w:p>
        </w:tc>
        <w:tc>
          <w:tcPr>
            <w:tcW w:w="400" w:type="pct"/>
            <w:vAlign w:val="center"/>
          </w:tcPr>
          <w:p w14:paraId="71AA6762">
            <w:pPr>
              <w:spacing w:line="320" w:lineRule="exact"/>
              <w:ind w:left="-53" w:leftChars="-25" w:right="-53" w:rightChars="-25"/>
              <w:jc w:val="center"/>
              <w:rPr>
                <w:snapToGrid w:val="0"/>
                <w:kern w:val="0"/>
                <w:szCs w:val="21"/>
              </w:rPr>
            </w:pPr>
            <w:r>
              <w:rPr>
                <w:rFonts w:hint="eastAsia"/>
                <w:snapToGrid w:val="0"/>
                <w:kern w:val="0"/>
                <w:szCs w:val="21"/>
              </w:rPr>
              <w:t>18.9</w:t>
            </w:r>
          </w:p>
        </w:tc>
        <w:tc>
          <w:tcPr>
            <w:tcW w:w="535" w:type="pct"/>
            <w:shd w:val="clear" w:color="auto" w:fill="auto"/>
            <w:vAlign w:val="center"/>
          </w:tcPr>
          <w:p w14:paraId="5030418D">
            <w:pPr>
              <w:spacing w:line="320" w:lineRule="exact"/>
              <w:ind w:left="-53" w:leftChars="-25" w:right="-53" w:rightChars="-25"/>
              <w:jc w:val="center"/>
              <w:rPr>
                <w:snapToGrid w:val="0"/>
                <w:kern w:val="0"/>
                <w:szCs w:val="21"/>
              </w:rPr>
            </w:pPr>
            <w:r>
              <w:rPr>
                <w:szCs w:val="21"/>
              </w:rPr>
              <w:t xml:space="preserve">0.09 </w:t>
            </w:r>
          </w:p>
        </w:tc>
        <w:tc>
          <w:tcPr>
            <w:tcW w:w="534" w:type="pct"/>
            <w:shd w:val="clear" w:color="auto" w:fill="auto"/>
            <w:vAlign w:val="center"/>
          </w:tcPr>
          <w:p w14:paraId="24696CE2">
            <w:pPr>
              <w:spacing w:line="320" w:lineRule="exact"/>
              <w:ind w:left="-53" w:leftChars="-25" w:right="-53" w:rightChars="-25"/>
              <w:jc w:val="center"/>
              <w:rPr>
                <w:snapToGrid w:val="0"/>
                <w:kern w:val="0"/>
                <w:szCs w:val="21"/>
              </w:rPr>
            </w:pPr>
            <w:r>
              <w:rPr>
                <w:szCs w:val="21"/>
              </w:rPr>
              <w:t>34.4</w:t>
            </w:r>
          </w:p>
        </w:tc>
        <w:tc>
          <w:tcPr>
            <w:tcW w:w="468" w:type="pct"/>
            <w:shd w:val="clear" w:color="auto" w:fill="auto"/>
            <w:vAlign w:val="center"/>
          </w:tcPr>
          <w:p w14:paraId="1B3FC625">
            <w:pPr>
              <w:spacing w:line="320" w:lineRule="exact"/>
              <w:ind w:left="-53" w:leftChars="-25" w:right="-53" w:rightChars="-25"/>
              <w:jc w:val="center"/>
              <w:rPr>
                <w:snapToGrid w:val="0"/>
                <w:kern w:val="0"/>
                <w:szCs w:val="21"/>
              </w:rPr>
            </w:pPr>
            <w:r>
              <w:rPr>
                <w:szCs w:val="21"/>
              </w:rPr>
              <w:t>0.172</w:t>
            </w:r>
          </w:p>
        </w:tc>
        <w:tc>
          <w:tcPr>
            <w:tcW w:w="399" w:type="pct"/>
            <w:shd w:val="clear" w:color="auto" w:fill="auto"/>
            <w:vAlign w:val="center"/>
          </w:tcPr>
          <w:p w14:paraId="1390A562">
            <w:pPr>
              <w:spacing w:line="320" w:lineRule="exact"/>
              <w:ind w:left="-53" w:leftChars="-25" w:right="-53" w:rightChars="-25"/>
              <w:jc w:val="center"/>
              <w:rPr>
                <w:snapToGrid w:val="0"/>
                <w:kern w:val="0"/>
                <w:szCs w:val="21"/>
              </w:rPr>
            </w:pPr>
            <w:r>
              <w:rPr>
                <w:szCs w:val="21"/>
              </w:rPr>
              <w:t>18.9</w:t>
            </w:r>
          </w:p>
        </w:tc>
        <w:tc>
          <w:tcPr>
            <w:tcW w:w="493" w:type="pct"/>
            <w:shd w:val="clear" w:color="auto" w:fill="auto"/>
            <w:vAlign w:val="center"/>
          </w:tcPr>
          <w:p w14:paraId="217199C0">
            <w:pPr>
              <w:spacing w:line="320" w:lineRule="exact"/>
              <w:ind w:left="-53" w:leftChars="-25" w:right="-53" w:rightChars="-25"/>
              <w:jc w:val="center"/>
              <w:rPr>
                <w:snapToGrid w:val="0"/>
                <w:kern w:val="0"/>
                <w:szCs w:val="21"/>
              </w:rPr>
            </w:pPr>
            <w:r>
              <w:rPr>
                <w:szCs w:val="21"/>
              </w:rPr>
              <w:t xml:space="preserve">0.09 </w:t>
            </w:r>
          </w:p>
        </w:tc>
        <w:tc>
          <w:tcPr>
            <w:tcW w:w="494" w:type="pct"/>
            <w:shd w:val="clear" w:color="auto" w:fill="auto"/>
            <w:vAlign w:val="center"/>
          </w:tcPr>
          <w:p w14:paraId="77756FDD">
            <w:pPr>
              <w:spacing w:line="320" w:lineRule="exact"/>
              <w:ind w:left="-53" w:leftChars="-25" w:right="-53" w:rightChars="-25"/>
              <w:jc w:val="center"/>
              <w:rPr>
                <w:snapToGrid w:val="0"/>
                <w:kern w:val="0"/>
                <w:szCs w:val="21"/>
              </w:rPr>
            </w:pPr>
            <w:r>
              <w:rPr>
                <w:szCs w:val="21"/>
              </w:rPr>
              <w:t>19.8</w:t>
            </w:r>
          </w:p>
        </w:tc>
        <w:tc>
          <w:tcPr>
            <w:tcW w:w="493" w:type="pct"/>
            <w:shd w:val="clear" w:color="auto" w:fill="auto"/>
            <w:vAlign w:val="center"/>
          </w:tcPr>
          <w:p w14:paraId="36AED9AF">
            <w:pPr>
              <w:spacing w:line="320" w:lineRule="exact"/>
              <w:ind w:left="-53" w:leftChars="-25" w:right="-53" w:rightChars="-25"/>
              <w:jc w:val="center"/>
              <w:rPr>
                <w:snapToGrid w:val="0"/>
                <w:kern w:val="0"/>
                <w:szCs w:val="21"/>
              </w:rPr>
            </w:pPr>
            <w:r>
              <w:rPr>
                <w:szCs w:val="21"/>
              </w:rPr>
              <w:t xml:space="preserve">0.10 </w:t>
            </w:r>
          </w:p>
        </w:tc>
      </w:tr>
      <w:tr w14:paraId="400710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72334055">
            <w:pPr>
              <w:spacing w:line="320" w:lineRule="exact"/>
              <w:ind w:left="-53" w:leftChars="-25" w:right="-53" w:rightChars="-25"/>
              <w:jc w:val="center"/>
              <w:rPr>
                <w:snapToGrid w:val="0"/>
                <w:kern w:val="0"/>
                <w:szCs w:val="21"/>
              </w:rPr>
            </w:pPr>
            <w:r>
              <w:rPr>
                <w:snapToGrid w:val="0"/>
                <w:kern w:val="0"/>
                <w:szCs w:val="21"/>
              </w:rPr>
              <w:t>*钙离子</w:t>
            </w:r>
          </w:p>
        </w:tc>
        <w:tc>
          <w:tcPr>
            <w:tcW w:w="534" w:type="pct"/>
            <w:vAlign w:val="center"/>
          </w:tcPr>
          <w:p w14:paraId="4B2F0518">
            <w:pPr>
              <w:spacing w:line="320" w:lineRule="exact"/>
              <w:ind w:left="-53" w:leftChars="-25" w:right="-53" w:rightChars="-25"/>
              <w:jc w:val="center"/>
              <w:rPr>
                <w:snapToGrid w:val="0"/>
                <w:kern w:val="0"/>
                <w:szCs w:val="21"/>
              </w:rPr>
            </w:pPr>
            <w:r>
              <w:rPr>
                <w:rFonts w:hint="eastAsia"/>
                <w:snapToGrid w:val="0"/>
                <w:kern w:val="0"/>
                <w:szCs w:val="21"/>
              </w:rPr>
              <w:t>/</w:t>
            </w:r>
          </w:p>
        </w:tc>
        <w:tc>
          <w:tcPr>
            <w:tcW w:w="400" w:type="pct"/>
            <w:vAlign w:val="center"/>
          </w:tcPr>
          <w:p w14:paraId="4DC41F0E">
            <w:pPr>
              <w:spacing w:line="320" w:lineRule="exact"/>
              <w:ind w:left="-53" w:leftChars="-25" w:right="-53" w:rightChars="-25"/>
              <w:jc w:val="center"/>
              <w:rPr>
                <w:snapToGrid w:val="0"/>
                <w:kern w:val="0"/>
                <w:szCs w:val="21"/>
              </w:rPr>
            </w:pPr>
            <w:r>
              <w:rPr>
                <w:rFonts w:hint="eastAsia"/>
                <w:snapToGrid w:val="0"/>
                <w:kern w:val="0"/>
                <w:szCs w:val="21"/>
              </w:rPr>
              <w:t>44.6</w:t>
            </w:r>
          </w:p>
        </w:tc>
        <w:tc>
          <w:tcPr>
            <w:tcW w:w="535" w:type="pct"/>
            <w:shd w:val="clear" w:color="auto" w:fill="auto"/>
            <w:vAlign w:val="center"/>
          </w:tcPr>
          <w:p w14:paraId="23F48D1C">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071DE27B">
            <w:pPr>
              <w:spacing w:line="320" w:lineRule="exact"/>
              <w:ind w:left="-53" w:leftChars="-25" w:right="-53" w:rightChars="-25"/>
              <w:jc w:val="center"/>
              <w:rPr>
                <w:snapToGrid w:val="0"/>
                <w:kern w:val="0"/>
                <w:szCs w:val="21"/>
              </w:rPr>
            </w:pPr>
            <w:r>
              <w:rPr>
                <w:szCs w:val="21"/>
              </w:rPr>
              <w:t>44.7</w:t>
            </w:r>
          </w:p>
        </w:tc>
        <w:tc>
          <w:tcPr>
            <w:tcW w:w="468" w:type="pct"/>
            <w:shd w:val="clear" w:color="auto" w:fill="auto"/>
            <w:vAlign w:val="center"/>
          </w:tcPr>
          <w:p w14:paraId="3C572CDD">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553329E4">
            <w:pPr>
              <w:spacing w:line="320" w:lineRule="exact"/>
              <w:ind w:left="-53" w:leftChars="-25" w:right="-53" w:rightChars="-25"/>
              <w:jc w:val="center"/>
              <w:rPr>
                <w:snapToGrid w:val="0"/>
                <w:kern w:val="0"/>
                <w:szCs w:val="21"/>
              </w:rPr>
            </w:pPr>
            <w:r>
              <w:rPr>
                <w:szCs w:val="21"/>
              </w:rPr>
              <w:t>14.1</w:t>
            </w:r>
          </w:p>
        </w:tc>
        <w:tc>
          <w:tcPr>
            <w:tcW w:w="493" w:type="pct"/>
            <w:shd w:val="clear" w:color="auto" w:fill="auto"/>
            <w:vAlign w:val="center"/>
          </w:tcPr>
          <w:p w14:paraId="6D8E89CA">
            <w:pPr>
              <w:spacing w:line="320" w:lineRule="exact"/>
              <w:ind w:left="-53" w:leftChars="-25" w:right="-53" w:rightChars="-25"/>
              <w:jc w:val="center"/>
              <w:rPr>
                <w:szCs w:val="21"/>
              </w:rPr>
            </w:pPr>
            <w:r>
              <w:rPr>
                <w:szCs w:val="21"/>
              </w:rPr>
              <w:t>/</w:t>
            </w:r>
          </w:p>
        </w:tc>
        <w:tc>
          <w:tcPr>
            <w:tcW w:w="494" w:type="pct"/>
            <w:shd w:val="clear" w:color="auto" w:fill="auto"/>
            <w:vAlign w:val="center"/>
          </w:tcPr>
          <w:p w14:paraId="3BF05380">
            <w:pPr>
              <w:spacing w:line="320" w:lineRule="exact"/>
              <w:ind w:left="-53" w:leftChars="-25" w:right="-53" w:rightChars="-25"/>
              <w:jc w:val="center"/>
              <w:rPr>
                <w:szCs w:val="21"/>
              </w:rPr>
            </w:pPr>
            <w:r>
              <w:rPr>
                <w:szCs w:val="21"/>
              </w:rPr>
              <w:t>52.8</w:t>
            </w:r>
          </w:p>
        </w:tc>
        <w:tc>
          <w:tcPr>
            <w:tcW w:w="493" w:type="pct"/>
            <w:shd w:val="clear" w:color="auto" w:fill="auto"/>
            <w:vAlign w:val="center"/>
          </w:tcPr>
          <w:p w14:paraId="253E42CF">
            <w:pPr>
              <w:spacing w:line="320" w:lineRule="exact"/>
              <w:ind w:left="-53" w:leftChars="-25" w:right="-53" w:rightChars="-25"/>
              <w:jc w:val="center"/>
              <w:rPr>
                <w:snapToGrid w:val="0"/>
                <w:kern w:val="0"/>
                <w:szCs w:val="21"/>
              </w:rPr>
            </w:pPr>
            <w:r>
              <w:rPr>
                <w:szCs w:val="21"/>
              </w:rPr>
              <w:t>/</w:t>
            </w:r>
          </w:p>
        </w:tc>
      </w:tr>
      <w:tr w14:paraId="24EA4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B80C0D7">
            <w:pPr>
              <w:spacing w:line="320" w:lineRule="exact"/>
              <w:ind w:left="-53" w:leftChars="-25" w:right="-53" w:rightChars="-25"/>
              <w:jc w:val="center"/>
              <w:rPr>
                <w:snapToGrid w:val="0"/>
                <w:kern w:val="0"/>
                <w:szCs w:val="21"/>
              </w:rPr>
            </w:pPr>
            <w:r>
              <w:rPr>
                <w:snapToGrid w:val="0"/>
                <w:kern w:val="0"/>
                <w:szCs w:val="21"/>
              </w:rPr>
              <w:t>*镁离子</w:t>
            </w:r>
          </w:p>
        </w:tc>
        <w:tc>
          <w:tcPr>
            <w:tcW w:w="534" w:type="pct"/>
            <w:vAlign w:val="center"/>
          </w:tcPr>
          <w:p w14:paraId="06F7F58C">
            <w:pPr>
              <w:spacing w:line="320" w:lineRule="exact"/>
              <w:ind w:left="-53" w:leftChars="-25" w:right="-53" w:rightChars="-25"/>
              <w:jc w:val="center"/>
              <w:rPr>
                <w:snapToGrid w:val="0"/>
                <w:kern w:val="0"/>
                <w:szCs w:val="21"/>
              </w:rPr>
            </w:pPr>
            <w:r>
              <w:rPr>
                <w:rFonts w:hint="eastAsia"/>
                <w:snapToGrid w:val="0"/>
                <w:kern w:val="0"/>
                <w:szCs w:val="21"/>
              </w:rPr>
              <w:t>/</w:t>
            </w:r>
          </w:p>
        </w:tc>
        <w:tc>
          <w:tcPr>
            <w:tcW w:w="400" w:type="pct"/>
            <w:vAlign w:val="center"/>
          </w:tcPr>
          <w:p w14:paraId="7BE96E08">
            <w:pPr>
              <w:spacing w:line="320" w:lineRule="exact"/>
              <w:ind w:left="-53" w:leftChars="-25" w:right="-53" w:rightChars="-25"/>
              <w:jc w:val="center"/>
              <w:rPr>
                <w:snapToGrid w:val="0"/>
                <w:kern w:val="0"/>
                <w:szCs w:val="21"/>
              </w:rPr>
            </w:pPr>
            <w:r>
              <w:rPr>
                <w:rFonts w:hint="eastAsia"/>
                <w:snapToGrid w:val="0"/>
                <w:kern w:val="0"/>
                <w:szCs w:val="21"/>
              </w:rPr>
              <w:t>19.8</w:t>
            </w:r>
          </w:p>
        </w:tc>
        <w:tc>
          <w:tcPr>
            <w:tcW w:w="535" w:type="pct"/>
            <w:shd w:val="clear" w:color="auto" w:fill="auto"/>
            <w:vAlign w:val="center"/>
          </w:tcPr>
          <w:p w14:paraId="470D4E09">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6C3EB10">
            <w:pPr>
              <w:spacing w:line="320" w:lineRule="exact"/>
              <w:ind w:left="-53" w:leftChars="-25" w:right="-53" w:rightChars="-25"/>
              <w:jc w:val="center"/>
              <w:rPr>
                <w:snapToGrid w:val="0"/>
                <w:kern w:val="0"/>
                <w:szCs w:val="21"/>
              </w:rPr>
            </w:pPr>
            <w:r>
              <w:rPr>
                <w:szCs w:val="21"/>
              </w:rPr>
              <w:t>18.6</w:t>
            </w:r>
          </w:p>
        </w:tc>
        <w:tc>
          <w:tcPr>
            <w:tcW w:w="468" w:type="pct"/>
            <w:shd w:val="clear" w:color="auto" w:fill="auto"/>
            <w:vAlign w:val="center"/>
          </w:tcPr>
          <w:p w14:paraId="7269E22D">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3D6830D1">
            <w:pPr>
              <w:spacing w:line="320" w:lineRule="exact"/>
              <w:ind w:left="-53" w:leftChars="-25" w:right="-53" w:rightChars="-25"/>
              <w:jc w:val="center"/>
              <w:rPr>
                <w:snapToGrid w:val="0"/>
                <w:kern w:val="0"/>
                <w:szCs w:val="21"/>
              </w:rPr>
            </w:pPr>
            <w:r>
              <w:rPr>
                <w:szCs w:val="21"/>
              </w:rPr>
              <w:t>17.4</w:t>
            </w:r>
          </w:p>
        </w:tc>
        <w:tc>
          <w:tcPr>
            <w:tcW w:w="493" w:type="pct"/>
            <w:shd w:val="clear" w:color="auto" w:fill="auto"/>
            <w:vAlign w:val="center"/>
          </w:tcPr>
          <w:p w14:paraId="0AA9EA02">
            <w:pPr>
              <w:spacing w:line="320" w:lineRule="exact"/>
              <w:ind w:left="-53" w:leftChars="-25" w:right="-53" w:rightChars="-25"/>
              <w:jc w:val="center"/>
              <w:rPr>
                <w:szCs w:val="21"/>
              </w:rPr>
            </w:pPr>
            <w:r>
              <w:rPr>
                <w:szCs w:val="21"/>
              </w:rPr>
              <w:t>/</w:t>
            </w:r>
          </w:p>
        </w:tc>
        <w:tc>
          <w:tcPr>
            <w:tcW w:w="494" w:type="pct"/>
            <w:shd w:val="clear" w:color="auto" w:fill="auto"/>
            <w:vAlign w:val="center"/>
          </w:tcPr>
          <w:p w14:paraId="673A567E">
            <w:pPr>
              <w:spacing w:line="320" w:lineRule="exact"/>
              <w:ind w:left="-53" w:leftChars="-25" w:right="-53" w:rightChars="-25"/>
              <w:jc w:val="center"/>
              <w:rPr>
                <w:szCs w:val="21"/>
              </w:rPr>
            </w:pPr>
            <w:r>
              <w:rPr>
                <w:szCs w:val="21"/>
              </w:rPr>
              <w:t>27.3</w:t>
            </w:r>
          </w:p>
        </w:tc>
        <w:tc>
          <w:tcPr>
            <w:tcW w:w="493" w:type="pct"/>
            <w:shd w:val="clear" w:color="auto" w:fill="auto"/>
            <w:vAlign w:val="center"/>
          </w:tcPr>
          <w:p w14:paraId="047E0D74">
            <w:pPr>
              <w:spacing w:line="320" w:lineRule="exact"/>
              <w:ind w:left="-53" w:leftChars="-25" w:right="-53" w:rightChars="-25"/>
              <w:jc w:val="center"/>
              <w:rPr>
                <w:snapToGrid w:val="0"/>
                <w:kern w:val="0"/>
                <w:szCs w:val="21"/>
              </w:rPr>
            </w:pPr>
            <w:r>
              <w:rPr>
                <w:szCs w:val="21"/>
              </w:rPr>
              <w:t>/</w:t>
            </w:r>
          </w:p>
        </w:tc>
      </w:tr>
      <w:tr w14:paraId="5518B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2BB069CA">
            <w:pPr>
              <w:spacing w:line="320" w:lineRule="exact"/>
              <w:ind w:left="-53" w:leftChars="-25" w:right="-53" w:rightChars="-25"/>
              <w:jc w:val="center"/>
              <w:rPr>
                <w:snapToGrid w:val="0"/>
                <w:kern w:val="0"/>
                <w:szCs w:val="21"/>
              </w:rPr>
            </w:pPr>
            <w:r>
              <w:rPr>
                <w:snapToGrid w:val="0"/>
                <w:kern w:val="0"/>
                <w:szCs w:val="21"/>
              </w:rPr>
              <w:t>碳酸根</w:t>
            </w:r>
          </w:p>
        </w:tc>
        <w:tc>
          <w:tcPr>
            <w:tcW w:w="534" w:type="pct"/>
            <w:vAlign w:val="center"/>
          </w:tcPr>
          <w:p w14:paraId="3D268604">
            <w:pPr>
              <w:spacing w:line="320" w:lineRule="exact"/>
              <w:ind w:left="-53" w:leftChars="-25" w:right="-53" w:rightChars="-25"/>
              <w:jc w:val="center"/>
              <w:rPr>
                <w:snapToGrid w:val="0"/>
                <w:kern w:val="0"/>
                <w:szCs w:val="21"/>
              </w:rPr>
            </w:pPr>
            <w:r>
              <w:rPr>
                <w:rFonts w:hint="eastAsia"/>
                <w:snapToGrid w:val="0"/>
                <w:kern w:val="0"/>
                <w:szCs w:val="21"/>
              </w:rPr>
              <w:t>/</w:t>
            </w:r>
          </w:p>
        </w:tc>
        <w:tc>
          <w:tcPr>
            <w:tcW w:w="400" w:type="pct"/>
            <w:vAlign w:val="center"/>
          </w:tcPr>
          <w:p w14:paraId="16920EC6">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66BEE58C">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652F9CEE">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44D7E36B">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540DEEFA">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205B7D95">
            <w:pPr>
              <w:spacing w:line="320" w:lineRule="exact"/>
              <w:ind w:left="-53" w:leftChars="-25" w:right="-53" w:rightChars="-25"/>
              <w:jc w:val="center"/>
              <w:rPr>
                <w:szCs w:val="21"/>
              </w:rPr>
            </w:pPr>
            <w:r>
              <w:rPr>
                <w:szCs w:val="21"/>
              </w:rPr>
              <w:t>/</w:t>
            </w:r>
          </w:p>
        </w:tc>
        <w:tc>
          <w:tcPr>
            <w:tcW w:w="494" w:type="pct"/>
            <w:shd w:val="clear" w:color="auto" w:fill="auto"/>
            <w:vAlign w:val="center"/>
          </w:tcPr>
          <w:p w14:paraId="3DDBC101">
            <w:pPr>
              <w:spacing w:line="320" w:lineRule="exact"/>
              <w:ind w:left="-53" w:leftChars="-25" w:right="-53" w:rightChars="-25"/>
              <w:jc w:val="center"/>
              <w:rPr>
                <w:szCs w:val="21"/>
              </w:rPr>
            </w:pPr>
            <w:r>
              <w:rPr>
                <w:szCs w:val="21"/>
              </w:rPr>
              <w:t>ND</w:t>
            </w:r>
          </w:p>
        </w:tc>
        <w:tc>
          <w:tcPr>
            <w:tcW w:w="493" w:type="pct"/>
            <w:shd w:val="clear" w:color="auto" w:fill="auto"/>
            <w:vAlign w:val="center"/>
          </w:tcPr>
          <w:p w14:paraId="4887D31C">
            <w:pPr>
              <w:spacing w:line="320" w:lineRule="exact"/>
              <w:ind w:left="-53" w:leftChars="-25" w:right="-53" w:rightChars="-25"/>
              <w:jc w:val="center"/>
              <w:rPr>
                <w:snapToGrid w:val="0"/>
                <w:kern w:val="0"/>
                <w:szCs w:val="21"/>
              </w:rPr>
            </w:pPr>
            <w:r>
              <w:rPr>
                <w:szCs w:val="21"/>
              </w:rPr>
              <w:t>/</w:t>
            </w:r>
          </w:p>
        </w:tc>
      </w:tr>
      <w:tr w14:paraId="05C46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219EC77D">
            <w:pPr>
              <w:spacing w:line="320" w:lineRule="exact"/>
              <w:ind w:left="-53" w:leftChars="-25" w:right="-53" w:rightChars="-25"/>
              <w:jc w:val="center"/>
              <w:rPr>
                <w:snapToGrid w:val="0"/>
                <w:kern w:val="0"/>
                <w:szCs w:val="21"/>
              </w:rPr>
            </w:pPr>
            <w:r>
              <w:rPr>
                <w:rFonts w:hint="eastAsia"/>
                <w:snapToGrid w:val="0"/>
                <w:kern w:val="0"/>
                <w:szCs w:val="21"/>
              </w:rPr>
              <w:t>碳酸氢根</w:t>
            </w:r>
          </w:p>
        </w:tc>
        <w:tc>
          <w:tcPr>
            <w:tcW w:w="534" w:type="pct"/>
            <w:vAlign w:val="center"/>
          </w:tcPr>
          <w:p w14:paraId="26C03910">
            <w:pPr>
              <w:spacing w:line="320" w:lineRule="exact"/>
              <w:ind w:left="-53" w:leftChars="-25" w:right="-53" w:rightChars="-25"/>
              <w:jc w:val="center"/>
              <w:rPr>
                <w:snapToGrid w:val="0"/>
                <w:kern w:val="0"/>
                <w:szCs w:val="21"/>
              </w:rPr>
            </w:pPr>
            <w:r>
              <w:rPr>
                <w:rFonts w:hint="eastAsia"/>
                <w:snapToGrid w:val="0"/>
                <w:kern w:val="0"/>
                <w:szCs w:val="21"/>
              </w:rPr>
              <w:t>/</w:t>
            </w:r>
          </w:p>
        </w:tc>
        <w:tc>
          <w:tcPr>
            <w:tcW w:w="400" w:type="pct"/>
            <w:vAlign w:val="center"/>
          </w:tcPr>
          <w:p w14:paraId="310B24E5">
            <w:pPr>
              <w:spacing w:line="320" w:lineRule="exact"/>
              <w:ind w:left="-53" w:leftChars="-25" w:right="-53" w:rightChars="-25"/>
              <w:jc w:val="center"/>
              <w:rPr>
                <w:snapToGrid w:val="0"/>
                <w:kern w:val="0"/>
                <w:szCs w:val="21"/>
              </w:rPr>
            </w:pPr>
            <w:r>
              <w:rPr>
                <w:rFonts w:hint="eastAsia"/>
                <w:snapToGrid w:val="0"/>
                <w:kern w:val="0"/>
                <w:szCs w:val="21"/>
              </w:rPr>
              <w:t>330</w:t>
            </w:r>
          </w:p>
        </w:tc>
        <w:tc>
          <w:tcPr>
            <w:tcW w:w="535" w:type="pct"/>
            <w:shd w:val="clear" w:color="auto" w:fill="auto"/>
            <w:vAlign w:val="center"/>
          </w:tcPr>
          <w:p w14:paraId="3FDF8445">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D288CA5">
            <w:pPr>
              <w:spacing w:line="320" w:lineRule="exact"/>
              <w:ind w:left="-53" w:leftChars="-25" w:right="-53" w:rightChars="-25"/>
              <w:jc w:val="center"/>
              <w:rPr>
                <w:snapToGrid w:val="0"/>
                <w:kern w:val="0"/>
                <w:szCs w:val="21"/>
              </w:rPr>
            </w:pPr>
            <w:r>
              <w:rPr>
                <w:szCs w:val="21"/>
              </w:rPr>
              <w:t>325</w:t>
            </w:r>
          </w:p>
        </w:tc>
        <w:tc>
          <w:tcPr>
            <w:tcW w:w="468" w:type="pct"/>
            <w:shd w:val="clear" w:color="auto" w:fill="auto"/>
            <w:vAlign w:val="center"/>
          </w:tcPr>
          <w:p w14:paraId="3D854B5B">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212A8ABD">
            <w:pPr>
              <w:spacing w:line="320" w:lineRule="exact"/>
              <w:ind w:left="-53" w:leftChars="-25" w:right="-53" w:rightChars="-25"/>
              <w:jc w:val="center"/>
              <w:rPr>
                <w:snapToGrid w:val="0"/>
                <w:kern w:val="0"/>
                <w:szCs w:val="21"/>
              </w:rPr>
            </w:pPr>
            <w:r>
              <w:rPr>
                <w:szCs w:val="21"/>
              </w:rPr>
              <w:t>278</w:t>
            </w:r>
          </w:p>
        </w:tc>
        <w:tc>
          <w:tcPr>
            <w:tcW w:w="493" w:type="pct"/>
            <w:shd w:val="clear" w:color="auto" w:fill="auto"/>
            <w:vAlign w:val="center"/>
          </w:tcPr>
          <w:p w14:paraId="042EE9FD">
            <w:pPr>
              <w:spacing w:line="320" w:lineRule="exact"/>
              <w:ind w:left="-53" w:leftChars="-25" w:right="-53" w:rightChars="-25"/>
              <w:jc w:val="center"/>
              <w:rPr>
                <w:szCs w:val="21"/>
              </w:rPr>
            </w:pPr>
            <w:r>
              <w:rPr>
                <w:szCs w:val="21"/>
              </w:rPr>
              <w:t>/</w:t>
            </w:r>
          </w:p>
        </w:tc>
        <w:tc>
          <w:tcPr>
            <w:tcW w:w="494" w:type="pct"/>
            <w:shd w:val="clear" w:color="auto" w:fill="auto"/>
            <w:vAlign w:val="center"/>
          </w:tcPr>
          <w:p w14:paraId="38A9D6B9">
            <w:pPr>
              <w:spacing w:line="320" w:lineRule="exact"/>
              <w:ind w:left="-53" w:leftChars="-25" w:right="-53" w:rightChars="-25"/>
              <w:jc w:val="center"/>
              <w:rPr>
                <w:szCs w:val="21"/>
              </w:rPr>
            </w:pPr>
            <w:r>
              <w:rPr>
                <w:szCs w:val="21"/>
              </w:rPr>
              <w:t>333</w:t>
            </w:r>
          </w:p>
        </w:tc>
        <w:tc>
          <w:tcPr>
            <w:tcW w:w="493" w:type="pct"/>
            <w:shd w:val="clear" w:color="auto" w:fill="auto"/>
            <w:vAlign w:val="center"/>
          </w:tcPr>
          <w:p w14:paraId="21E0AF20">
            <w:pPr>
              <w:spacing w:line="320" w:lineRule="exact"/>
              <w:ind w:left="-53" w:leftChars="-25" w:right="-53" w:rightChars="-25"/>
              <w:jc w:val="center"/>
              <w:rPr>
                <w:snapToGrid w:val="0"/>
                <w:kern w:val="0"/>
                <w:szCs w:val="21"/>
              </w:rPr>
            </w:pPr>
            <w:r>
              <w:rPr>
                <w:szCs w:val="21"/>
              </w:rPr>
              <w:t>/</w:t>
            </w:r>
          </w:p>
        </w:tc>
      </w:tr>
      <w:tr w14:paraId="347EE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38952C7F">
            <w:pPr>
              <w:spacing w:line="320" w:lineRule="exact"/>
              <w:ind w:left="-53" w:leftChars="-25" w:right="-53" w:rightChars="-25"/>
              <w:jc w:val="center"/>
              <w:rPr>
                <w:snapToGrid w:val="0"/>
                <w:kern w:val="0"/>
                <w:szCs w:val="21"/>
              </w:rPr>
            </w:pPr>
            <w:r>
              <w:rPr>
                <w:snapToGrid w:val="0"/>
                <w:kern w:val="0"/>
                <w:szCs w:val="21"/>
              </w:rPr>
              <w:t>pH值</w:t>
            </w:r>
          </w:p>
        </w:tc>
        <w:tc>
          <w:tcPr>
            <w:tcW w:w="534" w:type="pct"/>
            <w:vAlign w:val="center"/>
          </w:tcPr>
          <w:p w14:paraId="122E3A90">
            <w:pPr>
              <w:spacing w:line="320" w:lineRule="exact"/>
              <w:ind w:left="-53" w:leftChars="-25" w:right="-53" w:rightChars="-25"/>
              <w:jc w:val="center"/>
              <w:rPr>
                <w:snapToGrid w:val="0"/>
                <w:kern w:val="0"/>
                <w:szCs w:val="21"/>
              </w:rPr>
            </w:pPr>
            <w:r>
              <w:rPr>
                <w:rFonts w:hint="eastAsia"/>
                <w:snapToGrid w:val="0"/>
                <w:kern w:val="0"/>
                <w:szCs w:val="21"/>
              </w:rPr>
              <w:t>6.</w:t>
            </w:r>
            <w:r>
              <w:rPr>
                <w:snapToGrid w:val="0"/>
                <w:kern w:val="0"/>
                <w:szCs w:val="21"/>
              </w:rPr>
              <w:t>5</w:t>
            </w:r>
            <w:r>
              <w:rPr>
                <w:rFonts w:hint="eastAsia"/>
                <w:snapToGrid w:val="0"/>
                <w:kern w:val="0"/>
                <w:szCs w:val="21"/>
              </w:rPr>
              <w:t>~</w:t>
            </w:r>
            <w:r>
              <w:rPr>
                <w:snapToGrid w:val="0"/>
                <w:kern w:val="0"/>
                <w:szCs w:val="21"/>
              </w:rPr>
              <w:t>8.5</w:t>
            </w:r>
          </w:p>
        </w:tc>
        <w:tc>
          <w:tcPr>
            <w:tcW w:w="400" w:type="pct"/>
            <w:vAlign w:val="center"/>
          </w:tcPr>
          <w:p w14:paraId="4AA9B7E7">
            <w:pPr>
              <w:spacing w:line="320" w:lineRule="exact"/>
              <w:ind w:left="-53" w:leftChars="-25" w:right="-53" w:rightChars="-25"/>
              <w:jc w:val="center"/>
              <w:rPr>
                <w:snapToGrid w:val="0"/>
                <w:kern w:val="0"/>
                <w:szCs w:val="21"/>
              </w:rPr>
            </w:pPr>
            <w:r>
              <w:rPr>
                <w:rFonts w:hint="eastAsia"/>
                <w:snapToGrid w:val="0"/>
                <w:kern w:val="0"/>
                <w:szCs w:val="21"/>
              </w:rPr>
              <w:t>7.8</w:t>
            </w:r>
          </w:p>
        </w:tc>
        <w:tc>
          <w:tcPr>
            <w:tcW w:w="535" w:type="pct"/>
            <w:shd w:val="clear" w:color="auto" w:fill="auto"/>
            <w:vAlign w:val="center"/>
          </w:tcPr>
          <w:p w14:paraId="351275FA">
            <w:pPr>
              <w:spacing w:line="320" w:lineRule="exact"/>
              <w:ind w:left="-53" w:leftChars="-25" w:right="-53" w:rightChars="-25"/>
              <w:jc w:val="center"/>
              <w:rPr>
                <w:snapToGrid w:val="0"/>
                <w:kern w:val="0"/>
                <w:szCs w:val="21"/>
              </w:rPr>
            </w:pPr>
            <w:r>
              <w:rPr>
                <w:szCs w:val="21"/>
              </w:rPr>
              <w:t xml:space="preserve">0.53 </w:t>
            </w:r>
          </w:p>
        </w:tc>
        <w:tc>
          <w:tcPr>
            <w:tcW w:w="534" w:type="pct"/>
            <w:shd w:val="clear" w:color="auto" w:fill="auto"/>
            <w:vAlign w:val="center"/>
          </w:tcPr>
          <w:p w14:paraId="11C93B0F">
            <w:pPr>
              <w:spacing w:line="320" w:lineRule="exact"/>
              <w:ind w:left="-53" w:leftChars="-25" w:right="-53" w:rightChars="-25"/>
              <w:jc w:val="center"/>
              <w:rPr>
                <w:snapToGrid w:val="0"/>
                <w:kern w:val="0"/>
                <w:szCs w:val="21"/>
              </w:rPr>
            </w:pPr>
            <w:r>
              <w:rPr>
                <w:szCs w:val="21"/>
              </w:rPr>
              <w:t>7.7</w:t>
            </w:r>
          </w:p>
        </w:tc>
        <w:tc>
          <w:tcPr>
            <w:tcW w:w="468" w:type="pct"/>
            <w:shd w:val="clear" w:color="auto" w:fill="auto"/>
            <w:vAlign w:val="center"/>
          </w:tcPr>
          <w:p w14:paraId="478DBE34">
            <w:pPr>
              <w:spacing w:line="320" w:lineRule="exact"/>
              <w:ind w:left="-53" w:leftChars="-25" w:right="-53" w:rightChars="-25"/>
              <w:jc w:val="center"/>
              <w:rPr>
                <w:snapToGrid w:val="0"/>
                <w:kern w:val="0"/>
                <w:szCs w:val="21"/>
              </w:rPr>
            </w:pPr>
            <w:r>
              <w:rPr>
                <w:szCs w:val="21"/>
              </w:rPr>
              <w:t xml:space="preserve">0.47 </w:t>
            </w:r>
          </w:p>
        </w:tc>
        <w:tc>
          <w:tcPr>
            <w:tcW w:w="399" w:type="pct"/>
            <w:shd w:val="clear" w:color="auto" w:fill="auto"/>
            <w:vAlign w:val="center"/>
          </w:tcPr>
          <w:p w14:paraId="3C8D8570">
            <w:pPr>
              <w:spacing w:line="320" w:lineRule="exact"/>
              <w:ind w:left="-53" w:leftChars="-25" w:right="-53" w:rightChars="-25"/>
              <w:jc w:val="center"/>
              <w:rPr>
                <w:snapToGrid w:val="0"/>
                <w:kern w:val="0"/>
                <w:szCs w:val="21"/>
              </w:rPr>
            </w:pPr>
            <w:r>
              <w:rPr>
                <w:szCs w:val="21"/>
              </w:rPr>
              <w:t>7.9</w:t>
            </w:r>
          </w:p>
        </w:tc>
        <w:tc>
          <w:tcPr>
            <w:tcW w:w="493" w:type="pct"/>
            <w:shd w:val="clear" w:color="auto" w:fill="auto"/>
            <w:vAlign w:val="center"/>
          </w:tcPr>
          <w:p w14:paraId="4665EEAE">
            <w:pPr>
              <w:spacing w:line="320" w:lineRule="exact"/>
              <w:ind w:left="-53" w:leftChars="-25" w:right="-53" w:rightChars="-25"/>
              <w:jc w:val="center"/>
              <w:rPr>
                <w:snapToGrid w:val="0"/>
                <w:kern w:val="0"/>
                <w:szCs w:val="21"/>
              </w:rPr>
            </w:pPr>
            <w:r>
              <w:rPr>
                <w:szCs w:val="21"/>
              </w:rPr>
              <w:t xml:space="preserve">0.60 </w:t>
            </w:r>
          </w:p>
        </w:tc>
        <w:tc>
          <w:tcPr>
            <w:tcW w:w="494" w:type="pct"/>
            <w:shd w:val="clear" w:color="auto" w:fill="auto"/>
            <w:vAlign w:val="center"/>
          </w:tcPr>
          <w:p w14:paraId="3035DC88">
            <w:pPr>
              <w:spacing w:line="320" w:lineRule="exact"/>
              <w:ind w:left="-53" w:leftChars="-25" w:right="-53" w:rightChars="-25"/>
              <w:jc w:val="center"/>
              <w:rPr>
                <w:snapToGrid w:val="0"/>
                <w:kern w:val="0"/>
                <w:szCs w:val="21"/>
              </w:rPr>
            </w:pPr>
            <w:r>
              <w:rPr>
                <w:szCs w:val="21"/>
              </w:rPr>
              <w:t>7.5</w:t>
            </w:r>
          </w:p>
        </w:tc>
        <w:tc>
          <w:tcPr>
            <w:tcW w:w="493" w:type="pct"/>
            <w:shd w:val="clear" w:color="auto" w:fill="auto"/>
            <w:vAlign w:val="center"/>
          </w:tcPr>
          <w:p w14:paraId="00B1555D">
            <w:pPr>
              <w:spacing w:line="320" w:lineRule="exact"/>
              <w:ind w:left="-53" w:leftChars="-25" w:right="-53" w:rightChars="-25"/>
              <w:jc w:val="center"/>
              <w:rPr>
                <w:snapToGrid w:val="0"/>
                <w:kern w:val="0"/>
                <w:szCs w:val="21"/>
              </w:rPr>
            </w:pPr>
            <w:r>
              <w:rPr>
                <w:szCs w:val="21"/>
              </w:rPr>
              <w:t xml:space="preserve">0.33 </w:t>
            </w:r>
          </w:p>
        </w:tc>
      </w:tr>
      <w:tr w14:paraId="5715C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7237C4D1">
            <w:pPr>
              <w:spacing w:line="320" w:lineRule="exact"/>
              <w:ind w:left="-53" w:leftChars="-25" w:right="-53" w:rightChars="-25"/>
              <w:jc w:val="center"/>
              <w:rPr>
                <w:snapToGrid w:val="0"/>
                <w:kern w:val="0"/>
                <w:szCs w:val="21"/>
              </w:rPr>
            </w:pPr>
            <w:r>
              <w:rPr>
                <w:snapToGrid w:val="0"/>
                <w:kern w:val="0"/>
                <w:szCs w:val="21"/>
              </w:rPr>
              <w:t>氨氮</w:t>
            </w:r>
          </w:p>
        </w:tc>
        <w:tc>
          <w:tcPr>
            <w:tcW w:w="534" w:type="pct"/>
            <w:vAlign w:val="center"/>
          </w:tcPr>
          <w:p w14:paraId="0837540D">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.5</w:t>
            </w:r>
          </w:p>
        </w:tc>
        <w:tc>
          <w:tcPr>
            <w:tcW w:w="400" w:type="pct"/>
            <w:vAlign w:val="center"/>
          </w:tcPr>
          <w:p w14:paraId="34989C9A">
            <w:pPr>
              <w:spacing w:line="320" w:lineRule="exact"/>
              <w:ind w:left="-53" w:leftChars="-25" w:right="-53" w:rightChars="-25"/>
              <w:jc w:val="center"/>
              <w:rPr>
                <w:snapToGrid w:val="0"/>
                <w:kern w:val="0"/>
                <w:szCs w:val="21"/>
              </w:rPr>
            </w:pPr>
            <w:r>
              <w:rPr>
                <w:rFonts w:hint="eastAsia"/>
                <w:snapToGrid w:val="0"/>
                <w:kern w:val="0"/>
                <w:szCs w:val="21"/>
              </w:rPr>
              <w:t>0.036</w:t>
            </w:r>
          </w:p>
        </w:tc>
        <w:tc>
          <w:tcPr>
            <w:tcW w:w="535" w:type="pct"/>
            <w:shd w:val="clear" w:color="auto" w:fill="auto"/>
            <w:vAlign w:val="center"/>
          </w:tcPr>
          <w:p w14:paraId="279D9C6E">
            <w:pPr>
              <w:spacing w:line="320" w:lineRule="exact"/>
              <w:ind w:left="-53" w:leftChars="-25" w:right="-53" w:rightChars="-25"/>
              <w:jc w:val="center"/>
              <w:rPr>
                <w:snapToGrid w:val="0"/>
                <w:kern w:val="0"/>
                <w:szCs w:val="21"/>
              </w:rPr>
            </w:pPr>
            <w:r>
              <w:rPr>
                <w:szCs w:val="21"/>
              </w:rPr>
              <w:t xml:space="preserve">0.07 </w:t>
            </w:r>
          </w:p>
        </w:tc>
        <w:tc>
          <w:tcPr>
            <w:tcW w:w="534" w:type="pct"/>
            <w:shd w:val="clear" w:color="auto" w:fill="auto"/>
            <w:vAlign w:val="center"/>
          </w:tcPr>
          <w:p w14:paraId="6AD9A1A8">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1ECF6697">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51C08A92">
            <w:pPr>
              <w:spacing w:line="320" w:lineRule="exact"/>
              <w:ind w:left="-53" w:leftChars="-25" w:right="-53" w:rightChars="-25"/>
              <w:jc w:val="center"/>
              <w:rPr>
                <w:snapToGrid w:val="0"/>
                <w:kern w:val="0"/>
                <w:szCs w:val="21"/>
              </w:rPr>
            </w:pPr>
            <w:r>
              <w:rPr>
                <w:szCs w:val="21"/>
              </w:rPr>
              <w:t>0.042</w:t>
            </w:r>
          </w:p>
        </w:tc>
        <w:tc>
          <w:tcPr>
            <w:tcW w:w="493" w:type="pct"/>
            <w:shd w:val="clear" w:color="auto" w:fill="auto"/>
            <w:vAlign w:val="center"/>
          </w:tcPr>
          <w:p w14:paraId="3494A6EB">
            <w:pPr>
              <w:spacing w:line="320" w:lineRule="exact"/>
              <w:ind w:left="-53" w:leftChars="-25" w:right="-53" w:rightChars="-25"/>
              <w:jc w:val="center"/>
              <w:rPr>
                <w:snapToGrid w:val="0"/>
                <w:kern w:val="0"/>
                <w:szCs w:val="21"/>
              </w:rPr>
            </w:pPr>
            <w:r>
              <w:rPr>
                <w:szCs w:val="21"/>
              </w:rPr>
              <w:t xml:space="preserve">0.08 </w:t>
            </w:r>
          </w:p>
        </w:tc>
        <w:tc>
          <w:tcPr>
            <w:tcW w:w="494" w:type="pct"/>
            <w:shd w:val="clear" w:color="auto" w:fill="auto"/>
            <w:vAlign w:val="center"/>
          </w:tcPr>
          <w:p w14:paraId="486D4628">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0BD39088">
            <w:pPr>
              <w:spacing w:line="320" w:lineRule="exact"/>
              <w:ind w:left="-53" w:leftChars="-25" w:right="-53" w:rightChars="-25"/>
              <w:jc w:val="center"/>
              <w:rPr>
                <w:snapToGrid w:val="0"/>
                <w:kern w:val="0"/>
                <w:szCs w:val="21"/>
              </w:rPr>
            </w:pPr>
            <w:r>
              <w:rPr>
                <w:szCs w:val="21"/>
              </w:rPr>
              <w:t>/</w:t>
            </w:r>
          </w:p>
        </w:tc>
      </w:tr>
      <w:tr w14:paraId="6E0D7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4444698F">
            <w:pPr>
              <w:spacing w:line="320" w:lineRule="exact"/>
              <w:ind w:left="-53" w:leftChars="-25" w:right="-53" w:rightChars="-25"/>
              <w:jc w:val="center"/>
              <w:rPr>
                <w:snapToGrid w:val="0"/>
                <w:kern w:val="0"/>
                <w:szCs w:val="21"/>
              </w:rPr>
            </w:pPr>
            <w:r>
              <w:rPr>
                <w:snapToGrid w:val="0"/>
                <w:kern w:val="0"/>
                <w:szCs w:val="21"/>
              </w:rPr>
              <w:t>亚硝酸盐</w:t>
            </w:r>
          </w:p>
        </w:tc>
        <w:tc>
          <w:tcPr>
            <w:tcW w:w="534" w:type="pct"/>
            <w:vAlign w:val="center"/>
          </w:tcPr>
          <w:p w14:paraId="5A5522CF">
            <w:pPr>
              <w:spacing w:line="320" w:lineRule="exact"/>
              <w:ind w:left="-53" w:leftChars="-25" w:right="-53" w:rightChars="-25"/>
              <w:jc w:val="center"/>
              <w:rPr>
                <w:snapToGrid w:val="0"/>
                <w:kern w:val="0"/>
                <w:szCs w:val="21"/>
              </w:rPr>
            </w:pPr>
            <w:r>
              <w:rPr>
                <w:rFonts w:hint="eastAsia"/>
                <w:snapToGrid w:val="0"/>
                <w:kern w:val="0"/>
                <w:szCs w:val="21"/>
              </w:rPr>
              <w:t>1</w:t>
            </w:r>
          </w:p>
        </w:tc>
        <w:tc>
          <w:tcPr>
            <w:tcW w:w="400" w:type="pct"/>
            <w:vAlign w:val="center"/>
          </w:tcPr>
          <w:p w14:paraId="7595314E">
            <w:pPr>
              <w:spacing w:line="320" w:lineRule="exact"/>
              <w:ind w:left="-53" w:leftChars="-25" w:right="-53" w:rightChars="-25"/>
              <w:jc w:val="center"/>
              <w:rPr>
                <w:snapToGrid w:val="0"/>
                <w:kern w:val="0"/>
                <w:szCs w:val="21"/>
              </w:rPr>
            </w:pPr>
            <w:r>
              <w:rPr>
                <w:rFonts w:hint="eastAsia"/>
                <w:snapToGrid w:val="0"/>
                <w:kern w:val="0"/>
                <w:szCs w:val="21"/>
              </w:rPr>
              <w:t>0.006</w:t>
            </w:r>
          </w:p>
        </w:tc>
        <w:tc>
          <w:tcPr>
            <w:tcW w:w="535" w:type="pct"/>
            <w:shd w:val="clear" w:color="auto" w:fill="auto"/>
            <w:vAlign w:val="center"/>
          </w:tcPr>
          <w:p w14:paraId="3C15CD61">
            <w:pPr>
              <w:spacing w:line="320" w:lineRule="exact"/>
              <w:ind w:left="-53" w:leftChars="-25" w:right="-53" w:rightChars="-25"/>
              <w:jc w:val="center"/>
              <w:rPr>
                <w:snapToGrid w:val="0"/>
                <w:kern w:val="0"/>
                <w:szCs w:val="21"/>
              </w:rPr>
            </w:pPr>
            <w:r>
              <w:rPr>
                <w:szCs w:val="21"/>
              </w:rPr>
              <w:t xml:space="preserve">0.01 </w:t>
            </w:r>
          </w:p>
        </w:tc>
        <w:tc>
          <w:tcPr>
            <w:tcW w:w="534" w:type="pct"/>
            <w:shd w:val="clear" w:color="auto" w:fill="auto"/>
            <w:vAlign w:val="center"/>
          </w:tcPr>
          <w:p w14:paraId="12CEFCFD">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55625C15">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6859A198">
            <w:pPr>
              <w:spacing w:line="320" w:lineRule="exact"/>
              <w:ind w:left="-53" w:leftChars="-25" w:right="-53" w:rightChars="-25"/>
              <w:jc w:val="center"/>
              <w:rPr>
                <w:snapToGrid w:val="0"/>
                <w:kern w:val="0"/>
                <w:szCs w:val="21"/>
              </w:rPr>
            </w:pPr>
            <w:r>
              <w:rPr>
                <w:szCs w:val="21"/>
              </w:rPr>
              <w:t>0.005</w:t>
            </w:r>
          </w:p>
        </w:tc>
        <w:tc>
          <w:tcPr>
            <w:tcW w:w="493" w:type="pct"/>
            <w:shd w:val="clear" w:color="auto" w:fill="auto"/>
            <w:vAlign w:val="center"/>
          </w:tcPr>
          <w:p w14:paraId="2FE41CAE">
            <w:pPr>
              <w:spacing w:line="320" w:lineRule="exact"/>
              <w:ind w:left="-53" w:leftChars="-25" w:right="-53" w:rightChars="-25"/>
              <w:jc w:val="center"/>
              <w:rPr>
                <w:szCs w:val="21"/>
              </w:rPr>
            </w:pPr>
            <w:r>
              <w:rPr>
                <w:szCs w:val="21"/>
              </w:rPr>
              <w:t xml:space="preserve">0.01 </w:t>
            </w:r>
          </w:p>
        </w:tc>
        <w:tc>
          <w:tcPr>
            <w:tcW w:w="494" w:type="pct"/>
            <w:shd w:val="clear" w:color="auto" w:fill="auto"/>
            <w:vAlign w:val="center"/>
          </w:tcPr>
          <w:p w14:paraId="1BB3BAEE">
            <w:pPr>
              <w:spacing w:line="320" w:lineRule="exact"/>
              <w:ind w:left="-53" w:leftChars="-25" w:right="-53" w:rightChars="-25"/>
              <w:jc w:val="center"/>
              <w:rPr>
                <w:szCs w:val="21"/>
              </w:rPr>
            </w:pPr>
            <w:r>
              <w:rPr>
                <w:szCs w:val="21"/>
              </w:rPr>
              <w:t>ND</w:t>
            </w:r>
          </w:p>
        </w:tc>
        <w:tc>
          <w:tcPr>
            <w:tcW w:w="493" w:type="pct"/>
            <w:shd w:val="clear" w:color="auto" w:fill="auto"/>
            <w:vAlign w:val="center"/>
          </w:tcPr>
          <w:p w14:paraId="6649C98C">
            <w:pPr>
              <w:spacing w:line="320" w:lineRule="exact"/>
              <w:ind w:left="-53" w:leftChars="-25" w:right="-53" w:rightChars="-25"/>
              <w:jc w:val="center"/>
              <w:rPr>
                <w:snapToGrid w:val="0"/>
                <w:kern w:val="0"/>
                <w:szCs w:val="21"/>
              </w:rPr>
            </w:pPr>
            <w:r>
              <w:rPr>
                <w:szCs w:val="21"/>
              </w:rPr>
              <w:t>/</w:t>
            </w:r>
          </w:p>
        </w:tc>
      </w:tr>
      <w:tr w14:paraId="37AA4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A04D336">
            <w:pPr>
              <w:spacing w:line="320" w:lineRule="exact"/>
              <w:ind w:left="-53" w:leftChars="-25" w:right="-53" w:rightChars="-25"/>
              <w:jc w:val="center"/>
              <w:rPr>
                <w:snapToGrid w:val="0"/>
                <w:kern w:val="0"/>
                <w:szCs w:val="21"/>
              </w:rPr>
            </w:pPr>
            <w:r>
              <w:rPr>
                <w:snapToGrid w:val="0"/>
                <w:kern w:val="0"/>
                <w:szCs w:val="21"/>
              </w:rPr>
              <w:t>挥发酚</w:t>
            </w:r>
          </w:p>
        </w:tc>
        <w:tc>
          <w:tcPr>
            <w:tcW w:w="534" w:type="pct"/>
            <w:vAlign w:val="center"/>
          </w:tcPr>
          <w:p w14:paraId="65A4880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.002</w:t>
            </w:r>
          </w:p>
        </w:tc>
        <w:tc>
          <w:tcPr>
            <w:tcW w:w="400" w:type="pct"/>
            <w:vAlign w:val="center"/>
          </w:tcPr>
          <w:p w14:paraId="043E3662">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359E0A8A">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355CF11">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6C3015C8">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14E64746">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3043B30C">
            <w:pPr>
              <w:spacing w:line="320" w:lineRule="exact"/>
              <w:ind w:left="-53" w:leftChars="-25" w:right="-53" w:rightChars="-25"/>
              <w:jc w:val="center"/>
              <w:rPr>
                <w:szCs w:val="21"/>
              </w:rPr>
            </w:pPr>
            <w:r>
              <w:rPr>
                <w:szCs w:val="21"/>
              </w:rPr>
              <w:t>/</w:t>
            </w:r>
          </w:p>
        </w:tc>
        <w:tc>
          <w:tcPr>
            <w:tcW w:w="494" w:type="pct"/>
            <w:shd w:val="clear" w:color="auto" w:fill="auto"/>
            <w:vAlign w:val="center"/>
          </w:tcPr>
          <w:p w14:paraId="416A876C">
            <w:pPr>
              <w:spacing w:line="320" w:lineRule="exact"/>
              <w:ind w:left="-53" w:leftChars="-25" w:right="-53" w:rightChars="-25"/>
              <w:jc w:val="center"/>
              <w:rPr>
                <w:szCs w:val="21"/>
              </w:rPr>
            </w:pPr>
            <w:r>
              <w:rPr>
                <w:szCs w:val="21"/>
              </w:rPr>
              <w:t>ND</w:t>
            </w:r>
          </w:p>
        </w:tc>
        <w:tc>
          <w:tcPr>
            <w:tcW w:w="493" w:type="pct"/>
            <w:shd w:val="clear" w:color="auto" w:fill="auto"/>
            <w:vAlign w:val="center"/>
          </w:tcPr>
          <w:p w14:paraId="1899F340">
            <w:pPr>
              <w:spacing w:line="320" w:lineRule="exact"/>
              <w:ind w:left="-53" w:leftChars="-25" w:right="-53" w:rightChars="-25"/>
              <w:jc w:val="center"/>
              <w:rPr>
                <w:snapToGrid w:val="0"/>
                <w:kern w:val="0"/>
                <w:szCs w:val="21"/>
              </w:rPr>
            </w:pPr>
            <w:r>
              <w:rPr>
                <w:szCs w:val="21"/>
              </w:rPr>
              <w:t>/</w:t>
            </w:r>
          </w:p>
        </w:tc>
      </w:tr>
      <w:tr w14:paraId="5F89F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7624253A">
            <w:pPr>
              <w:spacing w:line="320" w:lineRule="exact"/>
              <w:ind w:left="-53" w:leftChars="-25" w:right="-53" w:rightChars="-25"/>
              <w:jc w:val="center"/>
              <w:rPr>
                <w:snapToGrid w:val="0"/>
                <w:kern w:val="0"/>
                <w:szCs w:val="21"/>
              </w:rPr>
            </w:pPr>
            <w:r>
              <w:rPr>
                <w:snapToGrid w:val="0"/>
                <w:kern w:val="0"/>
                <w:szCs w:val="21"/>
              </w:rPr>
              <w:t>氰化物</w:t>
            </w:r>
          </w:p>
        </w:tc>
        <w:tc>
          <w:tcPr>
            <w:tcW w:w="534" w:type="pct"/>
            <w:vAlign w:val="center"/>
          </w:tcPr>
          <w:p w14:paraId="5297EA4D">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400" w:type="pct"/>
            <w:vAlign w:val="center"/>
          </w:tcPr>
          <w:p w14:paraId="00F021C7">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1DDCE143">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F4E8E79">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5335AE5C">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58BCC56E">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248AFF7D">
            <w:pPr>
              <w:spacing w:line="320" w:lineRule="exact"/>
              <w:ind w:left="-53" w:leftChars="-25" w:right="-53" w:rightChars="-25"/>
              <w:jc w:val="center"/>
              <w:rPr>
                <w:szCs w:val="21"/>
              </w:rPr>
            </w:pPr>
            <w:r>
              <w:rPr>
                <w:szCs w:val="21"/>
              </w:rPr>
              <w:t>/</w:t>
            </w:r>
          </w:p>
        </w:tc>
        <w:tc>
          <w:tcPr>
            <w:tcW w:w="494" w:type="pct"/>
            <w:shd w:val="clear" w:color="auto" w:fill="auto"/>
            <w:vAlign w:val="center"/>
          </w:tcPr>
          <w:p w14:paraId="37BDA53B">
            <w:pPr>
              <w:spacing w:line="320" w:lineRule="exact"/>
              <w:ind w:left="-53" w:leftChars="-25" w:right="-53" w:rightChars="-25"/>
              <w:jc w:val="center"/>
              <w:rPr>
                <w:szCs w:val="21"/>
              </w:rPr>
            </w:pPr>
            <w:r>
              <w:rPr>
                <w:szCs w:val="21"/>
              </w:rPr>
              <w:t>ND</w:t>
            </w:r>
          </w:p>
        </w:tc>
        <w:tc>
          <w:tcPr>
            <w:tcW w:w="493" w:type="pct"/>
            <w:shd w:val="clear" w:color="auto" w:fill="auto"/>
            <w:vAlign w:val="center"/>
          </w:tcPr>
          <w:p w14:paraId="611BE7DA">
            <w:pPr>
              <w:spacing w:line="320" w:lineRule="exact"/>
              <w:ind w:left="-53" w:leftChars="-25" w:right="-53" w:rightChars="-25"/>
              <w:jc w:val="center"/>
              <w:rPr>
                <w:snapToGrid w:val="0"/>
                <w:kern w:val="0"/>
                <w:szCs w:val="21"/>
              </w:rPr>
            </w:pPr>
            <w:r>
              <w:rPr>
                <w:szCs w:val="21"/>
              </w:rPr>
              <w:t>/</w:t>
            </w:r>
          </w:p>
        </w:tc>
      </w:tr>
      <w:tr w14:paraId="40A07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1028CFA1">
            <w:pPr>
              <w:spacing w:line="320" w:lineRule="exact"/>
              <w:ind w:left="-53" w:leftChars="-25" w:right="-53" w:rightChars="-25"/>
              <w:jc w:val="center"/>
              <w:rPr>
                <w:snapToGrid w:val="0"/>
                <w:kern w:val="0"/>
                <w:szCs w:val="21"/>
              </w:rPr>
            </w:pPr>
            <w:r>
              <w:rPr>
                <w:snapToGrid w:val="0"/>
                <w:kern w:val="0"/>
                <w:szCs w:val="21"/>
              </w:rPr>
              <w:t>总硬度</w:t>
            </w:r>
          </w:p>
        </w:tc>
        <w:tc>
          <w:tcPr>
            <w:tcW w:w="534" w:type="pct"/>
            <w:vAlign w:val="center"/>
          </w:tcPr>
          <w:p w14:paraId="34564D31">
            <w:pPr>
              <w:spacing w:line="320" w:lineRule="exact"/>
              <w:ind w:left="-53" w:leftChars="-25" w:right="-53" w:rightChars="-25"/>
              <w:jc w:val="center"/>
              <w:rPr>
                <w:snapToGrid w:val="0"/>
                <w:kern w:val="0"/>
                <w:szCs w:val="21"/>
              </w:rPr>
            </w:pPr>
            <w:r>
              <w:rPr>
                <w:rFonts w:hint="eastAsia"/>
                <w:snapToGrid w:val="0"/>
                <w:kern w:val="0"/>
                <w:szCs w:val="21"/>
              </w:rPr>
              <w:t>4</w:t>
            </w:r>
            <w:r>
              <w:rPr>
                <w:snapToGrid w:val="0"/>
                <w:kern w:val="0"/>
                <w:szCs w:val="21"/>
              </w:rPr>
              <w:t>50</w:t>
            </w:r>
          </w:p>
        </w:tc>
        <w:tc>
          <w:tcPr>
            <w:tcW w:w="400" w:type="pct"/>
            <w:vAlign w:val="center"/>
          </w:tcPr>
          <w:p w14:paraId="5139F415">
            <w:pPr>
              <w:spacing w:line="320" w:lineRule="exact"/>
              <w:ind w:left="-53" w:leftChars="-25" w:right="-53" w:rightChars="-25"/>
              <w:jc w:val="center"/>
              <w:rPr>
                <w:snapToGrid w:val="0"/>
                <w:kern w:val="0"/>
                <w:szCs w:val="21"/>
              </w:rPr>
            </w:pPr>
            <w:r>
              <w:rPr>
                <w:rFonts w:hint="eastAsia"/>
                <w:snapToGrid w:val="0"/>
                <w:kern w:val="0"/>
                <w:szCs w:val="21"/>
              </w:rPr>
              <w:t>230</w:t>
            </w:r>
          </w:p>
        </w:tc>
        <w:tc>
          <w:tcPr>
            <w:tcW w:w="535" w:type="pct"/>
            <w:shd w:val="clear" w:color="auto" w:fill="auto"/>
            <w:vAlign w:val="center"/>
          </w:tcPr>
          <w:p w14:paraId="7962789A">
            <w:pPr>
              <w:spacing w:line="320" w:lineRule="exact"/>
              <w:ind w:left="-53" w:leftChars="-25" w:right="-53" w:rightChars="-25"/>
              <w:jc w:val="center"/>
              <w:rPr>
                <w:snapToGrid w:val="0"/>
                <w:kern w:val="0"/>
                <w:szCs w:val="21"/>
              </w:rPr>
            </w:pPr>
            <w:r>
              <w:rPr>
                <w:szCs w:val="21"/>
              </w:rPr>
              <w:t xml:space="preserve">0.51 </w:t>
            </w:r>
          </w:p>
        </w:tc>
        <w:tc>
          <w:tcPr>
            <w:tcW w:w="534" w:type="pct"/>
            <w:shd w:val="clear" w:color="auto" w:fill="auto"/>
            <w:vAlign w:val="center"/>
          </w:tcPr>
          <w:p w14:paraId="02FB38E0">
            <w:pPr>
              <w:spacing w:line="320" w:lineRule="exact"/>
              <w:ind w:left="-53" w:leftChars="-25" w:right="-53" w:rightChars="-25"/>
              <w:jc w:val="center"/>
              <w:rPr>
                <w:snapToGrid w:val="0"/>
                <w:kern w:val="0"/>
                <w:szCs w:val="21"/>
              </w:rPr>
            </w:pPr>
            <w:r>
              <w:rPr>
                <w:szCs w:val="21"/>
              </w:rPr>
              <w:t>288</w:t>
            </w:r>
          </w:p>
        </w:tc>
        <w:tc>
          <w:tcPr>
            <w:tcW w:w="468" w:type="pct"/>
            <w:shd w:val="clear" w:color="auto" w:fill="auto"/>
            <w:vAlign w:val="center"/>
          </w:tcPr>
          <w:p w14:paraId="14EA6D24">
            <w:pPr>
              <w:spacing w:line="320" w:lineRule="exact"/>
              <w:ind w:left="-53" w:leftChars="-25" w:right="-53" w:rightChars="-25"/>
              <w:jc w:val="center"/>
              <w:rPr>
                <w:snapToGrid w:val="0"/>
                <w:kern w:val="0"/>
                <w:szCs w:val="21"/>
              </w:rPr>
            </w:pPr>
            <w:r>
              <w:rPr>
                <w:szCs w:val="21"/>
              </w:rPr>
              <w:t>0.64</w:t>
            </w:r>
          </w:p>
        </w:tc>
        <w:tc>
          <w:tcPr>
            <w:tcW w:w="399" w:type="pct"/>
            <w:shd w:val="clear" w:color="auto" w:fill="auto"/>
            <w:vAlign w:val="center"/>
          </w:tcPr>
          <w:p w14:paraId="213B5C81">
            <w:pPr>
              <w:spacing w:line="320" w:lineRule="exact"/>
              <w:ind w:left="-53" w:leftChars="-25" w:right="-53" w:rightChars="-25"/>
              <w:jc w:val="center"/>
              <w:rPr>
                <w:snapToGrid w:val="0"/>
                <w:kern w:val="0"/>
                <w:szCs w:val="21"/>
              </w:rPr>
            </w:pPr>
            <w:r>
              <w:rPr>
                <w:szCs w:val="21"/>
              </w:rPr>
              <w:t>137</w:t>
            </w:r>
          </w:p>
        </w:tc>
        <w:tc>
          <w:tcPr>
            <w:tcW w:w="493" w:type="pct"/>
            <w:shd w:val="clear" w:color="auto" w:fill="auto"/>
            <w:vAlign w:val="center"/>
          </w:tcPr>
          <w:p w14:paraId="2928D438">
            <w:pPr>
              <w:spacing w:line="320" w:lineRule="exact"/>
              <w:ind w:left="-53" w:leftChars="-25" w:right="-53" w:rightChars="-25"/>
              <w:jc w:val="center"/>
              <w:rPr>
                <w:snapToGrid w:val="0"/>
                <w:kern w:val="0"/>
                <w:szCs w:val="21"/>
              </w:rPr>
            </w:pPr>
            <w:r>
              <w:rPr>
                <w:szCs w:val="21"/>
              </w:rPr>
              <w:t xml:space="preserve">0.30 </w:t>
            </w:r>
          </w:p>
        </w:tc>
        <w:tc>
          <w:tcPr>
            <w:tcW w:w="494" w:type="pct"/>
            <w:shd w:val="clear" w:color="auto" w:fill="auto"/>
            <w:vAlign w:val="center"/>
          </w:tcPr>
          <w:p w14:paraId="398E992B">
            <w:pPr>
              <w:spacing w:line="320" w:lineRule="exact"/>
              <w:ind w:left="-53" w:leftChars="-25" w:right="-53" w:rightChars="-25"/>
              <w:jc w:val="center"/>
              <w:rPr>
                <w:snapToGrid w:val="0"/>
                <w:kern w:val="0"/>
                <w:szCs w:val="21"/>
              </w:rPr>
            </w:pPr>
            <w:r>
              <w:rPr>
                <w:szCs w:val="21"/>
              </w:rPr>
              <w:t>305</w:t>
            </w:r>
          </w:p>
        </w:tc>
        <w:tc>
          <w:tcPr>
            <w:tcW w:w="493" w:type="pct"/>
            <w:shd w:val="clear" w:color="auto" w:fill="auto"/>
            <w:vAlign w:val="center"/>
          </w:tcPr>
          <w:p w14:paraId="196EF08A">
            <w:pPr>
              <w:spacing w:line="320" w:lineRule="exact"/>
              <w:ind w:left="-53" w:leftChars="-25" w:right="-53" w:rightChars="-25"/>
              <w:jc w:val="center"/>
              <w:rPr>
                <w:snapToGrid w:val="0"/>
                <w:kern w:val="0"/>
                <w:szCs w:val="21"/>
              </w:rPr>
            </w:pPr>
            <w:r>
              <w:rPr>
                <w:szCs w:val="21"/>
              </w:rPr>
              <w:t xml:space="preserve">0.68 </w:t>
            </w:r>
          </w:p>
        </w:tc>
      </w:tr>
      <w:tr w14:paraId="0178E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CF12200">
            <w:pPr>
              <w:spacing w:line="320" w:lineRule="exact"/>
              <w:ind w:left="-53" w:leftChars="-25" w:right="-53" w:rightChars="-25"/>
              <w:jc w:val="center"/>
              <w:rPr>
                <w:snapToGrid w:val="0"/>
                <w:kern w:val="0"/>
                <w:szCs w:val="21"/>
              </w:rPr>
            </w:pPr>
            <w:r>
              <w:rPr>
                <w:snapToGrid w:val="0"/>
                <w:kern w:val="0"/>
                <w:szCs w:val="21"/>
              </w:rPr>
              <w:t>溶解性总固体</w:t>
            </w:r>
          </w:p>
        </w:tc>
        <w:tc>
          <w:tcPr>
            <w:tcW w:w="534" w:type="pct"/>
            <w:vAlign w:val="center"/>
          </w:tcPr>
          <w:p w14:paraId="6D39B7A3">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000</w:t>
            </w:r>
          </w:p>
        </w:tc>
        <w:tc>
          <w:tcPr>
            <w:tcW w:w="400" w:type="pct"/>
            <w:vAlign w:val="center"/>
          </w:tcPr>
          <w:p w14:paraId="29D89765">
            <w:pPr>
              <w:spacing w:line="320" w:lineRule="exact"/>
              <w:ind w:left="-53" w:leftChars="-25" w:right="-53" w:rightChars="-25"/>
              <w:jc w:val="center"/>
              <w:rPr>
                <w:snapToGrid w:val="0"/>
                <w:kern w:val="0"/>
                <w:szCs w:val="21"/>
              </w:rPr>
            </w:pPr>
            <w:r>
              <w:rPr>
                <w:rFonts w:hint="eastAsia"/>
                <w:snapToGrid w:val="0"/>
                <w:kern w:val="0"/>
                <w:szCs w:val="21"/>
              </w:rPr>
              <w:t>296</w:t>
            </w:r>
          </w:p>
        </w:tc>
        <w:tc>
          <w:tcPr>
            <w:tcW w:w="535" w:type="pct"/>
            <w:shd w:val="clear" w:color="auto" w:fill="auto"/>
            <w:vAlign w:val="center"/>
          </w:tcPr>
          <w:p w14:paraId="38061548">
            <w:pPr>
              <w:spacing w:line="320" w:lineRule="exact"/>
              <w:ind w:left="-53" w:leftChars="-25" w:right="-53" w:rightChars="-25"/>
              <w:jc w:val="center"/>
              <w:rPr>
                <w:snapToGrid w:val="0"/>
                <w:kern w:val="0"/>
                <w:szCs w:val="21"/>
              </w:rPr>
            </w:pPr>
            <w:r>
              <w:rPr>
                <w:szCs w:val="21"/>
              </w:rPr>
              <w:t xml:space="preserve">0.30 </w:t>
            </w:r>
          </w:p>
        </w:tc>
        <w:tc>
          <w:tcPr>
            <w:tcW w:w="534" w:type="pct"/>
            <w:shd w:val="clear" w:color="auto" w:fill="auto"/>
            <w:vAlign w:val="center"/>
          </w:tcPr>
          <w:p w14:paraId="31AF2C55">
            <w:pPr>
              <w:spacing w:line="320" w:lineRule="exact"/>
              <w:ind w:left="-53" w:leftChars="-25" w:right="-53" w:rightChars="-25"/>
              <w:jc w:val="center"/>
              <w:rPr>
                <w:snapToGrid w:val="0"/>
                <w:kern w:val="0"/>
                <w:szCs w:val="21"/>
              </w:rPr>
            </w:pPr>
            <w:r>
              <w:rPr>
                <w:szCs w:val="21"/>
              </w:rPr>
              <w:t>347</w:t>
            </w:r>
          </w:p>
        </w:tc>
        <w:tc>
          <w:tcPr>
            <w:tcW w:w="468" w:type="pct"/>
            <w:shd w:val="clear" w:color="auto" w:fill="auto"/>
            <w:vAlign w:val="center"/>
          </w:tcPr>
          <w:p w14:paraId="15E999DD">
            <w:pPr>
              <w:spacing w:line="320" w:lineRule="exact"/>
              <w:ind w:left="-53" w:leftChars="-25" w:right="-53" w:rightChars="-25"/>
              <w:jc w:val="center"/>
              <w:rPr>
                <w:snapToGrid w:val="0"/>
                <w:kern w:val="0"/>
                <w:szCs w:val="21"/>
              </w:rPr>
            </w:pPr>
            <w:r>
              <w:rPr>
                <w:szCs w:val="21"/>
              </w:rPr>
              <w:t>0.347</w:t>
            </w:r>
          </w:p>
        </w:tc>
        <w:tc>
          <w:tcPr>
            <w:tcW w:w="399" w:type="pct"/>
            <w:shd w:val="clear" w:color="auto" w:fill="auto"/>
            <w:vAlign w:val="center"/>
          </w:tcPr>
          <w:p w14:paraId="24D73B0B">
            <w:pPr>
              <w:spacing w:line="320" w:lineRule="exact"/>
              <w:ind w:left="-53" w:leftChars="-25" w:right="-53" w:rightChars="-25"/>
              <w:jc w:val="center"/>
              <w:rPr>
                <w:snapToGrid w:val="0"/>
                <w:kern w:val="0"/>
                <w:szCs w:val="21"/>
              </w:rPr>
            </w:pPr>
            <w:r>
              <w:rPr>
                <w:szCs w:val="21"/>
              </w:rPr>
              <w:t>189</w:t>
            </w:r>
          </w:p>
        </w:tc>
        <w:tc>
          <w:tcPr>
            <w:tcW w:w="493" w:type="pct"/>
            <w:shd w:val="clear" w:color="auto" w:fill="auto"/>
            <w:vAlign w:val="center"/>
          </w:tcPr>
          <w:p w14:paraId="0CDEFBBB">
            <w:pPr>
              <w:spacing w:line="320" w:lineRule="exact"/>
              <w:ind w:left="-53" w:leftChars="-25" w:right="-53" w:rightChars="-25"/>
              <w:jc w:val="center"/>
              <w:rPr>
                <w:snapToGrid w:val="0"/>
                <w:kern w:val="0"/>
                <w:szCs w:val="21"/>
              </w:rPr>
            </w:pPr>
            <w:r>
              <w:rPr>
                <w:szCs w:val="21"/>
              </w:rPr>
              <w:t xml:space="preserve">0.19 </w:t>
            </w:r>
          </w:p>
        </w:tc>
        <w:tc>
          <w:tcPr>
            <w:tcW w:w="494" w:type="pct"/>
            <w:shd w:val="clear" w:color="auto" w:fill="auto"/>
            <w:vAlign w:val="center"/>
          </w:tcPr>
          <w:p w14:paraId="799E8FF6">
            <w:pPr>
              <w:spacing w:line="320" w:lineRule="exact"/>
              <w:ind w:left="-53" w:leftChars="-25" w:right="-53" w:rightChars="-25"/>
              <w:jc w:val="center"/>
              <w:rPr>
                <w:snapToGrid w:val="0"/>
                <w:kern w:val="0"/>
                <w:szCs w:val="21"/>
              </w:rPr>
            </w:pPr>
            <w:r>
              <w:rPr>
                <w:szCs w:val="21"/>
              </w:rPr>
              <w:t>368</w:t>
            </w:r>
          </w:p>
        </w:tc>
        <w:tc>
          <w:tcPr>
            <w:tcW w:w="493" w:type="pct"/>
            <w:shd w:val="clear" w:color="auto" w:fill="auto"/>
            <w:vAlign w:val="center"/>
          </w:tcPr>
          <w:p w14:paraId="65A99526">
            <w:pPr>
              <w:spacing w:line="320" w:lineRule="exact"/>
              <w:ind w:left="-53" w:leftChars="-25" w:right="-53" w:rightChars="-25"/>
              <w:jc w:val="center"/>
              <w:rPr>
                <w:snapToGrid w:val="0"/>
                <w:kern w:val="0"/>
                <w:szCs w:val="21"/>
              </w:rPr>
            </w:pPr>
            <w:r>
              <w:rPr>
                <w:szCs w:val="21"/>
              </w:rPr>
              <w:t xml:space="preserve">0.37 </w:t>
            </w:r>
          </w:p>
        </w:tc>
      </w:tr>
      <w:tr w14:paraId="6641D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4976F376">
            <w:pPr>
              <w:spacing w:line="320" w:lineRule="exact"/>
              <w:ind w:left="-53" w:leftChars="-25" w:right="-53" w:rightChars="-25"/>
              <w:jc w:val="center"/>
              <w:rPr>
                <w:snapToGrid w:val="0"/>
                <w:kern w:val="0"/>
                <w:szCs w:val="21"/>
              </w:rPr>
            </w:pPr>
            <w:r>
              <w:rPr>
                <w:rFonts w:hint="eastAsia"/>
                <w:snapToGrid w:val="0"/>
                <w:kern w:val="0"/>
                <w:szCs w:val="21"/>
              </w:rPr>
              <w:t>高锰酸盐指数</w:t>
            </w:r>
          </w:p>
        </w:tc>
        <w:tc>
          <w:tcPr>
            <w:tcW w:w="534" w:type="pct"/>
            <w:vAlign w:val="center"/>
          </w:tcPr>
          <w:p w14:paraId="2E57CCE3">
            <w:pPr>
              <w:spacing w:line="320" w:lineRule="exact"/>
              <w:ind w:left="-53" w:leftChars="-25" w:right="-53" w:rightChars="-25"/>
              <w:jc w:val="center"/>
              <w:rPr>
                <w:snapToGrid w:val="0"/>
                <w:kern w:val="0"/>
                <w:szCs w:val="21"/>
              </w:rPr>
            </w:pPr>
            <w:r>
              <w:rPr>
                <w:rFonts w:hint="eastAsia"/>
                <w:snapToGrid w:val="0"/>
                <w:kern w:val="0"/>
                <w:szCs w:val="21"/>
              </w:rPr>
              <w:t>3</w:t>
            </w:r>
          </w:p>
        </w:tc>
        <w:tc>
          <w:tcPr>
            <w:tcW w:w="400" w:type="pct"/>
            <w:vAlign w:val="center"/>
          </w:tcPr>
          <w:p w14:paraId="43CDFEF0">
            <w:pPr>
              <w:spacing w:line="320" w:lineRule="exact"/>
              <w:ind w:left="-53" w:leftChars="-25" w:right="-53" w:rightChars="-25"/>
              <w:jc w:val="center"/>
              <w:rPr>
                <w:snapToGrid w:val="0"/>
                <w:kern w:val="0"/>
                <w:szCs w:val="21"/>
              </w:rPr>
            </w:pPr>
            <w:r>
              <w:rPr>
                <w:rFonts w:hint="eastAsia"/>
                <w:snapToGrid w:val="0"/>
                <w:kern w:val="0"/>
                <w:szCs w:val="21"/>
              </w:rPr>
              <w:t>0.95</w:t>
            </w:r>
          </w:p>
        </w:tc>
        <w:tc>
          <w:tcPr>
            <w:tcW w:w="535" w:type="pct"/>
            <w:shd w:val="clear" w:color="auto" w:fill="auto"/>
            <w:vAlign w:val="center"/>
          </w:tcPr>
          <w:p w14:paraId="33EBD9D9">
            <w:pPr>
              <w:spacing w:line="320" w:lineRule="exact"/>
              <w:ind w:left="-53" w:leftChars="-25" w:right="-53" w:rightChars="-25"/>
              <w:jc w:val="center"/>
              <w:rPr>
                <w:snapToGrid w:val="0"/>
                <w:kern w:val="0"/>
                <w:szCs w:val="21"/>
              </w:rPr>
            </w:pPr>
            <w:r>
              <w:rPr>
                <w:szCs w:val="21"/>
              </w:rPr>
              <w:t xml:space="preserve">0.32 </w:t>
            </w:r>
          </w:p>
        </w:tc>
        <w:tc>
          <w:tcPr>
            <w:tcW w:w="534" w:type="pct"/>
            <w:shd w:val="clear" w:color="auto" w:fill="auto"/>
            <w:vAlign w:val="center"/>
          </w:tcPr>
          <w:p w14:paraId="5D3BF48C">
            <w:pPr>
              <w:spacing w:line="320" w:lineRule="exact"/>
              <w:ind w:left="-53" w:leftChars="-25" w:right="-53" w:rightChars="-25"/>
              <w:jc w:val="center"/>
              <w:rPr>
                <w:snapToGrid w:val="0"/>
                <w:kern w:val="0"/>
                <w:szCs w:val="21"/>
              </w:rPr>
            </w:pPr>
            <w:r>
              <w:rPr>
                <w:szCs w:val="21"/>
              </w:rPr>
              <w:t>0.73</w:t>
            </w:r>
          </w:p>
        </w:tc>
        <w:tc>
          <w:tcPr>
            <w:tcW w:w="468" w:type="pct"/>
            <w:shd w:val="clear" w:color="auto" w:fill="auto"/>
            <w:vAlign w:val="center"/>
          </w:tcPr>
          <w:p w14:paraId="30C16C52">
            <w:pPr>
              <w:spacing w:line="320" w:lineRule="exact"/>
              <w:ind w:left="-53" w:leftChars="-25" w:right="-53" w:rightChars="-25"/>
              <w:jc w:val="center"/>
              <w:rPr>
                <w:snapToGrid w:val="0"/>
                <w:kern w:val="0"/>
                <w:szCs w:val="21"/>
              </w:rPr>
            </w:pPr>
            <w:r>
              <w:rPr>
                <w:szCs w:val="21"/>
              </w:rPr>
              <w:t xml:space="preserve">0.24 </w:t>
            </w:r>
          </w:p>
        </w:tc>
        <w:tc>
          <w:tcPr>
            <w:tcW w:w="399" w:type="pct"/>
            <w:shd w:val="clear" w:color="auto" w:fill="auto"/>
            <w:vAlign w:val="center"/>
          </w:tcPr>
          <w:p w14:paraId="4AD4C89F">
            <w:pPr>
              <w:spacing w:line="320" w:lineRule="exact"/>
              <w:ind w:left="-53" w:leftChars="-25" w:right="-53" w:rightChars="-25"/>
              <w:jc w:val="center"/>
              <w:rPr>
                <w:snapToGrid w:val="0"/>
                <w:kern w:val="0"/>
                <w:szCs w:val="21"/>
              </w:rPr>
            </w:pPr>
            <w:r>
              <w:rPr>
                <w:szCs w:val="21"/>
              </w:rPr>
              <w:t>1.01</w:t>
            </w:r>
          </w:p>
        </w:tc>
        <w:tc>
          <w:tcPr>
            <w:tcW w:w="493" w:type="pct"/>
            <w:shd w:val="clear" w:color="auto" w:fill="auto"/>
            <w:vAlign w:val="center"/>
          </w:tcPr>
          <w:p w14:paraId="0B1630A1">
            <w:pPr>
              <w:spacing w:line="320" w:lineRule="exact"/>
              <w:ind w:left="-53" w:leftChars="-25" w:right="-53" w:rightChars="-25"/>
              <w:jc w:val="center"/>
              <w:rPr>
                <w:snapToGrid w:val="0"/>
                <w:kern w:val="0"/>
                <w:szCs w:val="21"/>
              </w:rPr>
            </w:pPr>
            <w:r>
              <w:rPr>
                <w:szCs w:val="21"/>
              </w:rPr>
              <w:t xml:space="preserve">0.34 </w:t>
            </w:r>
          </w:p>
        </w:tc>
        <w:tc>
          <w:tcPr>
            <w:tcW w:w="494" w:type="pct"/>
            <w:shd w:val="clear" w:color="auto" w:fill="auto"/>
            <w:vAlign w:val="center"/>
          </w:tcPr>
          <w:p w14:paraId="46DD3A55">
            <w:pPr>
              <w:spacing w:line="320" w:lineRule="exact"/>
              <w:ind w:left="-53" w:leftChars="-25" w:right="-53" w:rightChars="-25"/>
              <w:jc w:val="center"/>
              <w:rPr>
                <w:snapToGrid w:val="0"/>
                <w:kern w:val="0"/>
                <w:szCs w:val="21"/>
              </w:rPr>
            </w:pPr>
            <w:r>
              <w:rPr>
                <w:szCs w:val="21"/>
              </w:rPr>
              <w:t>1.06</w:t>
            </w:r>
          </w:p>
        </w:tc>
        <w:tc>
          <w:tcPr>
            <w:tcW w:w="493" w:type="pct"/>
            <w:shd w:val="clear" w:color="auto" w:fill="auto"/>
            <w:vAlign w:val="center"/>
          </w:tcPr>
          <w:p w14:paraId="1D676B69">
            <w:pPr>
              <w:spacing w:line="320" w:lineRule="exact"/>
              <w:ind w:left="-53" w:leftChars="-25" w:right="-53" w:rightChars="-25"/>
              <w:jc w:val="center"/>
              <w:rPr>
                <w:snapToGrid w:val="0"/>
                <w:kern w:val="0"/>
                <w:szCs w:val="21"/>
              </w:rPr>
            </w:pPr>
            <w:r>
              <w:rPr>
                <w:szCs w:val="21"/>
              </w:rPr>
              <w:t xml:space="preserve">0.35 </w:t>
            </w:r>
          </w:p>
        </w:tc>
      </w:tr>
      <w:tr w14:paraId="2054E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6AC3D45C">
            <w:pPr>
              <w:spacing w:line="320" w:lineRule="exact"/>
              <w:ind w:left="-53" w:leftChars="-25" w:right="-53" w:rightChars="-25"/>
              <w:jc w:val="center"/>
              <w:rPr>
                <w:snapToGrid w:val="0"/>
                <w:kern w:val="0"/>
                <w:szCs w:val="21"/>
              </w:rPr>
            </w:pPr>
            <w:r>
              <w:rPr>
                <w:snapToGrid w:val="0"/>
                <w:kern w:val="0"/>
                <w:szCs w:val="21"/>
              </w:rPr>
              <w:t>氟化物</w:t>
            </w:r>
          </w:p>
        </w:tc>
        <w:tc>
          <w:tcPr>
            <w:tcW w:w="534" w:type="pct"/>
            <w:vAlign w:val="center"/>
          </w:tcPr>
          <w:p w14:paraId="66846290">
            <w:pPr>
              <w:spacing w:line="320" w:lineRule="exact"/>
              <w:ind w:left="-53" w:leftChars="-25" w:right="-53" w:rightChars="-25"/>
              <w:jc w:val="center"/>
              <w:rPr>
                <w:snapToGrid w:val="0"/>
                <w:kern w:val="0"/>
                <w:szCs w:val="21"/>
              </w:rPr>
            </w:pPr>
            <w:r>
              <w:rPr>
                <w:rFonts w:hint="eastAsia"/>
                <w:snapToGrid w:val="0"/>
                <w:kern w:val="0"/>
                <w:szCs w:val="21"/>
              </w:rPr>
              <w:t>1</w:t>
            </w:r>
          </w:p>
        </w:tc>
        <w:tc>
          <w:tcPr>
            <w:tcW w:w="400" w:type="pct"/>
            <w:vAlign w:val="center"/>
          </w:tcPr>
          <w:p w14:paraId="72030610">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21B3D189">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FA9C97A">
            <w:pPr>
              <w:spacing w:line="320" w:lineRule="exact"/>
              <w:ind w:left="-53" w:leftChars="-25" w:right="-53" w:rightChars="-25"/>
              <w:jc w:val="center"/>
              <w:rPr>
                <w:snapToGrid w:val="0"/>
                <w:kern w:val="0"/>
                <w:szCs w:val="21"/>
              </w:rPr>
            </w:pPr>
            <w:r>
              <w:rPr>
                <w:szCs w:val="21"/>
              </w:rPr>
              <w:t>0.842</w:t>
            </w:r>
          </w:p>
        </w:tc>
        <w:tc>
          <w:tcPr>
            <w:tcW w:w="468" w:type="pct"/>
            <w:shd w:val="clear" w:color="auto" w:fill="auto"/>
            <w:vAlign w:val="center"/>
          </w:tcPr>
          <w:p w14:paraId="64FF5934">
            <w:pPr>
              <w:spacing w:line="320" w:lineRule="exact"/>
              <w:ind w:left="-53" w:leftChars="-25" w:right="-53" w:rightChars="-25"/>
              <w:jc w:val="center"/>
              <w:rPr>
                <w:snapToGrid w:val="0"/>
                <w:kern w:val="0"/>
                <w:szCs w:val="21"/>
              </w:rPr>
            </w:pPr>
            <w:r>
              <w:rPr>
                <w:szCs w:val="21"/>
              </w:rPr>
              <w:t xml:space="preserve">0.84 </w:t>
            </w:r>
          </w:p>
        </w:tc>
        <w:tc>
          <w:tcPr>
            <w:tcW w:w="399" w:type="pct"/>
            <w:shd w:val="clear" w:color="auto" w:fill="auto"/>
            <w:vAlign w:val="center"/>
          </w:tcPr>
          <w:p w14:paraId="759A044C">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71ED15D1">
            <w:pPr>
              <w:spacing w:line="320" w:lineRule="exact"/>
              <w:ind w:left="-53" w:leftChars="-25" w:right="-53" w:rightChars="-25"/>
              <w:jc w:val="center"/>
              <w:rPr>
                <w:szCs w:val="21"/>
              </w:rPr>
            </w:pPr>
            <w:r>
              <w:rPr>
                <w:szCs w:val="21"/>
              </w:rPr>
              <w:t>/</w:t>
            </w:r>
          </w:p>
        </w:tc>
        <w:tc>
          <w:tcPr>
            <w:tcW w:w="494" w:type="pct"/>
            <w:shd w:val="clear" w:color="auto" w:fill="auto"/>
            <w:vAlign w:val="center"/>
          </w:tcPr>
          <w:p w14:paraId="5C8FC964">
            <w:pPr>
              <w:spacing w:line="320" w:lineRule="exact"/>
              <w:ind w:left="-53" w:leftChars="-25" w:right="-53" w:rightChars="-25"/>
              <w:jc w:val="center"/>
              <w:rPr>
                <w:szCs w:val="21"/>
              </w:rPr>
            </w:pPr>
            <w:r>
              <w:rPr>
                <w:szCs w:val="21"/>
              </w:rPr>
              <w:t>ND</w:t>
            </w:r>
          </w:p>
        </w:tc>
        <w:tc>
          <w:tcPr>
            <w:tcW w:w="493" w:type="pct"/>
            <w:shd w:val="clear" w:color="auto" w:fill="auto"/>
            <w:vAlign w:val="center"/>
          </w:tcPr>
          <w:p w14:paraId="09EEC558">
            <w:pPr>
              <w:spacing w:line="320" w:lineRule="exact"/>
              <w:ind w:left="-53" w:leftChars="-25" w:right="-53" w:rightChars="-25"/>
              <w:jc w:val="center"/>
              <w:rPr>
                <w:snapToGrid w:val="0"/>
                <w:kern w:val="0"/>
                <w:szCs w:val="21"/>
              </w:rPr>
            </w:pPr>
            <w:r>
              <w:rPr>
                <w:szCs w:val="21"/>
              </w:rPr>
              <w:t>/</w:t>
            </w:r>
          </w:p>
        </w:tc>
      </w:tr>
      <w:tr w14:paraId="6B5C0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144CA0D3">
            <w:pPr>
              <w:spacing w:line="320" w:lineRule="exact"/>
              <w:ind w:left="-53" w:leftChars="-25" w:right="-53" w:rightChars="-25"/>
              <w:jc w:val="center"/>
              <w:rPr>
                <w:snapToGrid w:val="0"/>
                <w:kern w:val="0"/>
                <w:szCs w:val="21"/>
              </w:rPr>
            </w:pPr>
            <w:r>
              <w:rPr>
                <w:snapToGrid w:val="0"/>
                <w:kern w:val="0"/>
                <w:szCs w:val="21"/>
              </w:rPr>
              <w:t>氯化物</w:t>
            </w:r>
          </w:p>
        </w:tc>
        <w:tc>
          <w:tcPr>
            <w:tcW w:w="534" w:type="pct"/>
            <w:vAlign w:val="center"/>
          </w:tcPr>
          <w:p w14:paraId="2D6EF0CF">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400" w:type="pct"/>
            <w:vAlign w:val="center"/>
          </w:tcPr>
          <w:p w14:paraId="7E8A6A04">
            <w:pPr>
              <w:spacing w:line="320" w:lineRule="exact"/>
              <w:ind w:left="-53" w:leftChars="-25" w:right="-53" w:rightChars="-25"/>
              <w:jc w:val="center"/>
              <w:rPr>
                <w:snapToGrid w:val="0"/>
                <w:kern w:val="0"/>
                <w:szCs w:val="21"/>
              </w:rPr>
            </w:pPr>
            <w:r>
              <w:rPr>
                <w:rFonts w:hint="eastAsia"/>
                <w:snapToGrid w:val="0"/>
                <w:kern w:val="0"/>
                <w:szCs w:val="21"/>
              </w:rPr>
              <w:t>33.6</w:t>
            </w:r>
          </w:p>
        </w:tc>
        <w:tc>
          <w:tcPr>
            <w:tcW w:w="535" w:type="pct"/>
            <w:shd w:val="clear" w:color="auto" w:fill="auto"/>
            <w:vAlign w:val="center"/>
          </w:tcPr>
          <w:p w14:paraId="218AC46E">
            <w:pPr>
              <w:spacing w:line="320" w:lineRule="exact"/>
              <w:ind w:left="-53" w:leftChars="-25" w:right="-53" w:rightChars="-25"/>
              <w:jc w:val="center"/>
              <w:rPr>
                <w:snapToGrid w:val="0"/>
                <w:kern w:val="0"/>
                <w:szCs w:val="21"/>
              </w:rPr>
            </w:pPr>
            <w:r>
              <w:rPr>
                <w:szCs w:val="21"/>
              </w:rPr>
              <w:t xml:space="preserve">0.13 </w:t>
            </w:r>
          </w:p>
        </w:tc>
        <w:tc>
          <w:tcPr>
            <w:tcW w:w="534" w:type="pct"/>
            <w:shd w:val="clear" w:color="auto" w:fill="auto"/>
            <w:vAlign w:val="center"/>
          </w:tcPr>
          <w:p w14:paraId="764D053B">
            <w:pPr>
              <w:spacing w:line="320" w:lineRule="exact"/>
              <w:ind w:left="-53" w:leftChars="-25" w:right="-53" w:rightChars="-25"/>
              <w:jc w:val="center"/>
              <w:rPr>
                <w:snapToGrid w:val="0"/>
                <w:kern w:val="0"/>
                <w:szCs w:val="21"/>
              </w:rPr>
            </w:pPr>
            <w:r>
              <w:rPr>
                <w:szCs w:val="21"/>
              </w:rPr>
              <w:t>16.1</w:t>
            </w:r>
          </w:p>
        </w:tc>
        <w:tc>
          <w:tcPr>
            <w:tcW w:w="468" w:type="pct"/>
            <w:shd w:val="clear" w:color="auto" w:fill="auto"/>
            <w:vAlign w:val="center"/>
          </w:tcPr>
          <w:p w14:paraId="154A3528">
            <w:pPr>
              <w:spacing w:line="320" w:lineRule="exact"/>
              <w:ind w:left="-53" w:leftChars="-25" w:right="-53" w:rightChars="-25"/>
              <w:jc w:val="center"/>
              <w:rPr>
                <w:snapToGrid w:val="0"/>
                <w:kern w:val="0"/>
                <w:szCs w:val="21"/>
              </w:rPr>
            </w:pPr>
            <w:r>
              <w:rPr>
                <w:szCs w:val="21"/>
              </w:rPr>
              <w:t xml:space="preserve">0.06 </w:t>
            </w:r>
          </w:p>
        </w:tc>
        <w:tc>
          <w:tcPr>
            <w:tcW w:w="399" w:type="pct"/>
            <w:shd w:val="clear" w:color="auto" w:fill="auto"/>
            <w:vAlign w:val="center"/>
          </w:tcPr>
          <w:p w14:paraId="57C8FCAC">
            <w:pPr>
              <w:spacing w:line="320" w:lineRule="exact"/>
              <w:ind w:left="-53" w:leftChars="-25" w:right="-53" w:rightChars="-25"/>
              <w:jc w:val="center"/>
              <w:rPr>
                <w:snapToGrid w:val="0"/>
                <w:kern w:val="0"/>
                <w:szCs w:val="21"/>
              </w:rPr>
            </w:pPr>
            <w:r>
              <w:rPr>
                <w:szCs w:val="21"/>
              </w:rPr>
              <w:t>5.97</w:t>
            </w:r>
          </w:p>
        </w:tc>
        <w:tc>
          <w:tcPr>
            <w:tcW w:w="493" w:type="pct"/>
            <w:shd w:val="clear" w:color="auto" w:fill="auto"/>
            <w:vAlign w:val="center"/>
          </w:tcPr>
          <w:p w14:paraId="066D3BB6">
            <w:pPr>
              <w:spacing w:line="320" w:lineRule="exact"/>
              <w:ind w:left="-53" w:leftChars="-25" w:right="-53" w:rightChars="-25"/>
              <w:jc w:val="center"/>
              <w:rPr>
                <w:snapToGrid w:val="0"/>
                <w:kern w:val="0"/>
                <w:szCs w:val="21"/>
              </w:rPr>
            </w:pPr>
            <w:r>
              <w:rPr>
                <w:szCs w:val="21"/>
              </w:rPr>
              <w:t xml:space="preserve">0.02 </w:t>
            </w:r>
          </w:p>
        </w:tc>
        <w:tc>
          <w:tcPr>
            <w:tcW w:w="494" w:type="pct"/>
            <w:shd w:val="clear" w:color="auto" w:fill="auto"/>
            <w:vAlign w:val="center"/>
          </w:tcPr>
          <w:p w14:paraId="739D61F4">
            <w:pPr>
              <w:spacing w:line="320" w:lineRule="exact"/>
              <w:ind w:left="-53" w:leftChars="-25" w:right="-53" w:rightChars="-25"/>
              <w:jc w:val="center"/>
              <w:rPr>
                <w:snapToGrid w:val="0"/>
                <w:kern w:val="0"/>
                <w:szCs w:val="21"/>
              </w:rPr>
            </w:pPr>
            <w:r>
              <w:rPr>
                <w:szCs w:val="21"/>
              </w:rPr>
              <w:t>32.7</w:t>
            </w:r>
          </w:p>
        </w:tc>
        <w:tc>
          <w:tcPr>
            <w:tcW w:w="493" w:type="pct"/>
            <w:shd w:val="clear" w:color="auto" w:fill="auto"/>
            <w:vAlign w:val="center"/>
          </w:tcPr>
          <w:p w14:paraId="5B478EC8">
            <w:pPr>
              <w:spacing w:line="320" w:lineRule="exact"/>
              <w:ind w:left="-53" w:leftChars="-25" w:right="-53" w:rightChars="-25"/>
              <w:jc w:val="center"/>
              <w:rPr>
                <w:snapToGrid w:val="0"/>
                <w:kern w:val="0"/>
                <w:szCs w:val="21"/>
              </w:rPr>
            </w:pPr>
            <w:r>
              <w:rPr>
                <w:szCs w:val="21"/>
              </w:rPr>
              <w:t xml:space="preserve">0.13 </w:t>
            </w:r>
          </w:p>
        </w:tc>
      </w:tr>
      <w:tr w14:paraId="6817A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B4D0E0B">
            <w:pPr>
              <w:spacing w:line="320" w:lineRule="exact"/>
              <w:ind w:left="-53" w:leftChars="-25" w:right="-53" w:rightChars="-25"/>
              <w:jc w:val="center"/>
              <w:rPr>
                <w:snapToGrid w:val="0"/>
                <w:kern w:val="0"/>
                <w:szCs w:val="21"/>
              </w:rPr>
            </w:pPr>
            <w:r>
              <w:rPr>
                <w:snapToGrid w:val="0"/>
                <w:kern w:val="0"/>
                <w:szCs w:val="21"/>
              </w:rPr>
              <w:t>硝酸盐</w:t>
            </w:r>
          </w:p>
        </w:tc>
        <w:tc>
          <w:tcPr>
            <w:tcW w:w="534" w:type="pct"/>
            <w:vAlign w:val="center"/>
          </w:tcPr>
          <w:p w14:paraId="11B71856">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w:t>
            </w:r>
          </w:p>
        </w:tc>
        <w:tc>
          <w:tcPr>
            <w:tcW w:w="400" w:type="pct"/>
            <w:vAlign w:val="center"/>
          </w:tcPr>
          <w:p w14:paraId="704FAB7A">
            <w:pPr>
              <w:spacing w:line="320" w:lineRule="exact"/>
              <w:ind w:left="-53" w:leftChars="-25" w:right="-53" w:rightChars="-25"/>
              <w:jc w:val="center"/>
              <w:rPr>
                <w:snapToGrid w:val="0"/>
                <w:kern w:val="0"/>
                <w:szCs w:val="21"/>
              </w:rPr>
            </w:pPr>
            <w:r>
              <w:rPr>
                <w:rFonts w:hint="eastAsia"/>
                <w:snapToGrid w:val="0"/>
                <w:kern w:val="0"/>
                <w:szCs w:val="21"/>
              </w:rPr>
              <w:t>0.255</w:t>
            </w:r>
          </w:p>
        </w:tc>
        <w:tc>
          <w:tcPr>
            <w:tcW w:w="535" w:type="pct"/>
            <w:shd w:val="clear" w:color="auto" w:fill="auto"/>
            <w:vAlign w:val="center"/>
          </w:tcPr>
          <w:p w14:paraId="5E977CC5">
            <w:pPr>
              <w:spacing w:line="320" w:lineRule="exact"/>
              <w:ind w:left="-53" w:leftChars="-25" w:right="-53" w:rightChars="-25"/>
              <w:jc w:val="center"/>
              <w:rPr>
                <w:snapToGrid w:val="0"/>
                <w:kern w:val="0"/>
                <w:szCs w:val="21"/>
              </w:rPr>
            </w:pPr>
            <w:r>
              <w:rPr>
                <w:szCs w:val="21"/>
              </w:rPr>
              <w:t xml:space="preserve">0.01 </w:t>
            </w:r>
          </w:p>
        </w:tc>
        <w:tc>
          <w:tcPr>
            <w:tcW w:w="534" w:type="pct"/>
            <w:shd w:val="clear" w:color="auto" w:fill="auto"/>
            <w:vAlign w:val="center"/>
          </w:tcPr>
          <w:p w14:paraId="35FA1065">
            <w:pPr>
              <w:spacing w:line="320" w:lineRule="exact"/>
              <w:ind w:left="-53" w:leftChars="-25" w:right="-53" w:rightChars="-25"/>
              <w:jc w:val="center"/>
              <w:rPr>
                <w:snapToGrid w:val="0"/>
                <w:kern w:val="0"/>
                <w:szCs w:val="21"/>
              </w:rPr>
            </w:pPr>
            <w:r>
              <w:rPr>
                <w:szCs w:val="21"/>
              </w:rPr>
              <w:t>2.15</w:t>
            </w:r>
          </w:p>
        </w:tc>
        <w:tc>
          <w:tcPr>
            <w:tcW w:w="468" w:type="pct"/>
            <w:shd w:val="clear" w:color="auto" w:fill="auto"/>
            <w:vAlign w:val="center"/>
          </w:tcPr>
          <w:p w14:paraId="7EED2758">
            <w:pPr>
              <w:spacing w:line="320" w:lineRule="exact"/>
              <w:ind w:left="-53" w:leftChars="-25" w:right="-53" w:rightChars="-25"/>
              <w:jc w:val="center"/>
              <w:rPr>
                <w:snapToGrid w:val="0"/>
                <w:kern w:val="0"/>
                <w:szCs w:val="21"/>
              </w:rPr>
            </w:pPr>
            <w:r>
              <w:rPr>
                <w:szCs w:val="21"/>
              </w:rPr>
              <w:t xml:space="preserve">0.11 </w:t>
            </w:r>
          </w:p>
        </w:tc>
        <w:tc>
          <w:tcPr>
            <w:tcW w:w="399" w:type="pct"/>
            <w:shd w:val="clear" w:color="auto" w:fill="auto"/>
            <w:vAlign w:val="center"/>
          </w:tcPr>
          <w:p w14:paraId="267735F8">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1DD3777D">
            <w:pPr>
              <w:spacing w:line="320" w:lineRule="exact"/>
              <w:ind w:left="-53" w:leftChars="-25" w:right="-53" w:rightChars="-25"/>
              <w:jc w:val="center"/>
              <w:rPr>
                <w:snapToGrid w:val="0"/>
                <w:kern w:val="0"/>
                <w:szCs w:val="21"/>
              </w:rPr>
            </w:pPr>
            <w:r>
              <w:rPr>
                <w:szCs w:val="21"/>
              </w:rPr>
              <w:t>/</w:t>
            </w:r>
          </w:p>
        </w:tc>
        <w:tc>
          <w:tcPr>
            <w:tcW w:w="494" w:type="pct"/>
            <w:shd w:val="clear" w:color="auto" w:fill="auto"/>
            <w:vAlign w:val="center"/>
          </w:tcPr>
          <w:p w14:paraId="0762AF0E">
            <w:pPr>
              <w:spacing w:line="320" w:lineRule="exact"/>
              <w:ind w:left="-53" w:leftChars="-25" w:right="-53" w:rightChars="-25"/>
              <w:jc w:val="center"/>
              <w:rPr>
                <w:snapToGrid w:val="0"/>
                <w:kern w:val="0"/>
                <w:szCs w:val="21"/>
              </w:rPr>
            </w:pPr>
            <w:r>
              <w:rPr>
                <w:szCs w:val="21"/>
              </w:rPr>
              <w:t>0.778</w:t>
            </w:r>
          </w:p>
        </w:tc>
        <w:tc>
          <w:tcPr>
            <w:tcW w:w="493" w:type="pct"/>
            <w:shd w:val="clear" w:color="auto" w:fill="auto"/>
            <w:vAlign w:val="center"/>
          </w:tcPr>
          <w:p w14:paraId="46C857A1">
            <w:pPr>
              <w:spacing w:line="320" w:lineRule="exact"/>
              <w:ind w:left="-53" w:leftChars="-25" w:right="-53" w:rightChars="-25"/>
              <w:jc w:val="center"/>
              <w:rPr>
                <w:snapToGrid w:val="0"/>
                <w:kern w:val="0"/>
                <w:szCs w:val="21"/>
              </w:rPr>
            </w:pPr>
            <w:r>
              <w:rPr>
                <w:szCs w:val="21"/>
              </w:rPr>
              <w:t xml:space="preserve">0.04 </w:t>
            </w:r>
          </w:p>
        </w:tc>
      </w:tr>
      <w:tr w14:paraId="4F5E9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106F51E2">
            <w:pPr>
              <w:spacing w:line="320" w:lineRule="exact"/>
              <w:ind w:left="-53" w:leftChars="-25" w:right="-53" w:rightChars="-25"/>
              <w:jc w:val="center"/>
              <w:rPr>
                <w:snapToGrid w:val="0"/>
                <w:kern w:val="0"/>
                <w:szCs w:val="21"/>
              </w:rPr>
            </w:pPr>
            <w:r>
              <w:rPr>
                <w:snapToGrid w:val="0"/>
                <w:kern w:val="0"/>
                <w:szCs w:val="21"/>
              </w:rPr>
              <w:t>硫酸盐</w:t>
            </w:r>
          </w:p>
        </w:tc>
        <w:tc>
          <w:tcPr>
            <w:tcW w:w="534" w:type="pct"/>
            <w:vAlign w:val="center"/>
          </w:tcPr>
          <w:p w14:paraId="65DE5084">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400" w:type="pct"/>
            <w:vAlign w:val="center"/>
          </w:tcPr>
          <w:p w14:paraId="062A38AE">
            <w:pPr>
              <w:spacing w:line="320" w:lineRule="exact"/>
              <w:ind w:left="-53" w:leftChars="-25" w:right="-53" w:rightChars="-25"/>
              <w:jc w:val="center"/>
              <w:rPr>
                <w:snapToGrid w:val="0"/>
                <w:kern w:val="0"/>
                <w:szCs w:val="21"/>
              </w:rPr>
            </w:pPr>
            <w:r>
              <w:rPr>
                <w:rFonts w:hint="eastAsia"/>
                <w:snapToGrid w:val="0"/>
                <w:kern w:val="0"/>
                <w:szCs w:val="21"/>
              </w:rPr>
              <w:t>24.6</w:t>
            </w:r>
          </w:p>
        </w:tc>
        <w:tc>
          <w:tcPr>
            <w:tcW w:w="535" w:type="pct"/>
            <w:shd w:val="clear" w:color="auto" w:fill="auto"/>
            <w:vAlign w:val="center"/>
          </w:tcPr>
          <w:p w14:paraId="5DA68C00">
            <w:pPr>
              <w:spacing w:line="320" w:lineRule="exact"/>
              <w:ind w:left="-53" w:leftChars="-25" w:right="-53" w:rightChars="-25"/>
              <w:jc w:val="center"/>
              <w:rPr>
                <w:snapToGrid w:val="0"/>
                <w:kern w:val="0"/>
                <w:szCs w:val="21"/>
              </w:rPr>
            </w:pPr>
            <w:r>
              <w:rPr>
                <w:szCs w:val="21"/>
              </w:rPr>
              <w:t xml:space="preserve">0.10 </w:t>
            </w:r>
          </w:p>
        </w:tc>
        <w:tc>
          <w:tcPr>
            <w:tcW w:w="534" w:type="pct"/>
            <w:shd w:val="clear" w:color="auto" w:fill="auto"/>
            <w:vAlign w:val="center"/>
          </w:tcPr>
          <w:p w14:paraId="1D985E81">
            <w:pPr>
              <w:spacing w:line="320" w:lineRule="exact"/>
              <w:ind w:left="-53" w:leftChars="-25" w:right="-53" w:rightChars="-25"/>
              <w:jc w:val="center"/>
              <w:rPr>
                <w:snapToGrid w:val="0"/>
                <w:kern w:val="0"/>
                <w:szCs w:val="21"/>
              </w:rPr>
            </w:pPr>
            <w:r>
              <w:rPr>
                <w:szCs w:val="21"/>
              </w:rPr>
              <w:t>47.7</w:t>
            </w:r>
          </w:p>
        </w:tc>
        <w:tc>
          <w:tcPr>
            <w:tcW w:w="468" w:type="pct"/>
            <w:shd w:val="clear" w:color="auto" w:fill="auto"/>
            <w:vAlign w:val="center"/>
          </w:tcPr>
          <w:p w14:paraId="26309465">
            <w:pPr>
              <w:spacing w:line="320" w:lineRule="exact"/>
              <w:ind w:left="-53" w:leftChars="-25" w:right="-53" w:rightChars="-25"/>
              <w:jc w:val="center"/>
              <w:rPr>
                <w:snapToGrid w:val="0"/>
                <w:kern w:val="0"/>
                <w:szCs w:val="21"/>
              </w:rPr>
            </w:pPr>
            <w:r>
              <w:rPr>
                <w:szCs w:val="21"/>
              </w:rPr>
              <w:t xml:space="preserve">0.19 </w:t>
            </w:r>
          </w:p>
        </w:tc>
        <w:tc>
          <w:tcPr>
            <w:tcW w:w="399" w:type="pct"/>
            <w:shd w:val="clear" w:color="auto" w:fill="auto"/>
            <w:vAlign w:val="center"/>
          </w:tcPr>
          <w:p w14:paraId="5B587FE8">
            <w:pPr>
              <w:spacing w:line="320" w:lineRule="exact"/>
              <w:ind w:left="-53" w:leftChars="-25" w:right="-53" w:rightChars="-25"/>
              <w:jc w:val="center"/>
              <w:rPr>
                <w:snapToGrid w:val="0"/>
                <w:kern w:val="0"/>
                <w:szCs w:val="21"/>
              </w:rPr>
            </w:pPr>
            <w:r>
              <w:rPr>
                <w:szCs w:val="21"/>
              </w:rPr>
              <w:t>8.54</w:t>
            </w:r>
          </w:p>
        </w:tc>
        <w:tc>
          <w:tcPr>
            <w:tcW w:w="493" w:type="pct"/>
            <w:shd w:val="clear" w:color="auto" w:fill="auto"/>
            <w:vAlign w:val="center"/>
          </w:tcPr>
          <w:p w14:paraId="3DF83998">
            <w:pPr>
              <w:spacing w:line="320" w:lineRule="exact"/>
              <w:ind w:left="-53" w:leftChars="-25" w:right="-53" w:rightChars="-25"/>
              <w:jc w:val="center"/>
              <w:rPr>
                <w:snapToGrid w:val="0"/>
                <w:kern w:val="0"/>
                <w:szCs w:val="21"/>
              </w:rPr>
            </w:pPr>
            <w:r>
              <w:rPr>
                <w:szCs w:val="21"/>
              </w:rPr>
              <w:t xml:space="preserve">0.03 </w:t>
            </w:r>
          </w:p>
        </w:tc>
        <w:tc>
          <w:tcPr>
            <w:tcW w:w="494" w:type="pct"/>
            <w:shd w:val="clear" w:color="auto" w:fill="auto"/>
            <w:vAlign w:val="center"/>
          </w:tcPr>
          <w:p w14:paraId="7B3F17FC">
            <w:pPr>
              <w:spacing w:line="320" w:lineRule="exact"/>
              <w:ind w:left="-53" w:leftChars="-25" w:right="-53" w:rightChars="-25"/>
              <w:jc w:val="center"/>
              <w:rPr>
                <w:snapToGrid w:val="0"/>
                <w:kern w:val="0"/>
                <w:szCs w:val="21"/>
              </w:rPr>
            </w:pPr>
            <w:r>
              <w:rPr>
                <w:szCs w:val="21"/>
              </w:rPr>
              <w:t>11.5</w:t>
            </w:r>
          </w:p>
        </w:tc>
        <w:tc>
          <w:tcPr>
            <w:tcW w:w="493" w:type="pct"/>
            <w:shd w:val="clear" w:color="auto" w:fill="auto"/>
            <w:vAlign w:val="center"/>
          </w:tcPr>
          <w:p w14:paraId="77AF7D26">
            <w:pPr>
              <w:spacing w:line="320" w:lineRule="exact"/>
              <w:ind w:left="-53" w:leftChars="-25" w:right="-53" w:rightChars="-25"/>
              <w:jc w:val="center"/>
              <w:rPr>
                <w:snapToGrid w:val="0"/>
                <w:kern w:val="0"/>
                <w:szCs w:val="21"/>
              </w:rPr>
            </w:pPr>
            <w:r>
              <w:rPr>
                <w:szCs w:val="21"/>
              </w:rPr>
              <w:t xml:space="preserve">0.05 </w:t>
            </w:r>
          </w:p>
        </w:tc>
      </w:tr>
      <w:tr w14:paraId="2E34E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2E75CF24">
            <w:pPr>
              <w:spacing w:line="320" w:lineRule="exact"/>
              <w:ind w:left="-53" w:leftChars="-25" w:right="-53" w:rightChars="-25"/>
              <w:jc w:val="center"/>
              <w:rPr>
                <w:snapToGrid w:val="0"/>
                <w:kern w:val="0"/>
                <w:szCs w:val="21"/>
              </w:rPr>
            </w:pPr>
            <w:r>
              <w:rPr>
                <w:rFonts w:hint="eastAsia"/>
                <w:snapToGrid w:val="0"/>
                <w:kern w:val="0"/>
                <w:szCs w:val="21"/>
              </w:rPr>
              <w:t>硫化物</w:t>
            </w:r>
          </w:p>
        </w:tc>
        <w:tc>
          <w:tcPr>
            <w:tcW w:w="534" w:type="pct"/>
            <w:vAlign w:val="center"/>
          </w:tcPr>
          <w:p w14:paraId="07119836">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.02</w:t>
            </w:r>
          </w:p>
        </w:tc>
        <w:tc>
          <w:tcPr>
            <w:tcW w:w="400" w:type="pct"/>
            <w:vAlign w:val="center"/>
          </w:tcPr>
          <w:p w14:paraId="4379C85A">
            <w:pPr>
              <w:spacing w:line="320" w:lineRule="exact"/>
              <w:ind w:left="-53" w:leftChars="-25" w:right="-53" w:rightChars="-25"/>
              <w:jc w:val="center"/>
              <w:rPr>
                <w:snapToGrid w:val="0"/>
                <w:kern w:val="0"/>
                <w:szCs w:val="21"/>
              </w:rPr>
            </w:pPr>
            <w:r>
              <w:rPr>
                <w:rFonts w:hint="eastAsia"/>
                <w:snapToGrid w:val="0"/>
                <w:kern w:val="0"/>
                <w:szCs w:val="21"/>
              </w:rPr>
              <w:t>0.008</w:t>
            </w:r>
          </w:p>
        </w:tc>
        <w:tc>
          <w:tcPr>
            <w:tcW w:w="535" w:type="pct"/>
            <w:shd w:val="clear" w:color="auto" w:fill="auto"/>
            <w:vAlign w:val="center"/>
          </w:tcPr>
          <w:p w14:paraId="21FA13BD">
            <w:pPr>
              <w:spacing w:line="320" w:lineRule="exact"/>
              <w:ind w:left="-53" w:leftChars="-25" w:right="-53" w:rightChars="-25"/>
              <w:jc w:val="center"/>
              <w:rPr>
                <w:snapToGrid w:val="0"/>
                <w:kern w:val="0"/>
                <w:szCs w:val="21"/>
              </w:rPr>
            </w:pPr>
            <w:r>
              <w:rPr>
                <w:szCs w:val="21"/>
              </w:rPr>
              <w:t xml:space="preserve">0.40 </w:t>
            </w:r>
          </w:p>
        </w:tc>
        <w:tc>
          <w:tcPr>
            <w:tcW w:w="534" w:type="pct"/>
            <w:shd w:val="clear" w:color="auto" w:fill="auto"/>
            <w:vAlign w:val="center"/>
          </w:tcPr>
          <w:p w14:paraId="5BF304B7">
            <w:pPr>
              <w:spacing w:line="320" w:lineRule="exact"/>
              <w:ind w:left="-53" w:leftChars="-25" w:right="-53" w:rightChars="-25"/>
              <w:jc w:val="center"/>
              <w:rPr>
                <w:snapToGrid w:val="0"/>
                <w:kern w:val="0"/>
                <w:szCs w:val="21"/>
              </w:rPr>
            </w:pPr>
            <w:r>
              <w:rPr>
                <w:szCs w:val="21"/>
              </w:rPr>
              <w:t>0.007</w:t>
            </w:r>
          </w:p>
        </w:tc>
        <w:tc>
          <w:tcPr>
            <w:tcW w:w="468" w:type="pct"/>
            <w:shd w:val="clear" w:color="auto" w:fill="auto"/>
            <w:vAlign w:val="center"/>
          </w:tcPr>
          <w:p w14:paraId="77F2B31A">
            <w:pPr>
              <w:spacing w:line="320" w:lineRule="exact"/>
              <w:ind w:left="-53" w:leftChars="-25" w:right="-53" w:rightChars="-25"/>
              <w:jc w:val="center"/>
              <w:rPr>
                <w:snapToGrid w:val="0"/>
                <w:kern w:val="0"/>
                <w:szCs w:val="21"/>
              </w:rPr>
            </w:pPr>
            <w:r>
              <w:rPr>
                <w:szCs w:val="21"/>
              </w:rPr>
              <w:t xml:space="preserve">0.35 </w:t>
            </w:r>
          </w:p>
        </w:tc>
        <w:tc>
          <w:tcPr>
            <w:tcW w:w="399" w:type="pct"/>
            <w:shd w:val="clear" w:color="auto" w:fill="auto"/>
            <w:vAlign w:val="center"/>
          </w:tcPr>
          <w:p w14:paraId="1BBF8378">
            <w:pPr>
              <w:spacing w:line="320" w:lineRule="exact"/>
              <w:ind w:left="-53" w:leftChars="-25" w:right="-53" w:rightChars="-25"/>
              <w:jc w:val="center"/>
              <w:rPr>
                <w:snapToGrid w:val="0"/>
                <w:kern w:val="0"/>
                <w:szCs w:val="21"/>
              </w:rPr>
            </w:pPr>
            <w:r>
              <w:rPr>
                <w:szCs w:val="21"/>
              </w:rPr>
              <w:t>0.01</w:t>
            </w:r>
          </w:p>
        </w:tc>
        <w:tc>
          <w:tcPr>
            <w:tcW w:w="493" w:type="pct"/>
            <w:shd w:val="clear" w:color="auto" w:fill="auto"/>
            <w:vAlign w:val="center"/>
          </w:tcPr>
          <w:p w14:paraId="5F17EC3B">
            <w:pPr>
              <w:spacing w:line="320" w:lineRule="exact"/>
              <w:ind w:left="-53" w:leftChars="-25" w:right="-53" w:rightChars="-25"/>
              <w:jc w:val="center"/>
              <w:rPr>
                <w:snapToGrid w:val="0"/>
                <w:kern w:val="0"/>
                <w:szCs w:val="21"/>
              </w:rPr>
            </w:pPr>
            <w:r>
              <w:rPr>
                <w:szCs w:val="21"/>
              </w:rPr>
              <w:t>0.5</w:t>
            </w:r>
          </w:p>
        </w:tc>
        <w:tc>
          <w:tcPr>
            <w:tcW w:w="494" w:type="pct"/>
            <w:shd w:val="clear" w:color="auto" w:fill="auto"/>
            <w:vAlign w:val="center"/>
          </w:tcPr>
          <w:p w14:paraId="32B38E38">
            <w:pPr>
              <w:spacing w:line="320" w:lineRule="exact"/>
              <w:ind w:left="-53" w:leftChars="-25" w:right="-53" w:rightChars="-25"/>
              <w:jc w:val="center"/>
              <w:rPr>
                <w:snapToGrid w:val="0"/>
                <w:kern w:val="0"/>
                <w:szCs w:val="21"/>
              </w:rPr>
            </w:pPr>
            <w:r>
              <w:rPr>
                <w:szCs w:val="21"/>
              </w:rPr>
              <w:t>0.009</w:t>
            </w:r>
          </w:p>
        </w:tc>
        <w:tc>
          <w:tcPr>
            <w:tcW w:w="493" w:type="pct"/>
            <w:shd w:val="clear" w:color="auto" w:fill="auto"/>
            <w:vAlign w:val="center"/>
          </w:tcPr>
          <w:p w14:paraId="4F861DAD">
            <w:pPr>
              <w:spacing w:line="320" w:lineRule="exact"/>
              <w:ind w:left="-53" w:leftChars="-25" w:right="-53" w:rightChars="-25"/>
              <w:jc w:val="center"/>
              <w:rPr>
                <w:snapToGrid w:val="0"/>
                <w:kern w:val="0"/>
                <w:szCs w:val="21"/>
              </w:rPr>
            </w:pPr>
            <w:r>
              <w:rPr>
                <w:szCs w:val="21"/>
              </w:rPr>
              <w:t xml:space="preserve">0.45 </w:t>
            </w:r>
          </w:p>
        </w:tc>
      </w:tr>
      <w:tr w14:paraId="1ADB5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367DAB0E">
            <w:pPr>
              <w:spacing w:line="320" w:lineRule="exact"/>
              <w:ind w:left="-53" w:leftChars="-25" w:right="-53" w:rightChars="-25"/>
              <w:jc w:val="center"/>
              <w:rPr>
                <w:snapToGrid w:val="0"/>
                <w:kern w:val="0"/>
                <w:szCs w:val="21"/>
              </w:rPr>
            </w:pPr>
            <w:r>
              <w:rPr>
                <w:snapToGrid w:val="0"/>
                <w:kern w:val="0"/>
                <w:szCs w:val="21"/>
              </w:rPr>
              <w:t>砷</w:t>
            </w:r>
          </w:p>
        </w:tc>
        <w:tc>
          <w:tcPr>
            <w:tcW w:w="534" w:type="pct"/>
            <w:vAlign w:val="center"/>
          </w:tcPr>
          <w:p w14:paraId="4A7E8711">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400" w:type="pct"/>
            <w:vAlign w:val="center"/>
          </w:tcPr>
          <w:p w14:paraId="4C1C958E">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3FF781C7">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1553FD14">
            <w:pPr>
              <w:spacing w:line="320" w:lineRule="exact"/>
              <w:ind w:left="-53" w:leftChars="-25" w:right="-53" w:rightChars="-25"/>
              <w:jc w:val="center"/>
              <w:rPr>
                <w:snapToGrid w:val="0"/>
                <w:kern w:val="0"/>
                <w:szCs w:val="21"/>
              </w:rPr>
            </w:pPr>
            <w:r>
              <w:rPr>
                <w:szCs w:val="21"/>
              </w:rPr>
              <w:t>0.0011</w:t>
            </w:r>
          </w:p>
        </w:tc>
        <w:tc>
          <w:tcPr>
            <w:tcW w:w="468" w:type="pct"/>
            <w:shd w:val="clear" w:color="auto" w:fill="auto"/>
            <w:vAlign w:val="center"/>
          </w:tcPr>
          <w:p w14:paraId="5A9A16BE">
            <w:pPr>
              <w:spacing w:line="320" w:lineRule="exact"/>
              <w:ind w:left="-53" w:leftChars="-25" w:right="-53" w:rightChars="-25"/>
              <w:jc w:val="center"/>
              <w:rPr>
                <w:snapToGrid w:val="0"/>
                <w:kern w:val="0"/>
                <w:szCs w:val="21"/>
              </w:rPr>
            </w:pPr>
            <w:r>
              <w:rPr>
                <w:szCs w:val="21"/>
              </w:rPr>
              <w:t xml:space="preserve">0.11 </w:t>
            </w:r>
          </w:p>
        </w:tc>
        <w:tc>
          <w:tcPr>
            <w:tcW w:w="399" w:type="pct"/>
            <w:shd w:val="clear" w:color="auto" w:fill="auto"/>
            <w:vAlign w:val="center"/>
          </w:tcPr>
          <w:p w14:paraId="72BB8BC4">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1867C8E0">
            <w:pPr>
              <w:spacing w:line="320" w:lineRule="exact"/>
              <w:ind w:left="-53" w:leftChars="-25" w:right="-53" w:rightChars="-25"/>
              <w:jc w:val="center"/>
              <w:rPr>
                <w:szCs w:val="21"/>
              </w:rPr>
            </w:pPr>
            <w:r>
              <w:rPr>
                <w:szCs w:val="21"/>
              </w:rPr>
              <w:t>/</w:t>
            </w:r>
          </w:p>
        </w:tc>
        <w:tc>
          <w:tcPr>
            <w:tcW w:w="494" w:type="pct"/>
            <w:shd w:val="clear" w:color="auto" w:fill="auto"/>
            <w:vAlign w:val="center"/>
          </w:tcPr>
          <w:p w14:paraId="2CFD8194">
            <w:pPr>
              <w:spacing w:line="320" w:lineRule="exact"/>
              <w:ind w:left="-53" w:leftChars="-25" w:right="-53" w:rightChars="-25"/>
              <w:jc w:val="center"/>
              <w:rPr>
                <w:szCs w:val="21"/>
              </w:rPr>
            </w:pPr>
            <w:r>
              <w:rPr>
                <w:szCs w:val="21"/>
              </w:rPr>
              <w:t>ND</w:t>
            </w:r>
          </w:p>
        </w:tc>
        <w:tc>
          <w:tcPr>
            <w:tcW w:w="493" w:type="pct"/>
            <w:shd w:val="clear" w:color="auto" w:fill="auto"/>
            <w:vAlign w:val="center"/>
          </w:tcPr>
          <w:p w14:paraId="10E6EC81">
            <w:pPr>
              <w:spacing w:line="320" w:lineRule="exact"/>
              <w:ind w:left="-53" w:leftChars="-25" w:right="-53" w:rightChars="-25"/>
              <w:jc w:val="center"/>
              <w:rPr>
                <w:snapToGrid w:val="0"/>
                <w:kern w:val="0"/>
                <w:szCs w:val="21"/>
              </w:rPr>
            </w:pPr>
            <w:r>
              <w:rPr>
                <w:szCs w:val="21"/>
              </w:rPr>
              <w:t>/</w:t>
            </w:r>
          </w:p>
        </w:tc>
      </w:tr>
      <w:tr w14:paraId="407CE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25B8DD2B">
            <w:pPr>
              <w:spacing w:line="320" w:lineRule="exact"/>
              <w:ind w:left="-53" w:leftChars="-25" w:right="-53" w:rightChars="-25"/>
              <w:jc w:val="center"/>
              <w:rPr>
                <w:snapToGrid w:val="0"/>
                <w:kern w:val="0"/>
                <w:szCs w:val="21"/>
              </w:rPr>
            </w:pPr>
            <w:r>
              <w:rPr>
                <w:snapToGrid w:val="0"/>
                <w:kern w:val="0"/>
                <w:szCs w:val="21"/>
              </w:rPr>
              <w:t>汞</w:t>
            </w:r>
          </w:p>
        </w:tc>
        <w:tc>
          <w:tcPr>
            <w:tcW w:w="534" w:type="pct"/>
            <w:vAlign w:val="center"/>
          </w:tcPr>
          <w:p w14:paraId="5A631B7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.001</w:t>
            </w:r>
          </w:p>
        </w:tc>
        <w:tc>
          <w:tcPr>
            <w:tcW w:w="400" w:type="pct"/>
            <w:vAlign w:val="center"/>
          </w:tcPr>
          <w:p w14:paraId="6DCBC0FE">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45720F86">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5C6AB95B">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5F411263">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6C891B1E">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39AD3E4D">
            <w:pPr>
              <w:spacing w:line="320" w:lineRule="exact"/>
              <w:ind w:left="-53" w:leftChars="-25" w:right="-53" w:rightChars="-25"/>
              <w:jc w:val="center"/>
              <w:rPr>
                <w:szCs w:val="21"/>
              </w:rPr>
            </w:pPr>
            <w:r>
              <w:rPr>
                <w:szCs w:val="21"/>
              </w:rPr>
              <w:t>/</w:t>
            </w:r>
          </w:p>
        </w:tc>
        <w:tc>
          <w:tcPr>
            <w:tcW w:w="494" w:type="pct"/>
            <w:shd w:val="clear" w:color="auto" w:fill="auto"/>
            <w:vAlign w:val="center"/>
          </w:tcPr>
          <w:p w14:paraId="6FDD3382">
            <w:pPr>
              <w:spacing w:line="320" w:lineRule="exact"/>
              <w:ind w:left="-53" w:leftChars="-25" w:right="-53" w:rightChars="-25"/>
              <w:jc w:val="center"/>
              <w:rPr>
                <w:szCs w:val="21"/>
              </w:rPr>
            </w:pPr>
            <w:r>
              <w:rPr>
                <w:szCs w:val="21"/>
              </w:rPr>
              <w:t>ND</w:t>
            </w:r>
          </w:p>
        </w:tc>
        <w:tc>
          <w:tcPr>
            <w:tcW w:w="493" w:type="pct"/>
            <w:shd w:val="clear" w:color="auto" w:fill="auto"/>
            <w:vAlign w:val="center"/>
          </w:tcPr>
          <w:p w14:paraId="4BE3DA58">
            <w:pPr>
              <w:spacing w:line="320" w:lineRule="exact"/>
              <w:ind w:left="-53" w:leftChars="-25" w:right="-53" w:rightChars="-25"/>
              <w:jc w:val="center"/>
              <w:rPr>
                <w:snapToGrid w:val="0"/>
                <w:kern w:val="0"/>
                <w:szCs w:val="21"/>
              </w:rPr>
            </w:pPr>
            <w:r>
              <w:rPr>
                <w:szCs w:val="21"/>
              </w:rPr>
              <w:t>/</w:t>
            </w:r>
          </w:p>
        </w:tc>
      </w:tr>
      <w:tr w14:paraId="266442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F5B1180">
            <w:pPr>
              <w:spacing w:line="320" w:lineRule="exact"/>
              <w:ind w:left="-53" w:leftChars="-25" w:right="-53" w:rightChars="-25"/>
              <w:jc w:val="center"/>
              <w:rPr>
                <w:snapToGrid w:val="0"/>
                <w:kern w:val="0"/>
                <w:szCs w:val="21"/>
              </w:rPr>
            </w:pPr>
            <w:r>
              <w:rPr>
                <w:snapToGrid w:val="0"/>
                <w:kern w:val="0"/>
                <w:szCs w:val="21"/>
              </w:rPr>
              <w:t>六价铬</w:t>
            </w:r>
          </w:p>
        </w:tc>
        <w:tc>
          <w:tcPr>
            <w:tcW w:w="534" w:type="pct"/>
            <w:vAlign w:val="center"/>
          </w:tcPr>
          <w:p w14:paraId="5A19FC55">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400" w:type="pct"/>
            <w:vAlign w:val="center"/>
          </w:tcPr>
          <w:p w14:paraId="49085499">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2E7A846B">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25F70EE1">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10478958">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7BF3F681">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2929D2F0">
            <w:pPr>
              <w:spacing w:line="320" w:lineRule="exact"/>
              <w:ind w:left="-53" w:leftChars="-25" w:right="-53" w:rightChars="-25"/>
              <w:jc w:val="center"/>
              <w:rPr>
                <w:szCs w:val="21"/>
              </w:rPr>
            </w:pPr>
            <w:r>
              <w:rPr>
                <w:szCs w:val="21"/>
              </w:rPr>
              <w:t>/</w:t>
            </w:r>
          </w:p>
        </w:tc>
        <w:tc>
          <w:tcPr>
            <w:tcW w:w="494" w:type="pct"/>
            <w:shd w:val="clear" w:color="auto" w:fill="auto"/>
            <w:vAlign w:val="center"/>
          </w:tcPr>
          <w:p w14:paraId="311DB1AD">
            <w:pPr>
              <w:spacing w:line="320" w:lineRule="exact"/>
              <w:ind w:left="-53" w:leftChars="-25" w:right="-53" w:rightChars="-25"/>
              <w:jc w:val="center"/>
              <w:rPr>
                <w:szCs w:val="21"/>
              </w:rPr>
            </w:pPr>
            <w:r>
              <w:rPr>
                <w:szCs w:val="21"/>
              </w:rPr>
              <w:t>ND</w:t>
            </w:r>
          </w:p>
        </w:tc>
        <w:tc>
          <w:tcPr>
            <w:tcW w:w="493" w:type="pct"/>
            <w:shd w:val="clear" w:color="auto" w:fill="auto"/>
            <w:vAlign w:val="center"/>
          </w:tcPr>
          <w:p w14:paraId="4A071069">
            <w:pPr>
              <w:spacing w:line="320" w:lineRule="exact"/>
              <w:ind w:left="-53" w:leftChars="-25" w:right="-53" w:rightChars="-25"/>
              <w:jc w:val="center"/>
              <w:rPr>
                <w:snapToGrid w:val="0"/>
                <w:kern w:val="0"/>
                <w:szCs w:val="21"/>
              </w:rPr>
            </w:pPr>
            <w:r>
              <w:rPr>
                <w:szCs w:val="21"/>
              </w:rPr>
              <w:t>/</w:t>
            </w:r>
          </w:p>
        </w:tc>
      </w:tr>
      <w:tr w14:paraId="2BDE5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161768E">
            <w:pPr>
              <w:spacing w:line="320" w:lineRule="exact"/>
              <w:ind w:left="-53" w:leftChars="-25" w:right="-53" w:rightChars="-25"/>
              <w:jc w:val="center"/>
              <w:rPr>
                <w:snapToGrid w:val="0"/>
                <w:kern w:val="0"/>
                <w:szCs w:val="21"/>
              </w:rPr>
            </w:pPr>
            <w:r>
              <w:rPr>
                <w:snapToGrid w:val="0"/>
                <w:kern w:val="0"/>
                <w:szCs w:val="21"/>
              </w:rPr>
              <w:t>铅</w:t>
            </w:r>
          </w:p>
        </w:tc>
        <w:tc>
          <w:tcPr>
            <w:tcW w:w="534" w:type="pct"/>
            <w:vAlign w:val="center"/>
          </w:tcPr>
          <w:p w14:paraId="4F6247EE">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400" w:type="pct"/>
            <w:vAlign w:val="center"/>
          </w:tcPr>
          <w:p w14:paraId="4D271599">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03463F5B">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591FD727">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4F213329">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14804342">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41C9571C">
            <w:pPr>
              <w:spacing w:line="320" w:lineRule="exact"/>
              <w:ind w:left="-53" w:leftChars="-25" w:right="-53" w:rightChars="-25"/>
              <w:jc w:val="center"/>
              <w:rPr>
                <w:szCs w:val="21"/>
              </w:rPr>
            </w:pPr>
            <w:r>
              <w:rPr>
                <w:szCs w:val="21"/>
              </w:rPr>
              <w:t>/</w:t>
            </w:r>
          </w:p>
        </w:tc>
        <w:tc>
          <w:tcPr>
            <w:tcW w:w="494" w:type="pct"/>
            <w:shd w:val="clear" w:color="auto" w:fill="auto"/>
            <w:vAlign w:val="center"/>
          </w:tcPr>
          <w:p w14:paraId="67C99EDA">
            <w:pPr>
              <w:spacing w:line="320" w:lineRule="exact"/>
              <w:ind w:left="-53" w:leftChars="-25" w:right="-53" w:rightChars="-25"/>
              <w:jc w:val="center"/>
              <w:rPr>
                <w:szCs w:val="21"/>
              </w:rPr>
            </w:pPr>
            <w:r>
              <w:rPr>
                <w:szCs w:val="21"/>
              </w:rPr>
              <w:t>ND</w:t>
            </w:r>
          </w:p>
        </w:tc>
        <w:tc>
          <w:tcPr>
            <w:tcW w:w="493" w:type="pct"/>
            <w:shd w:val="clear" w:color="auto" w:fill="auto"/>
            <w:vAlign w:val="center"/>
          </w:tcPr>
          <w:p w14:paraId="6C5B6CD6">
            <w:pPr>
              <w:spacing w:line="320" w:lineRule="exact"/>
              <w:ind w:left="-53" w:leftChars="-25" w:right="-53" w:rightChars="-25"/>
              <w:jc w:val="center"/>
              <w:rPr>
                <w:snapToGrid w:val="0"/>
                <w:kern w:val="0"/>
                <w:szCs w:val="21"/>
              </w:rPr>
            </w:pPr>
            <w:r>
              <w:rPr>
                <w:szCs w:val="21"/>
              </w:rPr>
              <w:t>/</w:t>
            </w:r>
          </w:p>
        </w:tc>
      </w:tr>
      <w:tr w14:paraId="24502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3280573E">
            <w:pPr>
              <w:spacing w:line="320" w:lineRule="exact"/>
              <w:ind w:left="-53" w:leftChars="-25" w:right="-53" w:rightChars="-25"/>
              <w:jc w:val="center"/>
              <w:rPr>
                <w:snapToGrid w:val="0"/>
                <w:kern w:val="0"/>
                <w:szCs w:val="21"/>
              </w:rPr>
            </w:pPr>
            <w:r>
              <w:rPr>
                <w:snapToGrid w:val="0"/>
                <w:kern w:val="0"/>
                <w:szCs w:val="21"/>
              </w:rPr>
              <w:t>镉</w:t>
            </w:r>
          </w:p>
        </w:tc>
        <w:tc>
          <w:tcPr>
            <w:tcW w:w="534" w:type="pct"/>
            <w:vAlign w:val="center"/>
          </w:tcPr>
          <w:p w14:paraId="4EC1B4BC">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.005</w:t>
            </w:r>
          </w:p>
        </w:tc>
        <w:tc>
          <w:tcPr>
            <w:tcW w:w="400" w:type="pct"/>
            <w:vAlign w:val="center"/>
          </w:tcPr>
          <w:p w14:paraId="3B2039D8">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30C137B0">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279337C2">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47E2331E">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7266E6BE">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4526B8B8">
            <w:pPr>
              <w:spacing w:line="320" w:lineRule="exact"/>
              <w:ind w:left="-53" w:leftChars="-25" w:right="-53" w:rightChars="-25"/>
              <w:jc w:val="center"/>
              <w:rPr>
                <w:szCs w:val="21"/>
              </w:rPr>
            </w:pPr>
            <w:r>
              <w:rPr>
                <w:szCs w:val="21"/>
              </w:rPr>
              <w:t>/</w:t>
            </w:r>
          </w:p>
        </w:tc>
        <w:tc>
          <w:tcPr>
            <w:tcW w:w="494" w:type="pct"/>
            <w:shd w:val="clear" w:color="auto" w:fill="auto"/>
            <w:vAlign w:val="center"/>
          </w:tcPr>
          <w:p w14:paraId="30892F6A">
            <w:pPr>
              <w:spacing w:line="320" w:lineRule="exact"/>
              <w:ind w:left="-53" w:leftChars="-25" w:right="-53" w:rightChars="-25"/>
              <w:jc w:val="center"/>
              <w:rPr>
                <w:szCs w:val="21"/>
              </w:rPr>
            </w:pPr>
            <w:r>
              <w:rPr>
                <w:szCs w:val="21"/>
              </w:rPr>
              <w:t>ND</w:t>
            </w:r>
          </w:p>
        </w:tc>
        <w:tc>
          <w:tcPr>
            <w:tcW w:w="493" w:type="pct"/>
            <w:shd w:val="clear" w:color="auto" w:fill="auto"/>
            <w:vAlign w:val="center"/>
          </w:tcPr>
          <w:p w14:paraId="334E3F74">
            <w:pPr>
              <w:spacing w:line="320" w:lineRule="exact"/>
              <w:ind w:left="-53" w:leftChars="-25" w:right="-53" w:rightChars="-25"/>
              <w:jc w:val="center"/>
              <w:rPr>
                <w:snapToGrid w:val="0"/>
                <w:kern w:val="0"/>
                <w:szCs w:val="21"/>
              </w:rPr>
            </w:pPr>
            <w:r>
              <w:rPr>
                <w:szCs w:val="21"/>
              </w:rPr>
              <w:t>/</w:t>
            </w:r>
          </w:p>
        </w:tc>
      </w:tr>
      <w:tr w14:paraId="1995B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123E0C27">
            <w:pPr>
              <w:spacing w:line="320" w:lineRule="exact"/>
              <w:ind w:left="-53" w:leftChars="-25" w:right="-53" w:rightChars="-25"/>
              <w:jc w:val="center"/>
              <w:rPr>
                <w:snapToGrid w:val="0"/>
                <w:kern w:val="0"/>
                <w:szCs w:val="21"/>
              </w:rPr>
            </w:pPr>
            <w:r>
              <w:rPr>
                <w:snapToGrid w:val="0"/>
                <w:kern w:val="0"/>
                <w:szCs w:val="21"/>
              </w:rPr>
              <w:t>铁</w:t>
            </w:r>
          </w:p>
        </w:tc>
        <w:tc>
          <w:tcPr>
            <w:tcW w:w="534" w:type="pct"/>
            <w:vAlign w:val="center"/>
          </w:tcPr>
          <w:p w14:paraId="6017F144">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.3</w:t>
            </w:r>
          </w:p>
        </w:tc>
        <w:tc>
          <w:tcPr>
            <w:tcW w:w="400" w:type="pct"/>
            <w:vAlign w:val="center"/>
          </w:tcPr>
          <w:p w14:paraId="0528AC1D">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1F2AEA1F">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669C677D">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76001B3F">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4CB1F76F">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781C813B">
            <w:pPr>
              <w:spacing w:line="320" w:lineRule="exact"/>
              <w:ind w:left="-53" w:leftChars="-25" w:right="-53" w:rightChars="-25"/>
              <w:jc w:val="center"/>
              <w:rPr>
                <w:szCs w:val="21"/>
              </w:rPr>
            </w:pPr>
            <w:r>
              <w:rPr>
                <w:szCs w:val="21"/>
              </w:rPr>
              <w:t>/</w:t>
            </w:r>
          </w:p>
        </w:tc>
        <w:tc>
          <w:tcPr>
            <w:tcW w:w="494" w:type="pct"/>
            <w:shd w:val="clear" w:color="auto" w:fill="auto"/>
            <w:vAlign w:val="center"/>
          </w:tcPr>
          <w:p w14:paraId="481C4FF3">
            <w:pPr>
              <w:spacing w:line="320" w:lineRule="exact"/>
              <w:ind w:left="-53" w:leftChars="-25" w:right="-53" w:rightChars="-25"/>
              <w:jc w:val="center"/>
              <w:rPr>
                <w:szCs w:val="21"/>
              </w:rPr>
            </w:pPr>
            <w:r>
              <w:rPr>
                <w:szCs w:val="21"/>
              </w:rPr>
              <w:t>ND</w:t>
            </w:r>
          </w:p>
        </w:tc>
        <w:tc>
          <w:tcPr>
            <w:tcW w:w="493" w:type="pct"/>
            <w:shd w:val="clear" w:color="auto" w:fill="auto"/>
            <w:vAlign w:val="center"/>
          </w:tcPr>
          <w:p w14:paraId="43D76C30">
            <w:pPr>
              <w:spacing w:line="320" w:lineRule="exact"/>
              <w:ind w:left="-53" w:leftChars="-25" w:right="-53" w:rightChars="-25"/>
              <w:jc w:val="center"/>
              <w:rPr>
                <w:snapToGrid w:val="0"/>
                <w:kern w:val="0"/>
                <w:szCs w:val="21"/>
              </w:rPr>
            </w:pPr>
            <w:r>
              <w:rPr>
                <w:szCs w:val="21"/>
              </w:rPr>
              <w:t>/</w:t>
            </w:r>
          </w:p>
        </w:tc>
      </w:tr>
      <w:tr w14:paraId="0C723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41A5811">
            <w:pPr>
              <w:spacing w:line="320" w:lineRule="exact"/>
              <w:ind w:left="-53" w:leftChars="-25" w:right="-53" w:rightChars="-25"/>
              <w:jc w:val="center"/>
              <w:rPr>
                <w:snapToGrid w:val="0"/>
                <w:kern w:val="0"/>
                <w:szCs w:val="21"/>
              </w:rPr>
            </w:pPr>
            <w:r>
              <w:rPr>
                <w:snapToGrid w:val="0"/>
                <w:kern w:val="0"/>
                <w:szCs w:val="21"/>
              </w:rPr>
              <w:t>锰</w:t>
            </w:r>
          </w:p>
        </w:tc>
        <w:tc>
          <w:tcPr>
            <w:tcW w:w="534" w:type="pct"/>
            <w:vAlign w:val="center"/>
          </w:tcPr>
          <w:p w14:paraId="412F7E61">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.1</w:t>
            </w:r>
          </w:p>
        </w:tc>
        <w:tc>
          <w:tcPr>
            <w:tcW w:w="400" w:type="pct"/>
            <w:vAlign w:val="center"/>
          </w:tcPr>
          <w:p w14:paraId="449E38F4">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37F115A6">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20EE484A">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67D8CF88">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5BD3A863">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769DDF2A">
            <w:pPr>
              <w:spacing w:line="320" w:lineRule="exact"/>
              <w:ind w:left="-53" w:leftChars="-25" w:right="-53" w:rightChars="-25"/>
              <w:jc w:val="center"/>
              <w:rPr>
                <w:szCs w:val="21"/>
              </w:rPr>
            </w:pPr>
            <w:r>
              <w:rPr>
                <w:szCs w:val="21"/>
              </w:rPr>
              <w:t>/</w:t>
            </w:r>
          </w:p>
        </w:tc>
        <w:tc>
          <w:tcPr>
            <w:tcW w:w="494" w:type="pct"/>
            <w:shd w:val="clear" w:color="auto" w:fill="auto"/>
            <w:vAlign w:val="center"/>
          </w:tcPr>
          <w:p w14:paraId="744B3994">
            <w:pPr>
              <w:spacing w:line="320" w:lineRule="exact"/>
              <w:ind w:left="-53" w:leftChars="-25" w:right="-53" w:rightChars="-25"/>
              <w:jc w:val="center"/>
              <w:rPr>
                <w:szCs w:val="21"/>
              </w:rPr>
            </w:pPr>
            <w:r>
              <w:rPr>
                <w:szCs w:val="21"/>
              </w:rPr>
              <w:t>ND</w:t>
            </w:r>
          </w:p>
        </w:tc>
        <w:tc>
          <w:tcPr>
            <w:tcW w:w="493" w:type="pct"/>
            <w:shd w:val="clear" w:color="auto" w:fill="auto"/>
            <w:vAlign w:val="center"/>
          </w:tcPr>
          <w:p w14:paraId="72540E6C">
            <w:pPr>
              <w:spacing w:line="320" w:lineRule="exact"/>
              <w:ind w:left="-53" w:leftChars="-25" w:right="-53" w:rightChars="-25"/>
              <w:jc w:val="center"/>
              <w:rPr>
                <w:snapToGrid w:val="0"/>
                <w:kern w:val="0"/>
                <w:szCs w:val="21"/>
              </w:rPr>
            </w:pPr>
            <w:r>
              <w:rPr>
                <w:szCs w:val="21"/>
              </w:rPr>
              <w:t>/</w:t>
            </w:r>
          </w:p>
        </w:tc>
      </w:tr>
      <w:tr w14:paraId="1DE0B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4B8FF2CB">
            <w:pPr>
              <w:spacing w:line="320" w:lineRule="exact"/>
              <w:ind w:left="-53" w:leftChars="-25" w:right="-53" w:rightChars="-25"/>
              <w:jc w:val="center"/>
              <w:rPr>
                <w:snapToGrid w:val="0"/>
                <w:kern w:val="0"/>
                <w:szCs w:val="21"/>
              </w:rPr>
            </w:pPr>
            <w:r>
              <w:rPr>
                <w:snapToGrid w:val="0"/>
                <w:kern w:val="0"/>
                <w:szCs w:val="21"/>
              </w:rPr>
              <w:t>总大肠菌群</w:t>
            </w:r>
          </w:p>
        </w:tc>
        <w:tc>
          <w:tcPr>
            <w:tcW w:w="534" w:type="pct"/>
            <w:vAlign w:val="center"/>
          </w:tcPr>
          <w:p w14:paraId="1D9A597E">
            <w:pPr>
              <w:spacing w:line="320" w:lineRule="exact"/>
              <w:ind w:left="-53" w:leftChars="-25" w:right="-53" w:rightChars="-25"/>
              <w:jc w:val="center"/>
              <w:rPr>
                <w:snapToGrid w:val="0"/>
                <w:kern w:val="0"/>
                <w:szCs w:val="21"/>
              </w:rPr>
            </w:pPr>
            <w:r>
              <w:rPr>
                <w:rFonts w:hint="eastAsia"/>
                <w:snapToGrid w:val="0"/>
                <w:kern w:val="0"/>
                <w:szCs w:val="21"/>
              </w:rPr>
              <w:t>3</w:t>
            </w:r>
          </w:p>
        </w:tc>
        <w:tc>
          <w:tcPr>
            <w:tcW w:w="400" w:type="pct"/>
            <w:vAlign w:val="center"/>
          </w:tcPr>
          <w:p w14:paraId="5B5BCD41">
            <w:pPr>
              <w:spacing w:line="320" w:lineRule="exact"/>
              <w:ind w:left="-53" w:leftChars="-25" w:right="-53" w:rightChars="-25"/>
              <w:jc w:val="center"/>
              <w:rPr>
                <w:snapToGrid w:val="0"/>
                <w:kern w:val="0"/>
                <w:szCs w:val="21"/>
              </w:rPr>
            </w:pPr>
            <w:r>
              <w:rPr>
                <w:rFonts w:hint="eastAsia"/>
                <w:snapToGrid w:val="0"/>
                <w:kern w:val="0"/>
                <w:szCs w:val="21"/>
              </w:rPr>
              <w:t>ND</w:t>
            </w:r>
          </w:p>
        </w:tc>
        <w:tc>
          <w:tcPr>
            <w:tcW w:w="535" w:type="pct"/>
            <w:shd w:val="clear" w:color="auto" w:fill="auto"/>
            <w:vAlign w:val="center"/>
          </w:tcPr>
          <w:p w14:paraId="1A4974E9">
            <w:pPr>
              <w:spacing w:line="320" w:lineRule="exact"/>
              <w:ind w:left="-53" w:leftChars="-25" w:right="-53" w:rightChars="-25"/>
              <w:jc w:val="center"/>
              <w:rPr>
                <w:snapToGrid w:val="0"/>
                <w:kern w:val="0"/>
                <w:szCs w:val="21"/>
              </w:rPr>
            </w:pPr>
            <w:r>
              <w:rPr>
                <w:szCs w:val="21"/>
              </w:rPr>
              <w:t>/</w:t>
            </w:r>
          </w:p>
        </w:tc>
        <w:tc>
          <w:tcPr>
            <w:tcW w:w="534" w:type="pct"/>
            <w:shd w:val="clear" w:color="auto" w:fill="auto"/>
            <w:vAlign w:val="center"/>
          </w:tcPr>
          <w:p w14:paraId="4947983C">
            <w:pPr>
              <w:spacing w:line="320" w:lineRule="exact"/>
              <w:ind w:left="-53" w:leftChars="-25" w:right="-53" w:rightChars="-25"/>
              <w:jc w:val="center"/>
              <w:rPr>
                <w:snapToGrid w:val="0"/>
                <w:kern w:val="0"/>
                <w:szCs w:val="21"/>
              </w:rPr>
            </w:pPr>
            <w:r>
              <w:rPr>
                <w:szCs w:val="21"/>
              </w:rPr>
              <w:t>ND</w:t>
            </w:r>
          </w:p>
        </w:tc>
        <w:tc>
          <w:tcPr>
            <w:tcW w:w="468" w:type="pct"/>
            <w:shd w:val="clear" w:color="auto" w:fill="auto"/>
            <w:vAlign w:val="center"/>
          </w:tcPr>
          <w:p w14:paraId="5C87A686">
            <w:pPr>
              <w:spacing w:line="320" w:lineRule="exact"/>
              <w:ind w:left="-53" w:leftChars="-25" w:right="-53" w:rightChars="-25"/>
              <w:jc w:val="center"/>
              <w:rPr>
                <w:snapToGrid w:val="0"/>
                <w:kern w:val="0"/>
                <w:szCs w:val="21"/>
              </w:rPr>
            </w:pPr>
            <w:r>
              <w:rPr>
                <w:szCs w:val="21"/>
              </w:rPr>
              <w:t>/</w:t>
            </w:r>
          </w:p>
        </w:tc>
        <w:tc>
          <w:tcPr>
            <w:tcW w:w="399" w:type="pct"/>
            <w:shd w:val="clear" w:color="auto" w:fill="auto"/>
            <w:vAlign w:val="center"/>
          </w:tcPr>
          <w:p w14:paraId="78813057">
            <w:pPr>
              <w:spacing w:line="320" w:lineRule="exact"/>
              <w:ind w:left="-53" w:leftChars="-25" w:right="-53" w:rightChars="-25"/>
              <w:jc w:val="center"/>
              <w:rPr>
                <w:snapToGrid w:val="0"/>
                <w:kern w:val="0"/>
                <w:szCs w:val="21"/>
              </w:rPr>
            </w:pPr>
            <w:r>
              <w:rPr>
                <w:szCs w:val="21"/>
              </w:rPr>
              <w:t>ND</w:t>
            </w:r>
          </w:p>
        </w:tc>
        <w:tc>
          <w:tcPr>
            <w:tcW w:w="493" w:type="pct"/>
            <w:shd w:val="clear" w:color="auto" w:fill="auto"/>
            <w:vAlign w:val="center"/>
          </w:tcPr>
          <w:p w14:paraId="619EBA80">
            <w:pPr>
              <w:spacing w:line="320" w:lineRule="exact"/>
              <w:ind w:left="-53" w:leftChars="-25" w:right="-53" w:rightChars="-25"/>
              <w:jc w:val="center"/>
              <w:rPr>
                <w:szCs w:val="21"/>
              </w:rPr>
            </w:pPr>
            <w:r>
              <w:rPr>
                <w:szCs w:val="21"/>
              </w:rPr>
              <w:t>/</w:t>
            </w:r>
          </w:p>
        </w:tc>
        <w:tc>
          <w:tcPr>
            <w:tcW w:w="494" w:type="pct"/>
            <w:shd w:val="clear" w:color="auto" w:fill="auto"/>
            <w:vAlign w:val="center"/>
          </w:tcPr>
          <w:p w14:paraId="7F1F8A00">
            <w:pPr>
              <w:spacing w:line="320" w:lineRule="exact"/>
              <w:ind w:left="-53" w:leftChars="-25" w:right="-53" w:rightChars="-25"/>
              <w:jc w:val="center"/>
              <w:rPr>
                <w:szCs w:val="21"/>
              </w:rPr>
            </w:pPr>
            <w:r>
              <w:rPr>
                <w:szCs w:val="21"/>
              </w:rPr>
              <w:t>ND</w:t>
            </w:r>
          </w:p>
        </w:tc>
        <w:tc>
          <w:tcPr>
            <w:tcW w:w="493" w:type="pct"/>
            <w:shd w:val="clear" w:color="auto" w:fill="auto"/>
            <w:vAlign w:val="center"/>
          </w:tcPr>
          <w:p w14:paraId="46769BD1">
            <w:pPr>
              <w:spacing w:line="320" w:lineRule="exact"/>
              <w:ind w:left="-53" w:leftChars="-25" w:right="-53" w:rightChars="-25"/>
              <w:jc w:val="center"/>
              <w:rPr>
                <w:snapToGrid w:val="0"/>
                <w:kern w:val="0"/>
                <w:szCs w:val="21"/>
              </w:rPr>
            </w:pPr>
            <w:r>
              <w:rPr>
                <w:szCs w:val="21"/>
              </w:rPr>
              <w:t>/</w:t>
            </w:r>
          </w:p>
        </w:tc>
      </w:tr>
      <w:tr w14:paraId="3141D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53AA12F5">
            <w:pPr>
              <w:spacing w:line="320" w:lineRule="exact"/>
              <w:ind w:left="-53" w:leftChars="-25" w:right="-53" w:rightChars="-25"/>
              <w:jc w:val="center"/>
              <w:rPr>
                <w:snapToGrid w:val="0"/>
                <w:kern w:val="0"/>
                <w:szCs w:val="21"/>
              </w:rPr>
            </w:pPr>
            <w:r>
              <w:rPr>
                <w:snapToGrid w:val="0"/>
                <w:kern w:val="0"/>
                <w:szCs w:val="21"/>
              </w:rPr>
              <w:t>菌落总数</w:t>
            </w:r>
          </w:p>
        </w:tc>
        <w:tc>
          <w:tcPr>
            <w:tcW w:w="534" w:type="pct"/>
            <w:vAlign w:val="center"/>
          </w:tcPr>
          <w:p w14:paraId="025EE1BA">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w:t>
            </w:r>
          </w:p>
        </w:tc>
        <w:tc>
          <w:tcPr>
            <w:tcW w:w="400" w:type="pct"/>
            <w:vAlign w:val="center"/>
          </w:tcPr>
          <w:p w14:paraId="095ECE27">
            <w:pPr>
              <w:spacing w:line="320" w:lineRule="exact"/>
              <w:ind w:left="-53" w:leftChars="-25" w:right="-53" w:rightChars="-25"/>
              <w:jc w:val="center"/>
              <w:rPr>
                <w:snapToGrid w:val="0"/>
                <w:kern w:val="0"/>
                <w:szCs w:val="21"/>
              </w:rPr>
            </w:pPr>
            <w:r>
              <w:rPr>
                <w:rFonts w:hint="eastAsia"/>
                <w:snapToGrid w:val="0"/>
                <w:kern w:val="0"/>
                <w:szCs w:val="21"/>
              </w:rPr>
              <w:t>36</w:t>
            </w:r>
          </w:p>
        </w:tc>
        <w:tc>
          <w:tcPr>
            <w:tcW w:w="535" w:type="pct"/>
            <w:shd w:val="clear" w:color="auto" w:fill="auto"/>
            <w:vAlign w:val="center"/>
          </w:tcPr>
          <w:p w14:paraId="57F99DB7">
            <w:pPr>
              <w:spacing w:line="320" w:lineRule="exact"/>
              <w:ind w:left="-53" w:leftChars="-25" w:right="-53" w:rightChars="-25"/>
              <w:jc w:val="center"/>
              <w:rPr>
                <w:snapToGrid w:val="0"/>
                <w:kern w:val="0"/>
                <w:szCs w:val="21"/>
              </w:rPr>
            </w:pPr>
            <w:r>
              <w:rPr>
                <w:szCs w:val="21"/>
              </w:rPr>
              <w:t xml:space="preserve">0.36 </w:t>
            </w:r>
          </w:p>
        </w:tc>
        <w:tc>
          <w:tcPr>
            <w:tcW w:w="534" w:type="pct"/>
            <w:shd w:val="clear" w:color="auto" w:fill="auto"/>
            <w:vAlign w:val="center"/>
          </w:tcPr>
          <w:p w14:paraId="4CD18939">
            <w:pPr>
              <w:spacing w:line="320" w:lineRule="exact"/>
              <w:ind w:left="-53" w:leftChars="-25" w:right="-53" w:rightChars="-25"/>
              <w:jc w:val="center"/>
              <w:rPr>
                <w:snapToGrid w:val="0"/>
                <w:kern w:val="0"/>
                <w:szCs w:val="21"/>
              </w:rPr>
            </w:pPr>
            <w:r>
              <w:rPr>
                <w:szCs w:val="21"/>
              </w:rPr>
              <w:t>34</w:t>
            </w:r>
          </w:p>
        </w:tc>
        <w:tc>
          <w:tcPr>
            <w:tcW w:w="468" w:type="pct"/>
            <w:shd w:val="clear" w:color="auto" w:fill="auto"/>
            <w:vAlign w:val="center"/>
          </w:tcPr>
          <w:p w14:paraId="0A0F73F4">
            <w:pPr>
              <w:spacing w:line="320" w:lineRule="exact"/>
              <w:ind w:left="-53" w:leftChars="-25" w:right="-53" w:rightChars="-25"/>
              <w:jc w:val="center"/>
              <w:rPr>
                <w:snapToGrid w:val="0"/>
                <w:kern w:val="0"/>
                <w:szCs w:val="21"/>
              </w:rPr>
            </w:pPr>
            <w:r>
              <w:rPr>
                <w:szCs w:val="21"/>
              </w:rPr>
              <w:t xml:space="preserve">0.34 </w:t>
            </w:r>
          </w:p>
        </w:tc>
        <w:tc>
          <w:tcPr>
            <w:tcW w:w="399" w:type="pct"/>
            <w:shd w:val="clear" w:color="auto" w:fill="auto"/>
            <w:vAlign w:val="center"/>
          </w:tcPr>
          <w:p w14:paraId="31DFF54F">
            <w:pPr>
              <w:spacing w:line="320" w:lineRule="exact"/>
              <w:ind w:left="-53" w:leftChars="-25" w:right="-53" w:rightChars="-25"/>
              <w:jc w:val="center"/>
              <w:rPr>
                <w:snapToGrid w:val="0"/>
                <w:kern w:val="0"/>
                <w:szCs w:val="21"/>
              </w:rPr>
            </w:pPr>
            <w:r>
              <w:rPr>
                <w:szCs w:val="21"/>
              </w:rPr>
              <w:t>31</w:t>
            </w:r>
          </w:p>
        </w:tc>
        <w:tc>
          <w:tcPr>
            <w:tcW w:w="493" w:type="pct"/>
            <w:shd w:val="clear" w:color="auto" w:fill="auto"/>
            <w:vAlign w:val="center"/>
          </w:tcPr>
          <w:p w14:paraId="64078AFE">
            <w:pPr>
              <w:spacing w:line="320" w:lineRule="exact"/>
              <w:ind w:left="-53" w:leftChars="-25" w:right="-53" w:rightChars="-25"/>
              <w:jc w:val="center"/>
              <w:rPr>
                <w:snapToGrid w:val="0"/>
                <w:kern w:val="0"/>
                <w:szCs w:val="21"/>
              </w:rPr>
            </w:pPr>
            <w:r>
              <w:rPr>
                <w:szCs w:val="21"/>
              </w:rPr>
              <w:t>0.31</w:t>
            </w:r>
          </w:p>
        </w:tc>
        <w:tc>
          <w:tcPr>
            <w:tcW w:w="494" w:type="pct"/>
            <w:shd w:val="clear" w:color="auto" w:fill="auto"/>
            <w:vAlign w:val="center"/>
          </w:tcPr>
          <w:p w14:paraId="3FEFEB4D">
            <w:pPr>
              <w:spacing w:line="320" w:lineRule="exact"/>
              <w:ind w:left="-53" w:leftChars="-25" w:right="-53" w:rightChars="-25"/>
              <w:jc w:val="center"/>
              <w:rPr>
                <w:snapToGrid w:val="0"/>
                <w:kern w:val="0"/>
                <w:szCs w:val="21"/>
              </w:rPr>
            </w:pPr>
            <w:r>
              <w:rPr>
                <w:szCs w:val="21"/>
              </w:rPr>
              <w:t>28</w:t>
            </w:r>
          </w:p>
        </w:tc>
        <w:tc>
          <w:tcPr>
            <w:tcW w:w="493" w:type="pct"/>
            <w:shd w:val="clear" w:color="auto" w:fill="auto"/>
            <w:vAlign w:val="center"/>
          </w:tcPr>
          <w:p w14:paraId="32BB3DBB">
            <w:pPr>
              <w:spacing w:line="320" w:lineRule="exact"/>
              <w:ind w:left="-53" w:leftChars="-25" w:right="-53" w:rightChars="-25"/>
              <w:jc w:val="center"/>
              <w:rPr>
                <w:snapToGrid w:val="0"/>
                <w:kern w:val="0"/>
                <w:szCs w:val="21"/>
              </w:rPr>
            </w:pPr>
            <w:r>
              <w:rPr>
                <w:szCs w:val="21"/>
              </w:rPr>
              <w:t xml:space="preserve">0.28 </w:t>
            </w:r>
          </w:p>
        </w:tc>
      </w:tr>
      <w:tr w14:paraId="22FC3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650" w:type="pct"/>
            <w:vAlign w:val="center"/>
          </w:tcPr>
          <w:p w14:paraId="32D4C9F1">
            <w:pPr>
              <w:spacing w:line="320" w:lineRule="exact"/>
              <w:ind w:left="-53" w:leftChars="-25" w:right="-53" w:rightChars="-25"/>
              <w:jc w:val="center"/>
              <w:rPr>
                <w:snapToGrid w:val="0"/>
                <w:kern w:val="0"/>
                <w:szCs w:val="21"/>
              </w:rPr>
            </w:pPr>
            <w:r>
              <w:rPr>
                <w:rFonts w:hint="eastAsia"/>
                <w:snapToGrid w:val="0"/>
                <w:kern w:val="0"/>
                <w:szCs w:val="21"/>
              </w:rPr>
              <w:t>备注</w:t>
            </w:r>
          </w:p>
        </w:tc>
        <w:tc>
          <w:tcPr>
            <w:tcW w:w="4350" w:type="pct"/>
            <w:gridSpan w:val="9"/>
            <w:vAlign w:val="center"/>
          </w:tcPr>
          <w:p w14:paraId="118444CD">
            <w:pPr>
              <w:spacing w:line="320" w:lineRule="exact"/>
              <w:ind w:left="-53" w:leftChars="-25" w:right="-53" w:rightChars="-25"/>
              <w:rPr>
                <w:snapToGrid w:val="0"/>
                <w:kern w:val="0"/>
                <w:szCs w:val="21"/>
              </w:rPr>
            </w:pPr>
            <w:r>
              <w:rPr>
                <w:rFonts w:hint="eastAsia"/>
                <w:snapToGrid w:val="0"/>
                <w:kern w:val="0"/>
                <w:szCs w:val="21"/>
              </w:rPr>
              <w:t>ND表示检测结果低于方法检出限。</w:t>
            </w:r>
          </w:p>
        </w:tc>
      </w:tr>
    </w:tbl>
    <w:p w14:paraId="28DC0C8C">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3.3.3</w:t>
      </w:r>
      <w:r>
        <w:rPr>
          <w:rFonts w:eastAsiaTheme="minorEastAsia"/>
          <w:b/>
          <w:szCs w:val="21"/>
        </w:rPr>
        <w:t>-</w:t>
      </w:r>
      <w:r>
        <w:rPr>
          <w:rFonts w:hint="eastAsia" w:eastAsiaTheme="minorEastAsia"/>
          <w:b/>
          <w:szCs w:val="21"/>
        </w:rPr>
        <w:t>4</w:t>
      </w:r>
      <w:r>
        <w:rPr>
          <w:rFonts w:eastAsiaTheme="minorEastAsia"/>
          <w:b/>
          <w:szCs w:val="21"/>
        </w:rPr>
        <w:t xml:space="preserve">  </w:t>
      </w:r>
      <w:r>
        <w:rPr>
          <w:rFonts w:hint="eastAsia" w:eastAsiaTheme="minorEastAsia"/>
          <w:b/>
          <w:szCs w:val="21"/>
        </w:rPr>
        <w:t xml:space="preserve"> 太白顶石材产业区域地下水水质现状监测及评价结果一览表</w:t>
      </w:r>
    </w:p>
    <w:p w14:paraId="4560DC42">
      <w:pPr>
        <w:spacing w:line="360" w:lineRule="auto"/>
        <w:ind w:firstLine="420"/>
        <w:jc w:val="center"/>
        <w:rPr>
          <w:rFonts w:eastAsiaTheme="minorEastAsia"/>
          <w:b/>
          <w:szCs w:val="21"/>
        </w:rPr>
      </w:pPr>
      <w:r>
        <w:rPr>
          <w:rFonts w:hint="eastAsia" w:eastAsiaTheme="minorEastAsia"/>
          <w:szCs w:val="21"/>
        </w:rPr>
        <w:t>（单位：</w:t>
      </w:r>
      <w:r>
        <w:rPr>
          <w:rFonts w:eastAsiaTheme="minorEastAsia"/>
          <w:szCs w:val="21"/>
        </w:rPr>
        <w:t>pH</w:t>
      </w:r>
      <w:r>
        <w:rPr>
          <w:rFonts w:hint="eastAsia" w:eastAsiaTheme="minorEastAsia"/>
          <w:szCs w:val="21"/>
        </w:rPr>
        <w:t>无量纲，总大肠菌群</w:t>
      </w:r>
      <w:r>
        <w:rPr>
          <w:rFonts w:eastAsiaTheme="minorEastAsia"/>
          <w:szCs w:val="21"/>
        </w:rPr>
        <w:t>MPN/100mL</w:t>
      </w:r>
      <w:r>
        <w:rPr>
          <w:rFonts w:hint="eastAsia" w:eastAsiaTheme="minorEastAsia"/>
          <w:szCs w:val="21"/>
        </w:rPr>
        <w:t>，菌落总数</w:t>
      </w:r>
      <w:r>
        <w:rPr>
          <w:rFonts w:eastAsiaTheme="minorEastAsia"/>
          <w:szCs w:val="21"/>
        </w:rPr>
        <w:t>CFU/mL</w:t>
      </w:r>
      <w:r>
        <w:rPr>
          <w:rFonts w:hint="eastAsia" w:eastAsiaTheme="minorEastAsia"/>
          <w:szCs w:val="21"/>
        </w:rPr>
        <w:t>，其它为</w:t>
      </w:r>
      <w:r>
        <w:rPr>
          <w:rFonts w:eastAsiaTheme="minorEastAsia"/>
          <w:szCs w:val="21"/>
        </w:rPr>
        <w:t>mg/L</w:t>
      </w:r>
      <w:r>
        <w:rPr>
          <w:rFonts w:hint="eastAsia" w:eastAsiaTheme="minorEastAsia"/>
          <w:szCs w:val="21"/>
        </w:rPr>
        <w:t>）</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3"/>
        <w:gridCol w:w="1134"/>
        <w:gridCol w:w="851"/>
        <w:gridCol w:w="1136"/>
        <w:gridCol w:w="1134"/>
        <w:gridCol w:w="993"/>
        <w:gridCol w:w="849"/>
        <w:gridCol w:w="1048"/>
      </w:tblGrid>
      <w:tr w14:paraId="1250F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vMerge w:val="restart"/>
            <w:tcBorders>
              <w:top w:val="single" w:color="auto" w:sz="12" w:space="0"/>
              <w:left w:val="single" w:color="auto" w:sz="12" w:space="0"/>
              <w:bottom w:val="single" w:color="auto" w:sz="6" w:space="0"/>
              <w:right w:val="single" w:color="auto" w:sz="6" w:space="0"/>
            </w:tcBorders>
            <w:vAlign w:val="center"/>
          </w:tcPr>
          <w:p w14:paraId="77080E09">
            <w:pPr>
              <w:spacing w:line="320" w:lineRule="exact"/>
              <w:ind w:left="-53" w:leftChars="-25" w:right="-53" w:rightChars="-25"/>
              <w:jc w:val="center"/>
              <w:rPr>
                <w:snapToGrid w:val="0"/>
                <w:kern w:val="0"/>
                <w:szCs w:val="21"/>
              </w:rPr>
            </w:pPr>
            <w:r>
              <w:rPr>
                <w:rFonts w:hint="eastAsia"/>
                <w:snapToGrid w:val="0"/>
                <w:kern w:val="0"/>
                <w:szCs w:val="21"/>
              </w:rPr>
              <w:t>检测项目</w:t>
            </w:r>
          </w:p>
        </w:tc>
        <w:tc>
          <w:tcPr>
            <w:tcW w:w="665" w:type="pct"/>
            <w:vMerge w:val="restart"/>
            <w:tcBorders>
              <w:top w:val="single" w:color="auto" w:sz="12" w:space="0"/>
              <w:left w:val="single" w:color="auto" w:sz="6" w:space="0"/>
              <w:bottom w:val="single" w:color="auto" w:sz="6" w:space="0"/>
              <w:right w:val="single" w:color="auto" w:sz="6" w:space="0"/>
            </w:tcBorders>
            <w:vAlign w:val="center"/>
          </w:tcPr>
          <w:p w14:paraId="76999274">
            <w:pPr>
              <w:spacing w:line="320" w:lineRule="exact"/>
              <w:ind w:left="-53" w:leftChars="-25" w:right="-53" w:rightChars="-25"/>
              <w:jc w:val="center"/>
              <w:rPr>
                <w:snapToGrid w:val="0"/>
                <w:kern w:val="0"/>
                <w:szCs w:val="21"/>
              </w:rPr>
            </w:pPr>
            <w:r>
              <w:rPr>
                <w:rFonts w:hint="eastAsia"/>
                <w:snapToGrid w:val="0"/>
                <w:kern w:val="0"/>
                <w:szCs w:val="21"/>
              </w:rPr>
              <w:t>标准值</w:t>
            </w:r>
          </w:p>
        </w:tc>
        <w:tc>
          <w:tcPr>
            <w:tcW w:w="3524" w:type="pct"/>
            <w:gridSpan w:val="6"/>
            <w:tcBorders>
              <w:top w:val="single" w:color="auto" w:sz="12" w:space="0"/>
              <w:left w:val="single" w:color="auto" w:sz="6" w:space="0"/>
              <w:bottom w:val="single" w:color="auto" w:sz="6" w:space="0"/>
              <w:right w:val="single" w:color="auto" w:sz="12" w:space="0"/>
            </w:tcBorders>
            <w:vAlign w:val="center"/>
          </w:tcPr>
          <w:p w14:paraId="519FDB36">
            <w:pPr>
              <w:spacing w:line="320" w:lineRule="exact"/>
              <w:ind w:left="-53" w:leftChars="-25" w:right="-53" w:rightChars="-25"/>
              <w:jc w:val="center"/>
              <w:rPr>
                <w:snapToGrid w:val="0"/>
                <w:kern w:val="0"/>
                <w:szCs w:val="21"/>
              </w:rPr>
            </w:pPr>
            <w:r>
              <w:rPr>
                <w:rFonts w:hint="eastAsia"/>
                <w:snapToGrid w:val="0"/>
                <w:kern w:val="0"/>
                <w:szCs w:val="21"/>
              </w:rPr>
              <w:t>检测结果</w:t>
            </w:r>
          </w:p>
        </w:tc>
      </w:tr>
      <w:tr w14:paraId="30DF8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0" w:type="auto"/>
            <w:vMerge w:val="continue"/>
            <w:tcBorders>
              <w:top w:val="single" w:color="auto" w:sz="12" w:space="0"/>
              <w:left w:val="single" w:color="auto" w:sz="12" w:space="0"/>
              <w:bottom w:val="single" w:color="auto" w:sz="6" w:space="0"/>
              <w:right w:val="single" w:color="auto" w:sz="6" w:space="0"/>
            </w:tcBorders>
            <w:vAlign w:val="center"/>
          </w:tcPr>
          <w:p w14:paraId="6030EC83">
            <w:pPr>
              <w:widowControl/>
              <w:jc w:val="left"/>
              <w:rPr>
                <w:snapToGrid w:val="0"/>
                <w:kern w:val="0"/>
                <w:szCs w:val="21"/>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14:paraId="7AA1649A">
            <w:pPr>
              <w:widowControl/>
              <w:jc w:val="left"/>
              <w:rPr>
                <w:snapToGrid w:val="0"/>
                <w:kern w:val="0"/>
                <w:szCs w:val="21"/>
              </w:rPr>
            </w:pPr>
          </w:p>
        </w:tc>
        <w:tc>
          <w:tcPr>
            <w:tcW w:w="499" w:type="pct"/>
            <w:tcBorders>
              <w:top w:val="single" w:color="auto" w:sz="6" w:space="0"/>
              <w:left w:val="single" w:color="auto" w:sz="6" w:space="0"/>
              <w:bottom w:val="single" w:color="auto" w:sz="6" w:space="0"/>
              <w:right w:val="single" w:color="auto" w:sz="6" w:space="0"/>
            </w:tcBorders>
            <w:vAlign w:val="center"/>
          </w:tcPr>
          <w:p w14:paraId="640E9E2D">
            <w:pPr>
              <w:spacing w:line="320" w:lineRule="exact"/>
              <w:ind w:left="-53" w:leftChars="-25" w:right="-53" w:rightChars="-25"/>
              <w:jc w:val="center"/>
              <w:rPr>
                <w:snapToGrid w:val="0"/>
                <w:kern w:val="0"/>
                <w:szCs w:val="21"/>
              </w:rPr>
            </w:pPr>
            <w:r>
              <w:rPr>
                <w:snapToGrid w:val="0"/>
                <w:kern w:val="0"/>
                <w:szCs w:val="21"/>
              </w:rPr>
              <w:t>1#</w:t>
            </w:r>
          </w:p>
        </w:tc>
        <w:tc>
          <w:tcPr>
            <w:tcW w:w="666" w:type="pct"/>
            <w:tcBorders>
              <w:top w:val="single" w:color="auto" w:sz="6" w:space="0"/>
              <w:left w:val="single" w:color="auto" w:sz="6" w:space="0"/>
              <w:bottom w:val="single" w:color="auto" w:sz="6" w:space="0"/>
              <w:right w:val="single" w:color="auto" w:sz="6" w:space="0"/>
            </w:tcBorders>
            <w:vAlign w:val="center"/>
          </w:tcPr>
          <w:p w14:paraId="1C4049C6">
            <w:pPr>
              <w:spacing w:line="320" w:lineRule="exact"/>
              <w:ind w:left="-53" w:leftChars="-25" w:right="-53" w:rightChars="-25"/>
              <w:jc w:val="center"/>
              <w:rPr>
                <w:snapToGrid w:val="0"/>
                <w:kern w:val="0"/>
                <w:szCs w:val="21"/>
              </w:rPr>
            </w:pPr>
            <w:r>
              <w:rPr>
                <w:rFonts w:hint="eastAsia"/>
                <w:snapToGrid w:val="0"/>
                <w:kern w:val="0"/>
                <w:szCs w:val="21"/>
              </w:rPr>
              <w:t>评价指数</w:t>
            </w:r>
          </w:p>
        </w:tc>
        <w:tc>
          <w:tcPr>
            <w:tcW w:w="665" w:type="pct"/>
            <w:tcBorders>
              <w:top w:val="single" w:color="auto" w:sz="6" w:space="0"/>
              <w:left w:val="single" w:color="auto" w:sz="6" w:space="0"/>
              <w:bottom w:val="single" w:color="auto" w:sz="6" w:space="0"/>
              <w:right w:val="single" w:color="auto" w:sz="6" w:space="0"/>
            </w:tcBorders>
            <w:vAlign w:val="center"/>
          </w:tcPr>
          <w:p w14:paraId="678EED71">
            <w:pPr>
              <w:spacing w:line="320" w:lineRule="exact"/>
              <w:ind w:left="-53" w:leftChars="-25" w:right="-53" w:rightChars="-25"/>
              <w:jc w:val="center"/>
              <w:rPr>
                <w:snapToGrid w:val="0"/>
                <w:kern w:val="0"/>
                <w:szCs w:val="21"/>
              </w:rPr>
            </w:pPr>
            <w:r>
              <w:rPr>
                <w:snapToGrid w:val="0"/>
                <w:kern w:val="0"/>
                <w:szCs w:val="21"/>
              </w:rPr>
              <w:t>2#</w:t>
            </w:r>
          </w:p>
        </w:tc>
        <w:tc>
          <w:tcPr>
            <w:tcW w:w="582" w:type="pct"/>
            <w:tcBorders>
              <w:top w:val="single" w:color="auto" w:sz="6" w:space="0"/>
              <w:left w:val="single" w:color="auto" w:sz="6" w:space="0"/>
              <w:bottom w:val="single" w:color="auto" w:sz="6" w:space="0"/>
              <w:right w:val="single" w:color="auto" w:sz="6" w:space="0"/>
            </w:tcBorders>
            <w:vAlign w:val="center"/>
          </w:tcPr>
          <w:p w14:paraId="2D4FF990">
            <w:pPr>
              <w:spacing w:line="320" w:lineRule="exact"/>
              <w:ind w:left="-53" w:leftChars="-25" w:right="-53" w:rightChars="-25"/>
              <w:jc w:val="center"/>
              <w:rPr>
                <w:snapToGrid w:val="0"/>
                <w:kern w:val="0"/>
                <w:szCs w:val="21"/>
              </w:rPr>
            </w:pPr>
            <w:r>
              <w:rPr>
                <w:rFonts w:hint="eastAsia"/>
                <w:snapToGrid w:val="0"/>
                <w:kern w:val="0"/>
                <w:szCs w:val="21"/>
              </w:rPr>
              <w:t>评价指数</w:t>
            </w:r>
          </w:p>
        </w:tc>
        <w:tc>
          <w:tcPr>
            <w:tcW w:w="498" w:type="pct"/>
            <w:tcBorders>
              <w:top w:val="single" w:color="auto" w:sz="6" w:space="0"/>
              <w:left w:val="single" w:color="auto" w:sz="6" w:space="0"/>
              <w:bottom w:val="single" w:color="auto" w:sz="6" w:space="0"/>
              <w:right w:val="single" w:color="auto" w:sz="6" w:space="0"/>
            </w:tcBorders>
            <w:vAlign w:val="center"/>
          </w:tcPr>
          <w:p w14:paraId="3BB9B396">
            <w:pPr>
              <w:spacing w:line="320" w:lineRule="exact"/>
              <w:ind w:left="-53" w:leftChars="-25" w:right="-53" w:rightChars="-25"/>
              <w:jc w:val="center"/>
              <w:rPr>
                <w:snapToGrid w:val="0"/>
                <w:kern w:val="0"/>
                <w:szCs w:val="21"/>
              </w:rPr>
            </w:pPr>
            <w:r>
              <w:rPr>
                <w:snapToGrid w:val="0"/>
                <w:kern w:val="0"/>
                <w:szCs w:val="21"/>
              </w:rPr>
              <w:t>3#</w:t>
            </w:r>
          </w:p>
        </w:tc>
        <w:tc>
          <w:tcPr>
            <w:tcW w:w="614" w:type="pct"/>
            <w:tcBorders>
              <w:top w:val="single" w:color="auto" w:sz="6" w:space="0"/>
              <w:left w:val="single" w:color="auto" w:sz="6" w:space="0"/>
              <w:bottom w:val="single" w:color="auto" w:sz="6" w:space="0"/>
              <w:right w:val="single" w:color="auto" w:sz="12" w:space="0"/>
            </w:tcBorders>
            <w:vAlign w:val="center"/>
          </w:tcPr>
          <w:p w14:paraId="5CF58CBD">
            <w:pPr>
              <w:spacing w:line="320" w:lineRule="exact"/>
              <w:ind w:left="-53" w:leftChars="-25" w:right="-53" w:rightChars="-25"/>
              <w:jc w:val="center"/>
              <w:rPr>
                <w:snapToGrid w:val="0"/>
                <w:kern w:val="0"/>
                <w:szCs w:val="21"/>
              </w:rPr>
            </w:pPr>
            <w:r>
              <w:rPr>
                <w:rFonts w:hint="eastAsia"/>
                <w:snapToGrid w:val="0"/>
                <w:kern w:val="0"/>
                <w:szCs w:val="21"/>
              </w:rPr>
              <w:t>评价指数</w:t>
            </w:r>
          </w:p>
        </w:tc>
      </w:tr>
      <w:tr w14:paraId="66112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0E40A920">
            <w:pPr>
              <w:spacing w:line="320" w:lineRule="exact"/>
              <w:ind w:left="-53" w:leftChars="-25" w:right="-53" w:rightChars="-25"/>
              <w:jc w:val="center"/>
              <w:rPr>
                <w:snapToGrid w:val="0"/>
                <w:kern w:val="0"/>
                <w:szCs w:val="21"/>
              </w:rPr>
            </w:pPr>
            <w:r>
              <w:rPr>
                <w:snapToGrid w:val="0"/>
                <w:kern w:val="0"/>
                <w:szCs w:val="21"/>
              </w:rPr>
              <w:t>*</w:t>
            </w:r>
            <w:r>
              <w:rPr>
                <w:rFonts w:hint="eastAsia"/>
                <w:snapToGrid w:val="0"/>
                <w:kern w:val="0"/>
                <w:szCs w:val="21"/>
              </w:rPr>
              <w:t>钾离子</w:t>
            </w:r>
          </w:p>
        </w:tc>
        <w:tc>
          <w:tcPr>
            <w:tcW w:w="665" w:type="pct"/>
            <w:tcBorders>
              <w:top w:val="single" w:color="auto" w:sz="6" w:space="0"/>
              <w:left w:val="single" w:color="auto" w:sz="6" w:space="0"/>
              <w:bottom w:val="single" w:color="auto" w:sz="6" w:space="0"/>
              <w:right w:val="single" w:color="auto" w:sz="6" w:space="0"/>
            </w:tcBorders>
            <w:vAlign w:val="center"/>
          </w:tcPr>
          <w:p w14:paraId="30462CF8">
            <w:pPr>
              <w:spacing w:line="320" w:lineRule="exact"/>
              <w:ind w:left="-53" w:leftChars="-25" w:right="-53" w:rightChars="-25"/>
              <w:jc w:val="center"/>
              <w:rPr>
                <w:snapToGrid w:val="0"/>
                <w:kern w:val="0"/>
                <w:szCs w:val="21"/>
              </w:rPr>
            </w:pPr>
            <w:r>
              <w:rPr>
                <w:snapToGrid w:val="0"/>
                <w:kern w:val="0"/>
                <w:szCs w:val="21"/>
              </w:rPr>
              <w:t>/</w:t>
            </w:r>
          </w:p>
        </w:tc>
        <w:tc>
          <w:tcPr>
            <w:tcW w:w="499" w:type="pct"/>
            <w:tcBorders>
              <w:top w:val="single" w:color="auto" w:sz="6" w:space="0"/>
              <w:left w:val="single" w:color="auto" w:sz="6" w:space="0"/>
              <w:bottom w:val="single" w:color="auto" w:sz="6" w:space="0"/>
              <w:right w:val="single" w:color="auto" w:sz="6" w:space="0"/>
            </w:tcBorders>
            <w:vAlign w:val="center"/>
          </w:tcPr>
          <w:p w14:paraId="4BB60B4C">
            <w:pPr>
              <w:spacing w:line="320" w:lineRule="exact"/>
              <w:ind w:left="-53" w:leftChars="-25" w:right="-53" w:rightChars="-25"/>
              <w:jc w:val="center"/>
              <w:rPr>
                <w:snapToGrid w:val="0"/>
                <w:kern w:val="0"/>
                <w:szCs w:val="21"/>
              </w:rPr>
            </w:pPr>
            <w:r>
              <w:rPr>
                <w:snapToGrid w:val="0"/>
                <w:kern w:val="0"/>
                <w:szCs w:val="21"/>
              </w:rPr>
              <w:t>1.67</w:t>
            </w:r>
          </w:p>
        </w:tc>
        <w:tc>
          <w:tcPr>
            <w:tcW w:w="666" w:type="pct"/>
            <w:tcBorders>
              <w:top w:val="single" w:color="auto" w:sz="6" w:space="0"/>
              <w:left w:val="single" w:color="auto" w:sz="6" w:space="0"/>
              <w:bottom w:val="single" w:color="auto" w:sz="6" w:space="0"/>
              <w:right w:val="single" w:color="auto" w:sz="6" w:space="0"/>
            </w:tcBorders>
            <w:vAlign w:val="center"/>
          </w:tcPr>
          <w:p w14:paraId="2B4755A5">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3FBE6E65">
            <w:pPr>
              <w:spacing w:line="320" w:lineRule="exact"/>
              <w:ind w:left="-53" w:leftChars="-25" w:right="-53" w:rightChars="-25"/>
              <w:jc w:val="center"/>
              <w:rPr>
                <w:snapToGrid w:val="0"/>
                <w:kern w:val="0"/>
                <w:szCs w:val="21"/>
              </w:rPr>
            </w:pPr>
            <w:r>
              <w:rPr>
                <w:szCs w:val="21"/>
              </w:rPr>
              <w:t>2.68</w:t>
            </w:r>
          </w:p>
        </w:tc>
        <w:tc>
          <w:tcPr>
            <w:tcW w:w="582" w:type="pct"/>
            <w:tcBorders>
              <w:top w:val="single" w:color="auto" w:sz="6" w:space="0"/>
              <w:left w:val="single" w:color="auto" w:sz="6" w:space="0"/>
              <w:bottom w:val="single" w:color="auto" w:sz="6" w:space="0"/>
              <w:right w:val="single" w:color="auto" w:sz="6" w:space="0"/>
            </w:tcBorders>
            <w:vAlign w:val="center"/>
          </w:tcPr>
          <w:p w14:paraId="6BB2ED84">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0B03F3A9">
            <w:pPr>
              <w:spacing w:line="320" w:lineRule="exact"/>
              <w:ind w:left="-53" w:leftChars="-25" w:right="-53" w:rightChars="-25"/>
              <w:jc w:val="center"/>
              <w:rPr>
                <w:snapToGrid w:val="0"/>
                <w:kern w:val="0"/>
                <w:szCs w:val="21"/>
              </w:rPr>
            </w:pPr>
            <w:r>
              <w:rPr>
                <w:szCs w:val="21"/>
              </w:rPr>
              <w:t>1.12</w:t>
            </w:r>
          </w:p>
        </w:tc>
        <w:tc>
          <w:tcPr>
            <w:tcW w:w="614" w:type="pct"/>
            <w:tcBorders>
              <w:top w:val="single" w:color="auto" w:sz="6" w:space="0"/>
              <w:left w:val="single" w:color="auto" w:sz="6" w:space="0"/>
              <w:bottom w:val="single" w:color="auto" w:sz="6" w:space="0"/>
              <w:right w:val="single" w:color="auto" w:sz="12" w:space="0"/>
            </w:tcBorders>
            <w:vAlign w:val="center"/>
          </w:tcPr>
          <w:p w14:paraId="161E7F10">
            <w:pPr>
              <w:spacing w:line="320" w:lineRule="exact"/>
              <w:ind w:left="-53" w:leftChars="-25" w:right="-53" w:rightChars="-25"/>
              <w:jc w:val="center"/>
              <w:rPr>
                <w:snapToGrid w:val="0"/>
                <w:kern w:val="0"/>
                <w:szCs w:val="21"/>
              </w:rPr>
            </w:pPr>
            <w:r>
              <w:rPr>
                <w:szCs w:val="21"/>
              </w:rPr>
              <w:t>/</w:t>
            </w:r>
          </w:p>
        </w:tc>
      </w:tr>
      <w:tr w14:paraId="3B657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01B92E9A">
            <w:pPr>
              <w:spacing w:line="320" w:lineRule="exact"/>
              <w:ind w:left="-53" w:leftChars="-25" w:right="-53" w:rightChars="-25"/>
              <w:jc w:val="center"/>
              <w:rPr>
                <w:snapToGrid w:val="0"/>
                <w:kern w:val="0"/>
                <w:szCs w:val="21"/>
              </w:rPr>
            </w:pPr>
            <w:r>
              <w:rPr>
                <w:snapToGrid w:val="0"/>
                <w:kern w:val="0"/>
                <w:szCs w:val="21"/>
              </w:rPr>
              <w:t>*</w:t>
            </w:r>
            <w:r>
              <w:rPr>
                <w:rFonts w:hint="eastAsia"/>
                <w:snapToGrid w:val="0"/>
                <w:kern w:val="0"/>
                <w:szCs w:val="21"/>
              </w:rPr>
              <w:t>钠离子</w:t>
            </w:r>
          </w:p>
        </w:tc>
        <w:tc>
          <w:tcPr>
            <w:tcW w:w="665" w:type="pct"/>
            <w:tcBorders>
              <w:top w:val="single" w:color="auto" w:sz="6" w:space="0"/>
              <w:left w:val="single" w:color="auto" w:sz="6" w:space="0"/>
              <w:bottom w:val="single" w:color="auto" w:sz="6" w:space="0"/>
              <w:right w:val="single" w:color="auto" w:sz="6" w:space="0"/>
            </w:tcBorders>
            <w:vAlign w:val="center"/>
          </w:tcPr>
          <w:p w14:paraId="68BB2BA5">
            <w:pPr>
              <w:spacing w:line="320" w:lineRule="exact"/>
              <w:ind w:left="-53" w:leftChars="-25" w:right="-53" w:rightChars="-25"/>
              <w:jc w:val="center"/>
              <w:rPr>
                <w:snapToGrid w:val="0"/>
                <w:kern w:val="0"/>
                <w:szCs w:val="21"/>
              </w:rPr>
            </w:pPr>
            <w:r>
              <w:rPr>
                <w:snapToGrid w:val="0"/>
                <w:kern w:val="0"/>
                <w:szCs w:val="21"/>
              </w:rPr>
              <w:t>200</w:t>
            </w:r>
          </w:p>
        </w:tc>
        <w:tc>
          <w:tcPr>
            <w:tcW w:w="499" w:type="pct"/>
            <w:tcBorders>
              <w:top w:val="single" w:color="auto" w:sz="6" w:space="0"/>
              <w:left w:val="single" w:color="auto" w:sz="6" w:space="0"/>
              <w:bottom w:val="single" w:color="auto" w:sz="6" w:space="0"/>
              <w:right w:val="single" w:color="auto" w:sz="6" w:space="0"/>
            </w:tcBorders>
            <w:vAlign w:val="center"/>
          </w:tcPr>
          <w:p w14:paraId="7D042EAC">
            <w:pPr>
              <w:spacing w:line="320" w:lineRule="exact"/>
              <w:ind w:left="-53" w:leftChars="-25" w:right="-53" w:rightChars="-25"/>
              <w:jc w:val="center"/>
              <w:rPr>
                <w:snapToGrid w:val="0"/>
                <w:kern w:val="0"/>
                <w:szCs w:val="21"/>
              </w:rPr>
            </w:pPr>
            <w:r>
              <w:rPr>
                <w:snapToGrid w:val="0"/>
                <w:kern w:val="0"/>
                <w:szCs w:val="21"/>
              </w:rPr>
              <w:t>18.0</w:t>
            </w:r>
          </w:p>
        </w:tc>
        <w:tc>
          <w:tcPr>
            <w:tcW w:w="666" w:type="pct"/>
            <w:tcBorders>
              <w:top w:val="single" w:color="auto" w:sz="6" w:space="0"/>
              <w:left w:val="single" w:color="auto" w:sz="6" w:space="0"/>
              <w:bottom w:val="single" w:color="auto" w:sz="6" w:space="0"/>
              <w:right w:val="single" w:color="auto" w:sz="6" w:space="0"/>
            </w:tcBorders>
            <w:vAlign w:val="center"/>
          </w:tcPr>
          <w:p w14:paraId="43C14984">
            <w:pPr>
              <w:spacing w:line="320" w:lineRule="exact"/>
              <w:ind w:left="-53" w:leftChars="-25" w:right="-53" w:rightChars="-25"/>
              <w:jc w:val="center"/>
              <w:rPr>
                <w:snapToGrid w:val="0"/>
                <w:kern w:val="0"/>
                <w:szCs w:val="21"/>
              </w:rPr>
            </w:pPr>
            <w:r>
              <w:rPr>
                <w:szCs w:val="21"/>
              </w:rPr>
              <w:t>0.09</w:t>
            </w:r>
          </w:p>
        </w:tc>
        <w:tc>
          <w:tcPr>
            <w:tcW w:w="665" w:type="pct"/>
            <w:tcBorders>
              <w:top w:val="single" w:color="auto" w:sz="6" w:space="0"/>
              <w:left w:val="single" w:color="auto" w:sz="6" w:space="0"/>
              <w:bottom w:val="single" w:color="auto" w:sz="6" w:space="0"/>
              <w:right w:val="single" w:color="auto" w:sz="6" w:space="0"/>
            </w:tcBorders>
            <w:vAlign w:val="center"/>
          </w:tcPr>
          <w:p w14:paraId="402BE9B6">
            <w:pPr>
              <w:spacing w:line="320" w:lineRule="exact"/>
              <w:ind w:left="-53" w:leftChars="-25" w:right="-53" w:rightChars="-25"/>
              <w:jc w:val="center"/>
              <w:rPr>
                <w:snapToGrid w:val="0"/>
                <w:kern w:val="0"/>
                <w:szCs w:val="21"/>
              </w:rPr>
            </w:pPr>
            <w:r>
              <w:rPr>
                <w:szCs w:val="21"/>
              </w:rPr>
              <w:t>12</w:t>
            </w:r>
          </w:p>
        </w:tc>
        <w:tc>
          <w:tcPr>
            <w:tcW w:w="582" w:type="pct"/>
            <w:tcBorders>
              <w:top w:val="single" w:color="auto" w:sz="6" w:space="0"/>
              <w:left w:val="single" w:color="auto" w:sz="6" w:space="0"/>
              <w:bottom w:val="single" w:color="auto" w:sz="6" w:space="0"/>
              <w:right w:val="single" w:color="auto" w:sz="6" w:space="0"/>
            </w:tcBorders>
            <w:vAlign w:val="center"/>
          </w:tcPr>
          <w:p w14:paraId="75B7D5D0">
            <w:pPr>
              <w:spacing w:line="320" w:lineRule="exact"/>
              <w:ind w:left="-53" w:leftChars="-25" w:right="-53" w:rightChars="-25"/>
              <w:jc w:val="center"/>
              <w:rPr>
                <w:snapToGrid w:val="0"/>
                <w:kern w:val="0"/>
                <w:szCs w:val="21"/>
              </w:rPr>
            </w:pPr>
            <w:r>
              <w:rPr>
                <w:szCs w:val="21"/>
              </w:rPr>
              <w:t>0.06</w:t>
            </w:r>
          </w:p>
        </w:tc>
        <w:tc>
          <w:tcPr>
            <w:tcW w:w="498" w:type="pct"/>
            <w:tcBorders>
              <w:top w:val="single" w:color="auto" w:sz="6" w:space="0"/>
              <w:left w:val="single" w:color="auto" w:sz="6" w:space="0"/>
              <w:bottom w:val="single" w:color="auto" w:sz="6" w:space="0"/>
              <w:right w:val="single" w:color="auto" w:sz="6" w:space="0"/>
            </w:tcBorders>
            <w:vAlign w:val="center"/>
          </w:tcPr>
          <w:p w14:paraId="47CBCEA9">
            <w:pPr>
              <w:spacing w:line="320" w:lineRule="exact"/>
              <w:ind w:left="-53" w:leftChars="-25" w:right="-53" w:rightChars="-25"/>
              <w:jc w:val="center"/>
              <w:rPr>
                <w:snapToGrid w:val="0"/>
                <w:kern w:val="0"/>
                <w:szCs w:val="21"/>
              </w:rPr>
            </w:pPr>
            <w:r>
              <w:rPr>
                <w:szCs w:val="21"/>
              </w:rPr>
              <w:t>12.2</w:t>
            </w:r>
          </w:p>
        </w:tc>
        <w:tc>
          <w:tcPr>
            <w:tcW w:w="614" w:type="pct"/>
            <w:tcBorders>
              <w:top w:val="single" w:color="auto" w:sz="6" w:space="0"/>
              <w:left w:val="single" w:color="auto" w:sz="6" w:space="0"/>
              <w:bottom w:val="single" w:color="auto" w:sz="6" w:space="0"/>
              <w:right w:val="single" w:color="auto" w:sz="12" w:space="0"/>
            </w:tcBorders>
            <w:vAlign w:val="center"/>
          </w:tcPr>
          <w:p w14:paraId="1D363E09">
            <w:pPr>
              <w:spacing w:line="320" w:lineRule="exact"/>
              <w:ind w:left="-53" w:leftChars="-25" w:right="-53" w:rightChars="-25"/>
              <w:jc w:val="center"/>
              <w:rPr>
                <w:snapToGrid w:val="0"/>
                <w:kern w:val="0"/>
                <w:szCs w:val="21"/>
              </w:rPr>
            </w:pPr>
            <w:r>
              <w:rPr>
                <w:szCs w:val="21"/>
              </w:rPr>
              <w:t xml:space="preserve">0.06 </w:t>
            </w:r>
          </w:p>
        </w:tc>
      </w:tr>
      <w:tr w14:paraId="41B36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73C20D18">
            <w:pPr>
              <w:spacing w:line="320" w:lineRule="exact"/>
              <w:ind w:left="-53" w:leftChars="-25" w:right="-53" w:rightChars="-25"/>
              <w:jc w:val="center"/>
              <w:rPr>
                <w:snapToGrid w:val="0"/>
                <w:kern w:val="0"/>
                <w:szCs w:val="21"/>
              </w:rPr>
            </w:pPr>
            <w:r>
              <w:rPr>
                <w:snapToGrid w:val="0"/>
                <w:kern w:val="0"/>
                <w:szCs w:val="21"/>
              </w:rPr>
              <w:t>*</w:t>
            </w:r>
            <w:r>
              <w:rPr>
                <w:rFonts w:hint="eastAsia"/>
                <w:snapToGrid w:val="0"/>
                <w:kern w:val="0"/>
                <w:szCs w:val="21"/>
              </w:rPr>
              <w:t>钙离子</w:t>
            </w:r>
          </w:p>
        </w:tc>
        <w:tc>
          <w:tcPr>
            <w:tcW w:w="665" w:type="pct"/>
            <w:tcBorders>
              <w:top w:val="single" w:color="auto" w:sz="6" w:space="0"/>
              <w:left w:val="single" w:color="auto" w:sz="6" w:space="0"/>
              <w:bottom w:val="single" w:color="auto" w:sz="6" w:space="0"/>
              <w:right w:val="single" w:color="auto" w:sz="6" w:space="0"/>
            </w:tcBorders>
            <w:vAlign w:val="center"/>
          </w:tcPr>
          <w:p w14:paraId="72988756">
            <w:pPr>
              <w:spacing w:line="320" w:lineRule="exact"/>
              <w:ind w:left="-53" w:leftChars="-25" w:right="-53" w:rightChars="-25"/>
              <w:jc w:val="center"/>
              <w:rPr>
                <w:snapToGrid w:val="0"/>
                <w:kern w:val="0"/>
                <w:szCs w:val="21"/>
              </w:rPr>
            </w:pPr>
            <w:r>
              <w:rPr>
                <w:snapToGrid w:val="0"/>
                <w:kern w:val="0"/>
                <w:szCs w:val="21"/>
              </w:rPr>
              <w:t>/</w:t>
            </w:r>
          </w:p>
        </w:tc>
        <w:tc>
          <w:tcPr>
            <w:tcW w:w="499" w:type="pct"/>
            <w:tcBorders>
              <w:top w:val="single" w:color="auto" w:sz="6" w:space="0"/>
              <w:left w:val="single" w:color="auto" w:sz="6" w:space="0"/>
              <w:bottom w:val="single" w:color="auto" w:sz="6" w:space="0"/>
              <w:right w:val="single" w:color="auto" w:sz="6" w:space="0"/>
            </w:tcBorders>
            <w:vAlign w:val="center"/>
          </w:tcPr>
          <w:p w14:paraId="6D99B2F3">
            <w:pPr>
              <w:spacing w:line="320" w:lineRule="exact"/>
              <w:ind w:left="-53" w:leftChars="-25" w:right="-53" w:rightChars="-25"/>
              <w:jc w:val="center"/>
              <w:rPr>
                <w:snapToGrid w:val="0"/>
                <w:kern w:val="0"/>
                <w:szCs w:val="21"/>
              </w:rPr>
            </w:pPr>
            <w:r>
              <w:rPr>
                <w:snapToGrid w:val="0"/>
                <w:kern w:val="0"/>
                <w:szCs w:val="21"/>
              </w:rPr>
              <w:t>39.1</w:t>
            </w:r>
          </w:p>
        </w:tc>
        <w:tc>
          <w:tcPr>
            <w:tcW w:w="666" w:type="pct"/>
            <w:tcBorders>
              <w:top w:val="single" w:color="auto" w:sz="6" w:space="0"/>
              <w:left w:val="single" w:color="auto" w:sz="6" w:space="0"/>
              <w:bottom w:val="single" w:color="auto" w:sz="6" w:space="0"/>
              <w:right w:val="single" w:color="auto" w:sz="6" w:space="0"/>
            </w:tcBorders>
            <w:vAlign w:val="center"/>
          </w:tcPr>
          <w:p w14:paraId="7E2A510C">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13CC7AF2">
            <w:pPr>
              <w:spacing w:line="320" w:lineRule="exact"/>
              <w:ind w:left="-53" w:leftChars="-25" w:right="-53" w:rightChars="-25"/>
              <w:jc w:val="center"/>
              <w:rPr>
                <w:snapToGrid w:val="0"/>
                <w:kern w:val="0"/>
                <w:szCs w:val="21"/>
              </w:rPr>
            </w:pPr>
            <w:r>
              <w:rPr>
                <w:szCs w:val="21"/>
              </w:rPr>
              <w:t>39.2</w:t>
            </w:r>
          </w:p>
        </w:tc>
        <w:tc>
          <w:tcPr>
            <w:tcW w:w="582" w:type="pct"/>
            <w:tcBorders>
              <w:top w:val="single" w:color="auto" w:sz="6" w:space="0"/>
              <w:left w:val="single" w:color="auto" w:sz="6" w:space="0"/>
              <w:bottom w:val="single" w:color="auto" w:sz="6" w:space="0"/>
              <w:right w:val="single" w:color="auto" w:sz="6" w:space="0"/>
            </w:tcBorders>
            <w:vAlign w:val="center"/>
          </w:tcPr>
          <w:p w14:paraId="523CF04C">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3807CCC5">
            <w:pPr>
              <w:spacing w:line="320" w:lineRule="exact"/>
              <w:ind w:left="-53" w:leftChars="-25" w:right="-53" w:rightChars="-25"/>
              <w:jc w:val="center"/>
              <w:rPr>
                <w:snapToGrid w:val="0"/>
                <w:kern w:val="0"/>
                <w:szCs w:val="21"/>
              </w:rPr>
            </w:pPr>
            <w:r>
              <w:rPr>
                <w:szCs w:val="21"/>
              </w:rPr>
              <w:t>67.9</w:t>
            </w:r>
          </w:p>
        </w:tc>
        <w:tc>
          <w:tcPr>
            <w:tcW w:w="614" w:type="pct"/>
            <w:tcBorders>
              <w:top w:val="single" w:color="auto" w:sz="6" w:space="0"/>
              <w:left w:val="single" w:color="auto" w:sz="6" w:space="0"/>
              <w:bottom w:val="single" w:color="auto" w:sz="6" w:space="0"/>
              <w:right w:val="single" w:color="auto" w:sz="12" w:space="0"/>
            </w:tcBorders>
            <w:vAlign w:val="center"/>
          </w:tcPr>
          <w:p w14:paraId="395B93F5">
            <w:pPr>
              <w:spacing w:line="320" w:lineRule="exact"/>
              <w:ind w:left="-53" w:leftChars="-25" w:right="-53" w:rightChars="-25"/>
              <w:jc w:val="center"/>
              <w:rPr>
                <w:snapToGrid w:val="0"/>
                <w:kern w:val="0"/>
                <w:szCs w:val="21"/>
              </w:rPr>
            </w:pPr>
            <w:r>
              <w:rPr>
                <w:szCs w:val="21"/>
              </w:rPr>
              <w:t>/</w:t>
            </w:r>
          </w:p>
        </w:tc>
      </w:tr>
      <w:tr w14:paraId="2E221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6138595E">
            <w:pPr>
              <w:spacing w:line="320" w:lineRule="exact"/>
              <w:ind w:left="-53" w:leftChars="-25" w:right="-53" w:rightChars="-25"/>
              <w:jc w:val="center"/>
              <w:rPr>
                <w:snapToGrid w:val="0"/>
                <w:kern w:val="0"/>
                <w:szCs w:val="21"/>
              </w:rPr>
            </w:pPr>
            <w:r>
              <w:rPr>
                <w:snapToGrid w:val="0"/>
                <w:kern w:val="0"/>
                <w:szCs w:val="21"/>
              </w:rPr>
              <w:t>*</w:t>
            </w:r>
            <w:r>
              <w:rPr>
                <w:rFonts w:hint="eastAsia"/>
                <w:snapToGrid w:val="0"/>
                <w:kern w:val="0"/>
                <w:szCs w:val="21"/>
              </w:rPr>
              <w:t>镁离子</w:t>
            </w:r>
          </w:p>
        </w:tc>
        <w:tc>
          <w:tcPr>
            <w:tcW w:w="665" w:type="pct"/>
            <w:tcBorders>
              <w:top w:val="single" w:color="auto" w:sz="6" w:space="0"/>
              <w:left w:val="single" w:color="auto" w:sz="6" w:space="0"/>
              <w:bottom w:val="single" w:color="auto" w:sz="6" w:space="0"/>
              <w:right w:val="single" w:color="auto" w:sz="6" w:space="0"/>
            </w:tcBorders>
            <w:vAlign w:val="center"/>
          </w:tcPr>
          <w:p w14:paraId="657345FD">
            <w:pPr>
              <w:spacing w:line="320" w:lineRule="exact"/>
              <w:ind w:left="-53" w:leftChars="-25" w:right="-53" w:rightChars="-25"/>
              <w:jc w:val="center"/>
              <w:rPr>
                <w:snapToGrid w:val="0"/>
                <w:kern w:val="0"/>
                <w:szCs w:val="21"/>
              </w:rPr>
            </w:pPr>
            <w:r>
              <w:rPr>
                <w:snapToGrid w:val="0"/>
                <w:kern w:val="0"/>
                <w:szCs w:val="21"/>
              </w:rPr>
              <w:t>/</w:t>
            </w:r>
          </w:p>
        </w:tc>
        <w:tc>
          <w:tcPr>
            <w:tcW w:w="499" w:type="pct"/>
            <w:tcBorders>
              <w:top w:val="single" w:color="auto" w:sz="6" w:space="0"/>
              <w:left w:val="single" w:color="auto" w:sz="6" w:space="0"/>
              <w:bottom w:val="single" w:color="auto" w:sz="6" w:space="0"/>
              <w:right w:val="single" w:color="auto" w:sz="6" w:space="0"/>
            </w:tcBorders>
            <w:vAlign w:val="center"/>
          </w:tcPr>
          <w:p w14:paraId="0722255B">
            <w:pPr>
              <w:spacing w:line="320" w:lineRule="exact"/>
              <w:ind w:left="-53" w:leftChars="-25" w:right="-53" w:rightChars="-25"/>
              <w:jc w:val="center"/>
              <w:rPr>
                <w:snapToGrid w:val="0"/>
                <w:kern w:val="0"/>
                <w:szCs w:val="21"/>
              </w:rPr>
            </w:pPr>
            <w:r>
              <w:rPr>
                <w:snapToGrid w:val="0"/>
                <w:kern w:val="0"/>
                <w:szCs w:val="21"/>
              </w:rPr>
              <w:t>19.0</w:t>
            </w:r>
          </w:p>
        </w:tc>
        <w:tc>
          <w:tcPr>
            <w:tcW w:w="666" w:type="pct"/>
            <w:tcBorders>
              <w:top w:val="single" w:color="auto" w:sz="6" w:space="0"/>
              <w:left w:val="single" w:color="auto" w:sz="6" w:space="0"/>
              <w:bottom w:val="single" w:color="auto" w:sz="6" w:space="0"/>
              <w:right w:val="single" w:color="auto" w:sz="6" w:space="0"/>
            </w:tcBorders>
            <w:vAlign w:val="center"/>
          </w:tcPr>
          <w:p w14:paraId="7DFEF946">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5EB2E61A">
            <w:pPr>
              <w:spacing w:line="320" w:lineRule="exact"/>
              <w:ind w:left="-53" w:leftChars="-25" w:right="-53" w:rightChars="-25"/>
              <w:jc w:val="center"/>
              <w:rPr>
                <w:snapToGrid w:val="0"/>
                <w:kern w:val="0"/>
                <w:szCs w:val="21"/>
              </w:rPr>
            </w:pPr>
            <w:r>
              <w:rPr>
                <w:szCs w:val="21"/>
              </w:rPr>
              <w:t>14.6</w:t>
            </w:r>
          </w:p>
        </w:tc>
        <w:tc>
          <w:tcPr>
            <w:tcW w:w="582" w:type="pct"/>
            <w:tcBorders>
              <w:top w:val="single" w:color="auto" w:sz="6" w:space="0"/>
              <w:left w:val="single" w:color="auto" w:sz="6" w:space="0"/>
              <w:bottom w:val="single" w:color="auto" w:sz="6" w:space="0"/>
              <w:right w:val="single" w:color="auto" w:sz="6" w:space="0"/>
            </w:tcBorders>
            <w:vAlign w:val="center"/>
          </w:tcPr>
          <w:p w14:paraId="6A66E66A">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496C7BF0">
            <w:pPr>
              <w:spacing w:line="320" w:lineRule="exact"/>
              <w:ind w:left="-53" w:leftChars="-25" w:right="-53" w:rightChars="-25"/>
              <w:jc w:val="center"/>
              <w:rPr>
                <w:snapToGrid w:val="0"/>
                <w:kern w:val="0"/>
                <w:szCs w:val="21"/>
              </w:rPr>
            </w:pPr>
            <w:r>
              <w:rPr>
                <w:szCs w:val="21"/>
              </w:rPr>
              <w:t>24</w:t>
            </w:r>
          </w:p>
        </w:tc>
        <w:tc>
          <w:tcPr>
            <w:tcW w:w="614" w:type="pct"/>
            <w:tcBorders>
              <w:top w:val="single" w:color="auto" w:sz="6" w:space="0"/>
              <w:left w:val="single" w:color="auto" w:sz="6" w:space="0"/>
              <w:bottom w:val="single" w:color="auto" w:sz="6" w:space="0"/>
              <w:right w:val="single" w:color="auto" w:sz="12" w:space="0"/>
            </w:tcBorders>
            <w:vAlign w:val="center"/>
          </w:tcPr>
          <w:p w14:paraId="4B9846CD">
            <w:pPr>
              <w:spacing w:line="320" w:lineRule="exact"/>
              <w:ind w:left="-53" w:leftChars="-25" w:right="-53" w:rightChars="-25"/>
              <w:jc w:val="center"/>
              <w:rPr>
                <w:snapToGrid w:val="0"/>
                <w:kern w:val="0"/>
                <w:szCs w:val="21"/>
              </w:rPr>
            </w:pPr>
            <w:r>
              <w:rPr>
                <w:szCs w:val="21"/>
              </w:rPr>
              <w:t>/</w:t>
            </w:r>
          </w:p>
        </w:tc>
      </w:tr>
      <w:tr w14:paraId="26B84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36019B2">
            <w:pPr>
              <w:spacing w:line="320" w:lineRule="exact"/>
              <w:ind w:left="-53" w:leftChars="-25" w:right="-53" w:rightChars="-25"/>
              <w:jc w:val="center"/>
              <w:rPr>
                <w:snapToGrid w:val="0"/>
                <w:kern w:val="0"/>
                <w:szCs w:val="21"/>
              </w:rPr>
            </w:pPr>
            <w:r>
              <w:rPr>
                <w:rFonts w:hint="eastAsia"/>
                <w:snapToGrid w:val="0"/>
                <w:kern w:val="0"/>
                <w:szCs w:val="21"/>
              </w:rPr>
              <w:t>碳酸根</w:t>
            </w:r>
          </w:p>
        </w:tc>
        <w:tc>
          <w:tcPr>
            <w:tcW w:w="665" w:type="pct"/>
            <w:tcBorders>
              <w:top w:val="single" w:color="auto" w:sz="6" w:space="0"/>
              <w:left w:val="single" w:color="auto" w:sz="6" w:space="0"/>
              <w:bottom w:val="single" w:color="auto" w:sz="6" w:space="0"/>
              <w:right w:val="single" w:color="auto" w:sz="6" w:space="0"/>
            </w:tcBorders>
            <w:vAlign w:val="center"/>
          </w:tcPr>
          <w:p w14:paraId="25F7942A">
            <w:pPr>
              <w:spacing w:line="320" w:lineRule="exact"/>
              <w:ind w:left="-53" w:leftChars="-25" w:right="-53" w:rightChars="-25"/>
              <w:jc w:val="center"/>
              <w:rPr>
                <w:snapToGrid w:val="0"/>
                <w:kern w:val="0"/>
                <w:szCs w:val="21"/>
              </w:rPr>
            </w:pPr>
            <w:r>
              <w:rPr>
                <w:snapToGrid w:val="0"/>
                <w:kern w:val="0"/>
                <w:szCs w:val="21"/>
              </w:rPr>
              <w:t>/</w:t>
            </w:r>
          </w:p>
        </w:tc>
        <w:tc>
          <w:tcPr>
            <w:tcW w:w="499" w:type="pct"/>
            <w:tcBorders>
              <w:top w:val="single" w:color="auto" w:sz="6" w:space="0"/>
              <w:left w:val="single" w:color="auto" w:sz="6" w:space="0"/>
              <w:bottom w:val="single" w:color="auto" w:sz="6" w:space="0"/>
              <w:right w:val="single" w:color="auto" w:sz="6" w:space="0"/>
            </w:tcBorders>
            <w:vAlign w:val="center"/>
          </w:tcPr>
          <w:p w14:paraId="7ADEB888">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0F83203B">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5817A23E">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320F74A8">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1AD1B714">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2C06B56A">
            <w:pPr>
              <w:spacing w:line="320" w:lineRule="exact"/>
              <w:ind w:left="-53" w:leftChars="-25" w:right="-53" w:rightChars="-25"/>
              <w:jc w:val="center"/>
              <w:rPr>
                <w:snapToGrid w:val="0"/>
                <w:kern w:val="0"/>
                <w:szCs w:val="21"/>
              </w:rPr>
            </w:pPr>
            <w:r>
              <w:rPr>
                <w:szCs w:val="21"/>
              </w:rPr>
              <w:t>/</w:t>
            </w:r>
          </w:p>
        </w:tc>
      </w:tr>
      <w:tr w14:paraId="1B1E4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9F11EB2">
            <w:pPr>
              <w:spacing w:line="320" w:lineRule="exact"/>
              <w:ind w:left="-53" w:leftChars="-25" w:right="-53" w:rightChars="-25"/>
              <w:jc w:val="center"/>
              <w:rPr>
                <w:snapToGrid w:val="0"/>
                <w:kern w:val="0"/>
                <w:szCs w:val="21"/>
              </w:rPr>
            </w:pPr>
            <w:r>
              <w:rPr>
                <w:rFonts w:hint="eastAsia"/>
                <w:snapToGrid w:val="0"/>
                <w:kern w:val="0"/>
                <w:szCs w:val="21"/>
              </w:rPr>
              <w:t>碳酸氢根</w:t>
            </w:r>
          </w:p>
        </w:tc>
        <w:tc>
          <w:tcPr>
            <w:tcW w:w="665" w:type="pct"/>
            <w:tcBorders>
              <w:top w:val="single" w:color="auto" w:sz="6" w:space="0"/>
              <w:left w:val="single" w:color="auto" w:sz="6" w:space="0"/>
              <w:bottom w:val="single" w:color="auto" w:sz="6" w:space="0"/>
              <w:right w:val="single" w:color="auto" w:sz="6" w:space="0"/>
            </w:tcBorders>
            <w:vAlign w:val="center"/>
          </w:tcPr>
          <w:p w14:paraId="528DD439">
            <w:pPr>
              <w:spacing w:line="320" w:lineRule="exact"/>
              <w:ind w:left="-53" w:leftChars="-25" w:right="-53" w:rightChars="-25"/>
              <w:jc w:val="center"/>
              <w:rPr>
                <w:snapToGrid w:val="0"/>
                <w:kern w:val="0"/>
                <w:szCs w:val="21"/>
              </w:rPr>
            </w:pPr>
            <w:r>
              <w:rPr>
                <w:snapToGrid w:val="0"/>
                <w:kern w:val="0"/>
                <w:szCs w:val="21"/>
              </w:rPr>
              <w:t>/</w:t>
            </w:r>
          </w:p>
        </w:tc>
        <w:tc>
          <w:tcPr>
            <w:tcW w:w="499" w:type="pct"/>
            <w:tcBorders>
              <w:top w:val="single" w:color="auto" w:sz="6" w:space="0"/>
              <w:left w:val="single" w:color="auto" w:sz="6" w:space="0"/>
              <w:bottom w:val="single" w:color="auto" w:sz="6" w:space="0"/>
              <w:right w:val="single" w:color="auto" w:sz="6" w:space="0"/>
            </w:tcBorders>
            <w:vAlign w:val="center"/>
          </w:tcPr>
          <w:p w14:paraId="156F3A1D">
            <w:pPr>
              <w:spacing w:line="320" w:lineRule="exact"/>
              <w:ind w:left="-53" w:leftChars="-25" w:right="-53" w:rightChars="-25"/>
              <w:jc w:val="center"/>
              <w:rPr>
                <w:snapToGrid w:val="0"/>
                <w:kern w:val="0"/>
                <w:szCs w:val="21"/>
              </w:rPr>
            </w:pPr>
            <w:r>
              <w:rPr>
                <w:snapToGrid w:val="0"/>
                <w:kern w:val="0"/>
                <w:szCs w:val="21"/>
              </w:rPr>
              <w:t>419</w:t>
            </w:r>
          </w:p>
        </w:tc>
        <w:tc>
          <w:tcPr>
            <w:tcW w:w="666" w:type="pct"/>
            <w:tcBorders>
              <w:top w:val="single" w:color="auto" w:sz="6" w:space="0"/>
              <w:left w:val="single" w:color="auto" w:sz="6" w:space="0"/>
              <w:bottom w:val="single" w:color="auto" w:sz="6" w:space="0"/>
              <w:right w:val="single" w:color="auto" w:sz="6" w:space="0"/>
            </w:tcBorders>
            <w:vAlign w:val="center"/>
          </w:tcPr>
          <w:p w14:paraId="2320ADE7">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48E53E62">
            <w:pPr>
              <w:spacing w:line="320" w:lineRule="exact"/>
              <w:ind w:left="-53" w:leftChars="-25" w:right="-53" w:rightChars="-25"/>
              <w:jc w:val="center"/>
              <w:rPr>
                <w:snapToGrid w:val="0"/>
                <w:kern w:val="0"/>
                <w:szCs w:val="21"/>
              </w:rPr>
            </w:pPr>
            <w:r>
              <w:rPr>
                <w:szCs w:val="21"/>
              </w:rPr>
              <w:t>397</w:t>
            </w:r>
          </w:p>
        </w:tc>
        <w:tc>
          <w:tcPr>
            <w:tcW w:w="582" w:type="pct"/>
            <w:tcBorders>
              <w:top w:val="single" w:color="auto" w:sz="6" w:space="0"/>
              <w:left w:val="single" w:color="auto" w:sz="6" w:space="0"/>
              <w:bottom w:val="single" w:color="auto" w:sz="6" w:space="0"/>
              <w:right w:val="single" w:color="auto" w:sz="6" w:space="0"/>
            </w:tcBorders>
            <w:vAlign w:val="center"/>
          </w:tcPr>
          <w:p w14:paraId="3108FC6B">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79159078">
            <w:pPr>
              <w:spacing w:line="320" w:lineRule="exact"/>
              <w:ind w:left="-53" w:leftChars="-25" w:right="-53" w:rightChars="-25"/>
              <w:jc w:val="center"/>
              <w:rPr>
                <w:snapToGrid w:val="0"/>
                <w:kern w:val="0"/>
                <w:szCs w:val="21"/>
              </w:rPr>
            </w:pPr>
            <w:r>
              <w:rPr>
                <w:szCs w:val="21"/>
              </w:rPr>
              <w:t>403</w:t>
            </w:r>
          </w:p>
        </w:tc>
        <w:tc>
          <w:tcPr>
            <w:tcW w:w="614" w:type="pct"/>
            <w:tcBorders>
              <w:top w:val="single" w:color="auto" w:sz="6" w:space="0"/>
              <w:left w:val="single" w:color="auto" w:sz="6" w:space="0"/>
              <w:bottom w:val="single" w:color="auto" w:sz="6" w:space="0"/>
              <w:right w:val="single" w:color="auto" w:sz="12" w:space="0"/>
            </w:tcBorders>
            <w:vAlign w:val="center"/>
          </w:tcPr>
          <w:p w14:paraId="3B2BCA6C">
            <w:pPr>
              <w:spacing w:line="320" w:lineRule="exact"/>
              <w:ind w:left="-53" w:leftChars="-25" w:right="-53" w:rightChars="-25"/>
              <w:jc w:val="center"/>
              <w:rPr>
                <w:snapToGrid w:val="0"/>
                <w:kern w:val="0"/>
                <w:szCs w:val="21"/>
              </w:rPr>
            </w:pPr>
            <w:r>
              <w:rPr>
                <w:szCs w:val="21"/>
              </w:rPr>
              <w:t>/</w:t>
            </w:r>
          </w:p>
        </w:tc>
      </w:tr>
      <w:tr w14:paraId="3B9F6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260FF3EB">
            <w:pPr>
              <w:spacing w:line="320" w:lineRule="exact"/>
              <w:ind w:left="-53" w:leftChars="-25" w:right="-53" w:rightChars="-25"/>
              <w:jc w:val="center"/>
              <w:rPr>
                <w:snapToGrid w:val="0"/>
                <w:kern w:val="0"/>
                <w:szCs w:val="21"/>
              </w:rPr>
            </w:pPr>
            <w:r>
              <w:rPr>
                <w:snapToGrid w:val="0"/>
                <w:kern w:val="0"/>
                <w:szCs w:val="21"/>
              </w:rPr>
              <w:t>pH</w:t>
            </w:r>
            <w:r>
              <w:rPr>
                <w:rFonts w:hint="eastAsia"/>
                <w:snapToGrid w:val="0"/>
                <w:kern w:val="0"/>
                <w:szCs w:val="21"/>
              </w:rPr>
              <w:t>值</w:t>
            </w:r>
          </w:p>
        </w:tc>
        <w:tc>
          <w:tcPr>
            <w:tcW w:w="665" w:type="pct"/>
            <w:tcBorders>
              <w:top w:val="single" w:color="auto" w:sz="6" w:space="0"/>
              <w:left w:val="single" w:color="auto" w:sz="6" w:space="0"/>
              <w:bottom w:val="single" w:color="auto" w:sz="6" w:space="0"/>
              <w:right w:val="single" w:color="auto" w:sz="6" w:space="0"/>
            </w:tcBorders>
            <w:vAlign w:val="center"/>
          </w:tcPr>
          <w:p w14:paraId="61A735A1">
            <w:pPr>
              <w:spacing w:line="320" w:lineRule="exact"/>
              <w:ind w:left="-53" w:leftChars="-25" w:right="-53" w:rightChars="-25"/>
              <w:jc w:val="center"/>
              <w:rPr>
                <w:snapToGrid w:val="0"/>
                <w:kern w:val="0"/>
                <w:szCs w:val="21"/>
              </w:rPr>
            </w:pPr>
            <w:r>
              <w:rPr>
                <w:snapToGrid w:val="0"/>
                <w:kern w:val="0"/>
                <w:szCs w:val="21"/>
              </w:rPr>
              <w:t>6.5~8.5</w:t>
            </w:r>
          </w:p>
        </w:tc>
        <w:tc>
          <w:tcPr>
            <w:tcW w:w="499" w:type="pct"/>
            <w:tcBorders>
              <w:top w:val="single" w:color="auto" w:sz="6" w:space="0"/>
              <w:left w:val="single" w:color="auto" w:sz="6" w:space="0"/>
              <w:bottom w:val="single" w:color="auto" w:sz="6" w:space="0"/>
              <w:right w:val="single" w:color="auto" w:sz="6" w:space="0"/>
            </w:tcBorders>
            <w:vAlign w:val="center"/>
          </w:tcPr>
          <w:p w14:paraId="630F9FC1">
            <w:pPr>
              <w:spacing w:line="320" w:lineRule="exact"/>
              <w:ind w:left="-53" w:leftChars="-25" w:right="-53" w:rightChars="-25"/>
              <w:jc w:val="center"/>
              <w:rPr>
                <w:snapToGrid w:val="0"/>
                <w:kern w:val="0"/>
                <w:szCs w:val="21"/>
              </w:rPr>
            </w:pPr>
            <w:r>
              <w:rPr>
                <w:snapToGrid w:val="0"/>
                <w:kern w:val="0"/>
                <w:szCs w:val="21"/>
              </w:rPr>
              <w:t>7.7</w:t>
            </w:r>
          </w:p>
        </w:tc>
        <w:tc>
          <w:tcPr>
            <w:tcW w:w="666" w:type="pct"/>
            <w:tcBorders>
              <w:top w:val="single" w:color="auto" w:sz="6" w:space="0"/>
              <w:left w:val="single" w:color="auto" w:sz="6" w:space="0"/>
              <w:bottom w:val="single" w:color="auto" w:sz="6" w:space="0"/>
              <w:right w:val="single" w:color="auto" w:sz="6" w:space="0"/>
            </w:tcBorders>
            <w:vAlign w:val="center"/>
          </w:tcPr>
          <w:p w14:paraId="0B7C00CB">
            <w:pPr>
              <w:spacing w:line="320" w:lineRule="exact"/>
              <w:ind w:left="-53" w:leftChars="-25" w:right="-53" w:rightChars="-25"/>
              <w:jc w:val="center"/>
              <w:rPr>
                <w:snapToGrid w:val="0"/>
                <w:kern w:val="0"/>
                <w:szCs w:val="21"/>
              </w:rPr>
            </w:pPr>
            <w:r>
              <w:rPr>
                <w:szCs w:val="21"/>
              </w:rPr>
              <w:t xml:space="preserve">0.47 </w:t>
            </w:r>
          </w:p>
        </w:tc>
        <w:tc>
          <w:tcPr>
            <w:tcW w:w="665" w:type="pct"/>
            <w:tcBorders>
              <w:top w:val="single" w:color="auto" w:sz="6" w:space="0"/>
              <w:left w:val="single" w:color="auto" w:sz="6" w:space="0"/>
              <w:bottom w:val="single" w:color="auto" w:sz="6" w:space="0"/>
              <w:right w:val="single" w:color="auto" w:sz="6" w:space="0"/>
            </w:tcBorders>
            <w:vAlign w:val="center"/>
          </w:tcPr>
          <w:p w14:paraId="2B4FF602">
            <w:pPr>
              <w:spacing w:line="320" w:lineRule="exact"/>
              <w:ind w:left="-53" w:leftChars="-25" w:right="-53" w:rightChars="-25"/>
              <w:jc w:val="center"/>
              <w:rPr>
                <w:snapToGrid w:val="0"/>
                <w:kern w:val="0"/>
                <w:szCs w:val="21"/>
              </w:rPr>
            </w:pPr>
            <w:r>
              <w:rPr>
                <w:szCs w:val="21"/>
              </w:rPr>
              <w:t>7.9</w:t>
            </w:r>
          </w:p>
        </w:tc>
        <w:tc>
          <w:tcPr>
            <w:tcW w:w="582" w:type="pct"/>
            <w:tcBorders>
              <w:top w:val="single" w:color="auto" w:sz="6" w:space="0"/>
              <w:left w:val="single" w:color="auto" w:sz="6" w:space="0"/>
              <w:bottom w:val="single" w:color="auto" w:sz="6" w:space="0"/>
              <w:right w:val="single" w:color="auto" w:sz="6" w:space="0"/>
            </w:tcBorders>
            <w:vAlign w:val="center"/>
          </w:tcPr>
          <w:p w14:paraId="672B6A1C">
            <w:pPr>
              <w:spacing w:line="320" w:lineRule="exact"/>
              <w:ind w:left="-53" w:leftChars="-25" w:right="-53" w:rightChars="-25"/>
              <w:jc w:val="center"/>
              <w:rPr>
                <w:snapToGrid w:val="0"/>
                <w:kern w:val="0"/>
                <w:szCs w:val="21"/>
              </w:rPr>
            </w:pPr>
            <w:r>
              <w:rPr>
                <w:szCs w:val="21"/>
              </w:rPr>
              <w:t xml:space="preserve">0.60 </w:t>
            </w:r>
          </w:p>
        </w:tc>
        <w:tc>
          <w:tcPr>
            <w:tcW w:w="498" w:type="pct"/>
            <w:tcBorders>
              <w:top w:val="single" w:color="auto" w:sz="6" w:space="0"/>
              <w:left w:val="single" w:color="auto" w:sz="6" w:space="0"/>
              <w:bottom w:val="single" w:color="auto" w:sz="6" w:space="0"/>
              <w:right w:val="single" w:color="auto" w:sz="6" w:space="0"/>
            </w:tcBorders>
            <w:vAlign w:val="center"/>
          </w:tcPr>
          <w:p w14:paraId="41088F75">
            <w:pPr>
              <w:spacing w:line="320" w:lineRule="exact"/>
              <w:ind w:left="-53" w:leftChars="-25" w:right="-53" w:rightChars="-25"/>
              <w:jc w:val="center"/>
              <w:rPr>
                <w:snapToGrid w:val="0"/>
                <w:kern w:val="0"/>
                <w:szCs w:val="21"/>
              </w:rPr>
            </w:pPr>
            <w:r>
              <w:rPr>
                <w:szCs w:val="21"/>
              </w:rPr>
              <w:t>7.7</w:t>
            </w:r>
          </w:p>
        </w:tc>
        <w:tc>
          <w:tcPr>
            <w:tcW w:w="614" w:type="pct"/>
            <w:tcBorders>
              <w:top w:val="single" w:color="auto" w:sz="6" w:space="0"/>
              <w:left w:val="single" w:color="auto" w:sz="6" w:space="0"/>
              <w:bottom w:val="single" w:color="auto" w:sz="6" w:space="0"/>
              <w:right w:val="single" w:color="auto" w:sz="12" w:space="0"/>
            </w:tcBorders>
            <w:vAlign w:val="center"/>
          </w:tcPr>
          <w:p w14:paraId="33E5E6C1">
            <w:pPr>
              <w:spacing w:line="320" w:lineRule="exact"/>
              <w:ind w:left="-53" w:leftChars="-25" w:right="-53" w:rightChars="-25"/>
              <w:jc w:val="center"/>
              <w:rPr>
                <w:snapToGrid w:val="0"/>
                <w:kern w:val="0"/>
                <w:szCs w:val="21"/>
              </w:rPr>
            </w:pPr>
            <w:r>
              <w:rPr>
                <w:szCs w:val="21"/>
              </w:rPr>
              <w:t xml:space="preserve">0.47 </w:t>
            </w:r>
          </w:p>
        </w:tc>
      </w:tr>
      <w:tr w14:paraId="7CCFF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40B00174">
            <w:pPr>
              <w:spacing w:line="320" w:lineRule="exact"/>
              <w:ind w:left="-53" w:leftChars="-25" w:right="-53" w:rightChars="-25"/>
              <w:jc w:val="center"/>
              <w:rPr>
                <w:snapToGrid w:val="0"/>
                <w:kern w:val="0"/>
                <w:szCs w:val="21"/>
              </w:rPr>
            </w:pPr>
            <w:r>
              <w:rPr>
                <w:rFonts w:hint="eastAsia"/>
                <w:snapToGrid w:val="0"/>
                <w:kern w:val="0"/>
                <w:szCs w:val="21"/>
              </w:rPr>
              <w:t>氨氮</w:t>
            </w:r>
          </w:p>
        </w:tc>
        <w:tc>
          <w:tcPr>
            <w:tcW w:w="665" w:type="pct"/>
            <w:tcBorders>
              <w:top w:val="single" w:color="auto" w:sz="6" w:space="0"/>
              <w:left w:val="single" w:color="auto" w:sz="6" w:space="0"/>
              <w:bottom w:val="single" w:color="auto" w:sz="6" w:space="0"/>
              <w:right w:val="single" w:color="auto" w:sz="6" w:space="0"/>
            </w:tcBorders>
            <w:vAlign w:val="center"/>
          </w:tcPr>
          <w:p w14:paraId="74A222E1">
            <w:pPr>
              <w:spacing w:line="320" w:lineRule="exact"/>
              <w:ind w:left="-53" w:leftChars="-25" w:right="-53" w:rightChars="-25"/>
              <w:jc w:val="center"/>
              <w:rPr>
                <w:snapToGrid w:val="0"/>
                <w:kern w:val="0"/>
                <w:szCs w:val="21"/>
              </w:rPr>
            </w:pPr>
            <w:r>
              <w:rPr>
                <w:snapToGrid w:val="0"/>
                <w:kern w:val="0"/>
                <w:szCs w:val="21"/>
              </w:rPr>
              <w:t>0.5</w:t>
            </w:r>
          </w:p>
        </w:tc>
        <w:tc>
          <w:tcPr>
            <w:tcW w:w="499" w:type="pct"/>
            <w:tcBorders>
              <w:top w:val="single" w:color="auto" w:sz="6" w:space="0"/>
              <w:left w:val="single" w:color="auto" w:sz="6" w:space="0"/>
              <w:bottom w:val="single" w:color="auto" w:sz="6" w:space="0"/>
              <w:right w:val="single" w:color="auto" w:sz="6" w:space="0"/>
            </w:tcBorders>
            <w:vAlign w:val="center"/>
          </w:tcPr>
          <w:p w14:paraId="24918C85">
            <w:pPr>
              <w:spacing w:line="320" w:lineRule="exact"/>
              <w:ind w:left="-53" w:leftChars="-25" w:right="-53" w:rightChars="-25"/>
              <w:jc w:val="center"/>
              <w:rPr>
                <w:snapToGrid w:val="0"/>
                <w:kern w:val="0"/>
                <w:szCs w:val="21"/>
              </w:rPr>
            </w:pPr>
            <w:r>
              <w:rPr>
                <w:snapToGrid w:val="0"/>
                <w:kern w:val="0"/>
                <w:szCs w:val="21"/>
              </w:rPr>
              <w:t>0.066</w:t>
            </w:r>
          </w:p>
        </w:tc>
        <w:tc>
          <w:tcPr>
            <w:tcW w:w="666" w:type="pct"/>
            <w:tcBorders>
              <w:top w:val="single" w:color="auto" w:sz="6" w:space="0"/>
              <w:left w:val="single" w:color="auto" w:sz="6" w:space="0"/>
              <w:bottom w:val="single" w:color="auto" w:sz="6" w:space="0"/>
              <w:right w:val="single" w:color="auto" w:sz="6" w:space="0"/>
            </w:tcBorders>
            <w:vAlign w:val="center"/>
          </w:tcPr>
          <w:p w14:paraId="59BFCB18">
            <w:pPr>
              <w:spacing w:line="320" w:lineRule="exact"/>
              <w:ind w:left="-53" w:leftChars="-25" w:right="-53" w:rightChars="-25"/>
              <w:jc w:val="center"/>
              <w:rPr>
                <w:snapToGrid w:val="0"/>
                <w:kern w:val="0"/>
                <w:szCs w:val="21"/>
              </w:rPr>
            </w:pPr>
            <w:r>
              <w:rPr>
                <w:szCs w:val="21"/>
              </w:rPr>
              <w:t xml:space="preserve">0.13 </w:t>
            </w:r>
          </w:p>
        </w:tc>
        <w:tc>
          <w:tcPr>
            <w:tcW w:w="665" w:type="pct"/>
            <w:tcBorders>
              <w:top w:val="single" w:color="auto" w:sz="6" w:space="0"/>
              <w:left w:val="single" w:color="auto" w:sz="6" w:space="0"/>
              <w:bottom w:val="single" w:color="auto" w:sz="6" w:space="0"/>
              <w:right w:val="single" w:color="auto" w:sz="6" w:space="0"/>
            </w:tcBorders>
            <w:vAlign w:val="center"/>
          </w:tcPr>
          <w:p w14:paraId="2DEBB223">
            <w:pPr>
              <w:spacing w:line="320" w:lineRule="exact"/>
              <w:ind w:left="-53" w:leftChars="-25" w:right="-53" w:rightChars="-25"/>
              <w:jc w:val="center"/>
              <w:rPr>
                <w:snapToGrid w:val="0"/>
                <w:kern w:val="0"/>
                <w:szCs w:val="21"/>
              </w:rPr>
            </w:pPr>
            <w:r>
              <w:rPr>
                <w:szCs w:val="21"/>
              </w:rPr>
              <w:t>0.09</w:t>
            </w:r>
          </w:p>
        </w:tc>
        <w:tc>
          <w:tcPr>
            <w:tcW w:w="582" w:type="pct"/>
            <w:tcBorders>
              <w:top w:val="single" w:color="auto" w:sz="6" w:space="0"/>
              <w:left w:val="single" w:color="auto" w:sz="6" w:space="0"/>
              <w:bottom w:val="single" w:color="auto" w:sz="6" w:space="0"/>
              <w:right w:val="single" w:color="auto" w:sz="6" w:space="0"/>
            </w:tcBorders>
            <w:vAlign w:val="center"/>
          </w:tcPr>
          <w:p w14:paraId="55A4B142">
            <w:pPr>
              <w:spacing w:line="320" w:lineRule="exact"/>
              <w:ind w:left="-53" w:leftChars="-25" w:right="-53" w:rightChars="-25"/>
              <w:jc w:val="center"/>
              <w:rPr>
                <w:snapToGrid w:val="0"/>
                <w:kern w:val="0"/>
                <w:szCs w:val="21"/>
              </w:rPr>
            </w:pPr>
            <w:r>
              <w:rPr>
                <w:szCs w:val="21"/>
              </w:rPr>
              <w:t>0.18</w:t>
            </w:r>
          </w:p>
        </w:tc>
        <w:tc>
          <w:tcPr>
            <w:tcW w:w="498" w:type="pct"/>
            <w:tcBorders>
              <w:top w:val="single" w:color="auto" w:sz="6" w:space="0"/>
              <w:left w:val="single" w:color="auto" w:sz="6" w:space="0"/>
              <w:bottom w:val="single" w:color="auto" w:sz="6" w:space="0"/>
              <w:right w:val="single" w:color="auto" w:sz="6" w:space="0"/>
            </w:tcBorders>
            <w:vAlign w:val="center"/>
          </w:tcPr>
          <w:p w14:paraId="359383EA">
            <w:pPr>
              <w:spacing w:line="320" w:lineRule="exact"/>
              <w:ind w:left="-53" w:leftChars="-25" w:right="-53" w:rightChars="-25"/>
              <w:jc w:val="center"/>
              <w:rPr>
                <w:snapToGrid w:val="0"/>
                <w:kern w:val="0"/>
                <w:szCs w:val="21"/>
              </w:rPr>
            </w:pPr>
            <w:r>
              <w:rPr>
                <w:szCs w:val="21"/>
              </w:rPr>
              <w:t>0.036</w:t>
            </w:r>
          </w:p>
        </w:tc>
        <w:tc>
          <w:tcPr>
            <w:tcW w:w="614" w:type="pct"/>
            <w:tcBorders>
              <w:top w:val="single" w:color="auto" w:sz="6" w:space="0"/>
              <w:left w:val="single" w:color="auto" w:sz="6" w:space="0"/>
              <w:bottom w:val="single" w:color="auto" w:sz="6" w:space="0"/>
              <w:right w:val="single" w:color="auto" w:sz="12" w:space="0"/>
            </w:tcBorders>
            <w:vAlign w:val="center"/>
          </w:tcPr>
          <w:p w14:paraId="7AFFE9B1">
            <w:pPr>
              <w:spacing w:line="320" w:lineRule="exact"/>
              <w:ind w:left="-53" w:leftChars="-25" w:right="-53" w:rightChars="-25"/>
              <w:jc w:val="center"/>
              <w:rPr>
                <w:snapToGrid w:val="0"/>
                <w:kern w:val="0"/>
                <w:szCs w:val="21"/>
              </w:rPr>
            </w:pPr>
            <w:r>
              <w:rPr>
                <w:szCs w:val="21"/>
              </w:rPr>
              <w:t xml:space="preserve">0.07 </w:t>
            </w:r>
          </w:p>
        </w:tc>
      </w:tr>
      <w:tr w14:paraId="6EE3F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753E915">
            <w:pPr>
              <w:spacing w:line="320" w:lineRule="exact"/>
              <w:ind w:left="-53" w:leftChars="-25" w:right="-53" w:rightChars="-25"/>
              <w:jc w:val="center"/>
              <w:rPr>
                <w:snapToGrid w:val="0"/>
                <w:kern w:val="0"/>
                <w:szCs w:val="21"/>
              </w:rPr>
            </w:pPr>
            <w:r>
              <w:rPr>
                <w:rFonts w:hint="eastAsia"/>
                <w:snapToGrid w:val="0"/>
                <w:kern w:val="0"/>
                <w:szCs w:val="21"/>
              </w:rPr>
              <w:t>亚硝酸盐</w:t>
            </w:r>
          </w:p>
        </w:tc>
        <w:tc>
          <w:tcPr>
            <w:tcW w:w="665" w:type="pct"/>
            <w:tcBorders>
              <w:top w:val="single" w:color="auto" w:sz="6" w:space="0"/>
              <w:left w:val="single" w:color="auto" w:sz="6" w:space="0"/>
              <w:bottom w:val="single" w:color="auto" w:sz="6" w:space="0"/>
              <w:right w:val="single" w:color="auto" w:sz="6" w:space="0"/>
            </w:tcBorders>
            <w:vAlign w:val="center"/>
          </w:tcPr>
          <w:p w14:paraId="5004C22E">
            <w:pPr>
              <w:spacing w:line="320" w:lineRule="exact"/>
              <w:ind w:left="-53" w:leftChars="-25" w:right="-53" w:rightChars="-25"/>
              <w:jc w:val="center"/>
              <w:rPr>
                <w:snapToGrid w:val="0"/>
                <w:kern w:val="0"/>
                <w:szCs w:val="21"/>
              </w:rPr>
            </w:pPr>
            <w:r>
              <w:rPr>
                <w:snapToGrid w:val="0"/>
                <w:kern w:val="0"/>
                <w:szCs w:val="21"/>
              </w:rPr>
              <w:t>1</w:t>
            </w:r>
          </w:p>
        </w:tc>
        <w:tc>
          <w:tcPr>
            <w:tcW w:w="499" w:type="pct"/>
            <w:tcBorders>
              <w:top w:val="single" w:color="auto" w:sz="6" w:space="0"/>
              <w:left w:val="single" w:color="auto" w:sz="6" w:space="0"/>
              <w:bottom w:val="single" w:color="auto" w:sz="6" w:space="0"/>
              <w:right w:val="single" w:color="auto" w:sz="6" w:space="0"/>
            </w:tcBorders>
            <w:vAlign w:val="center"/>
          </w:tcPr>
          <w:p w14:paraId="3AE2A72D">
            <w:pPr>
              <w:spacing w:line="320" w:lineRule="exact"/>
              <w:ind w:left="-53" w:leftChars="-25" w:right="-53" w:rightChars="-25"/>
              <w:jc w:val="center"/>
              <w:rPr>
                <w:snapToGrid w:val="0"/>
                <w:kern w:val="0"/>
                <w:szCs w:val="21"/>
              </w:rPr>
            </w:pPr>
            <w:r>
              <w:rPr>
                <w:snapToGrid w:val="0"/>
                <w:kern w:val="0"/>
                <w:szCs w:val="21"/>
              </w:rPr>
              <w:t>0.006</w:t>
            </w:r>
          </w:p>
        </w:tc>
        <w:tc>
          <w:tcPr>
            <w:tcW w:w="666" w:type="pct"/>
            <w:tcBorders>
              <w:top w:val="single" w:color="auto" w:sz="6" w:space="0"/>
              <w:left w:val="single" w:color="auto" w:sz="6" w:space="0"/>
              <w:bottom w:val="single" w:color="auto" w:sz="6" w:space="0"/>
              <w:right w:val="single" w:color="auto" w:sz="6" w:space="0"/>
            </w:tcBorders>
            <w:vAlign w:val="center"/>
          </w:tcPr>
          <w:p w14:paraId="69A2AC32">
            <w:pPr>
              <w:spacing w:line="320" w:lineRule="exact"/>
              <w:ind w:left="-53" w:leftChars="-25" w:right="-53" w:rightChars="-25"/>
              <w:jc w:val="center"/>
              <w:rPr>
                <w:snapToGrid w:val="0"/>
                <w:kern w:val="0"/>
                <w:szCs w:val="21"/>
              </w:rPr>
            </w:pPr>
            <w:r>
              <w:rPr>
                <w:szCs w:val="21"/>
              </w:rPr>
              <w:t xml:space="preserve">0.01 </w:t>
            </w:r>
          </w:p>
        </w:tc>
        <w:tc>
          <w:tcPr>
            <w:tcW w:w="665" w:type="pct"/>
            <w:tcBorders>
              <w:top w:val="single" w:color="auto" w:sz="6" w:space="0"/>
              <w:left w:val="single" w:color="auto" w:sz="6" w:space="0"/>
              <w:bottom w:val="single" w:color="auto" w:sz="6" w:space="0"/>
              <w:right w:val="single" w:color="auto" w:sz="6" w:space="0"/>
            </w:tcBorders>
            <w:vAlign w:val="center"/>
          </w:tcPr>
          <w:p w14:paraId="3C494AF3">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7208A4F6">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334C57EC">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05353ACB">
            <w:pPr>
              <w:spacing w:line="320" w:lineRule="exact"/>
              <w:ind w:left="-53" w:leftChars="-25" w:right="-53" w:rightChars="-25"/>
              <w:jc w:val="center"/>
              <w:rPr>
                <w:snapToGrid w:val="0"/>
                <w:kern w:val="0"/>
                <w:szCs w:val="21"/>
              </w:rPr>
            </w:pPr>
            <w:r>
              <w:rPr>
                <w:szCs w:val="21"/>
              </w:rPr>
              <w:t>/</w:t>
            </w:r>
          </w:p>
        </w:tc>
      </w:tr>
      <w:tr w14:paraId="4B3E3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4BFF7C04">
            <w:pPr>
              <w:spacing w:line="320" w:lineRule="exact"/>
              <w:ind w:left="-53" w:leftChars="-25" w:right="-53" w:rightChars="-25"/>
              <w:jc w:val="center"/>
              <w:rPr>
                <w:snapToGrid w:val="0"/>
                <w:kern w:val="0"/>
                <w:szCs w:val="21"/>
              </w:rPr>
            </w:pPr>
            <w:r>
              <w:rPr>
                <w:rFonts w:hint="eastAsia"/>
                <w:snapToGrid w:val="0"/>
                <w:kern w:val="0"/>
                <w:szCs w:val="21"/>
              </w:rPr>
              <w:t>挥发酚</w:t>
            </w:r>
          </w:p>
        </w:tc>
        <w:tc>
          <w:tcPr>
            <w:tcW w:w="665" w:type="pct"/>
            <w:tcBorders>
              <w:top w:val="single" w:color="auto" w:sz="6" w:space="0"/>
              <w:left w:val="single" w:color="auto" w:sz="6" w:space="0"/>
              <w:bottom w:val="single" w:color="auto" w:sz="6" w:space="0"/>
              <w:right w:val="single" w:color="auto" w:sz="6" w:space="0"/>
            </w:tcBorders>
            <w:vAlign w:val="center"/>
          </w:tcPr>
          <w:p w14:paraId="72D8AF59">
            <w:pPr>
              <w:spacing w:line="320" w:lineRule="exact"/>
              <w:ind w:left="-53" w:leftChars="-25" w:right="-53" w:rightChars="-25"/>
              <w:jc w:val="center"/>
              <w:rPr>
                <w:snapToGrid w:val="0"/>
                <w:kern w:val="0"/>
                <w:szCs w:val="21"/>
              </w:rPr>
            </w:pPr>
            <w:r>
              <w:rPr>
                <w:snapToGrid w:val="0"/>
                <w:kern w:val="0"/>
                <w:szCs w:val="21"/>
              </w:rPr>
              <w:t>0.002</w:t>
            </w:r>
          </w:p>
        </w:tc>
        <w:tc>
          <w:tcPr>
            <w:tcW w:w="499" w:type="pct"/>
            <w:tcBorders>
              <w:top w:val="single" w:color="auto" w:sz="6" w:space="0"/>
              <w:left w:val="single" w:color="auto" w:sz="6" w:space="0"/>
              <w:bottom w:val="single" w:color="auto" w:sz="6" w:space="0"/>
              <w:right w:val="single" w:color="auto" w:sz="6" w:space="0"/>
            </w:tcBorders>
            <w:vAlign w:val="center"/>
          </w:tcPr>
          <w:p w14:paraId="16AFDDD7">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5DBAD689">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63BD9946">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70AF726B">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35949196">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378E20EC">
            <w:pPr>
              <w:spacing w:line="320" w:lineRule="exact"/>
              <w:ind w:left="-53" w:leftChars="-25" w:right="-53" w:rightChars="-25"/>
              <w:jc w:val="center"/>
              <w:rPr>
                <w:snapToGrid w:val="0"/>
                <w:kern w:val="0"/>
                <w:szCs w:val="21"/>
              </w:rPr>
            </w:pPr>
            <w:r>
              <w:rPr>
                <w:szCs w:val="21"/>
              </w:rPr>
              <w:t>/</w:t>
            </w:r>
          </w:p>
        </w:tc>
      </w:tr>
      <w:tr w14:paraId="2B221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2B641A5C">
            <w:pPr>
              <w:spacing w:line="320" w:lineRule="exact"/>
              <w:ind w:left="-53" w:leftChars="-25" w:right="-53" w:rightChars="-25"/>
              <w:jc w:val="center"/>
              <w:rPr>
                <w:snapToGrid w:val="0"/>
                <w:kern w:val="0"/>
                <w:szCs w:val="21"/>
              </w:rPr>
            </w:pPr>
            <w:r>
              <w:rPr>
                <w:rFonts w:hint="eastAsia"/>
                <w:snapToGrid w:val="0"/>
                <w:kern w:val="0"/>
                <w:szCs w:val="21"/>
              </w:rPr>
              <w:t>氰化物</w:t>
            </w:r>
          </w:p>
        </w:tc>
        <w:tc>
          <w:tcPr>
            <w:tcW w:w="665" w:type="pct"/>
            <w:tcBorders>
              <w:top w:val="single" w:color="auto" w:sz="6" w:space="0"/>
              <w:left w:val="single" w:color="auto" w:sz="6" w:space="0"/>
              <w:bottom w:val="single" w:color="auto" w:sz="6" w:space="0"/>
              <w:right w:val="single" w:color="auto" w:sz="6" w:space="0"/>
            </w:tcBorders>
            <w:vAlign w:val="center"/>
          </w:tcPr>
          <w:p w14:paraId="6B4A2EF0">
            <w:pPr>
              <w:spacing w:line="320" w:lineRule="exact"/>
              <w:ind w:left="-53" w:leftChars="-25" w:right="-53" w:rightChars="-25"/>
              <w:jc w:val="center"/>
              <w:rPr>
                <w:snapToGrid w:val="0"/>
                <w:kern w:val="0"/>
                <w:szCs w:val="21"/>
              </w:rPr>
            </w:pPr>
            <w:r>
              <w:rPr>
                <w:snapToGrid w:val="0"/>
                <w:kern w:val="0"/>
                <w:szCs w:val="21"/>
              </w:rPr>
              <w:t>0.05</w:t>
            </w:r>
          </w:p>
        </w:tc>
        <w:tc>
          <w:tcPr>
            <w:tcW w:w="499" w:type="pct"/>
            <w:tcBorders>
              <w:top w:val="single" w:color="auto" w:sz="6" w:space="0"/>
              <w:left w:val="single" w:color="auto" w:sz="6" w:space="0"/>
              <w:bottom w:val="single" w:color="auto" w:sz="6" w:space="0"/>
              <w:right w:val="single" w:color="auto" w:sz="6" w:space="0"/>
            </w:tcBorders>
            <w:vAlign w:val="center"/>
          </w:tcPr>
          <w:p w14:paraId="0E8B899C">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363926AD">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43A08254">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434ED69B">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2BE40804">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26BFC30F">
            <w:pPr>
              <w:spacing w:line="320" w:lineRule="exact"/>
              <w:ind w:left="-53" w:leftChars="-25" w:right="-53" w:rightChars="-25"/>
              <w:jc w:val="center"/>
              <w:rPr>
                <w:snapToGrid w:val="0"/>
                <w:kern w:val="0"/>
                <w:szCs w:val="21"/>
              </w:rPr>
            </w:pPr>
            <w:r>
              <w:rPr>
                <w:szCs w:val="21"/>
              </w:rPr>
              <w:t>/</w:t>
            </w:r>
          </w:p>
        </w:tc>
      </w:tr>
      <w:tr w14:paraId="3B5D8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192DAE94">
            <w:pPr>
              <w:spacing w:line="320" w:lineRule="exact"/>
              <w:ind w:left="-53" w:leftChars="-25" w:right="-53" w:rightChars="-25"/>
              <w:jc w:val="center"/>
              <w:rPr>
                <w:snapToGrid w:val="0"/>
                <w:kern w:val="0"/>
                <w:szCs w:val="21"/>
              </w:rPr>
            </w:pPr>
            <w:r>
              <w:rPr>
                <w:rFonts w:hint="eastAsia"/>
                <w:snapToGrid w:val="0"/>
                <w:kern w:val="0"/>
                <w:szCs w:val="21"/>
              </w:rPr>
              <w:t>总硬度</w:t>
            </w:r>
          </w:p>
        </w:tc>
        <w:tc>
          <w:tcPr>
            <w:tcW w:w="665" w:type="pct"/>
            <w:tcBorders>
              <w:top w:val="single" w:color="auto" w:sz="6" w:space="0"/>
              <w:left w:val="single" w:color="auto" w:sz="6" w:space="0"/>
              <w:bottom w:val="single" w:color="auto" w:sz="6" w:space="0"/>
              <w:right w:val="single" w:color="auto" w:sz="6" w:space="0"/>
            </w:tcBorders>
            <w:vAlign w:val="center"/>
          </w:tcPr>
          <w:p w14:paraId="507E1D34">
            <w:pPr>
              <w:spacing w:line="320" w:lineRule="exact"/>
              <w:ind w:left="-53" w:leftChars="-25" w:right="-53" w:rightChars="-25"/>
              <w:jc w:val="center"/>
              <w:rPr>
                <w:snapToGrid w:val="0"/>
                <w:kern w:val="0"/>
                <w:szCs w:val="21"/>
              </w:rPr>
            </w:pPr>
            <w:r>
              <w:rPr>
                <w:snapToGrid w:val="0"/>
                <w:kern w:val="0"/>
                <w:szCs w:val="21"/>
              </w:rPr>
              <w:t>450</w:t>
            </w:r>
          </w:p>
        </w:tc>
        <w:tc>
          <w:tcPr>
            <w:tcW w:w="499" w:type="pct"/>
            <w:tcBorders>
              <w:top w:val="single" w:color="auto" w:sz="6" w:space="0"/>
              <w:left w:val="single" w:color="auto" w:sz="6" w:space="0"/>
              <w:bottom w:val="single" w:color="auto" w:sz="6" w:space="0"/>
              <w:right w:val="single" w:color="auto" w:sz="6" w:space="0"/>
            </w:tcBorders>
            <w:vAlign w:val="center"/>
          </w:tcPr>
          <w:p w14:paraId="63233E8D">
            <w:pPr>
              <w:spacing w:line="320" w:lineRule="exact"/>
              <w:ind w:left="-53" w:leftChars="-25" w:right="-53" w:rightChars="-25"/>
              <w:jc w:val="center"/>
              <w:rPr>
                <w:snapToGrid w:val="0"/>
                <w:kern w:val="0"/>
                <w:szCs w:val="21"/>
              </w:rPr>
            </w:pPr>
            <w:r>
              <w:rPr>
                <w:snapToGrid w:val="0"/>
                <w:kern w:val="0"/>
                <w:szCs w:val="21"/>
              </w:rPr>
              <w:t>232</w:t>
            </w:r>
          </w:p>
        </w:tc>
        <w:tc>
          <w:tcPr>
            <w:tcW w:w="666" w:type="pct"/>
            <w:tcBorders>
              <w:top w:val="single" w:color="auto" w:sz="6" w:space="0"/>
              <w:left w:val="single" w:color="auto" w:sz="6" w:space="0"/>
              <w:bottom w:val="single" w:color="auto" w:sz="6" w:space="0"/>
              <w:right w:val="single" w:color="auto" w:sz="6" w:space="0"/>
            </w:tcBorders>
            <w:vAlign w:val="center"/>
          </w:tcPr>
          <w:p w14:paraId="09F46ABE">
            <w:pPr>
              <w:spacing w:line="320" w:lineRule="exact"/>
              <w:ind w:left="-53" w:leftChars="-25" w:right="-53" w:rightChars="-25"/>
              <w:jc w:val="center"/>
              <w:rPr>
                <w:snapToGrid w:val="0"/>
                <w:kern w:val="0"/>
                <w:szCs w:val="21"/>
              </w:rPr>
            </w:pPr>
            <w:r>
              <w:rPr>
                <w:szCs w:val="21"/>
              </w:rPr>
              <w:t xml:space="preserve">0.52 </w:t>
            </w:r>
          </w:p>
        </w:tc>
        <w:tc>
          <w:tcPr>
            <w:tcW w:w="665" w:type="pct"/>
            <w:tcBorders>
              <w:top w:val="single" w:color="auto" w:sz="6" w:space="0"/>
              <w:left w:val="single" w:color="auto" w:sz="6" w:space="0"/>
              <w:bottom w:val="single" w:color="auto" w:sz="6" w:space="0"/>
              <w:right w:val="single" w:color="auto" w:sz="6" w:space="0"/>
            </w:tcBorders>
            <w:vAlign w:val="center"/>
          </w:tcPr>
          <w:p w14:paraId="2C149490">
            <w:pPr>
              <w:spacing w:line="320" w:lineRule="exact"/>
              <w:ind w:left="-53" w:leftChars="-25" w:right="-53" w:rightChars="-25"/>
              <w:jc w:val="center"/>
              <w:rPr>
                <w:snapToGrid w:val="0"/>
                <w:kern w:val="0"/>
                <w:szCs w:val="21"/>
              </w:rPr>
            </w:pPr>
            <w:r>
              <w:rPr>
                <w:szCs w:val="21"/>
              </w:rPr>
              <w:t>216</w:t>
            </w:r>
          </w:p>
        </w:tc>
        <w:tc>
          <w:tcPr>
            <w:tcW w:w="582" w:type="pct"/>
            <w:tcBorders>
              <w:top w:val="single" w:color="auto" w:sz="6" w:space="0"/>
              <w:left w:val="single" w:color="auto" w:sz="6" w:space="0"/>
              <w:bottom w:val="single" w:color="auto" w:sz="6" w:space="0"/>
              <w:right w:val="single" w:color="auto" w:sz="6" w:space="0"/>
            </w:tcBorders>
            <w:vAlign w:val="center"/>
          </w:tcPr>
          <w:p w14:paraId="2B8A019E">
            <w:pPr>
              <w:spacing w:line="320" w:lineRule="exact"/>
              <w:ind w:left="-53" w:leftChars="-25" w:right="-53" w:rightChars="-25"/>
              <w:jc w:val="center"/>
              <w:rPr>
                <w:snapToGrid w:val="0"/>
                <w:kern w:val="0"/>
                <w:szCs w:val="21"/>
              </w:rPr>
            </w:pPr>
            <w:r>
              <w:rPr>
                <w:szCs w:val="21"/>
              </w:rPr>
              <w:t>0.48</w:t>
            </w:r>
          </w:p>
        </w:tc>
        <w:tc>
          <w:tcPr>
            <w:tcW w:w="498" w:type="pct"/>
            <w:tcBorders>
              <w:top w:val="single" w:color="auto" w:sz="6" w:space="0"/>
              <w:left w:val="single" w:color="auto" w:sz="6" w:space="0"/>
              <w:bottom w:val="single" w:color="auto" w:sz="6" w:space="0"/>
              <w:right w:val="single" w:color="auto" w:sz="6" w:space="0"/>
            </w:tcBorders>
            <w:vAlign w:val="center"/>
          </w:tcPr>
          <w:p w14:paraId="71E2DE03">
            <w:pPr>
              <w:spacing w:line="320" w:lineRule="exact"/>
              <w:ind w:left="-53" w:leftChars="-25" w:right="-53" w:rightChars="-25"/>
              <w:jc w:val="center"/>
              <w:rPr>
                <w:snapToGrid w:val="0"/>
                <w:kern w:val="0"/>
                <w:szCs w:val="21"/>
              </w:rPr>
            </w:pPr>
            <w:r>
              <w:rPr>
                <w:szCs w:val="21"/>
              </w:rPr>
              <w:t>281</w:t>
            </w:r>
          </w:p>
        </w:tc>
        <w:tc>
          <w:tcPr>
            <w:tcW w:w="614" w:type="pct"/>
            <w:tcBorders>
              <w:top w:val="single" w:color="auto" w:sz="6" w:space="0"/>
              <w:left w:val="single" w:color="auto" w:sz="6" w:space="0"/>
              <w:bottom w:val="single" w:color="auto" w:sz="6" w:space="0"/>
              <w:right w:val="single" w:color="auto" w:sz="12" w:space="0"/>
            </w:tcBorders>
            <w:vAlign w:val="center"/>
          </w:tcPr>
          <w:p w14:paraId="7C11ADFB">
            <w:pPr>
              <w:spacing w:line="320" w:lineRule="exact"/>
              <w:ind w:left="-53" w:leftChars="-25" w:right="-53" w:rightChars="-25"/>
              <w:jc w:val="center"/>
              <w:rPr>
                <w:snapToGrid w:val="0"/>
                <w:kern w:val="0"/>
                <w:szCs w:val="21"/>
              </w:rPr>
            </w:pPr>
            <w:r>
              <w:rPr>
                <w:szCs w:val="21"/>
              </w:rPr>
              <w:t xml:space="preserve">0.62 </w:t>
            </w:r>
          </w:p>
        </w:tc>
      </w:tr>
      <w:tr w14:paraId="5FEBA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79280E23">
            <w:pPr>
              <w:spacing w:line="320" w:lineRule="exact"/>
              <w:ind w:left="-53" w:leftChars="-25" w:right="-53" w:rightChars="-25"/>
              <w:jc w:val="center"/>
              <w:rPr>
                <w:snapToGrid w:val="0"/>
                <w:kern w:val="0"/>
                <w:szCs w:val="21"/>
              </w:rPr>
            </w:pPr>
            <w:r>
              <w:rPr>
                <w:rFonts w:hint="eastAsia"/>
                <w:snapToGrid w:val="0"/>
                <w:kern w:val="0"/>
                <w:szCs w:val="21"/>
              </w:rPr>
              <w:t>溶解性总固体</w:t>
            </w:r>
          </w:p>
        </w:tc>
        <w:tc>
          <w:tcPr>
            <w:tcW w:w="665" w:type="pct"/>
            <w:tcBorders>
              <w:top w:val="single" w:color="auto" w:sz="6" w:space="0"/>
              <w:left w:val="single" w:color="auto" w:sz="6" w:space="0"/>
              <w:bottom w:val="single" w:color="auto" w:sz="6" w:space="0"/>
              <w:right w:val="single" w:color="auto" w:sz="6" w:space="0"/>
            </w:tcBorders>
            <w:vAlign w:val="center"/>
          </w:tcPr>
          <w:p w14:paraId="4FE5A845">
            <w:pPr>
              <w:spacing w:line="320" w:lineRule="exact"/>
              <w:ind w:left="-53" w:leftChars="-25" w:right="-53" w:rightChars="-25"/>
              <w:jc w:val="center"/>
              <w:rPr>
                <w:snapToGrid w:val="0"/>
                <w:kern w:val="0"/>
                <w:szCs w:val="21"/>
              </w:rPr>
            </w:pPr>
            <w:r>
              <w:rPr>
                <w:snapToGrid w:val="0"/>
                <w:kern w:val="0"/>
                <w:szCs w:val="21"/>
              </w:rPr>
              <w:t>1000</w:t>
            </w:r>
          </w:p>
        </w:tc>
        <w:tc>
          <w:tcPr>
            <w:tcW w:w="499" w:type="pct"/>
            <w:tcBorders>
              <w:top w:val="single" w:color="auto" w:sz="6" w:space="0"/>
              <w:left w:val="single" w:color="auto" w:sz="6" w:space="0"/>
              <w:bottom w:val="single" w:color="auto" w:sz="6" w:space="0"/>
              <w:right w:val="single" w:color="auto" w:sz="6" w:space="0"/>
            </w:tcBorders>
            <w:vAlign w:val="center"/>
          </w:tcPr>
          <w:p w14:paraId="3DE0F1F8">
            <w:pPr>
              <w:spacing w:line="320" w:lineRule="exact"/>
              <w:ind w:left="-53" w:leftChars="-25" w:right="-53" w:rightChars="-25"/>
              <w:jc w:val="center"/>
              <w:rPr>
                <w:snapToGrid w:val="0"/>
                <w:kern w:val="0"/>
                <w:szCs w:val="21"/>
              </w:rPr>
            </w:pPr>
            <w:r>
              <w:rPr>
                <w:snapToGrid w:val="0"/>
                <w:kern w:val="0"/>
                <w:szCs w:val="21"/>
              </w:rPr>
              <w:t>293</w:t>
            </w:r>
          </w:p>
        </w:tc>
        <w:tc>
          <w:tcPr>
            <w:tcW w:w="666" w:type="pct"/>
            <w:tcBorders>
              <w:top w:val="single" w:color="auto" w:sz="6" w:space="0"/>
              <w:left w:val="single" w:color="auto" w:sz="6" w:space="0"/>
              <w:bottom w:val="single" w:color="auto" w:sz="6" w:space="0"/>
              <w:right w:val="single" w:color="auto" w:sz="6" w:space="0"/>
            </w:tcBorders>
            <w:vAlign w:val="center"/>
          </w:tcPr>
          <w:p w14:paraId="14740CA6">
            <w:pPr>
              <w:spacing w:line="320" w:lineRule="exact"/>
              <w:ind w:left="-53" w:leftChars="-25" w:right="-53" w:rightChars="-25"/>
              <w:jc w:val="center"/>
              <w:rPr>
                <w:snapToGrid w:val="0"/>
                <w:kern w:val="0"/>
                <w:szCs w:val="21"/>
              </w:rPr>
            </w:pPr>
            <w:r>
              <w:rPr>
                <w:szCs w:val="21"/>
              </w:rPr>
              <w:t xml:space="preserve">0.29 </w:t>
            </w:r>
          </w:p>
        </w:tc>
        <w:tc>
          <w:tcPr>
            <w:tcW w:w="665" w:type="pct"/>
            <w:tcBorders>
              <w:top w:val="single" w:color="auto" w:sz="6" w:space="0"/>
              <w:left w:val="single" w:color="auto" w:sz="6" w:space="0"/>
              <w:bottom w:val="single" w:color="auto" w:sz="6" w:space="0"/>
              <w:right w:val="single" w:color="auto" w:sz="6" w:space="0"/>
            </w:tcBorders>
            <w:vAlign w:val="center"/>
          </w:tcPr>
          <w:p w14:paraId="3D39C0A3">
            <w:pPr>
              <w:spacing w:line="320" w:lineRule="exact"/>
              <w:ind w:left="-53" w:leftChars="-25" w:right="-53" w:rightChars="-25"/>
              <w:jc w:val="center"/>
              <w:rPr>
                <w:snapToGrid w:val="0"/>
                <w:kern w:val="0"/>
                <w:szCs w:val="21"/>
              </w:rPr>
            </w:pPr>
            <w:r>
              <w:rPr>
                <w:szCs w:val="21"/>
              </w:rPr>
              <w:t>250</w:t>
            </w:r>
          </w:p>
        </w:tc>
        <w:tc>
          <w:tcPr>
            <w:tcW w:w="582" w:type="pct"/>
            <w:tcBorders>
              <w:top w:val="single" w:color="auto" w:sz="6" w:space="0"/>
              <w:left w:val="single" w:color="auto" w:sz="6" w:space="0"/>
              <w:bottom w:val="single" w:color="auto" w:sz="6" w:space="0"/>
              <w:right w:val="single" w:color="auto" w:sz="6" w:space="0"/>
            </w:tcBorders>
            <w:vAlign w:val="center"/>
          </w:tcPr>
          <w:p w14:paraId="0C1D8793">
            <w:pPr>
              <w:spacing w:line="320" w:lineRule="exact"/>
              <w:ind w:left="-53" w:leftChars="-25" w:right="-53" w:rightChars="-25"/>
              <w:jc w:val="center"/>
              <w:rPr>
                <w:snapToGrid w:val="0"/>
                <w:kern w:val="0"/>
                <w:szCs w:val="21"/>
              </w:rPr>
            </w:pPr>
            <w:r>
              <w:rPr>
                <w:szCs w:val="21"/>
              </w:rPr>
              <w:t>0.25</w:t>
            </w:r>
          </w:p>
        </w:tc>
        <w:tc>
          <w:tcPr>
            <w:tcW w:w="498" w:type="pct"/>
            <w:tcBorders>
              <w:top w:val="single" w:color="auto" w:sz="6" w:space="0"/>
              <w:left w:val="single" w:color="auto" w:sz="6" w:space="0"/>
              <w:bottom w:val="single" w:color="auto" w:sz="6" w:space="0"/>
              <w:right w:val="single" w:color="auto" w:sz="6" w:space="0"/>
            </w:tcBorders>
            <w:vAlign w:val="center"/>
          </w:tcPr>
          <w:p w14:paraId="587C268C">
            <w:pPr>
              <w:spacing w:line="320" w:lineRule="exact"/>
              <w:ind w:left="-53" w:leftChars="-25" w:right="-53" w:rightChars="-25"/>
              <w:jc w:val="center"/>
              <w:rPr>
                <w:snapToGrid w:val="0"/>
                <w:kern w:val="0"/>
                <w:szCs w:val="21"/>
              </w:rPr>
            </w:pPr>
            <w:r>
              <w:rPr>
                <w:szCs w:val="21"/>
              </w:rPr>
              <w:t>365</w:t>
            </w:r>
          </w:p>
        </w:tc>
        <w:tc>
          <w:tcPr>
            <w:tcW w:w="614" w:type="pct"/>
            <w:tcBorders>
              <w:top w:val="single" w:color="auto" w:sz="6" w:space="0"/>
              <w:left w:val="single" w:color="auto" w:sz="6" w:space="0"/>
              <w:bottom w:val="single" w:color="auto" w:sz="6" w:space="0"/>
              <w:right w:val="single" w:color="auto" w:sz="12" w:space="0"/>
            </w:tcBorders>
            <w:vAlign w:val="center"/>
          </w:tcPr>
          <w:p w14:paraId="4D458A25">
            <w:pPr>
              <w:spacing w:line="320" w:lineRule="exact"/>
              <w:ind w:left="-53" w:leftChars="-25" w:right="-53" w:rightChars="-25"/>
              <w:jc w:val="center"/>
              <w:rPr>
                <w:snapToGrid w:val="0"/>
                <w:kern w:val="0"/>
                <w:szCs w:val="21"/>
              </w:rPr>
            </w:pPr>
            <w:r>
              <w:rPr>
                <w:szCs w:val="21"/>
              </w:rPr>
              <w:t xml:space="preserve">0.37 </w:t>
            </w:r>
          </w:p>
        </w:tc>
      </w:tr>
      <w:tr w14:paraId="06641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7DE1D8D0">
            <w:pPr>
              <w:spacing w:line="320" w:lineRule="exact"/>
              <w:ind w:left="-53" w:leftChars="-25" w:right="-53" w:rightChars="-25"/>
              <w:jc w:val="center"/>
              <w:rPr>
                <w:snapToGrid w:val="0"/>
                <w:kern w:val="0"/>
                <w:szCs w:val="21"/>
              </w:rPr>
            </w:pPr>
            <w:r>
              <w:rPr>
                <w:rFonts w:hint="eastAsia"/>
                <w:snapToGrid w:val="0"/>
                <w:kern w:val="0"/>
                <w:szCs w:val="21"/>
              </w:rPr>
              <w:t>高锰酸盐指数</w:t>
            </w:r>
          </w:p>
        </w:tc>
        <w:tc>
          <w:tcPr>
            <w:tcW w:w="665" w:type="pct"/>
            <w:tcBorders>
              <w:top w:val="single" w:color="auto" w:sz="6" w:space="0"/>
              <w:left w:val="single" w:color="auto" w:sz="6" w:space="0"/>
              <w:bottom w:val="single" w:color="auto" w:sz="6" w:space="0"/>
              <w:right w:val="single" w:color="auto" w:sz="6" w:space="0"/>
            </w:tcBorders>
            <w:vAlign w:val="center"/>
          </w:tcPr>
          <w:p w14:paraId="48102A8C">
            <w:pPr>
              <w:spacing w:line="320" w:lineRule="exact"/>
              <w:ind w:left="-53" w:leftChars="-25" w:right="-53" w:rightChars="-25"/>
              <w:jc w:val="center"/>
              <w:rPr>
                <w:snapToGrid w:val="0"/>
                <w:kern w:val="0"/>
                <w:szCs w:val="21"/>
              </w:rPr>
            </w:pPr>
            <w:r>
              <w:rPr>
                <w:snapToGrid w:val="0"/>
                <w:kern w:val="0"/>
                <w:szCs w:val="21"/>
              </w:rPr>
              <w:t>3</w:t>
            </w:r>
          </w:p>
        </w:tc>
        <w:tc>
          <w:tcPr>
            <w:tcW w:w="499" w:type="pct"/>
            <w:tcBorders>
              <w:top w:val="single" w:color="auto" w:sz="6" w:space="0"/>
              <w:left w:val="single" w:color="auto" w:sz="6" w:space="0"/>
              <w:bottom w:val="single" w:color="auto" w:sz="6" w:space="0"/>
              <w:right w:val="single" w:color="auto" w:sz="6" w:space="0"/>
            </w:tcBorders>
            <w:vAlign w:val="center"/>
          </w:tcPr>
          <w:p w14:paraId="1B79B349">
            <w:pPr>
              <w:spacing w:line="320" w:lineRule="exact"/>
              <w:ind w:left="-53" w:leftChars="-25" w:right="-53" w:rightChars="-25"/>
              <w:jc w:val="center"/>
              <w:rPr>
                <w:snapToGrid w:val="0"/>
                <w:kern w:val="0"/>
                <w:szCs w:val="21"/>
              </w:rPr>
            </w:pPr>
            <w:r>
              <w:rPr>
                <w:snapToGrid w:val="0"/>
                <w:kern w:val="0"/>
                <w:szCs w:val="21"/>
              </w:rPr>
              <w:t>0.75</w:t>
            </w:r>
          </w:p>
        </w:tc>
        <w:tc>
          <w:tcPr>
            <w:tcW w:w="666" w:type="pct"/>
            <w:tcBorders>
              <w:top w:val="single" w:color="auto" w:sz="6" w:space="0"/>
              <w:left w:val="single" w:color="auto" w:sz="6" w:space="0"/>
              <w:bottom w:val="single" w:color="auto" w:sz="6" w:space="0"/>
              <w:right w:val="single" w:color="auto" w:sz="6" w:space="0"/>
            </w:tcBorders>
            <w:vAlign w:val="center"/>
          </w:tcPr>
          <w:p w14:paraId="7A0C3D24">
            <w:pPr>
              <w:spacing w:line="320" w:lineRule="exact"/>
              <w:ind w:left="-53" w:leftChars="-25" w:right="-53" w:rightChars="-25"/>
              <w:jc w:val="center"/>
              <w:rPr>
                <w:snapToGrid w:val="0"/>
                <w:kern w:val="0"/>
                <w:szCs w:val="21"/>
              </w:rPr>
            </w:pPr>
            <w:r>
              <w:rPr>
                <w:szCs w:val="21"/>
              </w:rPr>
              <w:t xml:space="preserve">0.25 </w:t>
            </w:r>
          </w:p>
        </w:tc>
        <w:tc>
          <w:tcPr>
            <w:tcW w:w="665" w:type="pct"/>
            <w:tcBorders>
              <w:top w:val="single" w:color="auto" w:sz="6" w:space="0"/>
              <w:left w:val="single" w:color="auto" w:sz="6" w:space="0"/>
              <w:bottom w:val="single" w:color="auto" w:sz="6" w:space="0"/>
              <w:right w:val="single" w:color="auto" w:sz="6" w:space="0"/>
            </w:tcBorders>
            <w:vAlign w:val="center"/>
          </w:tcPr>
          <w:p w14:paraId="09C355C4">
            <w:pPr>
              <w:spacing w:line="320" w:lineRule="exact"/>
              <w:ind w:left="-53" w:leftChars="-25" w:right="-53" w:rightChars="-25"/>
              <w:jc w:val="center"/>
              <w:rPr>
                <w:snapToGrid w:val="0"/>
                <w:kern w:val="0"/>
                <w:szCs w:val="21"/>
              </w:rPr>
            </w:pPr>
            <w:r>
              <w:rPr>
                <w:szCs w:val="21"/>
              </w:rPr>
              <w:t>0.8</w:t>
            </w:r>
          </w:p>
        </w:tc>
        <w:tc>
          <w:tcPr>
            <w:tcW w:w="582" w:type="pct"/>
            <w:tcBorders>
              <w:top w:val="single" w:color="auto" w:sz="6" w:space="0"/>
              <w:left w:val="single" w:color="auto" w:sz="6" w:space="0"/>
              <w:bottom w:val="single" w:color="auto" w:sz="6" w:space="0"/>
              <w:right w:val="single" w:color="auto" w:sz="6" w:space="0"/>
            </w:tcBorders>
            <w:vAlign w:val="center"/>
          </w:tcPr>
          <w:p w14:paraId="778622B9">
            <w:pPr>
              <w:spacing w:line="320" w:lineRule="exact"/>
              <w:ind w:left="-53" w:leftChars="-25" w:right="-53" w:rightChars="-25"/>
              <w:jc w:val="center"/>
              <w:rPr>
                <w:snapToGrid w:val="0"/>
                <w:kern w:val="0"/>
                <w:szCs w:val="21"/>
              </w:rPr>
            </w:pPr>
            <w:r>
              <w:rPr>
                <w:szCs w:val="21"/>
              </w:rPr>
              <w:t xml:space="preserve">0.27 </w:t>
            </w:r>
          </w:p>
        </w:tc>
        <w:tc>
          <w:tcPr>
            <w:tcW w:w="498" w:type="pct"/>
            <w:tcBorders>
              <w:top w:val="single" w:color="auto" w:sz="6" w:space="0"/>
              <w:left w:val="single" w:color="auto" w:sz="6" w:space="0"/>
              <w:bottom w:val="single" w:color="auto" w:sz="6" w:space="0"/>
              <w:right w:val="single" w:color="auto" w:sz="6" w:space="0"/>
            </w:tcBorders>
            <w:vAlign w:val="center"/>
          </w:tcPr>
          <w:p w14:paraId="7B4736CF">
            <w:pPr>
              <w:spacing w:line="320" w:lineRule="exact"/>
              <w:ind w:left="-53" w:leftChars="-25" w:right="-53" w:rightChars="-25"/>
              <w:jc w:val="center"/>
              <w:rPr>
                <w:snapToGrid w:val="0"/>
                <w:kern w:val="0"/>
                <w:szCs w:val="21"/>
              </w:rPr>
            </w:pPr>
            <w:r>
              <w:rPr>
                <w:szCs w:val="21"/>
              </w:rPr>
              <w:t>0.93</w:t>
            </w:r>
          </w:p>
        </w:tc>
        <w:tc>
          <w:tcPr>
            <w:tcW w:w="614" w:type="pct"/>
            <w:tcBorders>
              <w:top w:val="single" w:color="auto" w:sz="6" w:space="0"/>
              <w:left w:val="single" w:color="auto" w:sz="6" w:space="0"/>
              <w:bottom w:val="single" w:color="auto" w:sz="6" w:space="0"/>
              <w:right w:val="single" w:color="auto" w:sz="12" w:space="0"/>
            </w:tcBorders>
            <w:vAlign w:val="center"/>
          </w:tcPr>
          <w:p w14:paraId="287B5C3F">
            <w:pPr>
              <w:spacing w:line="320" w:lineRule="exact"/>
              <w:ind w:left="-53" w:leftChars="-25" w:right="-53" w:rightChars="-25"/>
              <w:jc w:val="center"/>
              <w:rPr>
                <w:snapToGrid w:val="0"/>
                <w:kern w:val="0"/>
                <w:szCs w:val="21"/>
              </w:rPr>
            </w:pPr>
            <w:r>
              <w:rPr>
                <w:szCs w:val="21"/>
              </w:rPr>
              <w:t xml:space="preserve">0.31 </w:t>
            </w:r>
          </w:p>
        </w:tc>
      </w:tr>
      <w:tr w14:paraId="74A93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671322D7">
            <w:pPr>
              <w:spacing w:line="320" w:lineRule="exact"/>
              <w:ind w:left="-53" w:leftChars="-25" w:right="-53" w:rightChars="-25"/>
              <w:jc w:val="center"/>
              <w:rPr>
                <w:snapToGrid w:val="0"/>
                <w:kern w:val="0"/>
                <w:szCs w:val="21"/>
              </w:rPr>
            </w:pPr>
            <w:r>
              <w:rPr>
                <w:rFonts w:hint="eastAsia"/>
                <w:snapToGrid w:val="0"/>
                <w:kern w:val="0"/>
                <w:szCs w:val="21"/>
              </w:rPr>
              <w:t>氟化物</w:t>
            </w:r>
          </w:p>
        </w:tc>
        <w:tc>
          <w:tcPr>
            <w:tcW w:w="665" w:type="pct"/>
            <w:tcBorders>
              <w:top w:val="single" w:color="auto" w:sz="6" w:space="0"/>
              <w:left w:val="single" w:color="auto" w:sz="6" w:space="0"/>
              <w:bottom w:val="single" w:color="auto" w:sz="6" w:space="0"/>
              <w:right w:val="single" w:color="auto" w:sz="6" w:space="0"/>
            </w:tcBorders>
            <w:vAlign w:val="center"/>
          </w:tcPr>
          <w:p w14:paraId="247DE511">
            <w:pPr>
              <w:spacing w:line="320" w:lineRule="exact"/>
              <w:ind w:left="-53" w:leftChars="-25" w:right="-53" w:rightChars="-25"/>
              <w:jc w:val="center"/>
              <w:rPr>
                <w:snapToGrid w:val="0"/>
                <w:kern w:val="0"/>
                <w:szCs w:val="21"/>
              </w:rPr>
            </w:pPr>
            <w:r>
              <w:rPr>
                <w:snapToGrid w:val="0"/>
                <w:kern w:val="0"/>
                <w:szCs w:val="21"/>
              </w:rPr>
              <w:t>1</w:t>
            </w:r>
          </w:p>
        </w:tc>
        <w:tc>
          <w:tcPr>
            <w:tcW w:w="499" w:type="pct"/>
            <w:tcBorders>
              <w:top w:val="single" w:color="auto" w:sz="6" w:space="0"/>
              <w:left w:val="single" w:color="auto" w:sz="6" w:space="0"/>
              <w:bottom w:val="single" w:color="auto" w:sz="6" w:space="0"/>
              <w:right w:val="single" w:color="auto" w:sz="6" w:space="0"/>
            </w:tcBorders>
            <w:vAlign w:val="center"/>
          </w:tcPr>
          <w:p w14:paraId="3C0BB9F3">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3F58F7EF">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43DA9C22">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66C174FC">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669B390A">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3C62B094">
            <w:pPr>
              <w:spacing w:line="320" w:lineRule="exact"/>
              <w:ind w:left="-53" w:leftChars="-25" w:right="-53" w:rightChars="-25"/>
              <w:jc w:val="center"/>
              <w:rPr>
                <w:snapToGrid w:val="0"/>
                <w:kern w:val="0"/>
                <w:szCs w:val="21"/>
              </w:rPr>
            </w:pPr>
            <w:r>
              <w:rPr>
                <w:szCs w:val="21"/>
              </w:rPr>
              <w:t>/</w:t>
            </w:r>
          </w:p>
        </w:tc>
      </w:tr>
      <w:tr w14:paraId="4EF574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3216A10F">
            <w:pPr>
              <w:spacing w:line="320" w:lineRule="exact"/>
              <w:ind w:left="-53" w:leftChars="-25" w:right="-53" w:rightChars="-25"/>
              <w:jc w:val="center"/>
              <w:rPr>
                <w:snapToGrid w:val="0"/>
                <w:kern w:val="0"/>
                <w:szCs w:val="21"/>
              </w:rPr>
            </w:pPr>
            <w:r>
              <w:rPr>
                <w:rFonts w:hint="eastAsia"/>
                <w:snapToGrid w:val="0"/>
                <w:kern w:val="0"/>
                <w:szCs w:val="21"/>
              </w:rPr>
              <w:t>氯化物</w:t>
            </w:r>
          </w:p>
        </w:tc>
        <w:tc>
          <w:tcPr>
            <w:tcW w:w="665" w:type="pct"/>
            <w:tcBorders>
              <w:top w:val="single" w:color="auto" w:sz="6" w:space="0"/>
              <w:left w:val="single" w:color="auto" w:sz="6" w:space="0"/>
              <w:bottom w:val="single" w:color="auto" w:sz="6" w:space="0"/>
              <w:right w:val="single" w:color="auto" w:sz="6" w:space="0"/>
            </w:tcBorders>
            <w:vAlign w:val="center"/>
          </w:tcPr>
          <w:p w14:paraId="1A8B3050">
            <w:pPr>
              <w:spacing w:line="320" w:lineRule="exact"/>
              <w:ind w:left="-53" w:leftChars="-25" w:right="-53" w:rightChars="-25"/>
              <w:jc w:val="center"/>
              <w:rPr>
                <w:snapToGrid w:val="0"/>
                <w:kern w:val="0"/>
                <w:szCs w:val="21"/>
              </w:rPr>
            </w:pPr>
            <w:r>
              <w:rPr>
                <w:snapToGrid w:val="0"/>
                <w:kern w:val="0"/>
                <w:szCs w:val="21"/>
              </w:rPr>
              <w:t>250</w:t>
            </w:r>
          </w:p>
        </w:tc>
        <w:tc>
          <w:tcPr>
            <w:tcW w:w="499" w:type="pct"/>
            <w:tcBorders>
              <w:top w:val="single" w:color="auto" w:sz="6" w:space="0"/>
              <w:left w:val="single" w:color="auto" w:sz="6" w:space="0"/>
              <w:bottom w:val="single" w:color="auto" w:sz="6" w:space="0"/>
              <w:right w:val="single" w:color="auto" w:sz="6" w:space="0"/>
            </w:tcBorders>
            <w:vAlign w:val="center"/>
          </w:tcPr>
          <w:p w14:paraId="0DEFC4F0">
            <w:pPr>
              <w:spacing w:line="320" w:lineRule="exact"/>
              <w:ind w:left="-53" w:leftChars="-25" w:right="-53" w:rightChars="-25"/>
              <w:jc w:val="center"/>
              <w:rPr>
                <w:snapToGrid w:val="0"/>
                <w:kern w:val="0"/>
                <w:szCs w:val="21"/>
              </w:rPr>
            </w:pPr>
            <w:r>
              <w:rPr>
                <w:snapToGrid w:val="0"/>
                <w:kern w:val="0"/>
                <w:szCs w:val="21"/>
              </w:rPr>
              <w:t>12.1</w:t>
            </w:r>
          </w:p>
        </w:tc>
        <w:tc>
          <w:tcPr>
            <w:tcW w:w="666" w:type="pct"/>
            <w:tcBorders>
              <w:top w:val="single" w:color="auto" w:sz="6" w:space="0"/>
              <w:left w:val="single" w:color="auto" w:sz="6" w:space="0"/>
              <w:bottom w:val="single" w:color="auto" w:sz="6" w:space="0"/>
              <w:right w:val="single" w:color="auto" w:sz="6" w:space="0"/>
            </w:tcBorders>
            <w:vAlign w:val="center"/>
          </w:tcPr>
          <w:p w14:paraId="5881008F">
            <w:pPr>
              <w:spacing w:line="320" w:lineRule="exact"/>
              <w:ind w:left="-53" w:leftChars="-25" w:right="-53" w:rightChars="-25"/>
              <w:jc w:val="center"/>
              <w:rPr>
                <w:snapToGrid w:val="0"/>
                <w:kern w:val="0"/>
                <w:szCs w:val="21"/>
              </w:rPr>
            </w:pPr>
            <w:r>
              <w:rPr>
                <w:szCs w:val="21"/>
              </w:rPr>
              <w:t xml:space="preserve">0.05 </w:t>
            </w:r>
          </w:p>
        </w:tc>
        <w:tc>
          <w:tcPr>
            <w:tcW w:w="665" w:type="pct"/>
            <w:tcBorders>
              <w:top w:val="single" w:color="auto" w:sz="6" w:space="0"/>
              <w:left w:val="single" w:color="auto" w:sz="6" w:space="0"/>
              <w:bottom w:val="single" w:color="auto" w:sz="6" w:space="0"/>
              <w:right w:val="single" w:color="auto" w:sz="6" w:space="0"/>
            </w:tcBorders>
            <w:vAlign w:val="center"/>
          </w:tcPr>
          <w:p w14:paraId="0FE9D24B">
            <w:pPr>
              <w:spacing w:line="320" w:lineRule="exact"/>
              <w:ind w:left="-53" w:leftChars="-25" w:right="-53" w:rightChars="-25"/>
              <w:jc w:val="center"/>
              <w:rPr>
                <w:snapToGrid w:val="0"/>
                <w:kern w:val="0"/>
                <w:szCs w:val="21"/>
              </w:rPr>
            </w:pPr>
            <w:r>
              <w:rPr>
                <w:szCs w:val="21"/>
              </w:rPr>
              <w:t>40.9</w:t>
            </w:r>
          </w:p>
        </w:tc>
        <w:tc>
          <w:tcPr>
            <w:tcW w:w="582" w:type="pct"/>
            <w:tcBorders>
              <w:top w:val="single" w:color="auto" w:sz="6" w:space="0"/>
              <w:left w:val="single" w:color="auto" w:sz="6" w:space="0"/>
              <w:bottom w:val="single" w:color="auto" w:sz="6" w:space="0"/>
              <w:right w:val="single" w:color="auto" w:sz="6" w:space="0"/>
            </w:tcBorders>
            <w:vAlign w:val="center"/>
          </w:tcPr>
          <w:p w14:paraId="4C255C02">
            <w:pPr>
              <w:spacing w:line="320" w:lineRule="exact"/>
              <w:ind w:left="-53" w:leftChars="-25" w:right="-53" w:rightChars="-25"/>
              <w:jc w:val="center"/>
              <w:rPr>
                <w:snapToGrid w:val="0"/>
                <w:kern w:val="0"/>
                <w:szCs w:val="21"/>
              </w:rPr>
            </w:pPr>
            <w:r>
              <w:rPr>
                <w:szCs w:val="21"/>
              </w:rPr>
              <w:t xml:space="preserve">0.16 </w:t>
            </w:r>
          </w:p>
        </w:tc>
        <w:tc>
          <w:tcPr>
            <w:tcW w:w="498" w:type="pct"/>
            <w:tcBorders>
              <w:top w:val="single" w:color="auto" w:sz="6" w:space="0"/>
              <w:left w:val="single" w:color="auto" w:sz="6" w:space="0"/>
              <w:bottom w:val="single" w:color="auto" w:sz="6" w:space="0"/>
              <w:right w:val="single" w:color="auto" w:sz="6" w:space="0"/>
            </w:tcBorders>
            <w:vAlign w:val="center"/>
          </w:tcPr>
          <w:p w14:paraId="4A54E693">
            <w:pPr>
              <w:spacing w:line="320" w:lineRule="exact"/>
              <w:ind w:left="-53" w:leftChars="-25" w:right="-53" w:rightChars="-25"/>
              <w:jc w:val="center"/>
              <w:rPr>
                <w:snapToGrid w:val="0"/>
                <w:kern w:val="0"/>
                <w:szCs w:val="21"/>
              </w:rPr>
            </w:pPr>
            <w:r>
              <w:rPr>
                <w:szCs w:val="21"/>
              </w:rPr>
              <w:t>14.5</w:t>
            </w:r>
          </w:p>
        </w:tc>
        <w:tc>
          <w:tcPr>
            <w:tcW w:w="614" w:type="pct"/>
            <w:tcBorders>
              <w:top w:val="single" w:color="auto" w:sz="6" w:space="0"/>
              <w:left w:val="single" w:color="auto" w:sz="6" w:space="0"/>
              <w:bottom w:val="single" w:color="auto" w:sz="6" w:space="0"/>
              <w:right w:val="single" w:color="auto" w:sz="12" w:space="0"/>
            </w:tcBorders>
            <w:vAlign w:val="center"/>
          </w:tcPr>
          <w:p w14:paraId="282B0F04">
            <w:pPr>
              <w:spacing w:line="320" w:lineRule="exact"/>
              <w:ind w:left="-53" w:leftChars="-25" w:right="-53" w:rightChars="-25"/>
              <w:jc w:val="center"/>
              <w:rPr>
                <w:snapToGrid w:val="0"/>
                <w:kern w:val="0"/>
                <w:szCs w:val="21"/>
              </w:rPr>
            </w:pPr>
            <w:r>
              <w:rPr>
                <w:szCs w:val="21"/>
              </w:rPr>
              <w:t xml:space="preserve">0.06 </w:t>
            </w:r>
          </w:p>
        </w:tc>
      </w:tr>
      <w:tr w14:paraId="1D91C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433990F">
            <w:pPr>
              <w:spacing w:line="320" w:lineRule="exact"/>
              <w:ind w:left="-53" w:leftChars="-25" w:right="-53" w:rightChars="-25"/>
              <w:jc w:val="center"/>
              <w:rPr>
                <w:snapToGrid w:val="0"/>
                <w:kern w:val="0"/>
                <w:szCs w:val="21"/>
              </w:rPr>
            </w:pPr>
            <w:r>
              <w:rPr>
                <w:rFonts w:hint="eastAsia"/>
                <w:snapToGrid w:val="0"/>
                <w:kern w:val="0"/>
                <w:szCs w:val="21"/>
              </w:rPr>
              <w:t>硝酸盐</w:t>
            </w:r>
          </w:p>
        </w:tc>
        <w:tc>
          <w:tcPr>
            <w:tcW w:w="665" w:type="pct"/>
            <w:tcBorders>
              <w:top w:val="single" w:color="auto" w:sz="6" w:space="0"/>
              <w:left w:val="single" w:color="auto" w:sz="6" w:space="0"/>
              <w:bottom w:val="single" w:color="auto" w:sz="6" w:space="0"/>
              <w:right w:val="single" w:color="auto" w:sz="6" w:space="0"/>
            </w:tcBorders>
            <w:vAlign w:val="center"/>
          </w:tcPr>
          <w:p w14:paraId="52828967">
            <w:pPr>
              <w:spacing w:line="320" w:lineRule="exact"/>
              <w:ind w:left="-53" w:leftChars="-25" w:right="-53" w:rightChars="-25"/>
              <w:jc w:val="center"/>
              <w:rPr>
                <w:snapToGrid w:val="0"/>
                <w:kern w:val="0"/>
                <w:szCs w:val="21"/>
              </w:rPr>
            </w:pPr>
            <w:r>
              <w:rPr>
                <w:snapToGrid w:val="0"/>
                <w:kern w:val="0"/>
                <w:szCs w:val="21"/>
              </w:rPr>
              <w:t>20</w:t>
            </w:r>
          </w:p>
        </w:tc>
        <w:tc>
          <w:tcPr>
            <w:tcW w:w="499" w:type="pct"/>
            <w:tcBorders>
              <w:top w:val="single" w:color="auto" w:sz="6" w:space="0"/>
              <w:left w:val="single" w:color="auto" w:sz="6" w:space="0"/>
              <w:bottom w:val="single" w:color="auto" w:sz="6" w:space="0"/>
              <w:right w:val="single" w:color="auto" w:sz="6" w:space="0"/>
            </w:tcBorders>
            <w:vAlign w:val="center"/>
          </w:tcPr>
          <w:p w14:paraId="78834A2F">
            <w:pPr>
              <w:spacing w:line="320" w:lineRule="exact"/>
              <w:ind w:left="-53" w:leftChars="-25" w:right="-53" w:rightChars="-25"/>
              <w:jc w:val="center"/>
              <w:rPr>
                <w:snapToGrid w:val="0"/>
                <w:kern w:val="0"/>
                <w:szCs w:val="21"/>
              </w:rPr>
            </w:pPr>
            <w:r>
              <w:rPr>
                <w:snapToGrid w:val="0"/>
                <w:kern w:val="0"/>
                <w:szCs w:val="21"/>
              </w:rPr>
              <w:t>0.105</w:t>
            </w:r>
          </w:p>
        </w:tc>
        <w:tc>
          <w:tcPr>
            <w:tcW w:w="666" w:type="pct"/>
            <w:tcBorders>
              <w:top w:val="single" w:color="auto" w:sz="6" w:space="0"/>
              <w:left w:val="single" w:color="auto" w:sz="6" w:space="0"/>
              <w:bottom w:val="single" w:color="auto" w:sz="6" w:space="0"/>
              <w:right w:val="single" w:color="auto" w:sz="6" w:space="0"/>
            </w:tcBorders>
            <w:vAlign w:val="center"/>
          </w:tcPr>
          <w:p w14:paraId="22FC0448">
            <w:pPr>
              <w:spacing w:line="320" w:lineRule="exact"/>
              <w:ind w:left="-53" w:leftChars="-25" w:right="-53" w:rightChars="-25"/>
              <w:jc w:val="center"/>
              <w:rPr>
                <w:snapToGrid w:val="0"/>
                <w:kern w:val="0"/>
                <w:szCs w:val="21"/>
              </w:rPr>
            </w:pPr>
            <w:r>
              <w:rPr>
                <w:szCs w:val="21"/>
              </w:rPr>
              <w:t xml:space="preserve">0.01 </w:t>
            </w:r>
          </w:p>
        </w:tc>
        <w:tc>
          <w:tcPr>
            <w:tcW w:w="665" w:type="pct"/>
            <w:tcBorders>
              <w:top w:val="single" w:color="auto" w:sz="6" w:space="0"/>
              <w:left w:val="single" w:color="auto" w:sz="6" w:space="0"/>
              <w:bottom w:val="single" w:color="auto" w:sz="6" w:space="0"/>
              <w:right w:val="single" w:color="auto" w:sz="6" w:space="0"/>
            </w:tcBorders>
            <w:vAlign w:val="center"/>
          </w:tcPr>
          <w:p w14:paraId="25C4D5DD">
            <w:pPr>
              <w:spacing w:line="320" w:lineRule="exact"/>
              <w:ind w:left="-53" w:leftChars="-25" w:right="-53" w:rightChars="-25"/>
              <w:jc w:val="center"/>
              <w:rPr>
                <w:snapToGrid w:val="0"/>
                <w:kern w:val="0"/>
                <w:szCs w:val="21"/>
              </w:rPr>
            </w:pPr>
            <w:r>
              <w:rPr>
                <w:szCs w:val="21"/>
              </w:rPr>
              <w:t>9.05</w:t>
            </w:r>
          </w:p>
        </w:tc>
        <w:tc>
          <w:tcPr>
            <w:tcW w:w="582" w:type="pct"/>
            <w:tcBorders>
              <w:top w:val="single" w:color="auto" w:sz="6" w:space="0"/>
              <w:left w:val="single" w:color="auto" w:sz="6" w:space="0"/>
              <w:bottom w:val="single" w:color="auto" w:sz="6" w:space="0"/>
              <w:right w:val="single" w:color="auto" w:sz="6" w:space="0"/>
            </w:tcBorders>
            <w:vAlign w:val="center"/>
          </w:tcPr>
          <w:p w14:paraId="1E99EE7D">
            <w:pPr>
              <w:spacing w:line="320" w:lineRule="exact"/>
              <w:ind w:left="-53" w:leftChars="-25" w:right="-53" w:rightChars="-25"/>
              <w:jc w:val="center"/>
              <w:rPr>
                <w:snapToGrid w:val="0"/>
                <w:kern w:val="0"/>
                <w:szCs w:val="21"/>
              </w:rPr>
            </w:pPr>
            <w:r>
              <w:rPr>
                <w:szCs w:val="21"/>
              </w:rPr>
              <w:t xml:space="preserve">0.45 </w:t>
            </w:r>
          </w:p>
        </w:tc>
        <w:tc>
          <w:tcPr>
            <w:tcW w:w="498" w:type="pct"/>
            <w:tcBorders>
              <w:top w:val="single" w:color="auto" w:sz="6" w:space="0"/>
              <w:left w:val="single" w:color="auto" w:sz="6" w:space="0"/>
              <w:bottom w:val="single" w:color="auto" w:sz="6" w:space="0"/>
              <w:right w:val="single" w:color="auto" w:sz="6" w:space="0"/>
            </w:tcBorders>
            <w:vAlign w:val="center"/>
          </w:tcPr>
          <w:p w14:paraId="4F14D64A">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2F008A32">
            <w:pPr>
              <w:spacing w:line="320" w:lineRule="exact"/>
              <w:ind w:left="-53" w:leftChars="-25" w:right="-53" w:rightChars="-25"/>
              <w:jc w:val="center"/>
              <w:rPr>
                <w:snapToGrid w:val="0"/>
                <w:kern w:val="0"/>
                <w:szCs w:val="21"/>
              </w:rPr>
            </w:pPr>
            <w:r>
              <w:rPr>
                <w:szCs w:val="21"/>
              </w:rPr>
              <w:t>/</w:t>
            </w:r>
          </w:p>
        </w:tc>
      </w:tr>
      <w:tr w14:paraId="24F72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06EDADBA">
            <w:pPr>
              <w:spacing w:line="320" w:lineRule="exact"/>
              <w:ind w:left="-53" w:leftChars="-25" w:right="-53" w:rightChars="-25"/>
              <w:jc w:val="center"/>
              <w:rPr>
                <w:snapToGrid w:val="0"/>
                <w:kern w:val="0"/>
                <w:szCs w:val="21"/>
              </w:rPr>
            </w:pPr>
            <w:r>
              <w:rPr>
                <w:rFonts w:hint="eastAsia"/>
                <w:snapToGrid w:val="0"/>
                <w:kern w:val="0"/>
                <w:szCs w:val="21"/>
              </w:rPr>
              <w:t>硫酸盐</w:t>
            </w:r>
          </w:p>
        </w:tc>
        <w:tc>
          <w:tcPr>
            <w:tcW w:w="665" w:type="pct"/>
            <w:tcBorders>
              <w:top w:val="single" w:color="auto" w:sz="6" w:space="0"/>
              <w:left w:val="single" w:color="auto" w:sz="6" w:space="0"/>
              <w:bottom w:val="single" w:color="auto" w:sz="6" w:space="0"/>
              <w:right w:val="single" w:color="auto" w:sz="6" w:space="0"/>
            </w:tcBorders>
            <w:vAlign w:val="center"/>
          </w:tcPr>
          <w:p w14:paraId="2A16AC29">
            <w:pPr>
              <w:spacing w:line="320" w:lineRule="exact"/>
              <w:ind w:left="-53" w:leftChars="-25" w:right="-53" w:rightChars="-25"/>
              <w:jc w:val="center"/>
              <w:rPr>
                <w:snapToGrid w:val="0"/>
                <w:kern w:val="0"/>
                <w:szCs w:val="21"/>
              </w:rPr>
            </w:pPr>
            <w:r>
              <w:rPr>
                <w:snapToGrid w:val="0"/>
                <w:kern w:val="0"/>
                <w:szCs w:val="21"/>
              </w:rPr>
              <w:t>250</w:t>
            </w:r>
          </w:p>
        </w:tc>
        <w:tc>
          <w:tcPr>
            <w:tcW w:w="499" w:type="pct"/>
            <w:tcBorders>
              <w:top w:val="single" w:color="auto" w:sz="6" w:space="0"/>
              <w:left w:val="single" w:color="auto" w:sz="6" w:space="0"/>
              <w:bottom w:val="single" w:color="auto" w:sz="6" w:space="0"/>
              <w:right w:val="single" w:color="auto" w:sz="6" w:space="0"/>
            </w:tcBorders>
            <w:vAlign w:val="center"/>
          </w:tcPr>
          <w:p w14:paraId="668B1240">
            <w:pPr>
              <w:spacing w:line="320" w:lineRule="exact"/>
              <w:ind w:left="-53" w:leftChars="-25" w:right="-53" w:rightChars="-25"/>
              <w:jc w:val="center"/>
              <w:rPr>
                <w:snapToGrid w:val="0"/>
                <w:kern w:val="0"/>
                <w:szCs w:val="21"/>
              </w:rPr>
            </w:pPr>
            <w:r>
              <w:rPr>
                <w:snapToGrid w:val="0"/>
                <w:kern w:val="0"/>
                <w:szCs w:val="21"/>
              </w:rPr>
              <w:t>23.1</w:t>
            </w:r>
          </w:p>
        </w:tc>
        <w:tc>
          <w:tcPr>
            <w:tcW w:w="666" w:type="pct"/>
            <w:tcBorders>
              <w:top w:val="single" w:color="auto" w:sz="6" w:space="0"/>
              <w:left w:val="single" w:color="auto" w:sz="6" w:space="0"/>
              <w:bottom w:val="single" w:color="auto" w:sz="6" w:space="0"/>
              <w:right w:val="single" w:color="auto" w:sz="6" w:space="0"/>
            </w:tcBorders>
            <w:vAlign w:val="center"/>
          </w:tcPr>
          <w:p w14:paraId="3B29118F">
            <w:pPr>
              <w:spacing w:line="320" w:lineRule="exact"/>
              <w:ind w:left="-53" w:leftChars="-25" w:right="-53" w:rightChars="-25"/>
              <w:jc w:val="center"/>
              <w:rPr>
                <w:snapToGrid w:val="0"/>
                <w:kern w:val="0"/>
                <w:szCs w:val="21"/>
              </w:rPr>
            </w:pPr>
            <w:r>
              <w:rPr>
                <w:szCs w:val="21"/>
              </w:rPr>
              <w:t xml:space="preserve">0.09 </w:t>
            </w:r>
          </w:p>
        </w:tc>
        <w:tc>
          <w:tcPr>
            <w:tcW w:w="665" w:type="pct"/>
            <w:tcBorders>
              <w:top w:val="single" w:color="auto" w:sz="6" w:space="0"/>
              <w:left w:val="single" w:color="auto" w:sz="6" w:space="0"/>
              <w:bottom w:val="single" w:color="auto" w:sz="6" w:space="0"/>
              <w:right w:val="single" w:color="auto" w:sz="6" w:space="0"/>
            </w:tcBorders>
            <w:vAlign w:val="center"/>
          </w:tcPr>
          <w:p w14:paraId="041B03E7">
            <w:pPr>
              <w:spacing w:line="320" w:lineRule="exact"/>
              <w:ind w:left="-53" w:leftChars="-25" w:right="-53" w:rightChars="-25"/>
              <w:jc w:val="center"/>
              <w:rPr>
                <w:snapToGrid w:val="0"/>
                <w:kern w:val="0"/>
                <w:szCs w:val="21"/>
              </w:rPr>
            </w:pPr>
            <w:r>
              <w:rPr>
                <w:szCs w:val="21"/>
              </w:rPr>
              <w:t>10.3</w:t>
            </w:r>
          </w:p>
        </w:tc>
        <w:tc>
          <w:tcPr>
            <w:tcW w:w="582" w:type="pct"/>
            <w:tcBorders>
              <w:top w:val="single" w:color="auto" w:sz="6" w:space="0"/>
              <w:left w:val="single" w:color="auto" w:sz="6" w:space="0"/>
              <w:bottom w:val="single" w:color="auto" w:sz="6" w:space="0"/>
              <w:right w:val="single" w:color="auto" w:sz="6" w:space="0"/>
            </w:tcBorders>
            <w:vAlign w:val="center"/>
          </w:tcPr>
          <w:p w14:paraId="67A5516F">
            <w:pPr>
              <w:spacing w:line="320" w:lineRule="exact"/>
              <w:ind w:left="-53" w:leftChars="-25" w:right="-53" w:rightChars="-25"/>
              <w:jc w:val="center"/>
              <w:rPr>
                <w:snapToGrid w:val="0"/>
                <w:kern w:val="0"/>
                <w:szCs w:val="21"/>
              </w:rPr>
            </w:pPr>
            <w:r>
              <w:rPr>
                <w:szCs w:val="21"/>
              </w:rPr>
              <w:t xml:space="preserve">0.04 </w:t>
            </w:r>
          </w:p>
        </w:tc>
        <w:tc>
          <w:tcPr>
            <w:tcW w:w="498" w:type="pct"/>
            <w:tcBorders>
              <w:top w:val="single" w:color="auto" w:sz="6" w:space="0"/>
              <w:left w:val="single" w:color="auto" w:sz="6" w:space="0"/>
              <w:bottom w:val="single" w:color="auto" w:sz="6" w:space="0"/>
              <w:right w:val="single" w:color="auto" w:sz="6" w:space="0"/>
            </w:tcBorders>
            <w:vAlign w:val="center"/>
          </w:tcPr>
          <w:p w14:paraId="2C17E31C">
            <w:pPr>
              <w:spacing w:line="320" w:lineRule="exact"/>
              <w:ind w:left="-53" w:leftChars="-25" w:right="-53" w:rightChars="-25"/>
              <w:jc w:val="center"/>
              <w:rPr>
                <w:snapToGrid w:val="0"/>
                <w:kern w:val="0"/>
                <w:szCs w:val="21"/>
              </w:rPr>
            </w:pPr>
            <w:r>
              <w:rPr>
                <w:szCs w:val="21"/>
              </w:rPr>
              <w:t>21.2</w:t>
            </w:r>
          </w:p>
        </w:tc>
        <w:tc>
          <w:tcPr>
            <w:tcW w:w="614" w:type="pct"/>
            <w:tcBorders>
              <w:top w:val="single" w:color="auto" w:sz="6" w:space="0"/>
              <w:left w:val="single" w:color="auto" w:sz="6" w:space="0"/>
              <w:bottom w:val="single" w:color="auto" w:sz="6" w:space="0"/>
              <w:right w:val="single" w:color="auto" w:sz="12" w:space="0"/>
            </w:tcBorders>
            <w:vAlign w:val="center"/>
          </w:tcPr>
          <w:p w14:paraId="56559A0E">
            <w:pPr>
              <w:spacing w:line="320" w:lineRule="exact"/>
              <w:ind w:left="-53" w:leftChars="-25" w:right="-53" w:rightChars="-25"/>
              <w:jc w:val="center"/>
              <w:rPr>
                <w:snapToGrid w:val="0"/>
                <w:kern w:val="0"/>
                <w:szCs w:val="21"/>
              </w:rPr>
            </w:pPr>
            <w:r>
              <w:rPr>
                <w:szCs w:val="21"/>
              </w:rPr>
              <w:t>0.08</w:t>
            </w:r>
          </w:p>
        </w:tc>
      </w:tr>
      <w:tr w14:paraId="2A762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4023BAED">
            <w:pPr>
              <w:spacing w:line="320" w:lineRule="exact"/>
              <w:ind w:left="-53" w:leftChars="-25" w:right="-53" w:rightChars="-25"/>
              <w:jc w:val="center"/>
              <w:rPr>
                <w:snapToGrid w:val="0"/>
                <w:kern w:val="0"/>
                <w:szCs w:val="21"/>
              </w:rPr>
            </w:pPr>
            <w:r>
              <w:rPr>
                <w:rFonts w:hint="eastAsia"/>
                <w:snapToGrid w:val="0"/>
                <w:kern w:val="0"/>
                <w:szCs w:val="21"/>
              </w:rPr>
              <w:t>硫化物</w:t>
            </w:r>
          </w:p>
        </w:tc>
        <w:tc>
          <w:tcPr>
            <w:tcW w:w="665" w:type="pct"/>
            <w:tcBorders>
              <w:top w:val="single" w:color="auto" w:sz="6" w:space="0"/>
              <w:left w:val="single" w:color="auto" w:sz="6" w:space="0"/>
              <w:bottom w:val="single" w:color="auto" w:sz="6" w:space="0"/>
              <w:right w:val="single" w:color="auto" w:sz="6" w:space="0"/>
            </w:tcBorders>
            <w:vAlign w:val="center"/>
          </w:tcPr>
          <w:p w14:paraId="0AD2BD70">
            <w:pPr>
              <w:spacing w:line="320" w:lineRule="exact"/>
              <w:ind w:left="-53" w:leftChars="-25" w:right="-53" w:rightChars="-25"/>
              <w:jc w:val="center"/>
              <w:rPr>
                <w:snapToGrid w:val="0"/>
                <w:kern w:val="0"/>
                <w:szCs w:val="21"/>
              </w:rPr>
            </w:pPr>
            <w:r>
              <w:rPr>
                <w:snapToGrid w:val="0"/>
                <w:kern w:val="0"/>
                <w:szCs w:val="21"/>
              </w:rPr>
              <w:t>0.02</w:t>
            </w:r>
          </w:p>
        </w:tc>
        <w:tc>
          <w:tcPr>
            <w:tcW w:w="499" w:type="pct"/>
            <w:tcBorders>
              <w:top w:val="single" w:color="auto" w:sz="6" w:space="0"/>
              <w:left w:val="single" w:color="auto" w:sz="6" w:space="0"/>
              <w:bottom w:val="single" w:color="auto" w:sz="6" w:space="0"/>
              <w:right w:val="single" w:color="auto" w:sz="6" w:space="0"/>
            </w:tcBorders>
            <w:vAlign w:val="center"/>
          </w:tcPr>
          <w:p w14:paraId="2BACD19B">
            <w:pPr>
              <w:spacing w:line="320" w:lineRule="exact"/>
              <w:ind w:left="-53" w:leftChars="-25" w:right="-53" w:rightChars="-25"/>
              <w:jc w:val="center"/>
              <w:rPr>
                <w:snapToGrid w:val="0"/>
                <w:kern w:val="0"/>
                <w:szCs w:val="21"/>
              </w:rPr>
            </w:pPr>
            <w:r>
              <w:rPr>
                <w:snapToGrid w:val="0"/>
                <w:kern w:val="0"/>
                <w:szCs w:val="21"/>
              </w:rPr>
              <w:t>0.008</w:t>
            </w:r>
          </w:p>
        </w:tc>
        <w:tc>
          <w:tcPr>
            <w:tcW w:w="666" w:type="pct"/>
            <w:tcBorders>
              <w:top w:val="single" w:color="auto" w:sz="6" w:space="0"/>
              <w:left w:val="single" w:color="auto" w:sz="6" w:space="0"/>
              <w:bottom w:val="single" w:color="auto" w:sz="6" w:space="0"/>
              <w:right w:val="single" w:color="auto" w:sz="6" w:space="0"/>
            </w:tcBorders>
            <w:vAlign w:val="center"/>
          </w:tcPr>
          <w:p w14:paraId="2756197A">
            <w:pPr>
              <w:spacing w:line="320" w:lineRule="exact"/>
              <w:ind w:left="-53" w:leftChars="-25" w:right="-53" w:rightChars="-25"/>
              <w:jc w:val="center"/>
              <w:rPr>
                <w:snapToGrid w:val="0"/>
                <w:kern w:val="0"/>
                <w:szCs w:val="21"/>
              </w:rPr>
            </w:pPr>
            <w:r>
              <w:rPr>
                <w:szCs w:val="21"/>
              </w:rPr>
              <w:t xml:space="preserve">0.40 </w:t>
            </w:r>
          </w:p>
        </w:tc>
        <w:tc>
          <w:tcPr>
            <w:tcW w:w="665" w:type="pct"/>
            <w:tcBorders>
              <w:top w:val="single" w:color="auto" w:sz="6" w:space="0"/>
              <w:left w:val="single" w:color="auto" w:sz="6" w:space="0"/>
              <w:bottom w:val="single" w:color="auto" w:sz="6" w:space="0"/>
              <w:right w:val="single" w:color="auto" w:sz="6" w:space="0"/>
            </w:tcBorders>
            <w:vAlign w:val="center"/>
          </w:tcPr>
          <w:p w14:paraId="430B9BEE">
            <w:pPr>
              <w:spacing w:line="320" w:lineRule="exact"/>
              <w:ind w:left="-53" w:leftChars="-25" w:right="-53" w:rightChars="-25"/>
              <w:jc w:val="center"/>
              <w:rPr>
                <w:snapToGrid w:val="0"/>
                <w:kern w:val="0"/>
                <w:szCs w:val="21"/>
              </w:rPr>
            </w:pPr>
            <w:r>
              <w:rPr>
                <w:szCs w:val="21"/>
              </w:rPr>
              <w:t>0.01</w:t>
            </w:r>
          </w:p>
        </w:tc>
        <w:tc>
          <w:tcPr>
            <w:tcW w:w="582" w:type="pct"/>
            <w:tcBorders>
              <w:top w:val="single" w:color="auto" w:sz="6" w:space="0"/>
              <w:left w:val="single" w:color="auto" w:sz="6" w:space="0"/>
              <w:bottom w:val="single" w:color="auto" w:sz="6" w:space="0"/>
              <w:right w:val="single" w:color="auto" w:sz="6" w:space="0"/>
            </w:tcBorders>
            <w:vAlign w:val="center"/>
          </w:tcPr>
          <w:p w14:paraId="25788CED">
            <w:pPr>
              <w:spacing w:line="320" w:lineRule="exact"/>
              <w:ind w:left="-53" w:leftChars="-25" w:right="-53" w:rightChars="-25"/>
              <w:jc w:val="center"/>
              <w:rPr>
                <w:snapToGrid w:val="0"/>
                <w:kern w:val="0"/>
                <w:szCs w:val="21"/>
              </w:rPr>
            </w:pPr>
            <w:r>
              <w:rPr>
                <w:szCs w:val="21"/>
              </w:rPr>
              <w:t xml:space="preserve">0.50 </w:t>
            </w:r>
          </w:p>
        </w:tc>
        <w:tc>
          <w:tcPr>
            <w:tcW w:w="498" w:type="pct"/>
            <w:tcBorders>
              <w:top w:val="single" w:color="auto" w:sz="6" w:space="0"/>
              <w:left w:val="single" w:color="auto" w:sz="6" w:space="0"/>
              <w:bottom w:val="single" w:color="auto" w:sz="6" w:space="0"/>
              <w:right w:val="single" w:color="auto" w:sz="6" w:space="0"/>
            </w:tcBorders>
            <w:vAlign w:val="center"/>
          </w:tcPr>
          <w:p w14:paraId="0276B77A">
            <w:pPr>
              <w:spacing w:line="320" w:lineRule="exact"/>
              <w:ind w:left="-53" w:leftChars="-25" w:right="-53" w:rightChars="-25"/>
              <w:jc w:val="center"/>
              <w:rPr>
                <w:snapToGrid w:val="0"/>
                <w:kern w:val="0"/>
                <w:szCs w:val="21"/>
              </w:rPr>
            </w:pPr>
            <w:r>
              <w:rPr>
                <w:szCs w:val="21"/>
              </w:rPr>
              <w:t>0.007</w:t>
            </w:r>
          </w:p>
        </w:tc>
        <w:tc>
          <w:tcPr>
            <w:tcW w:w="614" w:type="pct"/>
            <w:tcBorders>
              <w:top w:val="single" w:color="auto" w:sz="6" w:space="0"/>
              <w:left w:val="single" w:color="auto" w:sz="6" w:space="0"/>
              <w:bottom w:val="single" w:color="auto" w:sz="6" w:space="0"/>
              <w:right w:val="single" w:color="auto" w:sz="12" w:space="0"/>
            </w:tcBorders>
            <w:vAlign w:val="center"/>
          </w:tcPr>
          <w:p w14:paraId="54056B58">
            <w:pPr>
              <w:spacing w:line="320" w:lineRule="exact"/>
              <w:ind w:left="-53" w:leftChars="-25" w:right="-53" w:rightChars="-25"/>
              <w:jc w:val="center"/>
              <w:rPr>
                <w:snapToGrid w:val="0"/>
                <w:kern w:val="0"/>
                <w:szCs w:val="21"/>
              </w:rPr>
            </w:pPr>
            <w:r>
              <w:rPr>
                <w:szCs w:val="21"/>
              </w:rPr>
              <w:t>0.35</w:t>
            </w:r>
          </w:p>
        </w:tc>
      </w:tr>
      <w:tr w14:paraId="62F9A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70811FD5">
            <w:pPr>
              <w:spacing w:line="320" w:lineRule="exact"/>
              <w:ind w:left="-53" w:leftChars="-25" w:right="-53" w:rightChars="-25"/>
              <w:jc w:val="center"/>
              <w:rPr>
                <w:snapToGrid w:val="0"/>
                <w:kern w:val="0"/>
                <w:szCs w:val="21"/>
              </w:rPr>
            </w:pPr>
            <w:r>
              <w:rPr>
                <w:rFonts w:hint="eastAsia"/>
                <w:snapToGrid w:val="0"/>
                <w:kern w:val="0"/>
                <w:szCs w:val="21"/>
              </w:rPr>
              <w:t>砷</w:t>
            </w:r>
          </w:p>
        </w:tc>
        <w:tc>
          <w:tcPr>
            <w:tcW w:w="665" w:type="pct"/>
            <w:tcBorders>
              <w:top w:val="single" w:color="auto" w:sz="6" w:space="0"/>
              <w:left w:val="single" w:color="auto" w:sz="6" w:space="0"/>
              <w:bottom w:val="single" w:color="auto" w:sz="6" w:space="0"/>
              <w:right w:val="single" w:color="auto" w:sz="6" w:space="0"/>
            </w:tcBorders>
            <w:vAlign w:val="center"/>
          </w:tcPr>
          <w:p w14:paraId="2EBD9EE7">
            <w:pPr>
              <w:spacing w:line="320" w:lineRule="exact"/>
              <w:ind w:left="-53" w:leftChars="-25" w:right="-53" w:rightChars="-25"/>
              <w:jc w:val="center"/>
              <w:rPr>
                <w:snapToGrid w:val="0"/>
                <w:kern w:val="0"/>
                <w:szCs w:val="21"/>
              </w:rPr>
            </w:pPr>
            <w:r>
              <w:rPr>
                <w:snapToGrid w:val="0"/>
                <w:kern w:val="0"/>
                <w:szCs w:val="21"/>
              </w:rPr>
              <w:t>0.01</w:t>
            </w:r>
          </w:p>
        </w:tc>
        <w:tc>
          <w:tcPr>
            <w:tcW w:w="499" w:type="pct"/>
            <w:tcBorders>
              <w:top w:val="single" w:color="auto" w:sz="6" w:space="0"/>
              <w:left w:val="single" w:color="auto" w:sz="6" w:space="0"/>
              <w:bottom w:val="single" w:color="auto" w:sz="6" w:space="0"/>
              <w:right w:val="single" w:color="auto" w:sz="6" w:space="0"/>
            </w:tcBorders>
            <w:vAlign w:val="center"/>
          </w:tcPr>
          <w:p w14:paraId="5A0448D1">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45B2C6D0">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1403F50B">
            <w:pPr>
              <w:spacing w:line="320" w:lineRule="exact"/>
              <w:ind w:left="-53" w:leftChars="-25" w:right="-53" w:rightChars="-25"/>
              <w:jc w:val="center"/>
              <w:rPr>
                <w:snapToGrid w:val="0"/>
                <w:kern w:val="0"/>
                <w:szCs w:val="21"/>
              </w:rPr>
            </w:pPr>
            <w:r>
              <w:rPr>
                <w:szCs w:val="21"/>
              </w:rPr>
              <w:t>0.0009</w:t>
            </w:r>
          </w:p>
        </w:tc>
        <w:tc>
          <w:tcPr>
            <w:tcW w:w="582" w:type="pct"/>
            <w:tcBorders>
              <w:top w:val="single" w:color="auto" w:sz="6" w:space="0"/>
              <w:left w:val="single" w:color="auto" w:sz="6" w:space="0"/>
              <w:bottom w:val="single" w:color="auto" w:sz="6" w:space="0"/>
              <w:right w:val="single" w:color="auto" w:sz="6" w:space="0"/>
            </w:tcBorders>
            <w:vAlign w:val="center"/>
          </w:tcPr>
          <w:p w14:paraId="7C531AD6">
            <w:pPr>
              <w:spacing w:line="320" w:lineRule="exact"/>
              <w:ind w:left="-53" w:leftChars="-25" w:right="-53" w:rightChars="-25"/>
              <w:jc w:val="center"/>
              <w:rPr>
                <w:snapToGrid w:val="0"/>
                <w:kern w:val="0"/>
                <w:szCs w:val="21"/>
              </w:rPr>
            </w:pPr>
            <w:r>
              <w:rPr>
                <w:szCs w:val="21"/>
              </w:rPr>
              <w:t xml:space="preserve">0.09 </w:t>
            </w:r>
          </w:p>
        </w:tc>
        <w:tc>
          <w:tcPr>
            <w:tcW w:w="498" w:type="pct"/>
            <w:tcBorders>
              <w:top w:val="single" w:color="auto" w:sz="6" w:space="0"/>
              <w:left w:val="single" w:color="auto" w:sz="6" w:space="0"/>
              <w:bottom w:val="single" w:color="auto" w:sz="6" w:space="0"/>
              <w:right w:val="single" w:color="auto" w:sz="6" w:space="0"/>
            </w:tcBorders>
            <w:vAlign w:val="center"/>
          </w:tcPr>
          <w:p w14:paraId="6A7ABE16">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198ADB6E">
            <w:pPr>
              <w:spacing w:line="320" w:lineRule="exact"/>
              <w:ind w:left="-53" w:leftChars="-25" w:right="-53" w:rightChars="-25"/>
              <w:jc w:val="center"/>
              <w:rPr>
                <w:snapToGrid w:val="0"/>
                <w:kern w:val="0"/>
                <w:szCs w:val="21"/>
              </w:rPr>
            </w:pPr>
            <w:r>
              <w:rPr>
                <w:szCs w:val="21"/>
              </w:rPr>
              <w:t>/</w:t>
            </w:r>
          </w:p>
        </w:tc>
      </w:tr>
      <w:tr w14:paraId="7F136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23E3F08E">
            <w:pPr>
              <w:spacing w:line="320" w:lineRule="exact"/>
              <w:ind w:left="-53" w:leftChars="-25" w:right="-53" w:rightChars="-25"/>
              <w:jc w:val="center"/>
              <w:rPr>
                <w:snapToGrid w:val="0"/>
                <w:kern w:val="0"/>
                <w:szCs w:val="21"/>
              </w:rPr>
            </w:pPr>
            <w:r>
              <w:rPr>
                <w:rFonts w:hint="eastAsia"/>
                <w:snapToGrid w:val="0"/>
                <w:kern w:val="0"/>
                <w:szCs w:val="21"/>
              </w:rPr>
              <w:t>汞</w:t>
            </w:r>
          </w:p>
        </w:tc>
        <w:tc>
          <w:tcPr>
            <w:tcW w:w="665" w:type="pct"/>
            <w:tcBorders>
              <w:top w:val="single" w:color="auto" w:sz="6" w:space="0"/>
              <w:left w:val="single" w:color="auto" w:sz="6" w:space="0"/>
              <w:bottom w:val="single" w:color="auto" w:sz="6" w:space="0"/>
              <w:right w:val="single" w:color="auto" w:sz="6" w:space="0"/>
            </w:tcBorders>
            <w:vAlign w:val="center"/>
          </w:tcPr>
          <w:p w14:paraId="766E0BF8">
            <w:pPr>
              <w:spacing w:line="320" w:lineRule="exact"/>
              <w:ind w:left="-53" w:leftChars="-25" w:right="-53" w:rightChars="-25"/>
              <w:jc w:val="center"/>
              <w:rPr>
                <w:snapToGrid w:val="0"/>
                <w:kern w:val="0"/>
                <w:szCs w:val="21"/>
              </w:rPr>
            </w:pPr>
            <w:r>
              <w:rPr>
                <w:snapToGrid w:val="0"/>
                <w:kern w:val="0"/>
                <w:szCs w:val="21"/>
              </w:rPr>
              <w:t>0.001</w:t>
            </w:r>
          </w:p>
        </w:tc>
        <w:tc>
          <w:tcPr>
            <w:tcW w:w="499" w:type="pct"/>
            <w:tcBorders>
              <w:top w:val="single" w:color="auto" w:sz="6" w:space="0"/>
              <w:left w:val="single" w:color="auto" w:sz="6" w:space="0"/>
              <w:bottom w:val="single" w:color="auto" w:sz="6" w:space="0"/>
              <w:right w:val="single" w:color="auto" w:sz="6" w:space="0"/>
            </w:tcBorders>
            <w:vAlign w:val="center"/>
          </w:tcPr>
          <w:p w14:paraId="050D10EC">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04A5C9AD">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0ACD245C">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14FB5452">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6E8B5CC5">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512DABB9">
            <w:pPr>
              <w:spacing w:line="320" w:lineRule="exact"/>
              <w:ind w:left="-53" w:leftChars="-25" w:right="-53" w:rightChars="-25"/>
              <w:jc w:val="center"/>
              <w:rPr>
                <w:snapToGrid w:val="0"/>
                <w:kern w:val="0"/>
                <w:szCs w:val="21"/>
              </w:rPr>
            </w:pPr>
            <w:r>
              <w:rPr>
                <w:szCs w:val="21"/>
              </w:rPr>
              <w:t>/</w:t>
            </w:r>
          </w:p>
        </w:tc>
      </w:tr>
      <w:tr w14:paraId="66B4D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71B4EC82">
            <w:pPr>
              <w:spacing w:line="320" w:lineRule="exact"/>
              <w:ind w:left="-53" w:leftChars="-25" w:right="-53" w:rightChars="-25"/>
              <w:jc w:val="center"/>
              <w:rPr>
                <w:snapToGrid w:val="0"/>
                <w:kern w:val="0"/>
                <w:szCs w:val="21"/>
              </w:rPr>
            </w:pPr>
            <w:r>
              <w:rPr>
                <w:rFonts w:hint="eastAsia"/>
                <w:snapToGrid w:val="0"/>
                <w:kern w:val="0"/>
                <w:szCs w:val="21"/>
              </w:rPr>
              <w:t>六价铬</w:t>
            </w:r>
          </w:p>
        </w:tc>
        <w:tc>
          <w:tcPr>
            <w:tcW w:w="665" w:type="pct"/>
            <w:tcBorders>
              <w:top w:val="single" w:color="auto" w:sz="6" w:space="0"/>
              <w:left w:val="single" w:color="auto" w:sz="6" w:space="0"/>
              <w:bottom w:val="single" w:color="auto" w:sz="6" w:space="0"/>
              <w:right w:val="single" w:color="auto" w:sz="6" w:space="0"/>
            </w:tcBorders>
            <w:vAlign w:val="center"/>
          </w:tcPr>
          <w:p w14:paraId="76979606">
            <w:pPr>
              <w:spacing w:line="320" w:lineRule="exact"/>
              <w:ind w:left="-53" w:leftChars="-25" w:right="-53" w:rightChars="-25"/>
              <w:jc w:val="center"/>
              <w:rPr>
                <w:snapToGrid w:val="0"/>
                <w:kern w:val="0"/>
                <w:szCs w:val="21"/>
              </w:rPr>
            </w:pPr>
            <w:r>
              <w:rPr>
                <w:snapToGrid w:val="0"/>
                <w:kern w:val="0"/>
                <w:szCs w:val="21"/>
              </w:rPr>
              <w:t>0.05</w:t>
            </w:r>
          </w:p>
        </w:tc>
        <w:tc>
          <w:tcPr>
            <w:tcW w:w="499" w:type="pct"/>
            <w:tcBorders>
              <w:top w:val="single" w:color="auto" w:sz="6" w:space="0"/>
              <w:left w:val="single" w:color="auto" w:sz="6" w:space="0"/>
              <w:bottom w:val="single" w:color="auto" w:sz="6" w:space="0"/>
              <w:right w:val="single" w:color="auto" w:sz="6" w:space="0"/>
            </w:tcBorders>
            <w:vAlign w:val="center"/>
          </w:tcPr>
          <w:p w14:paraId="3CBD39A7">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79A43EED">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77BE3191">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06A7A2FC">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62F5F966">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36450A7B">
            <w:pPr>
              <w:spacing w:line="320" w:lineRule="exact"/>
              <w:ind w:left="-53" w:leftChars="-25" w:right="-53" w:rightChars="-25"/>
              <w:jc w:val="center"/>
              <w:rPr>
                <w:snapToGrid w:val="0"/>
                <w:kern w:val="0"/>
                <w:szCs w:val="21"/>
              </w:rPr>
            </w:pPr>
            <w:r>
              <w:rPr>
                <w:szCs w:val="21"/>
              </w:rPr>
              <w:t>/</w:t>
            </w:r>
          </w:p>
        </w:tc>
      </w:tr>
      <w:tr w14:paraId="08CE2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2C4E99B7">
            <w:pPr>
              <w:spacing w:line="320" w:lineRule="exact"/>
              <w:ind w:left="-53" w:leftChars="-25" w:right="-53" w:rightChars="-25"/>
              <w:jc w:val="center"/>
              <w:rPr>
                <w:snapToGrid w:val="0"/>
                <w:kern w:val="0"/>
                <w:szCs w:val="21"/>
              </w:rPr>
            </w:pPr>
            <w:r>
              <w:rPr>
                <w:rFonts w:hint="eastAsia"/>
                <w:snapToGrid w:val="0"/>
                <w:kern w:val="0"/>
                <w:szCs w:val="21"/>
              </w:rPr>
              <w:t>铅</w:t>
            </w:r>
          </w:p>
        </w:tc>
        <w:tc>
          <w:tcPr>
            <w:tcW w:w="665" w:type="pct"/>
            <w:tcBorders>
              <w:top w:val="single" w:color="auto" w:sz="6" w:space="0"/>
              <w:left w:val="single" w:color="auto" w:sz="6" w:space="0"/>
              <w:bottom w:val="single" w:color="auto" w:sz="6" w:space="0"/>
              <w:right w:val="single" w:color="auto" w:sz="6" w:space="0"/>
            </w:tcBorders>
            <w:vAlign w:val="center"/>
          </w:tcPr>
          <w:p w14:paraId="2FA4C326">
            <w:pPr>
              <w:spacing w:line="320" w:lineRule="exact"/>
              <w:ind w:left="-53" w:leftChars="-25" w:right="-53" w:rightChars="-25"/>
              <w:jc w:val="center"/>
              <w:rPr>
                <w:snapToGrid w:val="0"/>
                <w:kern w:val="0"/>
                <w:szCs w:val="21"/>
              </w:rPr>
            </w:pPr>
            <w:r>
              <w:rPr>
                <w:snapToGrid w:val="0"/>
                <w:kern w:val="0"/>
                <w:szCs w:val="21"/>
              </w:rPr>
              <w:t>0.01</w:t>
            </w:r>
          </w:p>
        </w:tc>
        <w:tc>
          <w:tcPr>
            <w:tcW w:w="499" w:type="pct"/>
            <w:tcBorders>
              <w:top w:val="single" w:color="auto" w:sz="6" w:space="0"/>
              <w:left w:val="single" w:color="auto" w:sz="6" w:space="0"/>
              <w:bottom w:val="single" w:color="auto" w:sz="6" w:space="0"/>
              <w:right w:val="single" w:color="auto" w:sz="6" w:space="0"/>
            </w:tcBorders>
            <w:vAlign w:val="center"/>
          </w:tcPr>
          <w:p w14:paraId="012D932E">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672C01F2">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2FCEF6AA">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72BD2A37">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1F9CC07F">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0419F7D8">
            <w:pPr>
              <w:spacing w:line="320" w:lineRule="exact"/>
              <w:ind w:left="-53" w:leftChars="-25" w:right="-53" w:rightChars="-25"/>
              <w:jc w:val="center"/>
              <w:rPr>
                <w:snapToGrid w:val="0"/>
                <w:kern w:val="0"/>
                <w:szCs w:val="21"/>
              </w:rPr>
            </w:pPr>
            <w:r>
              <w:rPr>
                <w:szCs w:val="21"/>
              </w:rPr>
              <w:t>/</w:t>
            </w:r>
          </w:p>
        </w:tc>
      </w:tr>
      <w:tr w14:paraId="53329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33C9C776">
            <w:pPr>
              <w:spacing w:line="320" w:lineRule="exact"/>
              <w:ind w:left="-53" w:leftChars="-25" w:right="-53" w:rightChars="-25"/>
              <w:jc w:val="center"/>
              <w:rPr>
                <w:snapToGrid w:val="0"/>
                <w:kern w:val="0"/>
                <w:szCs w:val="21"/>
              </w:rPr>
            </w:pPr>
            <w:r>
              <w:rPr>
                <w:rFonts w:hint="eastAsia"/>
                <w:snapToGrid w:val="0"/>
                <w:kern w:val="0"/>
                <w:szCs w:val="21"/>
              </w:rPr>
              <w:t>镉</w:t>
            </w:r>
          </w:p>
        </w:tc>
        <w:tc>
          <w:tcPr>
            <w:tcW w:w="665" w:type="pct"/>
            <w:tcBorders>
              <w:top w:val="single" w:color="auto" w:sz="6" w:space="0"/>
              <w:left w:val="single" w:color="auto" w:sz="6" w:space="0"/>
              <w:bottom w:val="single" w:color="auto" w:sz="6" w:space="0"/>
              <w:right w:val="single" w:color="auto" w:sz="6" w:space="0"/>
            </w:tcBorders>
            <w:vAlign w:val="center"/>
          </w:tcPr>
          <w:p w14:paraId="1F831899">
            <w:pPr>
              <w:spacing w:line="320" w:lineRule="exact"/>
              <w:ind w:left="-53" w:leftChars="-25" w:right="-53" w:rightChars="-25"/>
              <w:jc w:val="center"/>
              <w:rPr>
                <w:snapToGrid w:val="0"/>
                <w:kern w:val="0"/>
                <w:szCs w:val="21"/>
              </w:rPr>
            </w:pPr>
            <w:r>
              <w:rPr>
                <w:snapToGrid w:val="0"/>
                <w:kern w:val="0"/>
                <w:szCs w:val="21"/>
              </w:rPr>
              <w:t>0.005</w:t>
            </w:r>
          </w:p>
        </w:tc>
        <w:tc>
          <w:tcPr>
            <w:tcW w:w="499" w:type="pct"/>
            <w:tcBorders>
              <w:top w:val="single" w:color="auto" w:sz="6" w:space="0"/>
              <w:left w:val="single" w:color="auto" w:sz="6" w:space="0"/>
              <w:bottom w:val="single" w:color="auto" w:sz="6" w:space="0"/>
              <w:right w:val="single" w:color="auto" w:sz="6" w:space="0"/>
            </w:tcBorders>
            <w:vAlign w:val="center"/>
          </w:tcPr>
          <w:p w14:paraId="43A54834">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42251BD5">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246BF978">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3BE13FDB">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643C88E9">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1BCC9DB0">
            <w:pPr>
              <w:spacing w:line="320" w:lineRule="exact"/>
              <w:ind w:left="-53" w:leftChars="-25" w:right="-53" w:rightChars="-25"/>
              <w:jc w:val="center"/>
              <w:rPr>
                <w:snapToGrid w:val="0"/>
                <w:kern w:val="0"/>
                <w:szCs w:val="21"/>
              </w:rPr>
            </w:pPr>
            <w:r>
              <w:rPr>
                <w:szCs w:val="21"/>
              </w:rPr>
              <w:t>/</w:t>
            </w:r>
          </w:p>
        </w:tc>
      </w:tr>
      <w:tr w14:paraId="220AB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C0D2E9C">
            <w:pPr>
              <w:spacing w:line="320" w:lineRule="exact"/>
              <w:ind w:left="-53" w:leftChars="-25" w:right="-53" w:rightChars="-25"/>
              <w:jc w:val="center"/>
              <w:rPr>
                <w:snapToGrid w:val="0"/>
                <w:kern w:val="0"/>
                <w:szCs w:val="21"/>
              </w:rPr>
            </w:pPr>
            <w:r>
              <w:rPr>
                <w:rFonts w:hint="eastAsia"/>
                <w:snapToGrid w:val="0"/>
                <w:kern w:val="0"/>
                <w:szCs w:val="21"/>
              </w:rPr>
              <w:t>铁</w:t>
            </w:r>
          </w:p>
        </w:tc>
        <w:tc>
          <w:tcPr>
            <w:tcW w:w="665" w:type="pct"/>
            <w:tcBorders>
              <w:top w:val="single" w:color="auto" w:sz="6" w:space="0"/>
              <w:left w:val="single" w:color="auto" w:sz="6" w:space="0"/>
              <w:bottom w:val="single" w:color="auto" w:sz="6" w:space="0"/>
              <w:right w:val="single" w:color="auto" w:sz="6" w:space="0"/>
            </w:tcBorders>
            <w:vAlign w:val="center"/>
          </w:tcPr>
          <w:p w14:paraId="2CE603C1">
            <w:pPr>
              <w:spacing w:line="320" w:lineRule="exact"/>
              <w:ind w:left="-53" w:leftChars="-25" w:right="-53" w:rightChars="-25"/>
              <w:jc w:val="center"/>
              <w:rPr>
                <w:snapToGrid w:val="0"/>
                <w:kern w:val="0"/>
                <w:szCs w:val="21"/>
              </w:rPr>
            </w:pPr>
            <w:r>
              <w:rPr>
                <w:snapToGrid w:val="0"/>
                <w:kern w:val="0"/>
                <w:szCs w:val="21"/>
              </w:rPr>
              <w:t>0.3</w:t>
            </w:r>
          </w:p>
        </w:tc>
        <w:tc>
          <w:tcPr>
            <w:tcW w:w="499" w:type="pct"/>
            <w:tcBorders>
              <w:top w:val="single" w:color="auto" w:sz="6" w:space="0"/>
              <w:left w:val="single" w:color="auto" w:sz="6" w:space="0"/>
              <w:bottom w:val="single" w:color="auto" w:sz="6" w:space="0"/>
              <w:right w:val="single" w:color="auto" w:sz="6" w:space="0"/>
            </w:tcBorders>
            <w:vAlign w:val="center"/>
          </w:tcPr>
          <w:p w14:paraId="064B4DA9">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1CF824BD">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4D38B550">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3BD8B024">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723ACF54">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2199DF5A">
            <w:pPr>
              <w:spacing w:line="320" w:lineRule="exact"/>
              <w:ind w:left="-53" w:leftChars="-25" w:right="-53" w:rightChars="-25"/>
              <w:jc w:val="center"/>
              <w:rPr>
                <w:snapToGrid w:val="0"/>
                <w:kern w:val="0"/>
                <w:szCs w:val="21"/>
              </w:rPr>
            </w:pPr>
            <w:r>
              <w:rPr>
                <w:szCs w:val="21"/>
              </w:rPr>
              <w:t>/</w:t>
            </w:r>
          </w:p>
        </w:tc>
      </w:tr>
      <w:tr w14:paraId="467AC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179AF46F">
            <w:pPr>
              <w:spacing w:line="320" w:lineRule="exact"/>
              <w:ind w:left="-53" w:leftChars="-25" w:right="-53" w:rightChars="-25"/>
              <w:jc w:val="center"/>
              <w:rPr>
                <w:snapToGrid w:val="0"/>
                <w:kern w:val="0"/>
                <w:szCs w:val="21"/>
              </w:rPr>
            </w:pPr>
            <w:r>
              <w:rPr>
                <w:rFonts w:hint="eastAsia"/>
                <w:snapToGrid w:val="0"/>
                <w:kern w:val="0"/>
                <w:szCs w:val="21"/>
              </w:rPr>
              <w:t>锰</w:t>
            </w:r>
          </w:p>
        </w:tc>
        <w:tc>
          <w:tcPr>
            <w:tcW w:w="665" w:type="pct"/>
            <w:tcBorders>
              <w:top w:val="single" w:color="auto" w:sz="6" w:space="0"/>
              <w:left w:val="single" w:color="auto" w:sz="6" w:space="0"/>
              <w:bottom w:val="single" w:color="auto" w:sz="6" w:space="0"/>
              <w:right w:val="single" w:color="auto" w:sz="6" w:space="0"/>
            </w:tcBorders>
            <w:vAlign w:val="center"/>
          </w:tcPr>
          <w:p w14:paraId="7DBB8373">
            <w:pPr>
              <w:spacing w:line="320" w:lineRule="exact"/>
              <w:ind w:left="-53" w:leftChars="-25" w:right="-53" w:rightChars="-25"/>
              <w:jc w:val="center"/>
              <w:rPr>
                <w:snapToGrid w:val="0"/>
                <w:kern w:val="0"/>
                <w:szCs w:val="21"/>
              </w:rPr>
            </w:pPr>
            <w:r>
              <w:rPr>
                <w:snapToGrid w:val="0"/>
                <w:kern w:val="0"/>
                <w:szCs w:val="21"/>
              </w:rPr>
              <w:t>0.1</w:t>
            </w:r>
          </w:p>
        </w:tc>
        <w:tc>
          <w:tcPr>
            <w:tcW w:w="499" w:type="pct"/>
            <w:tcBorders>
              <w:top w:val="single" w:color="auto" w:sz="6" w:space="0"/>
              <w:left w:val="single" w:color="auto" w:sz="6" w:space="0"/>
              <w:bottom w:val="single" w:color="auto" w:sz="6" w:space="0"/>
              <w:right w:val="single" w:color="auto" w:sz="6" w:space="0"/>
            </w:tcBorders>
            <w:vAlign w:val="center"/>
          </w:tcPr>
          <w:p w14:paraId="3FBE92CC">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36E78117">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4710B60C">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2F3307B5">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7DF28863">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3E39D822">
            <w:pPr>
              <w:spacing w:line="320" w:lineRule="exact"/>
              <w:ind w:left="-53" w:leftChars="-25" w:right="-53" w:rightChars="-25"/>
              <w:jc w:val="center"/>
              <w:rPr>
                <w:snapToGrid w:val="0"/>
                <w:kern w:val="0"/>
                <w:szCs w:val="21"/>
              </w:rPr>
            </w:pPr>
            <w:r>
              <w:rPr>
                <w:szCs w:val="21"/>
              </w:rPr>
              <w:t>/</w:t>
            </w:r>
          </w:p>
        </w:tc>
      </w:tr>
      <w:tr w14:paraId="2C3C3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508CB95D">
            <w:pPr>
              <w:spacing w:line="320" w:lineRule="exact"/>
              <w:ind w:left="-53" w:leftChars="-25" w:right="-53" w:rightChars="-25"/>
              <w:jc w:val="center"/>
              <w:rPr>
                <w:snapToGrid w:val="0"/>
                <w:kern w:val="0"/>
                <w:szCs w:val="21"/>
              </w:rPr>
            </w:pPr>
            <w:r>
              <w:rPr>
                <w:rFonts w:hint="eastAsia"/>
                <w:snapToGrid w:val="0"/>
                <w:kern w:val="0"/>
                <w:szCs w:val="21"/>
              </w:rPr>
              <w:t>总大肠菌群</w:t>
            </w:r>
          </w:p>
        </w:tc>
        <w:tc>
          <w:tcPr>
            <w:tcW w:w="665" w:type="pct"/>
            <w:tcBorders>
              <w:top w:val="single" w:color="auto" w:sz="6" w:space="0"/>
              <w:left w:val="single" w:color="auto" w:sz="6" w:space="0"/>
              <w:bottom w:val="single" w:color="auto" w:sz="6" w:space="0"/>
              <w:right w:val="single" w:color="auto" w:sz="6" w:space="0"/>
            </w:tcBorders>
            <w:vAlign w:val="center"/>
          </w:tcPr>
          <w:p w14:paraId="6CE4F16C">
            <w:pPr>
              <w:spacing w:line="320" w:lineRule="exact"/>
              <w:ind w:left="-53" w:leftChars="-25" w:right="-53" w:rightChars="-25"/>
              <w:jc w:val="center"/>
              <w:rPr>
                <w:snapToGrid w:val="0"/>
                <w:kern w:val="0"/>
                <w:szCs w:val="21"/>
              </w:rPr>
            </w:pPr>
            <w:r>
              <w:rPr>
                <w:snapToGrid w:val="0"/>
                <w:kern w:val="0"/>
                <w:szCs w:val="21"/>
              </w:rPr>
              <w:t>3</w:t>
            </w:r>
          </w:p>
        </w:tc>
        <w:tc>
          <w:tcPr>
            <w:tcW w:w="499" w:type="pct"/>
            <w:tcBorders>
              <w:top w:val="single" w:color="auto" w:sz="6" w:space="0"/>
              <w:left w:val="single" w:color="auto" w:sz="6" w:space="0"/>
              <w:bottom w:val="single" w:color="auto" w:sz="6" w:space="0"/>
              <w:right w:val="single" w:color="auto" w:sz="6" w:space="0"/>
            </w:tcBorders>
            <w:vAlign w:val="center"/>
          </w:tcPr>
          <w:p w14:paraId="2E777836">
            <w:pPr>
              <w:spacing w:line="320" w:lineRule="exact"/>
              <w:ind w:left="-53" w:leftChars="-25" w:right="-53" w:rightChars="-25"/>
              <w:jc w:val="center"/>
              <w:rPr>
                <w:snapToGrid w:val="0"/>
                <w:kern w:val="0"/>
                <w:szCs w:val="21"/>
              </w:rPr>
            </w:pPr>
            <w:r>
              <w:rPr>
                <w:snapToGrid w:val="0"/>
                <w:kern w:val="0"/>
                <w:szCs w:val="21"/>
              </w:rPr>
              <w:t>ND</w:t>
            </w:r>
          </w:p>
        </w:tc>
        <w:tc>
          <w:tcPr>
            <w:tcW w:w="666" w:type="pct"/>
            <w:tcBorders>
              <w:top w:val="single" w:color="auto" w:sz="6" w:space="0"/>
              <w:left w:val="single" w:color="auto" w:sz="6" w:space="0"/>
              <w:bottom w:val="single" w:color="auto" w:sz="6" w:space="0"/>
              <w:right w:val="single" w:color="auto" w:sz="6" w:space="0"/>
            </w:tcBorders>
            <w:vAlign w:val="center"/>
          </w:tcPr>
          <w:p w14:paraId="437E024E">
            <w:pPr>
              <w:spacing w:line="320" w:lineRule="exact"/>
              <w:ind w:left="-53" w:leftChars="-25" w:right="-53" w:rightChars="-25"/>
              <w:jc w:val="center"/>
              <w:rPr>
                <w:snapToGrid w:val="0"/>
                <w:kern w:val="0"/>
                <w:szCs w:val="21"/>
              </w:rPr>
            </w:pPr>
            <w:r>
              <w:rPr>
                <w:szCs w:val="21"/>
              </w:rPr>
              <w:t>/</w:t>
            </w:r>
          </w:p>
        </w:tc>
        <w:tc>
          <w:tcPr>
            <w:tcW w:w="665" w:type="pct"/>
            <w:tcBorders>
              <w:top w:val="single" w:color="auto" w:sz="6" w:space="0"/>
              <w:left w:val="single" w:color="auto" w:sz="6" w:space="0"/>
              <w:bottom w:val="single" w:color="auto" w:sz="6" w:space="0"/>
              <w:right w:val="single" w:color="auto" w:sz="6" w:space="0"/>
            </w:tcBorders>
            <w:vAlign w:val="center"/>
          </w:tcPr>
          <w:p w14:paraId="203CB832">
            <w:pPr>
              <w:spacing w:line="320" w:lineRule="exact"/>
              <w:ind w:left="-53" w:leftChars="-25" w:right="-53" w:rightChars="-25"/>
              <w:jc w:val="center"/>
              <w:rPr>
                <w:snapToGrid w:val="0"/>
                <w:kern w:val="0"/>
                <w:szCs w:val="21"/>
              </w:rPr>
            </w:pPr>
            <w:r>
              <w:rPr>
                <w:szCs w:val="21"/>
              </w:rPr>
              <w:t>ND</w:t>
            </w:r>
          </w:p>
        </w:tc>
        <w:tc>
          <w:tcPr>
            <w:tcW w:w="582" w:type="pct"/>
            <w:tcBorders>
              <w:top w:val="single" w:color="auto" w:sz="6" w:space="0"/>
              <w:left w:val="single" w:color="auto" w:sz="6" w:space="0"/>
              <w:bottom w:val="single" w:color="auto" w:sz="6" w:space="0"/>
              <w:right w:val="single" w:color="auto" w:sz="6" w:space="0"/>
            </w:tcBorders>
            <w:vAlign w:val="center"/>
          </w:tcPr>
          <w:p w14:paraId="6F6DD4F8">
            <w:pPr>
              <w:spacing w:line="320" w:lineRule="exact"/>
              <w:ind w:left="-53" w:leftChars="-25" w:right="-53" w:rightChars="-25"/>
              <w:jc w:val="center"/>
              <w:rPr>
                <w:snapToGrid w:val="0"/>
                <w:kern w:val="0"/>
                <w:szCs w:val="21"/>
              </w:rPr>
            </w:pPr>
            <w:r>
              <w:rPr>
                <w:szCs w:val="21"/>
              </w:rPr>
              <w:t>/</w:t>
            </w:r>
          </w:p>
        </w:tc>
        <w:tc>
          <w:tcPr>
            <w:tcW w:w="498" w:type="pct"/>
            <w:tcBorders>
              <w:top w:val="single" w:color="auto" w:sz="6" w:space="0"/>
              <w:left w:val="single" w:color="auto" w:sz="6" w:space="0"/>
              <w:bottom w:val="single" w:color="auto" w:sz="6" w:space="0"/>
              <w:right w:val="single" w:color="auto" w:sz="6" w:space="0"/>
            </w:tcBorders>
            <w:vAlign w:val="center"/>
          </w:tcPr>
          <w:p w14:paraId="654B39BD">
            <w:pPr>
              <w:spacing w:line="320" w:lineRule="exact"/>
              <w:ind w:left="-53" w:leftChars="-25" w:right="-53" w:rightChars="-25"/>
              <w:jc w:val="center"/>
              <w:rPr>
                <w:snapToGrid w:val="0"/>
                <w:kern w:val="0"/>
                <w:szCs w:val="21"/>
              </w:rPr>
            </w:pPr>
            <w:r>
              <w:rPr>
                <w:szCs w:val="21"/>
              </w:rPr>
              <w:t>ND</w:t>
            </w:r>
          </w:p>
        </w:tc>
        <w:tc>
          <w:tcPr>
            <w:tcW w:w="614" w:type="pct"/>
            <w:tcBorders>
              <w:top w:val="single" w:color="auto" w:sz="6" w:space="0"/>
              <w:left w:val="single" w:color="auto" w:sz="6" w:space="0"/>
              <w:bottom w:val="single" w:color="auto" w:sz="6" w:space="0"/>
              <w:right w:val="single" w:color="auto" w:sz="12" w:space="0"/>
            </w:tcBorders>
            <w:vAlign w:val="center"/>
          </w:tcPr>
          <w:p w14:paraId="49CC739D">
            <w:pPr>
              <w:spacing w:line="320" w:lineRule="exact"/>
              <w:ind w:left="-53" w:leftChars="-25" w:right="-53" w:rightChars="-25"/>
              <w:jc w:val="center"/>
              <w:rPr>
                <w:snapToGrid w:val="0"/>
                <w:kern w:val="0"/>
                <w:szCs w:val="21"/>
              </w:rPr>
            </w:pPr>
            <w:r>
              <w:rPr>
                <w:szCs w:val="21"/>
              </w:rPr>
              <w:t>/</w:t>
            </w:r>
          </w:p>
        </w:tc>
      </w:tr>
      <w:tr w14:paraId="49B6D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6" w:space="0"/>
              <w:right w:val="single" w:color="auto" w:sz="6" w:space="0"/>
            </w:tcBorders>
            <w:vAlign w:val="center"/>
          </w:tcPr>
          <w:p w14:paraId="63A661C8">
            <w:pPr>
              <w:spacing w:line="320" w:lineRule="exact"/>
              <w:ind w:left="-53" w:leftChars="-25" w:right="-53" w:rightChars="-25"/>
              <w:jc w:val="center"/>
              <w:rPr>
                <w:snapToGrid w:val="0"/>
                <w:kern w:val="0"/>
                <w:szCs w:val="21"/>
              </w:rPr>
            </w:pPr>
            <w:r>
              <w:rPr>
                <w:rFonts w:hint="eastAsia"/>
                <w:snapToGrid w:val="0"/>
                <w:kern w:val="0"/>
                <w:szCs w:val="21"/>
              </w:rPr>
              <w:t>菌落总数</w:t>
            </w:r>
          </w:p>
        </w:tc>
        <w:tc>
          <w:tcPr>
            <w:tcW w:w="665" w:type="pct"/>
            <w:tcBorders>
              <w:top w:val="single" w:color="auto" w:sz="6" w:space="0"/>
              <w:left w:val="single" w:color="auto" w:sz="6" w:space="0"/>
              <w:bottom w:val="single" w:color="auto" w:sz="6" w:space="0"/>
              <w:right w:val="single" w:color="auto" w:sz="6" w:space="0"/>
            </w:tcBorders>
            <w:vAlign w:val="center"/>
          </w:tcPr>
          <w:p w14:paraId="4BFBDEEF">
            <w:pPr>
              <w:spacing w:line="320" w:lineRule="exact"/>
              <w:ind w:left="-53" w:leftChars="-25" w:right="-53" w:rightChars="-25"/>
              <w:jc w:val="center"/>
              <w:rPr>
                <w:snapToGrid w:val="0"/>
                <w:kern w:val="0"/>
                <w:szCs w:val="21"/>
              </w:rPr>
            </w:pPr>
            <w:r>
              <w:rPr>
                <w:snapToGrid w:val="0"/>
                <w:kern w:val="0"/>
                <w:szCs w:val="21"/>
              </w:rPr>
              <w:t>100</w:t>
            </w:r>
          </w:p>
        </w:tc>
        <w:tc>
          <w:tcPr>
            <w:tcW w:w="499" w:type="pct"/>
            <w:tcBorders>
              <w:top w:val="single" w:color="auto" w:sz="6" w:space="0"/>
              <w:left w:val="single" w:color="auto" w:sz="6" w:space="0"/>
              <w:bottom w:val="single" w:color="auto" w:sz="6" w:space="0"/>
              <w:right w:val="single" w:color="auto" w:sz="6" w:space="0"/>
            </w:tcBorders>
            <w:vAlign w:val="center"/>
          </w:tcPr>
          <w:p w14:paraId="7EC99E41">
            <w:pPr>
              <w:spacing w:line="320" w:lineRule="exact"/>
              <w:ind w:left="-53" w:leftChars="-25" w:right="-53" w:rightChars="-25"/>
              <w:jc w:val="center"/>
              <w:rPr>
                <w:snapToGrid w:val="0"/>
                <w:kern w:val="0"/>
                <w:szCs w:val="21"/>
              </w:rPr>
            </w:pPr>
            <w:r>
              <w:rPr>
                <w:snapToGrid w:val="0"/>
                <w:kern w:val="0"/>
                <w:szCs w:val="21"/>
              </w:rPr>
              <w:t>34</w:t>
            </w:r>
          </w:p>
        </w:tc>
        <w:tc>
          <w:tcPr>
            <w:tcW w:w="666" w:type="pct"/>
            <w:tcBorders>
              <w:top w:val="single" w:color="auto" w:sz="6" w:space="0"/>
              <w:left w:val="single" w:color="auto" w:sz="6" w:space="0"/>
              <w:bottom w:val="single" w:color="auto" w:sz="6" w:space="0"/>
              <w:right w:val="single" w:color="auto" w:sz="6" w:space="0"/>
            </w:tcBorders>
            <w:vAlign w:val="center"/>
          </w:tcPr>
          <w:p w14:paraId="0587E300">
            <w:pPr>
              <w:spacing w:line="320" w:lineRule="exact"/>
              <w:ind w:left="-53" w:leftChars="-25" w:right="-53" w:rightChars="-25"/>
              <w:jc w:val="center"/>
              <w:rPr>
                <w:snapToGrid w:val="0"/>
                <w:kern w:val="0"/>
                <w:szCs w:val="21"/>
              </w:rPr>
            </w:pPr>
            <w:r>
              <w:rPr>
                <w:szCs w:val="21"/>
              </w:rPr>
              <w:t xml:space="preserve">0.34 </w:t>
            </w:r>
          </w:p>
        </w:tc>
        <w:tc>
          <w:tcPr>
            <w:tcW w:w="665" w:type="pct"/>
            <w:tcBorders>
              <w:top w:val="single" w:color="auto" w:sz="6" w:space="0"/>
              <w:left w:val="single" w:color="auto" w:sz="6" w:space="0"/>
              <w:bottom w:val="single" w:color="auto" w:sz="6" w:space="0"/>
              <w:right w:val="single" w:color="auto" w:sz="6" w:space="0"/>
            </w:tcBorders>
            <w:vAlign w:val="center"/>
          </w:tcPr>
          <w:p w14:paraId="77E385FA">
            <w:pPr>
              <w:spacing w:line="320" w:lineRule="exact"/>
              <w:ind w:left="-53" w:leftChars="-25" w:right="-53" w:rightChars="-25"/>
              <w:jc w:val="center"/>
              <w:rPr>
                <w:snapToGrid w:val="0"/>
                <w:kern w:val="0"/>
                <w:szCs w:val="21"/>
              </w:rPr>
            </w:pPr>
            <w:r>
              <w:rPr>
                <w:szCs w:val="21"/>
              </w:rPr>
              <w:t>25</w:t>
            </w:r>
          </w:p>
        </w:tc>
        <w:tc>
          <w:tcPr>
            <w:tcW w:w="582" w:type="pct"/>
            <w:tcBorders>
              <w:top w:val="single" w:color="auto" w:sz="6" w:space="0"/>
              <w:left w:val="single" w:color="auto" w:sz="6" w:space="0"/>
              <w:bottom w:val="single" w:color="auto" w:sz="6" w:space="0"/>
              <w:right w:val="single" w:color="auto" w:sz="6" w:space="0"/>
            </w:tcBorders>
            <w:vAlign w:val="center"/>
          </w:tcPr>
          <w:p w14:paraId="37D063E6">
            <w:pPr>
              <w:spacing w:line="320" w:lineRule="exact"/>
              <w:ind w:left="-53" w:leftChars="-25" w:right="-53" w:rightChars="-25"/>
              <w:jc w:val="center"/>
              <w:rPr>
                <w:snapToGrid w:val="0"/>
                <w:kern w:val="0"/>
                <w:szCs w:val="21"/>
              </w:rPr>
            </w:pPr>
            <w:r>
              <w:rPr>
                <w:szCs w:val="21"/>
              </w:rPr>
              <w:t xml:space="preserve">0.25 </w:t>
            </w:r>
          </w:p>
        </w:tc>
        <w:tc>
          <w:tcPr>
            <w:tcW w:w="498" w:type="pct"/>
            <w:tcBorders>
              <w:top w:val="single" w:color="auto" w:sz="6" w:space="0"/>
              <w:left w:val="single" w:color="auto" w:sz="6" w:space="0"/>
              <w:bottom w:val="single" w:color="auto" w:sz="6" w:space="0"/>
              <w:right w:val="single" w:color="auto" w:sz="6" w:space="0"/>
            </w:tcBorders>
            <w:vAlign w:val="center"/>
          </w:tcPr>
          <w:p w14:paraId="0C2E6AFC">
            <w:pPr>
              <w:spacing w:line="320" w:lineRule="exact"/>
              <w:ind w:left="-53" w:leftChars="-25" w:right="-53" w:rightChars="-25"/>
              <w:jc w:val="center"/>
              <w:rPr>
                <w:snapToGrid w:val="0"/>
                <w:kern w:val="0"/>
                <w:szCs w:val="21"/>
              </w:rPr>
            </w:pPr>
            <w:r>
              <w:rPr>
                <w:szCs w:val="21"/>
              </w:rPr>
              <w:t>29</w:t>
            </w:r>
          </w:p>
        </w:tc>
        <w:tc>
          <w:tcPr>
            <w:tcW w:w="614" w:type="pct"/>
            <w:tcBorders>
              <w:top w:val="single" w:color="auto" w:sz="6" w:space="0"/>
              <w:left w:val="single" w:color="auto" w:sz="6" w:space="0"/>
              <w:bottom w:val="single" w:color="auto" w:sz="6" w:space="0"/>
              <w:right w:val="single" w:color="auto" w:sz="12" w:space="0"/>
            </w:tcBorders>
            <w:vAlign w:val="center"/>
          </w:tcPr>
          <w:p w14:paraId="377F1904">
            <w:pPr>
              <w:spacing w:line="320" w:lineRule="exact"/>
              <w:ind w:left="-53" w:leftChars="-25" w:right="-53" w:rightChars="-25"/>
              <w:jc w:val="center"/>
              <w:rPr>
                <w:snapToGrid w:val="0"/>
                <w:kern w:val="0"/>
                <w:szCs w:val="21"/>
              </w:rPr>
            </w:pPr>
            <w:r>
              <w:rPr>
                <w:szCs w:val="21"/>
              </w:rPr>
              <w:t>0.29</w:t>
            </w:r>
          </w:p>
        </w:tc>
      </w:tr>
      <w:tr w14:paraId="6B51E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811" w:type="pct"/>
            <w:tcBorders>
              <w:top w:val="single" w:color="auto" w:sz="6" w:space="0"/>
              <w:left w:val="single" w:color="auto" w:sz="12" w:space="0"/>
              <w:bottom w:val="single" w:color="auto" w:sz="12" w:space="0"/>
              <w:right w:val="single" w:color="auto" w:sz="6" w:space="0"/>
            </w:tcBorders>
            <w:vAlign w:val="center"/>
          </w:tcPr>
          <w:p w14:paraId="4551960F">
            <w:pPr>
              <w:spacing w:line="320" w:lineRule="exact"/>
              <w:ind w:left="-53" w:leftChars="-25" w:right="-53" w:rightChars="-25"/>
              <w:jc w:val="center"/>
              <w:rPr>
                <w:snapToGrid w:val="0"/>
                <w:kern w:val="0"/>
                <w:szCs w:val="21"/>
              </w:rPr>
            </w:pPr>
            <w:r>
              <w:rPr>
                <w:rFonts w:hint="eastAsia"/>
                <w:snapToGrid w:val="0"/>
                <w:kern w:val="0"/>
                <w:szCs w:val="21"/>
              </w:rPr>
              <w:t>备注</w:t>
            </w:r>
          </w:p>
        </w:tc>
        <w:tc>
          <w:tcPr>
            <w:tcW w:w="4189" w:type="pct"/>
            <w:gridSpan w:val="7"/>
            <w:tcBorders>
              <w:top w:val="single" w:color="auto" w:sz="6" w:space="0"/>
              <w:left w:val="single" w:color="auto" w:sz="6" w:space="0"/>
              <w:bottom w:val="single" w:color="auto" w:sz="12" w:space="0"/>
              <w:right w:val="single" w:color="auto" w:sz="12" w:space="0"/>
            </w:tcBorders>
            <w:vAlign w:val="center"/>
          </w:tcPr>
          <w:p w14:paraId="351502A6">
            <w:pPr>
              <w:spacing w:line="320" w:lineRule="exact"/>
              <w:ind w:left="-53" w:leftChars="-25" w:right="-53" w:rightChars="-25"/>
              <w:rPr>
                <w:snapToGrid w:val="0"/>
                <w:kern w:val="0"/>
                <w:szCs w:val="21"/>
              </w:rPr>
            </w:pPr>
            <w:r>
              <w:rPr>
                <w:snapToGrid w:val="0"/>
                <w:kern w:val="0"/>
                <w:szCs w:val="21"/>
              </w:rPr>
              <w:t>ND</w:t>
            </w:r>
            <w:r>
              <w:rPr>
                <w:rFonts w:hint="eastAsia"/>
                <w:snapToGrid w:val="0"/>
                <w:kern w:val="0"/>
                <w:szCs w:val="21"/>
              </w:rPr>
              <w:t>表示检测结果低于方法检出限。</w:t>
            </w:r>
          </w:p>
        </w:tc>
      </w:tr>
    </w:tbl>
    <w:p w14:paraId="6D5F2EBA">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3.3.3</w:t>
      </w:r>
      <w:r>
        <w:rPr>
          <w:rFonts w:eastAsiaTheme="minorEastAsia"/>
          <w:b/>
          <w:szCs w:val="21"/>
        </w:rPr>
        <w:t>-</w:t>
      </w:r>
      <w:r>
        <w:rPr>
          <w:rFonts w:hint="eastAsia" w:eastAsiaTheme="minorEastAsia"/>
          <w:b/>
          <w:szCs w:val="21"/>
        </w:rPr>
        <w:t>5</w:t>
      </w:r>
      <w:r>
        <w:rPr>
          <w:rFonts w:eastAsiaTheme="minorEastAsia"/>
          <w:b/>
          <w:szCs w:val="21"/>
        </w:rPr>
        <w:t xml:space="preserve">  草店石材产业区域地下水水质现状监测及评价结果一览表</w:t>
      </w:r>
    </w:p>
    <w:p w14:paraId="4A7276A1">
      <w:pPr>
        <w:spacing w:line="360" w:lineRule="auto"/>
        <w:ind w:firstLine="420"/>
        <w:jc w:val="center"/>
        <w:rPr>
          <w:rFonts w:eastAsiaTheme="minorEastAsia"/>
          <w:b/>
          <w:szCs w:val="21"/>
        </w:rPr>
      </w:pPr>
      <w:r>
        <w:rPr>
          <w:rFonts w:eastAsiaTheme="minorEastAsia"/>
          <w:szCs w:val="21"/>
        </w:rPr>
        <w:t>（单位：pH无量纲，总大肠菌群MPN/100mL，菌落总数CFU/mL，其它为mg/L）</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39"/>
        <w:gridCol w:w="1083"/>
        <w:gridCol w:w="2125"/>
        <w:gridCol w:w="1554"/>
        <w:gridCol w:w="2127"/>
      </w:tblGrid>
      <w:tr w14:paraId="46459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Merge w:val="restart"/>
            <w:vAlign w:val="center"/>
          </w:tcPr>
          <w:p w14:paraId="54BBA371">
            <w:pPr>
              <w:spacing w:line="320" w:lineRule="exact"/>
              <w:ind w:left="-53" w:leftChars="-25" w:right="-53" w:rightChars="-25"/>
              <w:jc w:val="center"/>
              <w:rPr>
                <w:snapToGrid w:val="0"/>
                <w:kern w:val="0"/>
                <w:szCs w:val="21"/>
              </w:rPr>
            </w:pPr>
            <w:r>
              <w:rPr>
                <w:snapToGrid w:val="0"/>
                <w:kern w:val="0"/>
                <w:szCs w:val="21"/>
              </w:rPr>
              <w:t>检测项目</w:t>
            </w:r>
          </w:p>
        </w:tc>
        <w:tc>
          <w:tcPr>
            <w:tcW w:w="635" w:type="pct"/>
            <w:vMerge w:val="restart"/>
            <w:vAlign w:val="center"/>
          </w:tcPr>
          <w:p w14:paraId="24E5E1DC">
            <w:pPr>
              <w:spacing w:line="320" w:lineRule="exact"/>
              <w:ind w:left="-53" w:leftChars="-25" w:right="-53" w:rightChars="-25"/>
              <w:jc w:val="center"/>
              <w:rPr>
                <w:snapToGrid w:val="0"/>
                <w:kern w:val="0"/>
                <w:szCs w:val="21"/>
              </w:rPr>
            </w:pPr>
            <w:r>
              <w:rPr>
                <w:snapToGrid w:val="0"/>
                <w:kern w:val="0"/>
                <w:szCs w:val="21"/>
              </w:rPr>
              <w:t>标准值</w:t>
            </w:r>
          </w:p>
        </w:tc>
        <w:tc>
          <w:tcPr>
            <w:tcW w:w="3404" w:type="pct"/>
            <w:gridSpan w:val="3"/>
            <w:tcBorders>
              <w:right w:val="single" w:color="auto" w:sz="4" w:space="0"/>
            </w:tcBorders>
            <w:vAlign w:val="center"/>
          </w:tcPr>
          <w:p w14:paraId="65B8869D">
            <w:pPr>
              <w:spacing w:line="320" w:lineRule="exact"/>
              <w:ind w:left="-53" w:leftChars="-25" w:right="-53" w:rightChars="-25"/>
              <w:jc w:val="center"/>
              <w:rPr>
                <w:snapToGrid w:val="0"/>
                <w:kern w:val="0"/>
                <w:szCs w:val="21"/>
              </w:rPr>
            </w:pPr>
            <w:r>
              <w:rPr>
                <w:snapToGrid w:val="0"/>
                <w:kern w:val="0"/>
                <w:szCs w:val="21"/>
              </w:rPr>
              <w:t>检测结果</w:t>
            </w:r>
          </w:p>
        </w:tc>
      </w:tr>
      <w:tr w14:paraId="22AF4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Merge w:val="continue"/>
            <w:vAlign w:val="center"/>
          </w:tcPr>
          <w:p w14:paraId="749F0D67">
            <w:pPr>
              <w:spacing w:line="320" w:lineRule="exact"/>
              <w:ind w:left="-53" w:leftChars="-25" w:right="-53" w:rightChars="-25"/>
              <w:jc w:val="center"/>
              <w:rPr>
                <w:snapToGrid w:val="0"/>
                <w:kern w:val="0"/>
                <w:szCs w:val="21"/>
              </w:rPr>
            </w:pPr>
          </w:p>
        </w:tc>
        <w:tc>
          <w:tcPr>
            <w:tcW w:w="635" w:type="pct"/>
            <w:vMerge w:val="continue"/>
            <w:vAlign w:val="center"/>
          </w:tcPr>
          <w:p w14:paraId="784F57C3">
            <w:pPr>
              <w:spacing w:line="320" w:lineRule="exact"/>
              <w:ind w:left="-53" w:leftChars="-25" w:right="-53" w:rightChars="-25"/>
              <w:jc w:val="center"/>
              <w:rPr>
                <w:snapToGrid w:val="0"/>
                <w:kern w:val="0"/>
                <w:szCs w:val="21"/>
              </w:rPr>
            </w:pPr>
          </w:p>
        </w:tc>
        <w:tc>
          <w:tcPr>
            <w:tcW w:w="1246" w:type="pct"/>
            <w:vAlign w:val="center"/>
          </w:tcPr>
          <w:p w14:paraId="67F71D92">
            <w:pPr>
              <w:spacing w:line="320" w:lineRule="exact"/>
              <w:ind w:left="-53" w:leftChars="-25" w:right="-53" w:rightChars="-25"/>
              <w:jc w:val="center"/>
              <w:rPr>
                <w:snapToGrid w:val="0"/>
                <w:kern w:val="0"/>
                <w:szCs w:val="21"/>
              </w:rPr>
            </w:pPr>
            <w:r>
              <w:rPr>
                <w:snapToGrid w:val="0"/>
                <w:kern w:val="0"/>
                <w:szCs w:val="21"/>
              </w:rPr>
              <w:t>1#[</w:t>
            </w:r>
            <w:r>
              <w:rPr>
                <w:rFonts w:hint="eastAsia"/>
                <w:szCs w:val="21"/>
              </w:rPr>
              <w:t>园区内监测井</w:t>
            </w:r>
            <w:r>
              <w:rPr>
                <w:rFonts w:hint="eastAsia"/>
                <w:snapToGrid w:val="0"/>
                <w:kern w:val="0"/>
                <w:szCs w:val="21"/>
              </w:rPr>
              <w:t>]</w:t>
            </w:r>
          </w:p>
        </w:tc>
        <w:tc>
          <w:tcPr>
            <w:tcW w:w="911" w:type="pct"/>
            <w:vAlign w:val="center"/>
          </w:tcPr>
          <w:p w14:paraId="2F26D9E1">
            <w:pPr>
              <w:spacing w:line="320" w:lineRule="exact"/>
              <w:ind w:left="-53" w:leftChars="-25" w:right="-53" w:rightChars="-25"/>
              <w:jc w:val="center"/>
              <w:rPr>
                <w:snapToGrid w:val="0"/>
                <w:kern w:val="0"/>
                <w:szCs w:val="21"/>
              </w:rPr>
            </w:pPr>
            <w:r>
              <w:rPr>
                <w:snapToGrid w:val="0"/>
                <w:kern w:val="0"/>
                <w:szCs w:val="21"/>
              </w:rPr>
              <w:t>评价指数</w:t>
            </w:r>
          </w:p>
        </w:tc>
        <w:tc>
          <w:tcPr>
            <w:tcW w:w="1247" w:type="pct"/>
            <w:tcBorders>
              <w:right w:val="single" w:color="auto" w:sz="4" w:space="0"/>
            </w:tcBorders>
            <w:vAlign w:val="center"/>
          </w:tcPr>
          <w:p w14:paraId="7EC761B8">
            <w:pPr>
              <w:spacing w:line="320" w:lineRule="exact"/>
              <w:ind w:left="-53" w:leftChars="-25" w:right="-53" w:rightChars="-25"/>
              <w:jc w:val="center"/>
              <w:rPr>
                <w:snapToGrid w:val="0"/>
                <w:kern w:val="0"/>
                <w:szCs w:val="21"/>
              </w:rPr>
            </w:pPr>
            <w:r>
              <w:rPr>
                <w:snapToGrid w:val="0"/>
                <w:kern w:val="0"/>
                <w:szCs w:val="21"/>
              </w:rPr>
              <w:t>达标情况</w:t>
            </w:r>
          </w:p>
        </w:tc>
      </w:tr>
      <w:tr w14:paraId="36822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C2F28E6">
            <w:pPr>
              <w:spacing w:line="320" w:lineRule="exact"/>
              <w:ind w:left="-53" w:leftChars="-25" w:right="-53" w:rightChars="-25"/>
              <w:jc w:val="center"/>
              <w:rPr>
                <w:snapToGrid w:val="0"/>
                <w:kern w:val="0"/>
                <w:szCs w:val="21"/>
              </w:rPr>
            </w:pPr>
            <w:r>
              <w:rPr>
                <w:snapToGrid w:val="0"/>
                <w:kern w:val="0"/>
                <w:szCs w:val="21"/>
              </w:rPr>
              <w:t>*钾离子</w:t>
            </w:r>
          </w:p>
        </w:tc>
        <w:tc>
          <w:tcPr>
            <w:tcW w:w="635" w:type="pct"/>
            <w:vAlign w:val="center"/>
          </w:tcPr>
          <w:p w14:paraId="087399F1">
            <w:pPr>
              <w:spacing w:line="320" w:lineRule="exact"/>
              <w:ind w:left="-53" w:leftChars="-25" w:right="-53" w:rightChars="-25"/>
              <w:jc w:val="center"/>
              <w:rPr>
                <w:snapToGrid w:val="0"/>
                <w:kern w:val="0"/>
                <w:szCs w:val="21"/>
              </w:rPr>
            </w:pPr>
            <w:r>
              <w:rPr>
                <w:rFonts w:hint="eastAsia"/>
                <w:snapToGrid w:val="0"/>
                <w:kern w:val="0"/>
                <w:szCs w:val="21"/>
              </w:rPr>
              <w:t>/</w:t>
            </w:r>
          </w:p>
        </w:tc>
        <w:tc>
          <w:tcPr>
            <w:tcW w:w="1246" w:type="pct"/>
            <w:vAlign w:val="center"/>
          </w:tcPr>
          <w:p w14:paraId="1A4E26B1">
            <w:pPr>
              <w:spacing w:line="320" w:lineRule="exact"/>
              <w:ind w:left="-53" w:leftChars="-25" w:right="-53" w:rightChars="-25"/>
              <w:jc w:val="center"/>
              <w:rPr>
                <w:snapToGrid w:val="0"/>
                <w:kern w:val="0"/>
                <w:szCs w:val="21"/>
              </w:rPr>
            </w:pPr>
            <w:r>
              <w:rPr>
                <w:rFonts w:hint="eastAsia"/>
                <w:snapToGrid w:val="0"/>
                <w:kern w:val="0"/>
                <w:szCs w:val="21"/>
              </w:rPr>
              <w:t>1.25</w:t>
            </w:r>
          </w:p>
        </w:tc>
        <w:tc>
          <w:tcPr>
            <w:tcW w:w="911" w:type="pct"/>
            <w:tcBorders>
              <w:top w:val="nil"/>
              <w:left w:val="nil"/>
              <w:bottom w:val="single" w:color="000000" w:sz="8" w:space="0"/>
              <w:right w:val="single" w:color="000000" w:sz="8" w:space="0"/>
            </w:tcBorders>
            <w:shd w:val="clear" w:color="auto" w:fill="auto"/>
            <w:vAlign w:val="center"/>
          </w:tcPr>
          <w:p w14:paraId="35420A7F">
            <w:pPr>
              <w:spacing w:line="320" w:lineRule="exact"/>
              <w:ind w:left="-53" w:leftChars="-25" w:right="-53" w:rightChars="-25"/>
              <w:jc w:val="center"/>
              <w:rPr>
                <w:snapToGrid w:val="0"/>
                <w:kern w:val="0"/>
                <w:szCs w:val="21"/>
              </w:rPr>
            </w:pPr>
            <w:r>
              <w:rPr>
                <w:szCs w:val="21"/>
              </w:rPr>
              <w:t>/</w:t>
            </w:r>
          </w:p>
        </w:tc>
        <w:tc>
          <w:tcPr>
            <w:tcW w:w="1247" w:type="pct"/>
            <w:vAlign w:val="center"/>
          </w:tcPr>
          <w:p w14:paraId="3D99166E">
            <w:pPr>
              <w:spacing w:line="320" w:lineRule="exact"/>
              <w:ind w:left="-53" w:leftChars="-25" w:right="-53" w:rightChars="-25"/>
              <w:jc w:val="center"/>
              <w:rPr>
                <w:snapToGrid w:val="0"/>
                <w:kern w:val="0"/>
                <w:szCs w:val="21"/>
              </w:rPr>
            </w:pPr>
            <w:r>
              <w:rPr>
                <w:szCs w:val="21"/>
              </w:rPr>
              <w:t>/</w:t>
            </w:r>
          </w:p>
        </w:tc>
      </w:tr>
      <w:tr w14:paraId="79B6D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6264A7BE">
            <w:pPr>
              <w:spacing w:line="320" w:lineRule="exact"/>
              <w:ind w:left="-53" w:leftChars="-25" w:right="-53" w:rightChars="-25"/>
              <w:jc w:val="center"/>
              <w:rPr>
                <w:snapToGrid w:val="0"/>
                <w:kern w:val="0"/>
                <w:szCs w:val="21"/>
              </w:rPr>
            </w:pPr>
            <w:r>
              <w:rPr>
                <w:snapToGrid w:val="0"/>
                <w:kern w:val="0"/>
                <w:szCs w:val="21"/>
              </w:rPr>
              <w:t>*钠离子</w:t>
            </w:r>
          </w:p>
        </w:tc>
        <w:tc>
          <w:tcPr>
            <w:tcW w:w="635" w:type="pct"/>
            <w:vAlign w:val="center"/>
          </w:tcPr>
          <w:p w14:paraId="1547D94B">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00</w:t>
            </w:r>
          </w:p>
        </w:tc>
        <w:tc>
          <w:tcPr>
            <w:tcW w:w="1246" w:type="pct"/>
            <w:vAlign w:val="center"/>
          </w:tcPr>
          <w:p w14:paraId="53FC8CF8">
            <w:pPr>
              <w:spacing w:line="320" w:lineRule="exact"/>
              <w:ind w:left="-53" w:leftChars="-25" w:right="-53" w:rightChars="-25"/>
              <w:jc w:val="center"/>
              <w:rPr>
                <w:snapToGrid w:val="0"/>
                <w:kern w:val="0"/>
                <w:szCs w:val="21"/>
              </w:rPr>
            </w:pPr>
            <w:r>
              <w:rPr>
                <w:rFonts w:hint="eastAsia"/>
                <w:snapToGrid w:val="0"/>
                <w:kern w:val="0"/>
                <w:szCs w:val="21"/>
              </w:rPr>
              <w:t>33.4</w:t>
            </w:r>
          </w:p>
        </w:tc>
        <w:tc>
          <w:tcPr>
            <w:tcW w:w="911" w:type="pct"/>
            <w:tcBorders>
              <w:top w:val="nil"/>
              <w:left w:val="nil"/>
              <w:bottom w:val="single" w:color="000000" w:sz="8" w:space="0"/>
              <w:right w:val="single" w:color="000000" w:sz="8" w:space="0"/>
            </w:tcBorders>
            <w:shd w:val="clear" w:color="auto" w:fill="auto"/>
            <w:vAlign w:val="center"/>
          </w:tcPr>
          <w:p w14:paraId="316FFFF8">
            <w:pPr>
              <w:spacing w:line="320" w:lineRule="exact"/>
              <w:ind w:left="-53" w:leftChars="-25" w:right="-53" w:rightChars="-25"/>
              <w:jc w:val="center"/>
              <w:rPr>
                <w:snapToGrid w:val="0"/>
                <w:kern w:val="0"/>
                <w:szCs w:val="21"/>
              </w:rPr>
            </w:pPr>
            <w:r>
              <w:rPr>
                <w:szCs w:val="21"/>
              </w:rPr>
              <w:t xml:space="preserve">0.17 </w:t>
            </w:r>
          </w:p>
        </w:tc>
        <w:tc>
          <w:tcPr>
            <w:tcW w:w="1247" w:type="pct"/>
            <w:vAlign w:val="center"/>
          </w:tcPr>
          <w:p w14:paraId="2818110C">
            <w:pPr>
              <w:spacing w:line="320" w:lineRule="exact"/>
              <w:ind w:left="-53" w:leftChars="-25" w:right="-53" w:rightChars="-25"/>
              <w:jc w:val="center"/>
              <w:rPr>
                <w:snapToGrid w:val="0"/>
                <w:kern w:val="0"/>
                <w:szCs w:val="21"/>
              </w:rPr>
            </w:pPr>
            <w:r>
              <w:rPr>
                <w:rFonts w:hint="eastAsia"/>
                <w:snapToGrid w:val="0"/>
                <w:kern w:val="0"/>
                <w:szCs w:val="21"/>
              </w:rPr>
              <w:t>达标</w:t>
            </w:r>
          </w:p>
        </w:tc>
      </w:tr>
      <w:tr w14:paraId="6CBEF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52DA198C">
            <w:pPr>
              <w:spacing w:line="320" w:lineRule="exact"/>
              <w:ind w:left="-53" w:leftChars="-25" w:right="-53" w:rightChars="-25"/>
              <w:jc w:val="center"/>
              <w:rPr>
                <w:snapToGrid w:val="0"/>
                <w:kern w:val="0"/>
                <w:szCs w:val="21"/>
              </w:rPr>
            </w:pPr>
            <w:r>
              <w:rPr>
                <w:snapToGrid w:val="0"/>
                <w:kern w:val="0"/>
                <w:szCs w:val="21"/>
              </w:rPr>
              <w:t>*钙离子</w:t>
            </w:r>
          </w:p>
        </w:tc>
        <w:tc>
          <w:tcPr>
            <w:tcW w:w="635" w:type="pct"/>
            <w:vAlign w:val="center"/>
          </w:tcPr>
          <w:p w14:paraId="3CA72742">
            <w:pPr>
              <w:spacing w:line="320" w:lineRule="exact"/>
              <w:ind w:left="-53" w:leftChars="-25" w:right="-53" w:rightChars="-25"/>
              <w:jc w:val="center"/>
              <w:rPr>
                <w:snapToGrid w:val="0"/>
                <w:kern w:val="0"/>
                <w:szCs w:val="21"/>
              </w:rPr>
            </w:pPr>
            <w:r>
              <w:rPr>
                <w:rFonts w:hint="eastAsia"/>
                <w:snapToGrid w:val="0"/>
                <w:kern w:val="0"/>
                <w:szCs w:val="21"/>
              </w:rPr>
              <w:t>/</w:t>
            </w:r>
          </w:p>
        </w:tc>
        <w:tc>
          <w:tcPr>
            <w:tcW w:w="1246" w:type="pct"/>
            <w:vAlign w:val="center"/>
          </w:tcPr>
          <w:p w14:paraId="035E3C99">
            <w:pPr>
              <w:spacing w:line="320" w:lineRule="exact"/>
              <w:ind w:left="-53" w:leftChars="-25" w:right="-53" w:rightChars="-25"/>
              <w:jc w:val="center"/>
              <w:rPr>
                <w:snapToGrid w:val="0"/>
                <w:kern w:val="0"/>
                <w:szCs w:val="21"/>
              </w:rPr>
            </w:pPr>
            <w:r>
              <w:rPr>
                <w:rFonts w:hint="eastAsia"/>
                <w:snapToGrid w:val="0"/>
                <w:kern w:val="0"/>
                <w:szCs w:val="21"/>
              </w:rPr>
              <w:t>18.3</w:t>
            </w:r>
          </w:p>
        </w:tc>
        <w:tc>
          <w:tcPr>
            <w:tcW w:w="911" w:type="pct"/>
            <w:tcBorders>
              <w:top w:val="nil"/>
              <w:left w:val="nil"/>
              <w:bottom w:val="single" w:color="000000" w:sz="8" w:space="0"/>
              <w:right w:val="single" w:color="000000" w:sz="8" w:space="0"/>
            </w:tcBorders>
            <w:shd w:val="clear" w:color="auto" w:fill="auto"/>
            <w:vAlign w:val="center"/>
          </w:tcPr>
          <w:p w14:paraId="105C6F80">
            <w:pPr>
              <w:spacing w:line="320" w:lineRule="exact"/>
              <w:ind w:left="-53" w:leftChars="-25" w:right="-53" w:rightChars="-25"/>
              <w:jc w:val="center"/>
              <w:rPr>
                <w:snapToGrid w:val="0"/>
                <w:kern w:val="0"/>
                <w:szCs w:val="21"/>
              </w:rPr>
            </w:pPr>
            <w:r>
              <w:rPr>
                <w:szCs w:val="21"/>
              </w:rPr>
              <w:t>/</w:t>
            </w:r>
          </w:p>
        </w:tc>
        <w:tc>
          <w:tcPr>
            <w:tcW w:w="1247" w:type="pct"/>
            <w:vAlign w:val="center"/>
          </w:tcPr>
          <w:p w14:paraId="0FEBF98B">
            <w:pPr>
              <w:spacing w:line="320" w:lineRule="exact"/>
              <w:ind w:left="-53" w:leftChars="-25" w:right="-53" w:rightChars="-25"/>
              <w:jc w:val="center"/>
              <w:rPr>
                <w:snapToGrid w:val="0"/>
                <w:kern w:val="0"/>
                <w:szCs w:val="21"/>
              </w:rPr>
            </w:pPr>
            <w:r>
              <w:rPr>
                <w:szCs w:val="21"/>
              </w:rPr>
              <w:t>/</w:t>
            </w:r>
          </w:p>
        </w:tc>
      </w:tr>
      <w:tr w14:paraId="1C111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188FBD6F">
            <w:pPr>
              <w:spacing w:line="320" w:lineRule="exact"/>
              <w:ind w:left="-53" w:leftChars="-25" w:right="-53" w:rightChars="-25"/>
              <w:jc w:val="center"/>
              <w:rPr>
                <w:snapToGrid w:val="0"/>
                <w:kern w:val="0"/>
                <w:szCs w:val="21"/>
              </w:rPr>
            </w:pPr>
            <w:r>
              <w:rPr>
                <w:snapToGrid w:val="0"/>
                <w:kern w:val="0"/>
                <w:szCs w:val="21"/>
              </w:rPr>
              <w:t>*镁离子</w:t>
            </w:r>
          </w:p>
        </w:tc>
        <w:tc>
          <w:tcPr>
            <w:tcW w:w="635" w:type="pct"/>
            <w:vAlign w:val="center"/>
          </w:tcPr>
          <w:p w14:paraId="2FE94D7C">
            <w:pPr>
              <w:spacing w:line="320" w:lineRule="exact"/>
              <w:ind w:left="-53" w:leftChars="-25" w:right="-53" w:rightChars="-25"/>
              <w:jc w:val="center"/>
              <w:rPr>
                <w:snapToGrid w:val="0"/>
                <w:kern w:val="0"/>
                <w:szCs w:val="21"/>
              </w:rPr>
            </w:pPr>
            <w:r>
              <w:rPr>
                <w:rFonts w:hint="eastAsia"/>
                <w:snapToGrid w:val="0"/>
                <w:kern w:val="0"/>
                <w:szCs w:val="21"/>
              </w:rPr>
              <w:t>/</w:t>
            </w:r>
          </w:p>
        </w:tc>
        <w:tc>
          <w:tcPr>
            <w:tcW w:w="1246" w:type="pct"/>
            <w:vAlign w:val="center"/>
          </w:tcPr>
          <w:p w14:paraId="56CAAE30">
            <w:pPr>
              <w:spacing w:line="320" w:lineRule="exact"/>
              <w:ind w:left="-53" w:leftChars="-25" w:right="-53" w:rightChars="-25"/>
              <w:jc w:val="center"/>
              <w:rPr>
                <w:snapToGrid w:val="0"/>
                <w:kern w:val="0"/>
                <w:szCs w:val="21"/>
              </w:rPr>
            </w:pPr>
            <w:r>
              <w:rPr>
                <w:rFonts w:hint="eastAsia"/>
                <w:snapToGrid w:val="0"/>
                <w:kern w:val="0"/>
                <w:szCs w:val="21"/>
              </w:rPr>
              <w:t>6.69</w:t>
            </w:r>
          </w:p>
        </w:tc>
        <w:tc>
          <w:tcPr>
            <w:tcW w:w="911" w:type="pct"/>
            <w:tcBorders>
              <w:top w:val="nil"/>
              <w:left w:val="nil"/>
              <w:bottom w:val="single" w:color="000000" w:sz="8" w:space="0"/>
              <w:right w:val="single" w:color="000000" w:sz="8" w:space="0"/>
            </w:tcBorders>
            <w:shd w:val="clear" w:color="auto" w:fill="auto"/>
            <w:vAlign w:val="center"/>
          </w:tcPr>
          <w:p w14:paraId="4A463043">
            <w:pPr>
              <w:spacing w:line="320" w:lineRule="exact"/>
              <w:ind w:left="-53" w:leftChars="-25" w:right="-53" w:rightChars="-25"/>
              <w:jc w:val="center"/>
              <w:rPr>
                <w:snapToGrid w:val="0"/>
                <w:kern w:val="0"/>
                <w:szCs w:val="21"/>
              </w:rPr>
            </w:pPr>
            <w:r>
              <w:rPr>
                <w:szCs w:val="21"/>
              </w:rPr>
              <w:t>/</w:t>
            </w:r>
          </w:p>
        </w:tc>
        <w:tc>
          <w:tcPr>
            <w:tcW w:w="1247" w:type="pct"/>
            <w:vAlign w:val="center"/>
          </w:tcPr>
          <w:p w14:paraId="11B53F01">
            <w:pPr>
              <w:spacing w:line="320" w:lineRule="exact"/>
              <w:ind w:left="-53" w:leftChars="-25" w:right="-53" w:rightChars="-25"/>
              <w:jc w:val="center"/>
              <w:rPr>
                <w:snapToGrid w:val="0"/>
                <w:kern w:val="0"/>
                <w:szCs w:val="21"/>
              </w:rPr>
            </w:pPr>
            <w:r>
              <w:rPr>
                <w:szCs w:val="21"/>
              </w:rPr>
              <w:t>/</w:t>
            </w:r>
          </w:p>
        </w:tc>
      </w:tr>
      <w:tr w14:paraId="7694B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EE34110">
            <w:pPr>
              <w:spacing w:line="320" w:lineRule="exact"/>
              <w:ind w:left="-53" w:leftChars="-25" w:right="-53" w:rightChars="-25"/>
              <w:jc w:val="center"/>
              <w:rPr>
                <w:snapToGrid w:val="0"/>
                <w:kern w:val="0"/>
                <w:szCs w:val="21"/>
              </w:rPr>
            </w:pPr>
            <w:r>
              <w:rPr>
                <w:snapToGrid w:val="0"/>
                <w:kern w:val="0"/>
                <w:szCs w:val="21"/>
              </w:rPr>
              <w:t>碳酸根</w:t>
            </w:r>
          </w:p>
        </w:tc>
        <w:tc>
          <w:tcPr>
            <w:tcW w:w="635" w:type="pct"/>
            <w:vAlign w:val="center"/>
          </w:tcPr>
          <w:p w14:paraId="792C190E">
            <w:pPr>
              <w:spacing w:line="320" w:lineRule="exact"/>
              <w:ind w:left="-53" w:leftChars="-25" w:right="-53" w:rightChars="-25"/>
              <w:jc w:val="center"/>
              <w:rPr>
                <w:snapToGrid w:val="0"/>
                <w:kern w:val="0"/>
                <w:szCs w:val="21"/>
              </w:rPr>
            </w:pPr>
            <w:r>
              <w:rPr>
                <w:rFonts w:hint="eastAsia"/>
                <w:snapToGrid w:val="0"/>
                <w:kern w:val="0"/>
                <w:szCs w:val="21"/>
              </w:rPr>
              <w:t>/</w:t>
            </w:r>
          </w:p>
        </w:tc>
        <w:tc>
          <w:tcPr>
            <w:tcW w:w="1246" w:type="pct"/>
            <w:vAlign w:val="center"/>
          </w:tcPr>
          <w:p w14:paraId="04B5D130">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726EDBDA">
            <w:pPr>
              <w:spacing w:line="320" w:lineRule="exact"/>
              <w:ind w:left="-53" w:leftChars="-25" w:right="-53" w:rightChars="-25"/>
              <w:jc w:val="center"/>
              <w:rPr>
                <w:snapToGrid w:val="0"/>
                <w:kern w:val="0"/>
                <w:szCs w:val="21"/>
              </w:rPr>
            </w:pPr>
            <w:r>
              <w:rPr>
                <w:szCs w:val="21"/>
              </w:rPr>
              <w:t>/</w:t>
            </w:r>
          </w:p>
        </w:tc>
        <w:tc>
          <w:tcPr>
            <w:tcW w:w="1247" w:type="pct"/>
            <w:vAlign w:val="center"/>
          </w:tcPr>
          <w:p w14:paraId="02CBEF07">
            <w:pPr>
              <w:spacing w:line="320" w:lineRule="exact"/>
              <w:ind w:left="-53" w:leftChars="-25" w:right="-53" w:rightChars="-25"/>
              <w:jc w:val="center"/>
              <w:rPr>
                <w:snapToGrid w:val="0"/>
                <w:kern w:val="0"/>
                <w:szCs w:val="21"/>
              </w:rPr>
            </w:pPr>
            <w:r>
              <w:rPr>
                <w:szCs w:val="21"/>
              </w:rPr>
              <w:t>/</w:t>
            </w:r>
          </w:p>
        </w:tc>
      </w:tr>
      <w:tr w14:paraId="1AE7A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70807F7F">
            <w:pPr>
              <w:spacing w:line="320" w:lineRule="exact"/>
              <w:ind w:left="-53" w:leftChars="-25" w:right="-53" w:rightChars="-25"/>
              <w:jc w:val="center"/>
              <w:rPr>
                <w:snapToGrid w:val="0"/>
                <w:kern w:val="0"/>
                <w:szCs w:val="21"/>
              </w:rPr>
            </w:pPr>
            <w:r>
              <w:rPr>
                <w:rFonts w:hint="eastAsia"/>
                <w:snapToGrid w:val="0"/>
                <w:kern w:val="0"/>
                <w:szCs w:val="21"/>
              </w:rPr>
              <w:t>碳酸氢根</w:t>
            </w:r>
          </w:p>
        </w:tc>
        <w:tc>
          <w:tcPr>
            <w:tcW w:w="635" w:type="pct"/>
            <w:vAlign w:val="center"/>
          </w:tcPr>
          <w:p w14:paraId="175ACF70">
            <w:pPr>
              <w:spacing w:line="320" w:lineRule="exact"/>
              <w:ind w:left="-53" w:leftChars="-25" w:right="-53" w:rightChars="-25"/>
              <w:jc w:val="center"/>
              <w:rPr>
                <w:snapToGrid w:val="0"/>
                <w:kern w:val="0"/>
                <w:szCs w:val="21"/>
              </w:rPr>
            </w:pPr>
            <w:r>
              <w:rPr>
                <w:rFonts w:hint="eastAsia"/>
                <w:snapToGrid w:val="0"/>
                <w:kern w:val="0"/>
                <w:szCs w:val="21"/>
              </w:rPr>
              <w:t>/</w:t>
            </w:r>
          </w:p>
        </w:tc>
        <w:tc>
          <w:tcPr>
            <w:tcW w:w="1246" w:type="pct"/>
            <w:vAlign w:val="center"/>
          </w:tcPr>
          <w:p w14:paraId="0EED6008">
            <w:pPr>
              <w:spacing w:line="320" w:lineRule="exact"/>
              <w:ind w:left="-53" w:leftChars="-25" w:right="-53" w:rightChars="-25"/>
              <w:jc w:val="center"/>
              <w:rPr>
                <w:snapToGrid w:val="0"/>
                <w:kern w:val="0"/>
                <w:szCs w:val="21"/>
              </w:rPr>
            </w:pPr>
            <w:r>
              <w:rPr>
                <w:rFonts w:hint="eastAsia"/>
                <w:snapToGrid w:val="0"/>
                <w:kern w:val="0"/>
                <w:szCs w:val="21"/>
              </w:rPr>
              <w:t>175</w:t>
            </w:r>
          </w:p>
        </w:tc>
        <w:tc>
          <w:tcPr>
            <w:tcW w:w="911" w:type="pct"/>
            <w:tcBorders>
              <w:top w:val="nil"/>
              <w:left w:val="nil"/>
              <w:bottom w:val="single" w:color="000000" w:sz="8" w:space="0"/>
              <w:right w:val="single" w:color="000000" w:sz="8" w:space="0"/>
            </w:tcBorders>
            <w:shd w:val="clear" w:color="auto" w:fill="auto"/>
            <w:vAlign w:val="center"/>
          </w:tcPr>
          <w:p w14:paraId="47E11CFB">
            <w:pPr>
              <w:spacing w:line="320" w:lineRule="exact"/>
              <w:ind w:left="-53" w:leftChars="-25" w:right="-53" w:rightChars="-25"/>
              <w:jc w:val="center"/>
              <w:rPr>
                <w:snapToGrid w:val="0"/>
                <w:kern w:val="0"/>
                <w:szCs w:val="21"/>
              </w:rPr>
            </w:pPr>
            <w:r>
              <w:rPr>
                <w:szCs w:val="21"/>
              </w:rPr>
              <w:t>/</w:t>
            </w:r>
          </w:p>
        </w:tc>
        <w:tc>
          <w:tcPr>
            <w:tcW w:w="1247" w:type="pct"/>
            <w:vAlign w:val="center"/>
          </w:tcPr>
          <w:p w14:paraId="07DA92D3">
            <w:pPr>
              <w:spacing w:line="320" w:lineRule="exact"/>
              <w:ind w:left="-53" w:leftChars="-25" w:right="-53" w:rightChars="-25"/>
              <w:jc w:val="center"/>
              <w:rPr>
                <w:snapToGrid w:val="0"/>
                <w:kern w:val="0"/>
                <w:szCs w:val="21"/>
              </w:rPr>
            </w:pPr>
            <w:r>
              <w:rPr>
                <w:szCs w:val="21"/>
              </w:rPr>
              <w:t>/</w:t>
            </w:r>
          </w:p>
        </w:tc>
      </w:tr>
      <w:tr w14:paraId="0B136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4E2F6D7">
            <w:pPr>
              <w:spacing w:line="320" w:lineRule="exact"/>
              <w:ind w:left="-53" w:leftChars="-25" w:right="-53" w:rightChars="-25"/>
              <w:jc w:val="center"/>
              <w:rPr>
                <w:snapToGrid w:val="0"/>
                <w:kern w:val="0"/>
                <w:szCs w:val="21"/>
              </w:rPr>
            </w:pPr>
            <w:r>
              <w:rPr>
                <w:snapToGrid w:val="0"/>
                <w:kern w:val="0"/>
                <w:szCs w:val="21"/>
              </w:rPr>
              <w:t>pH值</w:t>
            </w:r>
          </w:p>
        </w:tc>
        <w:tc>
          <w:tcPr>
            <w:tcW w:w="635" w:type="pct"/>
            <w:vAlign w:val="center"/>
          </w:tcPr>
          <w:p w14:paraId="19FD09DB">
            <w:pPr>
              <w:spacing w:line="320" w:lineRule="exact"/>
              <w:ind w:left="-53" w:leftChars="-25" w:right="-53" w:rightChars="-25"/>
              <w:jc w:val="center"/>
              <w:rPr>
                <w:snapToGrid w:val="0"/>
                <w:kern w:val="0"/>
                <w:szCs w:val="21"/>
              </w:rPr>
            </w:pPr>
            <w:r>
              <w:rPr>
                <w:rFonts w:hint="eastAsia"/>
                <w:snapToGrid w:val="0"/>
                <w:kern w:val="0"/>
                <w:szCs w:val="21"/>
              </w:rPr>
              <w:t>6.</w:t>
            </w:r>
            <w:r>
              <w:rPr>
                <w:snapToGrid w:val="0"/>
                <w:kern w:val="0"/>
                <w:szCs w:val="21"/>
              </w:rPr>
              <w:t>5</w:t>
            </w:r>
            <w:r>
              <w:rPr>
                <w:rFonts w:hint="eastAsia"/>
                <w:snapToGrid w:val="0"/>
                <w:kern w:val="0"/>
                <w:szCs w:val="21"/>
              </w:rPr>
              <w:t>~</w:t>
            </w:r>
            <w:r>
              <w:rPr>
                <w:snapToGrid w:val="0"/>
                <w:kern w:val="0"/>
                <w:szCs w:val="21"/>
              </w:rPr>
              <w:t>8.5</w:t>
            </w:r>
          </w:p>
        </w:tc>
        <w:tc>
          <w:tcPr>
            <w:tcW w:w="1246" w:type="pct"/>
            <w:vAlign w:val="center"/>
          </w:tcPr>
          <w:p w14:paraId="7FEB4EF0">
            <w:pPr>
              <w:spacing w:line="320" w:lineRule="exact"/>
              <w:ind w:left="-53" w:leftChars="-25" w:right="-53" w:rightChars="-25"/>
              <w:jc w:val="center"/>
              <w:rPr>
                <w:snapToGrid w:val="0"/>
                <w:kern w:val="0"/>
                <w:szCs w:val="21"/>
              </w:rPr>
            </w:pPr>
            <w:r>
              <w:rPr>
                <w:rFonts w:hint="eastAsia"/>
                <w:snapToGrid w:val="0"/>
                <w:kern w:val="0"/>
                <w:szCs w:val="21"/>
              </w:rPr>
              <w:t>7.5</w:t>
            </w:r>
          </w:p>
        </w:tc>
        <w:tc>
          <w:tcPr>
            <w:tcW w:w="911" w:type="pct"/>
            <w:tcBorders>
              <w:top w:val="nil"/>
              <w:left w:val="nil"/>
              <w:bottom w:val="single" w:color="000000" w:sz="8" w:space="0"/>
              <w:right w:val="single" w:color="000000" w:sz="8" w:space="0"/>
            </w:tcBorders>
            <w:shd w:val="clear" w:color="auto" w:fill="auto"/>
            <w:vAlign w:val="center"/>
          </w:tcPr>
          <w:p w14:paraId="145EAE96">
            <w:pPr>
              <w:spacing w:line="320" w:lineRule="exact"/>
              <w:ind w:left="-53" w:leftChars="-25" w:right="-53" w:rightChars="-25"/>
              <w:jc w:val="center"/>
              <w:rPr>
                <w:snapToGrid w:val="0"/>
                <w:kern w:val="0"/>
                <w:szCs w:val="21"/>
              </w:rPr>
            </w:pPr>
            <w:r>
              <w:rPr>
                <w:szCs w:val="21"/>
              </w:rPr>
              <w:t xml:space="preserve">0.33 </w:t>
            </w:r>
          </w:p>
        </w:tc>
        <w:tc>
          <w:tcPr>
            <w:tcW w:w="1247" w:type="pct"/>
            <w:vAlign w:val="center"/>
          </w:tcPr>
          <w:p w14:paraId="3C43470A">
            <w:pPr>
              <w:spacing w:line="320" w:lineRule="exact"/>
              <w:ind w:left="-53" w:leftChars="-25" w:right="-53" w:rightChars="-25"/>
              <w:jc w:val="center"/>
              <w:rPr>
                <w:snapToGrid w:val="0"/>
                <w:kern w:val="0"/>
                <w:szCs w:val="21"/>
              </w:rPr>
            </w:pPr>
            <w:r>
              <w:rPr>
                <w:rFonts w:hint="eastAsia"/>
                <w:snapToGrid w:val="0"/>
                <w:kern w:val="0"/>
                <w:szCs w:val="21"/>
              </w:rPr>
              <w:t>达标</w:t>
            </w:r>
          </w:p>
        </w:tc>
      </w:tr>
      <w:tr w14:paraId="13FD1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5AC7ABC3">
            <w:pPr>
              <w:spacing w:line="320" w:lineRule="exact"/>
              <w:ind w:left="-53" w:leftChars="-25" w:right="-53" w:rightChars="-25"/>
              <w:jc w:val="center"/>
              <w:rPr>
                <w:snapToGrid w:val="0"/>
                <w:kern w:val="0"/>
                <w:szCs w:val="21"/>
              </w:rPr>
            </w:pPr>
            <w:r>
              <w:rPr>
                <w:snapToGrid w:val="0"/>
                <w:kern w:val="0"/>
                <w:szCs w:val="21"/>
              </w:rPr>
              <w:t>氨氮</w:t>
            </w:r>
          </w:p>
        </w:tc>
        <w:tc>
          <w:tcPr>
            <w:tcW w:w="635" w:type="pct"/>
            <w:vAlign w:val="center"/>
          </w:tcPr>
          <w:p w14:paraId="74F7D7AA">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.5</w:t>
            </w:r>
          </w:p>
        </w:tc>
        <w:tc>
          <w:tcPr>
            <w:tcW w:w="1246" w:type="pct"/>
            <w:vAlign w:val="center"/>
          </w:tcPr>
          <w:p w14:paraId="7BC7BE7F">
            <w:pPr>
              <w:spacing w:line="320" w:lineRule="exact"/>
              <w:ind w:left="-53" w:leftChars="-25" w:right="-53" w:rightChars="-25"/>
              <w:jc w:val="center"/>
              <w:rPr>
                <w:snapToGrid w:val="0"/>
                <w:kern w:val="0"/>
                <w:szCs w:val="21"/>
              </w:rPr>
            </w:pPr>
            <w:r>
              <w:rPr>
                <w:rFonts w:hint="eastAsia"/>
                <w:snapToGrid w:val="0"/>
                <w:kern w:val="0"/>
                <w:szCs w:val="21"/>
              </w:rPr>
              <w:t>0.094</w:t>
            </w:r>
          </w:p>
        </w:tc>
        <w:tc>
          <w:tcPr>
            <w:tcW w:w="911" w:type="pct"/>
            <w:tcBorders>
              <w:top w:val="nil"/>
              <w:left w:val="nil"/>
              <w:bottom w:val="single" w:color="000000" w:sz="8" w:space="0"/>
              <w:right w:val="single" w:color="000000" w:sz="8" w:space="0"/>
            </w:tcBorders>
            <w:shd w:val="clear" w:color="auto" w:fill="auto"/>
            <w:vAlign w:val="center"/>
          </w:tcPr>
          <w:p w14:paraId="526D897F">
            <w:pPr>
              <w:spacing w:line="320" w:lineRule="exact"/>
              <w:ind w:left="-53" w:leftChars="-25" w:right="-53" w:rightChars="-25"/>
              <w:jc w:val="center"/>
              <w:rPr>
                <w:snapToGrid w:val="0"/>
                <w:kern w:val="0"/>
                <w:szCs w:val="21"/>
              </w:rPr>
            </w:pPr>
            <w:r>
              <w:rPr>
                <w:szCs w:val="21"/>
              </w:rPr>
              <w:t xml:space="preserve">0.19 </w:t>
            </w:r>
          </w:p>
        </w:tc>
        <w:tc>
          <w:tcPr>
            <w:tcW w:w="1247" w:type="pct"/>
            <w:vAlign w:val="center"/>
          </w:tcPr>
          <w:p w14:paraId="4F12A893">
            <w:pPr>
              <w:spacing w:line="320" w:lineRule="exact"/>
              <w:ind w:left="-53" w:leftChars="-25" w:right="-53" w:rightChars="-25"/>
              <w:jc w:val="center"/>
              <w:rPr>
                <w:snapToGrid w:val="0"/>
                <w:kern w:val="0"/>
                <w:szCs w:val="21"/>
              </w:rPr>
            </w:pPr>
            <w:r>
              <w:rPr>
                <w:rFonts w:hint="eastAsia"/>
                <w:snapToGrid w:val="0"/>
                <w:kern w:val="0"/>
                <w:szCs w:val="21"/>
              </w:rPr>
              <w:t>达标</w:t>
            </w:r>
          </w:p>
        </w:tc>
      </w:tr>
      <w:tr w14:paraId="4E6D2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6E67EBB">
            <w:pPr>
              <w:spacing w:line="320" w:lineRule="exact"/>
              <w:ind w:left="-53" w:leftChars="-25" w:right="-53" w:rightChars="-25"/>
              <w:jc w:val="center"/>
              <w:rPr>
                <w:snapToGrid w:val="0"/>
                <w:kern w:val="0"/>
                <w:szCs w:val="21"/>
              </w:rPr>
            </w:pPr>
            <w:r>
              <w:rPr>
                <w:snapToGrid w:val="0"/>
                <w:kern w:val="0"/>
                <w:szCs w:val="21"/>
              </w:rPr>
              <w:t>亚硝酸盐</w:t>
            </w:r>
          </w:p>
        </w:tc>
        <w:tc>
          <w:tcPr>
            <w:tcW w:w="635" w:type="pct"/>
            <w:vAlign w:val="center"/>
          </w:tcPr>
          <w:p w14:paraId="482790A0">
            <w:pPr>
              <w:spacing w:line="320" w:lineRule="exact"/>
              <w:ind w:left="-53" w:leftChars="-25" w:right="-53" w:rightChars="-25"/>
              <w:jc w:val="center"/>
              <w:rPr>
                <w:snapToGrid w:val="0"/>
                <w:kern w:val="0"/>
                <w:szCs w:val="21"/>
              </w:rPr>
            </w:pPr>
            <w:r>
              <w:rPr>
                <w:rFonts w:hint="eastAsia"/>
                <w:snapToGrid w:val="0"/>
                <w:kern w:val="0"/>
                <w:szCs w:val="21"/>
              </w:rPr>
              <w:t>1</w:t>
            </w:r>
          </w:p>
        </w:tc>
        <w:tc>
          <w:tcPr>
            <w:tcW w:w="1246" w:type="pct"/>
            <w:vAlign w:val="center"/>
          </w:tcPr>
          <w:p w14:paraId="4F5D633F">
            <w:pPr>
              <w:spacing w:line="320" w:lineRule="exact"/>
              <w:ind w:left="-53" w:leftChars="-25" w:right="-53" w:rightChars="-25"/>
              <w:jc w:val="center"/>
              <w:rPr>
                <w:snapToGrid w:val="0"/>
                <w:kern w:val="0"/>
                <w:szCs w:val="21"/>
              </w:rPr>
            </w:pPr>
            <w:r>
              <w:rPr>
                <w:rFonts w:hint="eastAsia"/>
                <w:snapToGrid w:val="0"/>
                <w:kern w:val="0"/>
                <w:szCs w:val="21"/>
              </w:rPr>
              <w:t>0.006</w:t>
            </w:r>
          </w:p>
        </w:tc>
        <w:tc>
          <w:tcPr>
            <w:tcW w:w="911" w:type="pct"/>
            <w:tcBorders>
              <w:top w:val="nil"/>
              <w:left w:val="nil"/>
              <w:bottom w:val="single" w:color="000000" w:sz="8" w:space="0"/>
              <w:right w:val="single" w:color="000000" w:sz="8" w:space="0"/>
            </w:tcBorders>
            <w:shd w:val="clear" w:color="auto" w:fill="auto"/>
            <w:vAlign w:val="center"/>
          </w:tcPr>
          <w:p w14:paraId="333D0C1A">
            <w:pPr>
              <w:spacing w:line="320" w:lineRule="exact"/>
              <w:ind w:left="-53" w:leftChars="-25" w:right="-53" w:rightChars="-25"/>
              <w:jc w:val="center"/>
              <w:rPr>
                <w:snapToGrid w:val="0"/>
                <w:kern w:val="0"/>
                <w:szCs w:val="21"/>
              </w:rPr>
            </w:pPr>
            <w:r>
              <w:rPr>
                <w:szCs w:val="21"/>
              </w:rPr>
              <w:t xml:space="preserve">0.01 </w:t>
            </w:r>
          </w:p>
        </w:tc>
        <w:tc>
          <w:tcPr>
            <w:tcW w:w="1247" w:type="pct"/>
            <w:vAlign w:val="center"/>
          </w:tcPr>
          <w:p w14:paraId="187046EC">
            <w:pPr>
              <w:spacing w:line="320" w:lineRule="exact"/>
              <w:ind w:left="-53" w:leftChars="-25" w:right="-53" w:rightChars="-25"/>
              <w:jc w:val="center"/>
              <w:rPr>
                <w:snapToGrid w:val="0"/>
                <w:kern w:val="0"/>
                <w:szCs w:val="21"/>
              </w:rPr>
            </w:pPr>
            <w:r>
              <w:rPr>
                <w:rFonts w:hint="eastAsia"/>
                <w:snapToGrid w:val="0"/>
                <w:kern w:val="0"/>
                <w:szCs w:val="21"/>
              </w:rPr>
              <w:t>达标</w:t>
            </w:r>
          </w:p>
        </w:tc>
      </w:tr>
      <w:tr w14:paraId="6179C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51B17614">
            <w:pPr>
              <w:spacing w:line="320" w:lineRule="exact"/>
              <w:ind w:left="-53" w:leftChars="-25" w:right="-53" w:rightChars="-25"/>
              <w:jc w:val="center"/>
              <w:rPr>
                <w:snapToGrid w:val="0"/>
                <w:kern w:val="0"/>
                <w:szCs w:val="21"/>
              </w:rPr>
            </w:pPr>
            <w:r>
              <w:rPr>
                <w:snapToGrid w:val="0"/>
                <w:kern w:val="0"/>
                <w:szCs w:val="21"/>
              </w:rPr>
              <w:t>挥发酚</w:t>
            </w:r>
          </w:p>
        </w:tc>
        <w:tc>
          <w:tcPr>
            <w:tcW w:w="635" w:type="pct"/>
            <w:vAlign w:val="center"/>
          </w:tcPr>
          <w:p w14:paraId="1455747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.002</w:t>
            </w:r>
          </w:p>
        </w:tc>
        <w:tc>
          <w:tcPr>
            <w:tcW w:w="1246" w:type="pct"/>
            <w:vAlign w:val="center"/>
          </w:tcPr>
          <w:p w14:paraId="6D590F31">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777110B9">
            <w:pPr>
              <w:spacing w:line="320" w:lineRule="exact"/>
              <w:ind w:left="-53" w:leftChars="-25" w:right="-53" w:rightChars="-25"/>
              <w:jc w:val="center"/>
              <w:rPr>
                <w:snapToGrid w:val="0"/>
                <w:kern w:val="0"/>
                <w:szCs w:val="21"/>
              </w:rPr>
            </w:pPr>
            <w:r>
              <w:rPr>
                <w:szCs w:val="21"/>
              </w:rPr>
              <w:t>0</w:t>
            </w:r>
          </w:p>
        </w:tc>
        <w:tc>
          <w:tcPr>
            <w:tcW w:w="1247" w:type="pct"/>
            <w:vAlign w:val="center"/>
          </w:tcPr>
          <w:p w14:paraId="0944457C">
            <w:pPr>
              <w:spacing w:line="320" w:lineRule="exact"/>
              <w:ind w:left="-53" w:leftChars="-25" w:right="-53" w:rightChars="-25"/>
              <w:jc w:val="center"/>
              <w:rPr>
                <w:snapToGrid w:val="0"/>
                <w:kern w:val="0"/>
                <w:szCs w:val="21"/>
              </w:rPr>
            </w:pPr>
            <w:r>
              <w:rPr>
                <w:rFonts w:hint="eastAsia"/>
                <w:snapToGrid w:val="0"/>
                <w:kern w:val="0"/>
                <w:szCs w:val="21"/>
              </w:rPr>
              <w:t>达标</w:t>
            </w:r>
          </w:p>
        </w:tc>
      </w:tr>
      <w:tr w14:paraId="48C51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9383A73">
            <w:pPr>
              <w:spacing w:line="320" w:lineRule="exact"/>
              <w:ind w:left="-53" w:leftChars="-25" w:right="-53" w:rightChars="-25"/>
              <w:jc w:val="center"/>
              <w:rPr>
                <w:snapToGrid w:val="0"/>
                <w:kern w:val="0"/>
                <w:szCs w:val="21"/>
              </w:rPr>
            </w:pPr>
            <w:r>
              <w:rPr>
                <w:snapToGrid w:val="0"/>
                <w:kern w:val="0"/>
                <w:szCs w:val="21"/>
              </w:rPr>
              <w:t>氰化物</w:t>
            </w:r>
          </w:p>
        </w:tc>
        <w:tc>
          <w:tcPr>
            <w:tcW w:w="635" w:type="pct"/>
            <w:vAlign w:val="center"/>
          </w:tcPr>
          <w:p w14:paraId="5D7481B9">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1246" w:type="pct"/>
            <w:vAlign w:val="center"/>
          </w:tcPr>
          <w:p w14:paraId="26733E98">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5524F47B">
            <w:pPr>
              <w:spacing w:line="320" w:lineRule="exact"/>
              <w:ind w:left="-53" w:leftChars="-25" w:right="-53" w:rightChars="-25"/>
              <w:jc w:val="center"/>
              <w:rPr>
                <w:snapToGrid w:val="0"/>
                <w:kern w:val="0"/>
                <w:szCs w:val="21"/>
              </w:rPr>
            </w:pPr>
            <w:r>
              <w:rPr>
                <w:szCs w:val="21"/>
              </w:rPr>
              <w:t>0</w:t>
            </w:r>
          </w:p>
        </w:tc>
        <w:tc>
          <w:tcPr>
            <w:tcW w:w="1247" w:type="pct"/>
            <w:vAlign w:val="center"/>
          </w:tcPr>
          <w:p w14:paraId="424FC532">
            <w:pPr>
              <w:spacing w:line="320" w:lineRule="exact"/>
              <w:ind w:left="-53" w:leftChars="-25" w:right="-53" w:rightChars="-25"/>
              <w:jc w:val="center"/>
              <w:rPr>
                <w:snapToGrid w:val="0"/>
                <w:kern w:val="0"/>
                <w:szCs w:val="21"/>
              </w:rPr>
            </w:pPr>
            <w:r>
              <w:rPr>
                <w:rFonts w:hint="eastAsia"/>
                <w:snapToGrid w:val="0"/>
                <w:kern w:val="0"/>
                <w:szCs w:val="21"/>
              </w:rPr>
              <w:t>达标</w:t>
            </w:r>
          </w:p>
        </w:tc>
      </w:tr>
      <w:tr w14:paraId="44D14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0ED871BF">
            <w:pPr>
              <w:spacing w:line="320" w:lineRule="exact"/>
              <w:ind w:left="-53" w:leftChars="-25" w:right="-53" w:rightChars="-25"/>
              <w:jc w:val="center"/>
              <w:rPr>
                <w:snapToGrid w:val="0"/>
                <w:kern w:val="0"/>
                <w:szCs w:val="21"/>
              </w:rPr>
            </w:pPr>
            <w:r>
              <w:rPr>
                <w:snapToGrid w:val="0"/>
                <w:kern w:val="0"/>
                <w:szCs w:val="21"/>
              </w:rPr>
              <w:t>总硬度</w:t>
            </w:r>
          </w:p>
        </w:tc>
        <w:tc>
          <w:tcPr>
            <w:tcW w:w="635" w:type="pct"/>
            <w:vAlign w:val="center"/>
          </w:tcPr>
          <w:p w14:paraId="0EC97E21">
            <w:pPr>
              <w:spacing w:line="320" w:lineRule="exact"/>
              <w:ind w:left="-53" w:leftChars="-25" w:right="-53" w:rightChars="-25"/>
              <w:jc w:val="center"/>
              <w:rPr>
                <w:snapToGrid w:val="0"/>
                <w:kern w:val="0"/>
                <w:szCs w:val="21"/>
              </w:rPr>
            </w:pPr>
            <w:r>
              <w:rPr>
                <w:rFonts w:hint="eastAsia"/>
                <w:snapToGrid w:val="0"/>
                <w:kern w:val="0"/>
                <w:szCs w:val="21"/>
              </w:rPr>
              <w:t>4</w:t>
            </w:r>
            <w:r>
              <w:rPr>
                <w:snapToGrid w:val="0"/>
                <w:kern w:val="0"/>
                <w:szCs w:val="21"/>
              </w:rPr>
              <w:t>50</w:t>
            </w:r>
          </w:p>
        </w:tc>
        <w:tc>
          <w:tcPr>
            <w:tcW w:w="1246" w:type="pct"/>
            <w:vAlign w:val="center"/>
          </w:tcPr>
          <w:p w14:paraId="3F3F71E1">
            <w:pPr>
              <w:spacing w:line="320" w:lineRule="exact"/>
              <w:ind w:left="-53" w:leftChars="-25" w:right="-53" w:rightChars="-25"/>
              <w:jc w:val="center"/>
              <w:rPr>
                <w:snapToGrid w:val="0"/>
                <w:kern w:val="0"/>
                <w:szCs w:val="21"/>
              </w:rPr>
            </w:pPr>
            <w:r>
              <w:rPr>
                <w:rFonts w:hint="eastAsia"/>
                <w:snapToGrid w:val="0"/>
                <w:kern w:val="0"/>
                <w:szCs w:val="21"/>
              </w:rPr>
              <w:t>101</w:t>
            </w:r>
          </w:p>
        </w:tc>
        <w:tc>
          <w:tcPr>
            <w:tcW w:w="911" w:type="pct"/>
            <w:tcBorders>
              <w:top w:val="nil"/>
              <w:left w:val="nil"/>
              <w:bottom w:val="single" w:color="000000" w:sz="8" w:space="0"/>
              <w:right w:val="single" w:color="000000" w:sz="8" w:space="0"/>
            </w:tcBorders>
            <w:shd w:val="clear" w:color="auto" w:fill="auto"/>
            <w:vAlign w:val="center"/>
          </w:tcPr>
          <w:p w14:paraId="7789C6C3">
            <w:pPr>
              <w:spacing w:line="320" w:lineRule="exact"/>
              <w:ind w:left="-53" w:leftChars="-25" w:right="-53" w:rightChars="-25"/>
              <w:jc w:val="center"/>
              <w:rPr>
                <w:snapToGrid w:val="0"/>
                <w:kern w:val="0"/>
                <w:szCs w:val="21"/>
              </w:rPr>
            </w:pPr>
            <w:r>
              <w:rPr>
                <w:szCs w:val="21"/>
              </w:rPr>
              <w:t xml:space="preserve">0.22 </w:t>
            </w:r>
          </w:p>
        </w:tc>
        <w:tc>
          <w:tcPr>
            <w:tcW w:w="1247" w:type="pct"/>
            <w:vAlign w:val="center"/>
          </w:tcPr>
          <w:p w14:paraId="7E1F0F73">
            <w:pPr>
              <w:spacing w:line="320" w:lineRule="exact"/>
              <w:ind w:left="-53" w:leftChars="-25" w:right="-53" w:rightChars="-25"/>
              <w:jc w:val="center"/>
              <w:rPr>
                <w:snapToGrid w:val="0"/>
                <w:kern w:val="0"/>
                <w:szCs w:val="21"/>
              </w:rPr>
            </w:pPr>
            <w:r>
              <w:rPr>
                <w:rFonts w:hint="eastAsia"/>
                <w:snapToGrid w:val="0"/>
                <w:kern w:val="0"/>
                <w:szCs w:val="21"/>
              </w:rPr>
              <w:t>达标</w:t>
            </w:r>
          </w:p>
        </w:tc>
      </w:tr>
      <w:tr w14:paraId="63326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0BA34EF4">
            <w:pPr>
              <w:spacing w:line="320" w:lineRule="exact"/>
              <w:ind w:left="-53" w:leftChars="-25" w:right="-53" w:rightChars="-25"/>
              <w:jc w:val="center"/>
              <w:rPr>
                <w:snapToGrid w:val="0"/>
                <w:kern w:val="0"/>
                <w:szCs w:val="21"/>
              </w:rPr>
            </w:pPr>
            <w:r>
              <w:rPr>
                <w:snapToGrid w:val="0"/>
                <w:kern w:val="0"/>
                <w:szCs w:val="21"/>
              </w:rPr>
              <w:t>溶解性总固体</w:t>
            </w:r>
          </w:p>
        </w:tc>
        <w:tc>
          <w:tcPr>
            <w:tcW w:w="635" w:type="pct"/>
            <w:vAlign w:val="center"/>
          </w:tcPr>
          <w:p w14:paraId="486CAF6A">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000</w:t>
            </w:r>
          </w:p>
        </w:tc>
        <w:tc>
          <w:tcPr>
            <w:tcW w:w="1246" w:type="pct"/>
            <w:vAlign w:val="center"/>
          </w:tcPr>
          <w:p w14:paraId="1839662E">
            <w:pPr>
              <w:spacing w:line="320" w:lineRule="exact"/>
              <w:ind w:left="-53" w:leftChars="-25" w:right="-53" w:rightChars="-25"/>
              <w:jc w:val="center"/>
              <w:rPr>
                <w:snapToGrid w:val="0"/>
                <w:kern w:val="0"/>
                <w:szCs w:val="21"/>
              </w:rPr>
            </w:pPr>
            <w:r>
              <w:rPr>
                <w:rFonts w:hint="eastAsia"/>
                <w:snapToGrid w:val="0"/>
                <w:kern w:val="0"/>
                <w:szCs w:val="21"/>
              </w:rPr>
              <w:t>287</w:t>
            </w:r>
          </w:p>
        </w:tc>
        <w:tc>
          <w:tcPr>
            <w:tcW w:w="911" w:type="pct"/>
            <w:tcBorders>
              <w:top w:val="nil"/>
              <w:left w:val="nil"/>
              <w:bottom w:val="single" w:color="000000" w:sz="8" w:space="0"/>
              <w:right w:val="single" w:color="000000" w:sz="8" w:space="0"/>
            </w:tcBorders>
            <w:shd w:val="clear" w:color="auto" w:fill="auto"/>
            <w:vAlign w:val="center"/>
          </w:tcPr>
          <w:p w14:paraId="6E84E7E0">
            <w:pPr>
              <w:spacing w:line="320" w:lineRule="exact"/>
              <w:ind w:left="-53" w:leftChars="-25" w:right="-53" w:rightChars="-25"/>
              <w:jc w:val="center"/>
              <w:rPr>
                <w:snapToGrid w:val="0"/>
                <w:kern w:val="0"/>
                <w:szCs w:val="21"/>
              </w:rPr>
            </w:pPr>
            <w:r>
              <w:rPr>
                <w:szCs w:val="21"/>
              </w:rPr>
              <w:t xml:space="preserve">0.29 </w:t>
            </w:r>
          </w:p>
        </w:tc>
        <w:tc>
          <w:tcPr>
            <w:tcW w:w="1247" w:type="pct"/>
            <w:vAlign w:val="center"/>
          </w:tcPr>
          <w:p w14:paraId="379CE43E">
            <w:pPr>
              <w:spacing w:line="320" w:lineRule="exact"/>
              <w:ind w:left="-53" w:leftChars="-25" w:right="-53" w:rightChars="-25"/>
              <w:jc w:val="center"/>
              <w:rPr>
                <w:snapToGrid w:val="0"/>
                <w:kern w:val="0"/>
                <w:szCs w:val="21"/>
              </w:rPr>
            </w:pPr>
            <w:r>
              <w:rPr>
                <w:rFonts w:hint="eastAsia"/>
                <w:snapToGrid w:val="0"/>
                <w:kern w:val="0"/>
                <w:szCs w:val="21"/>
              </w:rPr>
              <w:t>达标</w:t>
            </w:r>
          </w:p>
        </w:tc>
      </w:tr>
      <w:tr w14:paraId="2EF05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006F7AEC">
            <w:pPr>
              <w:spacing w:line="320" w:lineRule="exact"/>
              <w:ind w:left="-53" w:leftChars="-25" w:right="-53" w:rightChars="-25"/>
              <w:jc w:val="center"/>
              <w:rPr>
                <w:snapToGrid w:val="0"/>
                <w:kern w:val="0"/>
                <w:szCs w:val="21"/>
              </w:rPr>
            </w:pPr>
            <w:r>
              <w:rPr>
                <w:rFonts w:hint="eastAsia"/>
                <w:snapToGrid w:val="0"/>
                <w:kern w:val="0"/>
                <w:szCs w:val="21"/>
              </w:rPr>
              <w:t>高锰酸盐指数</w:t>
            </w:r>
          </w:p>
        </w:tc>
        <w:tc>
          <w:tcPr>
            <w:tcW w:w="635" w:type="pct"/>
            <w:vAlign w:val="center"/>
          </w:tcPr>
          <w:p w14:paraId="5A2A9620">
            <w:pPr>
              <w:spacing w:line="320" w:lineRule="exact"/>
              <w:ind w:left="-53" w:leftChars="-25" w:right="-53" w:rightChars="-25"/>
              <w:jc w:val="center"/>
              <w:rPr>
                <w:snapToGrid w:val="0"/>
                <w:kern w:val="0"/>
                <w:szCs w:val="21"/>
              </w:rPr>
            </w:pPr>
            <w:r>
              <w:rPr>
                <w:rFonts w:hint="eastAsia"/>
                <w:snapToGrid w:val="0"/>
                <w:kern w:val="0"/>
                <w:szCs w:val="21"/>
              </w:rPr>
              <w:t>3</w:t>
            </w:r>
          </w:p>
        </w:tc>
        <w:tc>
          <w:tcPr>
            <w:tcW w:w="1246" w:type="pct"/>
            <w:vAlign w:val="center"/>
          </w:tcPr>
          <w:p w14:paraId="01136E74">
            <w:pPr>
              <w:spacing w:line="320" w:lineRule="exact"/>
              <w:ind w:left="-53" w:leftChars="-25" w:right="-53" w:rightChars="-25"/>
              <w:jc w:val="center"/>
              <w:rPr>
                <w:snapToGrid w:val="0"/>
                <w:kern w:val="0"/>
                <w:szCs w:val="21"/>
              </w:rPr>
            </w:pPr>
            <w:r>
              <w:rPr>
                <w:rFonts w:hint="eastAsia"/>
                <w:snapToGrid w:val="0"/>
                <w:kern w:val="0"/>
                <w:szCs w:val="21"/>
              </w:rPr>
              <w:t>0.67</w:t>
            </w:r>
          </w:p>
        </w:tc>
        <w:tc>
          <w:tcPr>
            <w:tcW w:w="911" w:type="pct"/>
            <w:tcBorders>
              <w:top w:val="nil"/>
              <w:left w:val="nil"/>
              <w:bottom w:val="single" w:color="000000" w:sz="8" w:space="0"/>
              <w:right w:val="single" w:color="000000" w:sz="8" w:space="0"/>
            </w:tcBorders>
            <w:shd w:val="clear" w:color="auto" w:fill="auto"/>
            <w:vAlign w:val="center"/>
          </w:tcPr>
          <w:p w14:paraId="7AEFC614">
            <w:pPr>
              <w:spacing w:line="320" w:lineRule="exact"/>
              <w:ind w:left="-53" w:leftChars="-25" w:right="-53" w:rightChars="-25"/>
              <w:jc w:val="center"/>
              <w:rPr>
                <w:snapToGrid w:val="0"/>
                <w:kern w:val="0"/>
                <w:szCs w:val="21"/>
              </w:rPr>
            </w:pPr>
            <w:r>
              <w:rPr>
                <w:szCs w:val="21"/>
              </w:rPr>
              <w:t xml:space="preserve">0.22 </w:t>
            </w:r>
          </w:p>
        </w:tc>
        <w:tc>
          <w:tcPr>
            <w:tcW w:w="1247" w:type="pct"/>
            <w:vAlign w:val="center"/>
          </w:tcPr>
          <w:p w14:paraId="2DD727CD">
            <w:pPr>
              <w:spacing w:line="320" w:lineRule="exact"/>
              <w:ind w:left="-53" w:leftChars="-25" w:right="-53" w:rightChars="-25"/>
              <w:jc w:val="center"/>
              <w:rPr>
                <w:snapToGrid w:val="0"/>
                <w:kern w:val="0"/>
                <w:szCs w:val="21"/>
              </w:rPr>
            </w:pPr>
            <w:r>
              <w:rPr>
                <w:rFonts w:hint="eastAsia"/>
                <w:snapToGrid w:val="0"/>
                <w:kern w:val="0"/>
                <w:szCs w:val="21"/>
              </w:rPr>
              <w:t>达标</w:t>
            </w:r>
          </w:p>
        </w:tc>
      </w:tr>
      <w:tr w14:paraId="1339A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37CFEEA2">
            <w:pPr>
              <w:spacing w:line="320" w:lineRule="exact"/>
              <w:ind w:left="-53" w:leftChars="-25" w:right="-53" w:rightChars="-25"/>
              <w:jc w:val="center"/>
              <w:rPr>
                <w:snapToGrid w:val="0"/>
                <w:kern w:val="0"/>
                <w:szCs w:val="21"/>
              </w:rPr>
            </w:pPr>
            <w:r>
              <w:rPr>
                <w:snapToGrid w:val="0"/>
                <w:kern w:val="0"/>
                <w:szCs w:val="21"/>
              </w:rPr>
              <w:t>氟化物</w:t>
            </w:r>
          </w:p>
        </w:tc>
        <w:tc>
          <w:tcPr>
            <w:tcW w:w="635" w:type="pct"/>
            <w:vAlign w:val="center"/>
          </w:tcPr>
          <w:p w14:paraId="5A6980D8">
            <w:pPr>
              <w:spacing w:line="320" w:lineRule="exact"/>
              <w:ind w:left="-53" w:leftChars="-25" w:right="-53" w:rightChars="-25"/>
              <w:jc w:val="center"/>
              <w:rPr>
                <w:snapToGrid w:val="0"/>
                <w:kern w:val="0"/>
                <w:szCs w:val="21"/>
              </w:rPr>
            </w:pPr>
            <w:r>
              <w:rPr>
                <w:rFonts w:hint="eastAsia"/>
                <w:snapToGrid w:val="0"/>
                <w:kern w:val="0"/>
                <w:szCs w:val="21"/>
              </w:rPr>
              <w:t>1</w:t>
            </w:r>
          </w:p>
        </w:tc>
        <w:tc>
          <w:tcPr>
            <w:tcW w:w="1246" w:type="pct"/>
            <w:vAlign w:val="center"/>
          </w:tcPr>
          <w:p w14:paraId="39066855">
            <w:pPr>
              <w:spacing w:line="320" w:lineRule="exact"/>
              <w:ind w:left="-53" w:leftChars="-25" w:right="-53" w:rightChars="-25"/>
              <w:jc w:val="center"/>
              <w:rPr>
                <w:snapToGrid w:val="0"/>
                <w:kern w:val="0"/>
                <w:szCs w:val="21"/>
              </w:rPr>
            </w:pPr>
            <w:r>
              <w:rPr>
                <w:rFonts w:hint="eastAsia"/>
                <w:snapToGrid w:val="0"/>
                <w:kern w:val="0"/>
                <w:szCs w:val="21"/>
              </w:rPr>
              <w:t>0.977</w:t>
            </w:r>
          </w:p>
        </w:tc>
        <w:tc>
          <w:tcPr>
            <w:tcW w:w="911" w:type="pct"/>
            <w:tcBorders>
              <w:top w:val="nil"/>
              <w:left w:val="nil"/>
              <w:bottom w:val="single" w:color="000000" w:sz="8" w:space="0"/>
              <w:right w:val="single" w:color="000000" w:sz="8" w:space="0"/>
            </w:tcBorders>
            <w:shd w:val="clear" w:color="auto" w:fill="auto"/>
            <w:vAlign w:val="center"/>
          </w:tcPr>
          <w:p w14:paraId="0ACF4F1A">
            <w:pPr>
              <w:spacing w:line="320" w:lineRule="exact"/>
              <w:ind w:left="-53" w:leftChars="-25" w:right="-53" w:rightChars="-25"/>
              <w:jc w:val="center"/>
              <w:rPr>
                <w:snapToGrid w:val="0"/>
                <w:kern w:val="0"/>
                <w:szCs w:val="21"/>
              </w:rPr>
            </w:pPr>
            <w:r>
              <w:rPr>
                <w:szCs w:val="21"/>
              </w:rPr>
              <w:t xml:space="preserve">0.98 </w:t>
            </w:r>
          </w:p>
        </w:tc>
        <w:tc>
          <w:tcPr>
            <w:tcW w:w="1247" w:type="pct"/>
            <w:vAlign w:val="center"/>
          </w:tcPr>
          <w:p w14:paraId="47678B52">
            <w:pPr>
              <w:spacing w:line="320" w:lineRule="exact"/>
              <w:ind w:left="-53" w:leftChars="-25" w:right="-53" w:rightChars="-25"/>
              <w:jc w:val="center"/>
              <w:rPr>
                <w:snapToGrid w:val="0"/>
                <w:kern w:val="0"/>
                <w:szCs w:val="21"/>
              </w:rPr>
            </w:pPr>
            <w:r>
              <w:rPr>
                <w:rFonts w:hint="eastAsia"/>
                <w:snapToGrid w:val="0"/>
                <w:kern w:val="0"/>
                <w:szCs w:val="21"/>
              </w:rPr>
              <w:t>达标</w:t>
            </w:r>
          </w:p>
        </w:tc>
      </w:tr>
      <w:tr w14:paraId="3810B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0CC69EC">
            <w:pPr>
              <w:spacing w:line="320" w:lineRule="exact"/>
              <w:ind w:left="-53" w:leftChars="-25" w:right="-53" w:rightChars="-25"/>
              <w:jc w:val="center"/>
              <w:rPr>
                <w:snapToGrid w:val="0"/>
                <w:kern w:val="0"/>
                <w:szCs w:val="21"/>
              </w:rPr>
            </w:pPr>
            <w:r>
              <w:rPr>
                <w:snapToGrid w:val="0"/>
                <w:kern w:val="0"/>
                <w:szCs w:val="21"/>
              </w:rPr>
              <w:t>氯化物</w:t>
            </w:r>
          </w:p>
        </w:tc>
        <w:tc>
          <w:tcPr>
            <w:tcW w:w="635" w:type="pct"/>
            <w:vAlign w:val="center"/>
          </w:tcPr>
          <w:p w14:paraId="6F01B983">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1246" w:type="pct"/>
            <w:vAlign w:val="center"/>
          </w:tcPr>
          <w:p w14:paraId="011FB027">
            <w:pPr>
              <w:spacing w:line="320" w:lineRule="exact"/>
              <w:ind w:left="-53" w:leftChars="-25" w:right="-53" w:rightChars="-25"/>
              <w:jc w:val="center"/>
              <w:rPr>
                <w:snapToGrid w:val="0"/>
                <w:kern w:val="0"/>
                <w:szCs w:val="21"/>
              </w:rPr>
            </w:pPr>
            <w:r>
              <w:rPr>
                <w:rFonts w:hint="eastAsia"/>
                <w:snapToGrid w:val="0"/>
                <w:kern w:val="0"/>
                <w:szCs w:val="21"/>
              </w:rPr>
              <w:t>5.80</w:t>
            </w:r>
          </w:p>
        </w:tc>
        <w:tc>
          <w:tcPr>
            <w:tcW w:w="911" w:type="pct"/>
            <w:tcBorders>
              <w:top w:val="nil"/>
              <w:left w:val="nil"/>
              <w:bottom w:val="single" w:color="000000" w:sz="8" w:space="0"/>
              <w:right w:val="single" w:color="000000" w:sz="8" w:space="0"/>
            </w:tcBorders>
            <w:shd w:val="clear" w:color="auto" w:fill="auto"/>
            <w:vAlign w:val="center"/>
          </w:tcPr>
          <w:p w14:paraId="4C524E24">
            <w:pPr>
              <w:spacing w:line="320" w:lineRule="exact"/>
              <w:ind w:left="-53" w:leftChars="-25" w:right="-53" w:rightChars="-25"/>
              <w:jc w:val="center"/>
              <w:rPr>
                <w:snapToGrid w:val="0"/>
                <w:kern w:val="0"/>
                <w:szCs w:val="21"/>
              </w:rPr>
            </w:pPr>
            <w:r>
              <w:rPr>
                <w:szCs w:val="21"/>
              </w:rPr>
              <w:t xml:space="preserve">0.02 </w:t>
            </w:r>
          </w:p>
        </w:tc>
        <w:tc>
          <w:tcPr>
            <w:tcW w:w="1247" w:type="pct"/>
            <w:vAlign w:val="center"/>
          </w:tcPr>
          <w:p w14:paraId="0EAA5B24">
            <w:pPr>
              <w:spacing w:line="320" w:lineRule="exact"/>
              <w:ind w:left="-53" w:leftChars="-25" w:right="-53" w:rightChars="-25"/>
              <w:jc w:val="center"/>
              <w:rPr>
                <w:snapToGrid w:val="0"/>
                <w:kern w:val="0"/>
                <w:szCs w:val="21"/>
              </w:rPr>
            </w:pPr>
            <w:r>
              <w:rPr>
                <w:rFonts w:hint="eastAsia"/>
                <w:snapToGrid w:val="0"/>
                <w:kern w:val="0"/>
                <w:szCs w:val="21"/>
              </w:rPr>
              <w:t>达标</w:t>
            </w:r>
          </w:p>
        </w:tc>
      </w:tr>
      <w:tr w14:paraId="607BB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1EBEC6D3">
            <w:pPr>
              <w:spacing w:line="320" w:lineRule="exact"/>
              <w:ind w:left="-53" w:leftChars="-25" w:right="-53" w:rightChars="-25"/>
              <w:jc w:val="center"/>
              <w:rPr>
                <w:snapToGrid w:val="0"/>
                <w:kern w:val="0"/>
                <w:szCs w:val="21"/>
              </w:rPr>
            </w:pPr>
            <w:r>
              <w:rPr>
                <w:snapToGrid w:val="0"/>
                <w:kern w:val="0"/>
                <w:szCs w:val="21"/>
              </w:rPr>
              <w:t>硝酸盐</w:t>
            </w:r>
          </w:p>
        </w:tc>
        <w:tc>
          <w:tcPr>
            <w:tcW w:w="635" w:type="pct"/>
            <w:vAlign w:val="center"/>
          </w:tcPr>
          <w:p w14:paraId="1F5E78EF">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0</w:t>
            </w:r>
          </w:p>
        </w:tc>
        <w:tc>
          <w:tcPr>
            <w:tcW w:w="1246" w:type="pct"/>
            <w:vAlign w:val="center"/>
          </w:tcPr>
          <w:p w14:paraId="3A438811">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684CFD13">
            <w:pPr>
              <w:spacing w:line="320" w:lineRule="exact"/>
              <w:ind w:left="-53" w:leftChars="-25" w:right="-53" w:rightChars="-25"/>
              <w:jc w:val="center"/>
              <w:rPr>
                <w:snapToGrid w:val="0"/>
                <w:kern w:val="0"/>
                <w:szCs w:val="21"/>
              </w:rPr>
            </w:pPr>
            <w:r>
              <w:rPr>
                <w:szCs w:val="21"/>
              </w:rPr>
              <w:t>0</w:t>
            </w:r>
          </w:p>
        </w:tc>
        <w:tc>
          <w:tcPr>
            <w:tcW w:w="1247" w:type="pct"/>
            <w:vAlign w:val="center"/>
          </w:tcPr>
          <w:p w14:paraId="02011ABE">
            <w:pPr>
              <w:spacing w:line="320" w:lineRule="exact"/>
              <w:ind w:left="-53" w:leftChars="-25" w:right="-53" w:rightChars="-25"/>
              <w:jc w:val="center"/>
              <w:rPr>
                <w:snapToGrid w:val="0"/>
                <w:kern w:val="0"/>
                <w:szCs w:val="21"/>
              </w:rPr>
            </w:pPr>
            <w:r>
              <w:rPr>
                <w:rFonts w:hint="eastAsia"/>
                <w:snapToGrid w:val="0"/>
                <w:kern w:val="0"/>
                <w:szCs w:val="21"/>
              </w:rPr>
              <w:t>达标</w:t>
            </w:r>
          </w:p>
        </w:tc>
      </w:tr>
      <w:tr w14:paraId="66622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15AF8273">
            <w:pPr>
              <w:spacing w:line="320" w:lineRule="exact"/>
              <w:ind w:left="-53" w:leftChars="-25" w:right="-53" w:rightChars="-25"/>
              <w:jc w:val="center"/>
              <w:rPr>
                <w:snapToGrid w:val="0"/>
                <w:kern w:val="0"/>
                <w:szCs w:val="21"/>
              </w:rPr>
            </w:pPr>
            <w:r>
              <w:rPr>
                <w:snapToGrid w:val="0"/>
                <w:kern w:val="0"/>
                <w:szCs w:val="21"/>
              </w:rPr>
              <w:t>硫酸盐</w:t>
            </w:r>
          </w:p>
        </w:tc>
        <w:tc>
          <w:tcPr>
            <w:tcW w:w="635" w:type="pct"/>
            <w:vAlign w:val="center"/>
          </w:tcPr>
          <w:p w14:paraId="1485F2E0">
            <w:pPr>
              <w:spacing w:line="320" w:lineRule="exact"/>
              <w:ind w:left="-53" w:leftChars="-25" w:right="-53" w:rightChars="-25"/>
              <w:jc w:val="center"/>
              <w:rPr>
                <w:snapToGrid w:val="0"/>
                <w:kern w:val="0"/>
                <w:szCs w:val="21"/>
              </w:rPr>
            </w:pPr>
            <w:r>
              <w:rPr>
                <w:rFonts w:hint="eastAsia"/>
                <w:snapToGrid w:val="0"/>
                <w:kern w:val="0"/>
                <w:szCs w:val="21"/>
              </w:rPr>
              <w:t>2</w:t>
            </w:r>
            <w:r>
              <w:rPr>
                <w:snapToGrid w:val="0"/>
                <w:kern w:val="0"/>
                <w:szCs w:val="21"/>
              </w:rPr>
              <w:t>50</w:t>
            </w:r>
          </w:p>
        </w:tc>
        <w:tc>
          <w:tcPr>
            <w:tcW w:w="1246" w:type="pct"/>
            <w:vAlign w:val="center"/>
          </w:tcPr>
          <w:p w14:paraId="21FDC237">
            <w:pPr>
              <w:spacing w:line="320" w:lineRule="exact"/>
              <w:ind w:left="-53" w:leftChars="-25" w:right="-53" w:rightChars="-25"/>
              <w:jc w:val="center"/>
              <w:rPr>
                <w:snapToGrid w:val="0"/>
                <w:kern w:val="0"/>
                <w:szCs w:val="21"/>
              </w:rPr>
            </w:pPr>
            <w:r>
              <w:rPr>
                <w:rFonts w:hint="eastAsia"/>
                <w:snapToGrid w:val="0"/>
                <w:kern w:val="0"/>
                <w:szCs w:val="21"/>
              </w:rPr>
              <w:t>49.8</w:t>
            </w:r>
          </w:p>
        </w:tc>
        <w:tc>
          <w:tcPr>
            <w:tcW w:w="911" w:type="pct"/>
            <w:tcBorders>
              <w:top w:val="nil"/>
              <w:left w:val="nil"/>
              <w:bottom w:val="single" w:color="000000" w:sz="8" w:space="0"/>
              <w:right w:val="single" w:color="000000" w:sz="8" w:space="0"/>
            </w:tcBorders>
            <w:shd w:val="clear" w:color="auto" w:fill="auto"/>
            <w:vAlign w:val="center"/>
          </w:tcPr>
          <w:p w14:paraId="71A59275">
            <w:pPr>
              <w:spacing w:line="320" w:lineRule="exact"/>
              <w:ind w:left="-53" w:leftChars="-25" w:right="-53" w:rightChars="-25"/>
              <w:jc w:val="center"/>
              <w:rPr>
                <w:snapToGrid w:val="0"/>
                <w:kern w:val="0"/>
                <w:szCs w:val="21"/>
              </w:rPr>
            </w:pPr>
            <w:r>
              <w:rPr>
                <w:szCs w:val="21"/>
              </w:rPr>
              <w:t xml:space="preserve">0.20 </w:t>
            </w:r>
          </w:p>
        </w:tc>
        <w:tc>
          <w:tcPr>
            <w:tcW w:w="1247" w:type="pct"/>
            <w:vAlign w:val="center"/>
          </w:tcPr>
          <w:p w14:paraId="2F4F7858">
            <w:pPr>
              <w:spacing w:line="320" w:lineRule="exact"/>
              <w:ind w:left="-53" w:leftChars="-25" w:right="-53" w:rightChars="-25"/>
              <w:jc w:val="center"/>
              <w:rPr>
                <w:snapToGrid w:val="0"/>
                <w:kern w:val="0"/>
                <w:szCs w:val="21"/>
              </w:rPr>
            </w:pPr>
            <w:r>
              <w:rPr>
                <w:rFonts w:hint="eastAsia"/>
                <w:snapToGrid w:val="0"/>
                <w:kern w:val="0"/>
                <w:szCs w:val="21"/>
              </w:rPr>
              <w:t>达标</w:t>
            </w:r>
          </w:p>
        </w:tc>
      </w:tr>
      <w:tr w14:paraId="59F22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05B22066">
            <w:pPr>
              <w:spacing w:line="320" w:lineRule="exact"/>
              <w:ind w:left="-53" w:leftChars="-25" w:right="-53" w:rightChars="-25"/>
              <w:jc w:val="center"/>
              <w:rPr>
                <w:snapToGrid w:val="0"/>
                <w:kern w:val="0"/>
                <w:szCs w:val="21"/>
              </w:rPr>
            </w:pPr>
            <w:r>
              <w:rPr>
                <w:rFonts w:hint="eastAsia"/>
                <w:snapToGrid w:val="0"/>
                <w:kern w:val="0"/>
                <w:szCs w:val="21"/>
              </w:rPr>
              <w:t>硫化物</w:t>
            </w:r>
          </w:p>
        </w:tc>
        <w:tc>
          <w:tcPr>
            <w:tcW w:w="635" w:type="pct"/>
            <w:vAlign w:val="center"/>
          </w:tcPr>
          <w:p w14:paraId="3F1142A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.02</w:t>
            </w:r>
          </w:p>
        </w:tc>
        <w:tc>
          <w:tcPr>
            <w:tcW w:w="1246" w:type="pct"/>
            <w:vAlign w:val="center"/>
          </w:tcPr>
          <w:p w14:paraId="7C081D7B">
            <w:pPr>
              <w:spacing w:line="320" w:lineRule="exact"/>
              <w:ind w:left="-53" w:leftChars="-25" w:right="-53" w:rightChars="-25"/>
              <w:jc w:val="center"/>
              <w:rPr>
                <w:snapToGrid w:val="0"/>
                <w:kern w:val="0"/>
                <w:szCs w:val="21"/>
              </w:rPr>
            </w:pPr>
            <w:r>
              <w:rPr>
                <w:rFonts w:hint="eastAsia"/>
                <w:snapToGrid w:val="0"/>
                <w:kern w:val="0"/>
                <w:szCs w:val="21"/>
              </w:rPr>
              <w:t>0.006</w:t>
            </w:r>
          </w:p>
        </w:tc>
        <w:tc>
          <w:tcPr>
            <w:tcW w:w="911" w:type="pct"/>
            <w:tcBorders>
              <w:top w:val="nil"/>
              <w:left w:val="nil"/>
              <w:bottom w:val="single" w:color="000000" w:sz="8" w:space="0"/>
              <w:right w:val="single" w:color="000000" w:sz="8" w:space="0"/>
            </w:tcBorders>
            <w:shd w:val="clear" w:color="auto" w:fill="auto"/>
            <w:vAlign w:val="center"/>
          </w:tcPr>
          <w:p w14:paraId="263342EF">
            <w:pPr>
              <w:spacing w:line="320" w:lineRule="exact"/>
              <w:ind w:left="-53" w:leftChars="-25" w:right="-53" w:rightChars="-25"/>
              <w:jc w:val="center"/>
              <w:rPr>
                <w:snapToGrid w:val="0"/>
                <w:kern w:val="0"/>
                <w:szCs w:val="21"/>
              </w:rPr>
            </w:pPr>
            <w:r>
              <w:rPr>
                <w:szCs w:val="21"/>
              </w:rPr>
              <w:t xml:space="preserve">0.30 </w:t>
            </w:r>
          </w:p>
        </w:tc>
        <w:tc>
          <w:tcPr>
            <w:tcW w:w="1247" w:type="pct"/>
            <w:vAlign w:val="center"/>
          </w:tcPr>
          <w:p w14:paraId="3B437291">
            <w:pPr>
              <w:spacing w:line="320" w:lineRule="exact"/>
              <w:ind w:left="-53" w:leftChars="-25" w:right="-53" w:rightChars="-25"/>
              <w:jc w:val="center"/>
              <w:rPr>
                <w:snapToGrid w:val="0"/>
                <w:kern w:val="0"/>
                <w:szCs w:val="21"/>
              </w:rPr>
            </w:pPr>
            <w:r>
              <w:rPr>
                <w:rFonts w:hint="eastAsia"/>
                <w:snapToGrid w:val="0"/>
                <w:kern w:val="0"/>
                <w:szCs w:val="21"/>
              </w:rPr>
              <w:t>达标</w:t>
            </w:r>
          </w:p>
        </w:tc>
      </w:tr>
      <w:tr w14:paraId="06EFF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02E60DCF">
            <w:pPr>
              <w:spacing w:line="320" w:lineRule="exact"/>
              <w:ind w:left="-53" w:leftChars="-25" w:right="-53" w:rightChars="-25"/>
              <w:jc w:val="center"/>
              <w:rPr>
                <w:snapToGrid w:val="0"/>
                <w:kern w:val="0"/>
                <w:szCs w:val="21"/>
              </w:rPr>
            </w:pPr>
            <w:r>
              <w:rPr>
                <w:snapToGrid w:val="0"/>
                <w:kern w:val="0"/>
                <w:szCs w:val="21"/>
              </w:rPr>
              <w:t>砷</w:t>
            </w:r>
          </w:p>
        </w:tc>
        <w:tc>
          <w:tcPr>
            <w:tcW w:w="635" w:type="pct"/>
            <w:vAlign w:val="center"/>
          </w:tcPr>
          <w:p w14:paraId="1F28DCBB">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1246" w:type="pct"/>
            <w:vAlign w:val="center"/>
          </w:tcPr>
          <w:p w14:paraId="489CC501">
            <w:pPr>
              <w:spacing w:line="320" w:lineRule="exact"/>
              <w:ind w:left="-53" w:leftChars="-25" w:right="-53" w:rightChars="-25"/>
              <w:jc w:val="center"/>
              <w:rPr>
                <w:snapToGrid w:val="0"/>
                <w:kern w:val="0"/>
                <w:szCs w:val="21"/>
              </w:rPr>
            </w:pPr>
            <w:r>
              <w:rPr>
                <w:rFonts w:hint="eastAsia"/>
                <w:snapToGrid w:val="0"/>
                <w:kern w:val="0"/>
                <w:szCs w:val="21"/>
              </w:rPr>
              <w:t>0.0012</w:t>
            </w:r>
          </w:p>
        </w:tc>
        <w:tc>
          <w:tcPr>
            <w:tcW w:w="911" w:type="pct"/>
            <w:tcBorders>
              <w:top w:val="nil"/>
              <w:left w:val="nil"/>
              <w:bottom w:val="single" w:color="000000" w:sz="8" w:space="0"/>
              <w:right w:val="single" w:color="000000" w:sz="8" w:space="0"/>
            </w:tcBorders>
            <w:shd w:val="clear" w:color="auto" w:fill="auto"/>
            <w:vAlign w:val="center"/>
          </w:tcPr>
          <w:p w14:paraId="43DC9D87">
            <w:pPr>
              <w:spacing w:line="320" w:lineRule="exact"/>
              <w:ind w:left="-53" w:leftChars="-25" w:right="-53" w:rightChars="-25"/>
              <w:jc w:val="center"/>
              <w:rPr>
                <w:snapToGrid w:val="0"/>
                <w:kern w:val="0"/>
                <w:szCs w:val="21"/>
              </w:rPr>
            </w:pPr>
            <w:r>
              <w:rPr>
                <w:szCs w:val="21"/>
              </w:rPr>
              <w:t xml:space="preserve">0.12 </w:t>
            </w:r>
          </w:p>
        </w:tc>
        <w:tc>
          <w:tcPr>
            <w:tcW w:w="1247" w:type="pct"/>
            <w:vAlign w:val="center"/>
          </w:tcPr>
          <w:p w14:paraId="69E50AB9">
            <w:pPr>
              <w:spacing w:line="320" w:lineRule="exact"/>
              <w:ind w:left="-53" w:leftChars="-25" w:right="-53" w:rightChars="-25"/>
              <w:jc w:val="center"/>
              <w:rPr>
                <w:snapToGrid w:val="0"/>
                <w:kern w:val="0"/>
                <w:szCs w:val="21"/>
              </w:rPr>
            </w:pPr>
            <w:r>
              <w:rPr>
                <w:rFonts w:hint="eastAsia"/>
                <w:snapToGrid w:val="0"/>
                <w:kern w:val="0"/>
                <w:szCs w:val="21"/>
              </w:rPr>
              <w:t>达标</w:t>
            </w:r>
          </w:p>
        </w:tc>
      </w:tr>
      <w:tr w14:paraId="2C3AC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709519AB">
            <w:pPr>
              <w:spacing w:line="320" w:lineRule="exact"/>
              <w:ind w:left="-53" w:leftChars="-25" w:right="-53" w:rightChars="-25"/>
              <w:jc w:val="center"/>
              <w:rPr>
                <w:snapToGrid w:val="0"/>
                <w:kern w:val="0"/>
                <w:szCs w:val="21"/>
              </w:rPr>
            </w:pPr>
            <w:r>
              <w:rPr>
                <w:snapToGrid w:val="0"/>
                <w:kern w:val="0"/>
                <w:szCs w:val="21"/>
              </w:rPr>
              <w:t>汞</w:t>
            </w:r>
          </w:p>
        </w:tc>
        <w:tc>
          <w:tcPr>
            <w:tcW w:w="635" w:type="pct"/>
            <w:vAlign w:val="center"/>
          </w:tcPr>
          <w:p w14:paraId="7BD666D2">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.001</w:t>
            </w:r>
          </w:p>
        </w:tc>
        <w:tc>
          <w:tcPr>
            <w:tcW w:w="1246" w:type="pct"/>
            <w:vAlign w:val="center"/>
          </w:tcPr>
          <w:p w14:paraId="2651CB82">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284DA6CA">
            <w:pPr>
              <w:spacing w:line="320" w:lineRule="exact"/>
              <w:ind w:left="-53" w:leftChars="-25" w:right="-53" w:rightChars="-25"/>
              <w:jc w:val="center"/>
              <w:rPr>
                <w:snapToGrid w:val="0"/>
                <w:kern w:val="0"/>
                <w:szCs w:val="21"/>
              </w:rPr>
            </w:pPr>
            <w:r>
              <w:rPr>
                <w:szCs w:val="21"/>
              </w:rPr>
              <w:t>0</w:t>
            </w:r>
          </w:p>
        </w:tc>
        <w:tc>
          <w:tcPr>
            <w:tcW w:w="1247" w:type="pct"/>
            <w:vAlign w:val="center"/>
          </w:tcPr>
          <w:p w14:paraId="567CC2CD">
            <w:pPr>
              <w:spacing w:line="320" w:lineRule="exact"/>
              <w:ind w:left="-53" w:leftChars="-25" w:right="-53" w:rightChars="-25"/>
              <w:jc w:val="center"/>
              <w:rPr>
                <w:snapToGrid w:val="0"/>
                <w:kern w:val="0"/>
                <w:szCs w:val="21"/>
              </w:rPr>
            </w:pPr>
            <w:r>
              <w:rPr>
                <w:rFonts w:hint="eastAsia"/>
                <w:snapToGrid w:val="0"/>
                <w:kern w:val="0"/>
                <w:szCs w:val="21"/>
              </w:rPr>
              <w:t>达标</w:t>
            </w:r>
          </w:p>
        </w:tc>
      </w:tr>
      <w:tr w14:paraId="2AAC9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D2260C4">
            <w:pPr>
              <w:spacing w:line="320" w:lineRule="exact"/>
              <w:ind w:left="-53" w:leftChars="-25" w:right="-53" w:rightChars="-25"/>
              <w:jc w:val="center"/>
              <w:rPr>
                <w:snapToGrid w:val="0"/>
                <w:kern w:val="0"/>
                <w:szCs w:val="21"/>
              </w:rPr>
            </w:pPr>
            <w:r>
              <w:rPr>
                <w:snapToGrid w:val="0"/>
                <w:kern w:val="0"/>
                <w:szCs w:val="21"/>
              </w:rPr>
              <w:t>六价铬</w:t>
            </w:r>
          </w:p>
        </w:tc>
        <w:tc>
          <w:tcPr>
            <w:tcW w:w="635" w:type="pct"/>
            <w:vAlign w:val="center"/>
          </w:tcPr>
          <w:p w14:paraId="17D70CE8">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.05</w:t>
            </w:r>
          </w:p>
        </w:tc>
        <w:tc>
          <w:tcPr>
            <w:tcW w:w="1246" w:type="pct"/>
            <w:vAlign w:val="center"/>
          </w:tcPr>
          <w:p w14:paraId="3F37F039">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07E47EDC">
            <w:pPr>
              <w:spacing w:line="320" w:lineRule="exact"/>
              <w:ind w:left="-53" w:leftChars="-25" w:right="-53" w:rightChars="-25"/>
              <w:jc w:val="center"/>
              <w:rPr>
                <w:snapToGrid w:val="0"/>
                <w:kern w:val="0"/>
                <w:szCs w:val="21"/>
              </w:rPr>
            </w:pPr>
            <w:r>
              <w:rPr>
                <w:szCs w:val="21"/>
              </w:rPr>
              <w:t>0</w:t>
            </w:r>
          </w:p>
        </w:tc>
        <w:tc>
          <w:tcPr>
            <w:tcW w:w="1247" w:type="pct"/>
            <w:vAlign w:val="center"/>
          </w:tcPr>
          <w:p w14:paraId="4F1EBB11">
            <w:pPr>
              <w:spacing w:line="320" w:lineRule="exact"/>
              <w:ind w:left="-53" w:leftChars="-25" w:right="-53" w:rightChars="-25"/>
              <w:jc w:val="center"/>
              <w:rPr>
                <w:snapToGrid w:val="0"/>
                <w:kern w:val="0"/>
                <w:szCs w:val="21"/>
              </w:rPr>
            </w:pPr>
            <w:r>
              <w:rPr>
                <w:rFonts w:hint="eastAsia"/>
                <w:snapToGrid w:val="0"/>
                <w:kern w:val="0"/>
                <w:szCs w:val="21"/>
              </w:rPr>
              <w:t>达标</w:t>
            </w:r>
          </w:p>
        </w:tc>
      </w:tr>
      <w:tr w14:paraId="07F2A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7E48A0C3">
            <w:pPr>
              <w:spacing w:line="320" w:lineRule="exact"/>
              <w:ind w:left="-53" w:leftChars="-25" w:right="-53" w:rightChars="-25"/>
              <w:jc w:val="center"/>
              <w:rPr>
                <w:snapToGrid w:val="0"/>
                <w:kern w:val="0"/>
                <w:szCs w:val="21"/>
              </w:rPr>
            </w:pPr>
            <w:r>
              <w:rPr>
                <w:snapToGrid w:val="0"/>
                <w:kern w:val="0"/>
                <w:szCs w:val="21"/>
              </w:rPr>
              <w:t>铅</w:t>
            </w:r>
          </w:p>
        </w:tc>
        <w:tc>
          <w:tcPr>
            <w:tcW w:w="635" w:type="pct"/>
            <w:vAlign w:val="center"/>
          </w:tcPr>
          <w:p w14:paraId="4A3C9B34">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.01</w:t>
            </w:r>
          </w:p>
        </w:tc>
        <w:tc>
          <w:tcPr>
            <w:tcW w:w="1246" w:type="pct"/>
            <w:vAlign w:val="center"/>
          </w:tcPr>
          <w:p w14:paraId="34D51D6E">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51ACFADD">
            <w:pPr>
              <w:spacing w:line="320" w:lineRule="exact"/>
              <w:ind w:left="-53" w:leftChars="-25" w:right="-53" w:rightChars="-25"/>
              <w:jc w:val="center"/>
              <w:rPr>
                <w:snapToGrid w:val="0"/>
                <w:kern w:val="0"/>
                <w:szCs w:val="21"/>
              </w:rPr>
            </w:pPr>
            <w:r>
              <w:rPr>
                <w:szCs w:val="21"/>
              </w:rPr>
              <w:t>0</w:t>
            </w:r>
          </w:p>
        </w:tc>
        <w:tc>
          <w:tcPr>
            <w:tcW w:w="1247" w:type="pct"/>
            <w:vAlign w:val="center"/>
          </w:tcPr>
          <w:p w14:paraId="6B6861B4">
            <w:pPr>
              <w:spacing w:line="320" w:lineRule="exact"/>
              <w:ind w:left="-53" w:leftChars="-25" w:right="-53" w:rightChars="-25"/>
              <w:jc w:val="center"/>
              <w:rPr>
                <w:snapToGrid w:val="0"/>
                <w:kern w:val="0"/>
                <w:szCs w:val="21"/>
              </w:rPr>
            </w:pPr>
            <w:r>
              <w:rPr>
                <w:rFonts w:hint="eastAsia"/>
                <w:snapToGrid w:val="0"/>
                <w:kern w:val="0"/>
                <w:szCs w:val="21"/>
              </w:rPr>
              <w:t>达标</w:t>
            </w:r>
          </w:p>
        </w:tc>
      </w:tr>
      <w:tr w14:paraId="625B42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56BF31FF">
            <w:pPr>
              <w:spacing w:line="320" w:lineRule="exact"/>
              <w:ind w:left="-53" w:leftChars="-25" w:right="-53" w:rightChars="-25"/>
              <w:jc w:val="center"/>
              <w:rPr>
                <w:snapToGrid w:val="0"/>
                <w:kern w:val="0"/>
                <w:szCs w:val="21"/>
              </w:rPr>
            </w:pPr>
            <w:r>
              <w:rPr>
                <w:snapToGrid w:val="0"/>
                <w:kern w:val="0"/>
                <w:szCs w:val="21"/>
              </w:rPr>
              <w:t>镉</w:t>
            </w:r>
          </w:p>
        </w:tc>
        <w:tc>
          <w:tcPr>
            <w:tcW w:w="635" w:type="pct"/>
            <w:vAlign w:val="center"/>
          </w:tcPr>
          <w:p w14:paraId="6C209745">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.005</w:t>
            </w:r>
          </w:p>
        </w:tc>
        <w:tc>
          <w:tcPr>
            <w:tcW w:w="1246" w:type="pct"/>
            <w:vAlign w:val="center"/>
          </w:tcPr>
          <w:p w14:paraId="65B879F3">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3683FDF7">
            <w:pPr>
              <w:spacing w:line="320" w:lineRule="exact"/>
              <w:ind w:left="-53" w:leftChars="-25" w:right="-53" w:rightChars="-25"/>
              <w:jc w:val="center"/>
              <w:rPr>
                <w:snapToGrid w:val="0"/>
                <w:kern w:val="0"/>
                <w:szCs w:val="21"/>
              </w:rPr>
            </w:pPr>
            <w:r>
              <w:rPr>
                <w:szCs w:val="21"/>
              </w:rPr>
              <w:t>0</w:t>
            </w:r>
          </w:p>
        </w:tc>
        <w:tc>
          <w:tcPr>
            <w:tcW w:w="1247" w:type="pct"/>
            <w:vAlign w:val="center"/>
          </w:tcPr>
          <w:p w14:paraId="383168EE">
            <w:pPr>
              <w:spacing w:line="320" w:lineRule="exact"/>
              <w:ind w:left="-53" w:leftChars="-25" w:right="-53" w:rightChars="-25"/>
              <w:jc w:val="center"/>
              <w:rPr>
                <w:snapToGrid w:val="0"/>
                <w:kern w:val="0"/>
                <w:szCs w:val="21"/>
              </w:rPr>
            </w:pPr>
            <w:r>
              <w:rPr>
                <w:rFonts w:hint="eastAsia"/>
                <w:snapToGrid w:val="0"/>
                <w:kern w:val="0"/>
                <w:szCs w:val="21"/>
              </w:rPr>
              <w:t>达标</w:t>
            </w:r>
          </w:p>
        </w:tc>
      </w:tr>
      <w:tr w14:paraId="6844C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56C3B3DB">
            <w:pPr>
              <w:spacing w:line="320" w:lineRule="exact"/>
              <w:ind w:left="-53" w:leftChars="-25" w:right="-53" w:rightChars="-25"/>
              <w:jc w:val="center"/>
              <w:rPr>
                <w:snapToGrid w:val="0"/>
                <w:kern w:val="0"/>
                <w:szCs w:val="21"/>
              </w:rPr>
            </w:pPr>
            <w:r>
              <w:rPr>
                <w:snapToGrid w:val="0"/>
                <w:kern w:val="0"/>
                <w:szCs w:val="21"/>
              </w:rPr>
              <w:t>铁</w:t>
            </w:r>
          </w:p>
        </w:tc>
        <w:tc>
          <w:tcPr>
            <w:tcW w:w="635" w:type="pct"/>
            <w:vAlign w:val="center"/>
          </w:tcPr>
          <w:p w14:paraId="2F956C37">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.3</w:t>
            </w:r>
          </w:p>
        </w:tc>
        <w:tc>
          <w:tcPr>
            <w:tcW w:w="1246" w:type="pct"/>
            <w:vAlign w:val="center"/>
          </w:tcPr>
          <w:p w14:paraId="29427625">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4E04F2F1">
            <w:pPr>
              <w:spacing w:line="320" w:lineRule="exact"/>
              <w:ind w:left="-53" w:leftChars="-25" w:right="-53" w:rightChars="-25"/>
              <w:jc w:val="center"/>
              <w:rPr>
                <w:snapToGrid w:val="0"/>
                <w:kern w:val="0"/>
                <w:szCs w:val="21"/>
              </w:rPr>
            </w:pPr>
            <w:r>
              <w:rPr>
                <w:szCs w:val="21"/>
              </w:rPr>
              <w:t>0</w:t>
            </w:r>
          </w:p>
        </w:tc>
        <w:tc>
          <w:tcPr>
            <w:tcW w:w="1247" w:type="pct"/>
            <w:vAlign w:val="center"/>
          </w:tcPr>
          <w:p w14:paraId="7F1715D6">
            <w:pPr>
              <w:spacing w:line="320" w:lineRule="exact"/>
              <w:ind w:left="-53" w:leftChars="-25" w:right="-53" w:rightChars="-25"/>
              <w:jc w:val="center"/>
              <w:rPr>
                <w:snapToGrid w:val="0"/>
                <w:kern w:val="0"/>
                <w:szCs w:val="21"/>
              </w:rPr>
            </w:pPr>
            <w:r>
              <w:rPr>
                <w:rFonts w:hint="eastAsia"/>
                <w:snapToGrid w:val="0"/>
                <w:kern w:val="0"/>
                <w:szCs w:val="21"/>
              </w:rPr>
              <w:t>达标</w:t>
            </w:r>
          </w:p>
        </w:tc>
      </w:tr>
      <w:tr w14:paraId="01741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612008AB">
            <w:pPr>
              <w:spacing w:line="320" w:lineRule="exact"/>
              <w:ind w:left="-53" w:leftChars="-25" w:right="-53" w:rightChars="-25"/>
              <w:jc w:val="center"/>
              <w:rPr>
                <w:snapToGrid w:val="0"/>
                <w:kern w:val="0"/>
                <w:szCs w:val="21"/>
              </w:rPr>
            </w:pPr>
            <w:r>
              <w:rPr>
                <w:snapToGrid w:val="0"/>
                <w:kern w:val="0"/>
                <w:szCs w:val="21"/>
              </w:rPr>
              <w:t>锰</w:t>
            </w:r>
          </w:p>
        </w:tc>
        <w:tc>
          <w:tcPr>
            <w:tcW w:w="635" w:type="pct"/>
            <w:vAlign w:val="center"/>
          </w:tcPr>
          <w:p w14:paraId="40A72C34">
            <w:pPr>
              <w:spacing w:line="320" w:lineRule="exact"/>
              <w:ind w:left="-53" w:leftChars="-25" w:right="-53" w:rightChars="-25"/>
              <w:jc w:val="center"/>
              <w:rPr>
                <w:snapToGrid w:val="0"/>
                <w:kern w:val="0"/>
                <w:szCs w:val="21"/>
              </w:rPr>
            </w:pPr>
            <w:r>
              <w:rPr>
                <w:rFonts w:hint="eastAsia"/>
                <w:snapToGrid w:val="0"/>
                <w:kern w:val="0"/>
                <w:szCs w:val="21"/>
              </w:rPr>
              <w:t>0</w:t>
            </w:r>
            <w:r>
              <w:rPr>
                <w:snapToGrid w:val="0"/>
                <w:kern w:val="0"/>
                <w:szCs w:val="21"/>
              </w:rPr>
              <w:t>.1</w:t>
            </w:r>
          </w:p>
        </w:tc>
        <w:tc>
          <w:tcPr>
            <w:tcW w:w="1246" w:type="pct"/>
            <w:vAlign w:val="center"/>
          </w:tcPr>
          <w:p w14:paraId="315DDBF5">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537D53FF">
            <w:pPr>
              <w:spacing w:line="320" w:lineRule="exact"/>
              <w:ind w:left="-53" w:leftChars="-25" w:right="-53" w:rightChars="-25"/>
              <w:jc w:val="center"/>
              <w:rPr>
                <w:snapToGrid w:val="0"/>
                <w:kern w:val="0"/>
                <w:szCs w:val="21"/>
              </w:rPr>
            </w:pPr>
            <w:r>
              <w:rPr>
                <w:szCs w:val="21"/>
              </w:rPr>
              <w:t>0</w:t>
            </w:r>
          </w:p>
        </w:tc>
        <w:tc>
          <w:tcPr>
            <w:tcW w:w="1247" w:type="pct"/>
            <w:vAlign w:val="center"/>
          </w:tcPr>
          <w:p w14:paraId="733ABA44">
            <w:pPr>
              <w:spacing w:line="320" w:lineRule="exact"/>
              <w:ind w:left="-53" w:leftChars="-25" w:right="-53" w:rightChars="-25"/>
              <w:jc w:val="center"/>
              <w:rPr>
                <w:snapToGrid w:val="0"/>
                <w:kern w:val="0"/>
                <w:szCs w:val="21"/>
              </w:rPr>
            </w:pPr>
            <w:r>
              <w:rPr>
                <w:rFonts w:hint="eastAsia"/>
                <w:snapToGrid w:val="0"/>
                <w:kern w:val="0"/>
                <w:szCs w:val="21"/>
              </w:rPr>
              <w:t>达标</w:t>
            </w:r>
          </w:p>
        </w:tc>
      </w:tr>
      <w:tr w14:paraId="1B450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6C11574F">
            <w:pPr>
              <w:spacing w:line="320" w:lineRule="exact"/>
              <w:ind w:left="-53" w:leftChars="-25" w:right="-53" w:rightChars="-25"/>
              <w:jc w:val="center"/>
              <w:rPr>
                <w:snapToGrid w:val="0"/>
                <w:kern w:val="0"/>
                <w:szCs w:val="21"/>
              </w:rPr>
            </w:pPr>
            <w:r>
              <w:rPr>
                <w:snapToGrid w:val="0"/>
                <w:kern w:val="0"/>
                <w:szCs w:val="21"/>
              </w:rPr>
              <w:t>总大肠菌群</w:t>
            </w:r>
          </w:p>
        </w:tc>
        <w:tc>
          <w:tcPr>
            <w:tcW w:w="635" w:type="pct"/>
            <w:vAlign w:val="center"/>
          </w:tcPr>
          <w:p w14:paraId="51D88B9F">
            <w:pPr>
              <w:spacing w:line="320" w:lineRule="exact"/>
              <w:ind w:left="-53" w:leftChars="-25" w:right="-53" w:rightChars="-25"/>
              <w:jc w:val="center"/>
              <w:rPr>
                <w:snapToGrid w:val="0"/>
                <w:kern w:val="0"/>
                <w:szCs w:val="21"/>
              </w:rPr>
            </w:pPr>
            <w:r>
              <w:rPr>
                <w:rFonts w:hint="eastAsia"/>
                <w:snapToGrid w:val="0"/>
                <w:kern w:val="0"/>
                <w:szCs w:val="21"/>
              </w:rPr>
              <w:t>3</w:t>
            </w:r>
          </w:p>
        </w:tc>
        <w:tc>
          <w:tcPr>
            <w:tcW w:w="1246" w:type="pct"/>
            <w:vAlign w:val="center"/>
          </w:tcPr>
          <w:p w14:paraId="270B7499">
            <w:pPr>
              <w:spacing w:line="320" w:lineRule="exact"/>
              <w:ind w:left="-53" w:leftChars="-25" w:right="-53" w:rightChars="-25"/>
              <w:jc w:val="center"/>
              <w:rPr>
                <w:snapToGrid w:val="0"/>
                <w:kern w:val="0"/>
                <w:szCs w:val="21"/>
              </w:rPr>
            </w:pPr>
            <w:r>
              <w:rPr>
                <w:rFonts w:hint="eastAsia"/>
                <w:snapToGrid w:val="0"/>
                <w:kern w:val="0"/>
                <w:szCs w:val="21"/>
              </w:rPr>
              <w:t>ND</w:t>
            </w:r>
          </w:p>
        </w:tc>
        <w:tc>
          <w:tcPr>
            <w:tcW w:w="911" w:type="pct"/>
            <w:tcBorders>
              <w:top w:val="nil"/>
              <w:left w:val="nil"/>
              <w:bottom w:val="single" w:color="000000" w:sz="8" w:space="0"/>
              <w:right w:val="single" w:color="000000" w:sz="8" w:space="0"/>
            </w:tcBorders>
            <w:shd w:val="clear" w:color="auto" w:fill="auto"/>
            <w:vAlign w:val="center"/>
          </w:tcPr>
          <w:p w14:paraId="6E4C7966">
            <w:pPr>
              <w:spacing w:line="320" w:lineRule="exact"/>
              <w:ind w:left="-53" w:leftChars="-25" w:right="-53" w:rightChars="-25"/>
              <w:jc w:val="center"/>
              <w:rPr>
                <w:snapToGrid w:val="0"/>
                <w:kern w:val="0"/>
                <w:szCs w:val="21"/>
              </w:rPr>
            </w:pPr>
            <w:r>
              <w:rPr>
                <w:szCs w:val="21"/>
              </w:rPr>
              <w:t>0</w:t>
            </w:r>
          </w:p>
        </w:tc>
        <w:tc>
          <w:tcPr>
            <w:tcW w:w="1247" w:type="pct"/>
            <w:vAlign w:val="center"/>
          </w:tcPr>
          <w:p w14:paraId="27C508DA">
            <w:pPr>
              <w:spacing w:line="320" w:lineRule="exact"/>
              <w:ind w:left="-53" w:leftChars="-25" w:right="-53" w:rightChars="-25"/>
              <w:jc w:val="center"/>
              <w:rPr>
                <w:snapToGrid w:val="0"/>
                <w:kern w:val="0"/>
                <w:szCs w:val="21"/>
              </w:rPr>
            </w:pPr>
            <w:r>
              <w:rPr>
                <w:rFonts w:hint="eastAsia"/>
                <w:snapToGrid w:val="0"/>
                <w:kern w:val="0"/>
                <w:szCs w:val="21"/>
              </w:rPr>
              <w:t>达标</w:t>
            </w:r>
          </w:p>
        </w:tc>
      </w:tr>
      <w:tr w14:paraId="3E04F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7AF7DBB">
            <w:pPr>
              <w:spacing w:line="320" w:lineRule="exact"/>
              <w:ind w:left="-53" w:leftChars="-25" w:right="-53" w:rightChars="-25"/>
              <w:jc w:val="center"/>
              <w:rPr>
                <w:snapToGrid w:val="0"/>
                <w:kern w:val="0"/>
                <w:szCs w:val="21"/>
              </w:rPr>
            </w:pPr>
            <w:r>
              <w:rPr>
                <w:snapToGrid w:val="0"/>
                <w:kern w:val="0"/>
                <w:szCs w:val="21"/>
              </w:rPr>
              <w:t>菌落总数</w:t>
            </w:r>
          </w:p>
        </w:tc>
        <w:tc>
          <w:tcPr>
            <w:tcW w:w="635" w:type="pct"/>
            <w:vAlign w:val="center"/>
          </w:tcPr>
          <w:p w14:paraId="292C525D">
            <w:pPr>
              <w:spacing w:line="320" w:lineRule="exact"/>
              <w:ind w:left="-53" w:leftChars="-25" w:right="-53" w:rightChars="-25"/>
              <w:jc w:val="center"/>
              <w:rPr>
                <w:snapToGrid w:val="0"/>
                <w:kern w:val="0"/>
                <w:szCs w:val="21"/>
              </w:rPr>
            </w:pPr>
            <w:r>
              <w:rPr>
                <w:rFonts w:hint="eastAsia"/>
                <w:snapToGrid w:val="0"/>
                <w:kern w:val="0"/>
                <w:szCs w:val="21"/>
              </w:rPr>
              <w:t>1</w:t>
            </w:r>
            <w:r>
              <w:rPr>
                <w:snapToGrid w:val="0"/>
                <w:kern w:val="0"/>
                <w:szCs w:val="21"/>
              </w:rPr>
              <w:t>00</w:t>
            </w:r>
          </w:p>
        </w:tc>
        <w:tc>
          <w:tcPr>
            <w:tcW w:w="1246" w:type="pct"/>
            <w:vAlign w:val="center"/>
          </w:tcPr>
          <w:p w14:paraId="7613A435">
            <w:pPr>
              <w:spacing w:line="320" w:lineRule="exact"/>
              <w:ind w:left="-53" w:leftChars="-25" w:right="-53" w:rightChars="-25"/>
              <w:jc w:val="center"/>
              <w:rPr>
                <w:snapToGrid w:val="0"/>
                <w:kern w:val="0"/>
                <w:szCs w:val="21"/>
              </w:rPr>
            </w:pPr>
            <w:r>
              <w:rPr>
                <w:rFonts w:hint="eastAsia"/>
                <w:snapToGrid w:val="0"/>
                <w:kern w:val="0"/>
                <w:szCs w:val="21"/>
              </w:rPr>
              <w:t>24</w:t>
            </w:r>
          </w:p>
        </w:tc>
        <w:tc>
          <w:tcPr>
            <w:tcW w:w="911" w:type="pct"/>
            <w:tcBorders>
              <w:top w:val="nil"/>
              <w:left w:val="nil"/>
              <w:bottom w:val="single" w:color="000000" w:sz="8" w:space="0"/>
              <w:right w:val="single" w:color="000000" w:sz="8" w:space="0"/>
            </w:tcBorders>
            <w:shd w:val="clear" w:color="auto" w:fill="auto"/>
            <w:vAlign w:val="center"/>
          </w:tcPr>
          <w:p w14:paraId="3C30A918">
            <w:pPr>
              <w:spacing w:line="320" w:lineRule="exact"/>
              <w:ind w:left="-53" w:leftChars="-25" w:right="-53" w:rightChars="-25"/>
              <w:jc w:val="center"/>
              <w:rPr>
                <w:snapToGrid w:val="0"/>
                <w:kern w:val="0"/>
                <w:szCs w:val="21"/>
              </w:rPr>
            </w:pPr>
            <w:r>
              <w:rPr>
                <w:szCs w:val="21"/>
              </w:rPr>
              <w:t xml:space="preserve">0.24 </w:t>
            </w:r>
          </w:p>
        </w:tc>
        <w:tc>
          <w:tcPr>
            <w:tcW w:w="1247" w:type="pct"/>
            <w:vAlign w:val="center"/>
          </w:tcPr>
          <w:p w14:paraId="1730D9A9">
            <w:pPr>
              <w:spacing w:line="320" w:lineRule="exact"/>
              <w:ind w:left="-53" w:leftChars="-25" w:right="-53" w:rightChars="-25"/>
              <w:jc w:val="center"/>
              <w:rPr>
                <w:snapToGrid w:val="0"/>
                <w:kern w:val="0"/>
                <w:szCs w:val="21"/>
              </w:rPr>
            </w:pPr>
            <w:r>
              <w:rPr>
                <w:rFonts w:hint="eastAsia"/>
                <w:snapToGrid w:val="0"/>
                <w:kern w:val="0"/>
                <w:szCs w:val="21"/>
              </w:rPr>
              <w:t>达标</w:t>
            </w:r>
          </w:p>
        </w:tc>
      </w:tr>
      <w:tr w14:paraId="2A93D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1" w:hRule="atLeast"/>
        </w:trPr>
        <w:tc>
          <w:tcPr>
            <w:tcW w:w="961" w:type="pct"/>
            <w:vAlign w:val="center"/>
          </w:tcPr>
          <w:p w14:paraId="22BA2EF1">
            <w:pPr>
              <w:spacing w:line="320" w:lineRule="exact"/>
              <w:ind w:left="-53" w:leftChars="-25" w:right="-53" w:rightChars="-25"/>
              <w:jc w:val="center"/>
              <w:rPr>
                <w:snapToGrid w:val="0"/>
                <w:kern w:val="0"/>
                <w:szCs w:val="21"/>
              </w:rPr>
            </w:pPr>
            <w:r>
              <w:rPr>
                <w:rFonts w:hint="eastAsia"/>
                <w:snapToGrid w:val="0"/>
                <w:kern w:val="0"/>
                <w:szCs w:val="21"/>
              </w:rPr>
              <w:t>备注</w:t>
            </w:r>
          </w:p>
        </w:tc>
        <w:tc>
          <w:tcPr>
            <w:tcW w:w="4039" w:type="pct"/>
            <w:gridSpan w:val="4"/>
            <w:vAlign w:val="center"/>
          </w:tcPr>
          <w:p w14:paraId="7D1A09D7">
            <w:pPr>
              <w:spacing w:line="320" w:lineRule="exact"/>
              <w:ind w:left="-53" w:leftChars="-25" w:right="-53" w:rightChars="-25"/>
              <w:rPr>
                <w:snapToGrid w:val="0"/>
                <w:kern w:val="0"/>
                <w:szCs w:val="21"/>
              </w:rPr>
            </w:pPr>
            <w:r>
              <w:rPr>
                <w:rFonts w:hint="eastAsia"/>
                <w:snapToGrid w:val="0"/>
                <w:kern w:val="0"/>
                <w:szCs w:val="21"/>
              </w:rPr>
              <w:t>ND表示检测结果低于方法检出限。</w:t>
            </w:r>
          </w:p>
        </w:tc>
      </w:tr>
    </w:tbl>
    <w:p w14:paraId="279C0662">
      <w:pPr>
        <w:pStyle w:val="3393"/>
        <w:rPr>
          <w:kern w:val="0"/>
        </w:rPr>
      </w:pPr>
      <w:r>
        <w:rPr>
          <w:kern w:val="0"/>
        </w:rPr>
        <w:t>综上所述，</w:t>
      </w:r>
      <w:r>
        <w:rPr>
          <w:rFonts w:hint="eastAsia"/>
          <w:kern w:val="0"/>
        </w:rPr>
        <w:t>规划园区所在区域地下水监测井中各监测因子的监测浓度均满足《地下水质量标准》(GB/T14848-2017)中Ⅲ类标准要求。</w:t>
      </w:r>
    </w:p>
    <w:p w14:paraId="70FB1724">
      <w:pPr>
        <w:keepNext/>
        <w:keepLines/>
        <w:widowControl/>
        <w:numPr>
          <w:ilvl w:val="2"/>
          <w:numId w:val="1"/>
        </w:numPr>
        <w:spacing w:before="120" w:after="120" w:line="360" w:lineRule="auto"/>
        <w:jc w:val="left"/>
        <w:outlineLvl w:val="2"/>
        <w:rPr>
          <w:rFonts w:eastAsiaTheme="minorEastAsia"/>
          <w:b/>
          <w:bCs/>
          <w:sz w:val="24"/>
        </w:rPr>
      </w:pPr>
      <w:bookmarkStart w:id="114" w:name="_Toc206494950"/>
      <w:r>
        <w:rPr>
          <w:rFonts w:hint="eastAsia" w:eastAsiaTheme="minorEastAsia"/>
          <w:b/>
          <w:bCs/>
          <w:sz w:val="24"/>
        </w:rPr>
        <w:t>土壤环境质量现状调查与评价</w:t>
      </w:r>
      <w:bookmarkEnd w:id="114"/>
    </w:p>
    <w:p w14:paraId="50791425">
      <w:pPr>
        <w:pStyle w:val="3393"/>
      </w:pPr>
      <w:r>
        <w:t>为了解规划</w:t>
      </w:r>
      <w:r>
        <w:rPr>
          <w:rFonts w:hint="eastAsia"/>
        </w:rPr>
        <w:t>区域</w:t>
      </w:r>
      <w:r>
        <w:t>所在地土壤环境质量现状，本次评价</w:t>
      </w:r>
      <w:r>
        <w:rPr>
          <w:szCs w:val="22"/>
        </w:rPr>
        <w:t>委托</w:t>
      </w:r>
      <w:r>
        <w:rPr>
          <w:rFonts w:hint="eastAsia" w:ascii="宋体" w:cs="宋体" w:hAnsiTheme="minorHAnsi"/>
          <w:kern w:val="0"/>
        </w:rPr>
        <w:t>湖北华钧检测有限公司</w:t>
      </w:r>
      <w:r>
        <w:rPr>
          <w:szCs w:val="22"/>
        </w:rPr>
        <w:t>对</w:t>
      </w:r>
      <w:r>
        <w:rPr>
          <w:rFonts w:hint="eastAsia"/>
        </w:rPr>
        <w:t>生产加工集聚区的</w:t>
      </w:r>
      <w:r>
        <w:t>四个加工组团</w:t>
      </w:r>
      <w:r>
        <w:rPr>
          <w:rFonts w:hint="eastAsia"/>
          <w:szCs w:val="22"/>
        </w:rPr>
        <w:t>内</w:t>
      </w:r>
      <w:r>
        <w:rPr>
          <w:szCs w:val="22"/>
        </w:rPr>
        <w:t>土壤进行了现状监测，</w:t>
      </w:r>
      <w:r>
        <w:t>主要</w:t>
      </w:r>
      <w:r>
        <w:rPr>
          <w:rFonts w:hint="eastAsia"/>
        </w:rPr>
        <w:t>为吴山石材产业园、万和石材产业园、草店石材产业园和太白顶石材产业园四个加工组团，</w:t>
      </w:r>
      <w:r>
        <w:rPr>
          <w:szCs w:val="22"/>
        </w:rPr>
        <w:t>监测时间202</w:t>
      </w:r>
      <w:r>
        <w:rPr>
          <w:rFonts w:hint="eastAsia"/>
          <w:szCs w:val="22"/>
        </w:rPr>
        <w:t>4</w:t>
      </w:r>
      <w:r>
        <w:rPr>
          <w:szCs w:val="22"/>
        </w:rPr>
        <w:t>年</w:t>
      </w:r>
      <w:r>
        <w:rPr>
          <w:rFonts w:hint="eastAsia"/>
          <w:szCs w:val="22"/>
        </w:rPr>
        <w:t>1</w:t>
      </w:r>
      <w:r>
        <w:rPr>
          <w:szCs w:val="22"/>
        </w:rPr>
        <w:t>月</w:t>
      </w:r>
      <w:r>
        <w:rPr>
          <w:rFonts w:hint="eastAsia"/>
          <w:szCs w:val="22"/>
        </w:rPr>
        <w:t>23</w:t>
      </w:r>
      <w:r>
        <w:rPr>
          <w:szCs w:val="22"/>
        </w:rPr>
        <w:t>日</w:t>
      </w:r>
      <w:r>
        <w:rPr>
          <w:rFonts w:hint="eastAsia"/>
          <w:szCs w:val="22"/>
        </w:rPr>
        <w:t>至1月25日</w:t>
      </w:r>
      <w:r>
        <w:t>。具体监测内容如下：</w:t>
      </w:r>
    </w:p>
    <w:p w14:paraId="463FF343">
      <w:pPr>
        <w:pStyle w:val="3393"/>
      </w:pPr>
      <w:r>
        <w:t>（1）监测布点和监测因子</w:t>
      </w:r>
    </w:p>
    <w:p w14:paraId="7ADA2D75">
      <w:pPr>
        <w:pStyle w:val="3393"/>
      </w:pPr>
      <w:r>
        <w:t>土壤现状监测布点和监测因子见</w:t>
      </w:r>
      <w:r>
        <w:rPr>
          <w:rFonts w:hint="eastAsia"/>
        </w:rPr>
        <w:t>下表</w:t>
      </w:r>
      <w:r>
        <w:t>。</w:t>
      </w:r>
    </w:p>
    <w:p w14:paraId="04501BA1">
      <w:pPr>
        <w:spacing w:line="360" w:lineRule="auto"/>
        <w:ind w:firstLine="422"/>
        <w:jc w:val="center"/>
        <w:rPr>
          <w:rFonts w:eastAsiaTheme="minorEastAsia"/>
          <w:b/>
          <w:szCs w:val="21"/>
        </w:rPr>
      </w:pPr>
      <w:bookmarkStart w:id="115" w:name="_Hlk178265481"/>
      <w:r>
        <w:rPr>
          <w:rFonts w:eastAsiaTheme="minorEastAsia"/>
          <w:b/>
          <w:szCs w:val="21"/>
        </w:rPr>
        <w:t>表</w:t>
      </w:r>
      <w:r>
        <w:rPr>
          <w:rFonts w:hint="eastAsia" w:eastAsiaTheme="minorEastAsia"/>
          <w:b/>
          <w:szCs w:val="21"/>
        </w:rPr>
        <w:t>3.3</w:t>
      </w:r>
      <w:r>
        <w:rPr>
          <w:rFonts w:eastAsiaTheme="minorEastAsia"/>
          <w:b/>
          <w:szCs w:val="21"/>
        </w:rPr>
        <w:t>.4-1  土壤质量监测布点情况</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1981"/>
        <w:gridCol w:w="2267"/>
        <w:gridCol w:w="1377"/>
        <w:gridCol w:w="880"/>
        <w:gridCol w:w="918"/>
      </w:tblGrid>
      <w:tr w14:paraId="614551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Align w:val="center"/>
          </w:tcPr>
          <w:p w14:paraId="65F8D700">
            <w:pPr>
              <w:jc w:val="center"/>
              <w:rPr>
                <w:sz w:val="19"/>
                <w:szCs w:val="19"/>
              </w:rPr>
            </w:pPr>
            <w:r>
              <w:rPr>
                <w:rFonts w:hint="eastAsia"/>
                <w:sz w:val="19"/>
                <w:szCs w:val="19"/>
              </w:rPr>
              <w:t>监测区域</w:t>
            </w:r>
          </w:p>
        </w:tc>
        <w:tc>
          <w:tcPr>
            <w:tcW w:w="1161" w:type="pct"/>
            <w:vAlign w:val="center"/>
          </w:tcPr>
          <w:p w14:paraId="1E4CDF4E">
            <w:pPr>
              <w:jc w:val="center"/>
              <w:rPr>
                <w:sz w:val="19"/>
                <w:szCs w:val="19"/>
              </w:rPr>
            </w:pPr>
            <w:r>
              <w:rPr>
                <w:sz w:val="19"/>
                <w:szCs w:val="19"/>
              </w:rPr>
              <w:t>编号</w:t>
            </w:r>
          </w:p>
        </w:tc>
        <w:tc>
          <w:tcPr>
            <w:tcW w:w="1329" w:type="pct"/>
            <w:vAlign w:val="center"/>
          </w:tcPr>
          <w:p w14:paraId="080EFDF7">
            <w:pPr>
              <w:jc w:val="center"/>
              <w:rPr>
                <w:sz w:val="19"/>
                <w:szCs w:val="19"/>
              </w:rPr>
            </w:pPr>
            <w:r>
              <w:rPr>
                <w:sz w:val="19"/>
                <w:szCs w:val="19"/>
              </w:rPr>
              <w:t>监测点位</w:t>
            </w:r>
          </w:p>
        </w:tc>
        <w:tc>
          <w:tcPr>
            <w:tcW w:w="807" w:type="pct"/>
            <w:vAlign w:val="center"/>
          </w:tcPr>
          <w:p w14:paraId="3209F16F">
            <w:pPr>
              <w:jc w:val="center"/>
              <w:rPr>
                <w:sz w:val="19"/>
                <w:szCs w:val="19"/>
              </w:rPr>
            </w:pPr>
            <w:r>
              <w:rPr>
                <w:sz w:val="19"/>
                <w:szCs w:val="19"/>
              </w:rPr>
              <w:t>监测因子</w:t>
            </w:r>
          </w:p>
        </w:tc>
        <w:tc>
          <w:tcPr>
            <w:tcW w:w="516" w:type="pct"/>
            <w:vAlign w:val="center"/>
          </w:tcPr>
          <w:p w14:paraId="46CAD9BD">
            <w:pPr>
              <w:jc w:val="center"/>
              <w:rPr>
                <w:sz w:val="19"/>
                <w:szCs w:val="19"/>
              </w:rPr>
            </w:pPr>
            <w:r>
              <w:rPr>
                <w:sz w:val="19"/>
                <w:szCs w:val="19"/>
              </w:rPr>
              <w:t>取样深度</w:t>
            </w:r>
          </w:p>
        </w:tc>
        <w:tc>
          <w:tcPr>
            <w:tcW w:w="538" w:type="pct"/>
            <w:vAlign w:val="center"/>
          </w:tcPr>
          <w:p w14:paraId="512E4A87">
            <w:pPr>
              <w:jc w:val="center"/>
              <w:rPr>
                <w:bCs/>
                <w:szCs w:val="21"/>
              </w:rPr>
            </w:pPr>
            <w:r>
              <w:rPr>
                <w:rFonts w:hint="eastAsia"/>
                <w:bCs/>
                <w:szCs w:val="21"/>
              </w:rPr>
              <w:t>用地类型</w:t>
            </w:r>
          </w:p>
        </w:tc>
      </w:tr>
      <w:tr w14:paraId="2276A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restart"/>
            <w:vAlign w:val="center"/>
          </w:tcPr>
          <w:p w14:paraId="1B8EE605">
            <w:pPr>
              <w:jc w:val="center"/>
              <w:rPr>
                <w:sz w:val="19"/>
                <w:szCs w:val="19"/>
              </w:rPr>
            </w:pPr>
            <w:r>
              <w:rPr>
                <w:rFonts w:hint="eastAsia"/>
                <w:sz w:val="19"/>
                <w:szCs w:val="19"/>
              </w:rPr>
              <w:t>吴山闽商石材产业园</w:t>
            </w:r>
          </w:p>
        </w:tc>
        <w:tc>
          <w:tcPr>
            <w:tcW w:w="1161" w:type="pct"/>
            <w:vAlign w:val="center"/>
          </w:tcPr>
          <w:p w14:paraId="30239BC8">
            <w:pPr>
              <w:jc w:val="center"/>
              <w:rPr>
                <w:sz w:val="19"/>
                <w:szCs w:val="19"/>
              </w:rPr>
            </w:pPr>
            <w:r>
              <w:rPr>
                <w:rFonts w:hint="eastAsia"/>
                <w:sz w:val="19"/>
                <w:szCs w:val="19"/>
              </w:rPr>
              <w:t>T1</w:t>
            </w:r>
            <w:r>
              <w:rPr>
                <w:sz w:val="19"/>
                <w:szCs w:val="19"/>
              </w:rPr>
              <w:t>（表层样点1）</w:t>
            </w:r>
          </w:p>
        </w:tc>
        <w:tc>
          <w:tcPr>
            <w:tcW w:w="1329" w:type="pct"/>
            <w:tcBorders>
              <w:bottom w:val="single" w:color="auto" w:sz="4" w:space="0"/>
            </w:tcBorders>
            <w:vAlign w:val="center"/>
          </w:tcPr>
          <w:p w14:paraId="17FEAA66">
            <w:pPr>
              <w:jc w:val="center"/>
              <w:rPr>
                <w:sz w:val="19"/>
                <w:szCs w:val="19"/>
              </w:rPr>
            </w:pPr>
            <w:r>
              <w:rPr>
                <w:rFonts w:hint="eastAsia"/>
                <w:sz w:val="19"/>
                <w:szCs w:val="19"/>
              </w:rPr>
              <w:t>华兴石材厂区范围内</w:t>
            </w:r>
          </w:p>
        </w:tc>
        <w:tc>
          <w:tcPr>
            <w:tcW w:w="807" w:type="pct"/>
            <w:vMerge w:val="restart"/>
            <w:vAlign w:val="center"/>
          </w:tcPr>
          <w:p w14:paraId="7BDB2D88">
            <w:pPr>
              <w:jc w:val="center"/>
              <w:rPr>
                <w:sz w:val="19"/>
                <w:szCs w:val="19"/>
              </w:rPr>
            </w:pPr>
            <w:r>
              <w:rPr>
                <w:rFonts w:hint="eastAsia"/>
                <w:sz w:val="19"/>
                <w:szCs w:val="19"/>
              </w:rPr>
              <w:t>建设用地基本项目+pH、石油烃</w:t>
            </w:r>
          </w:p>
        </w:tc>
        <w:tc>
          <w:tcPr>
            <w:tcW w:w="516" w:type="pct"/>
            <w:vMerge w:val="restart"/>
            <w:vAlign w:val="center"/>
          </w:tcPr>
          <w:p w14:paraId="757C94AA">
            <w:pPr>
              <w:jc w:val="center"/>
              <w:rPr>
                <w:sz w:val="19"/>
                <w:szCs w:val="19"/>
              </w:rPr>
            </w:pPr>
            <w:r>
              <w:rPr>
                <w:sz w:val="19"/>
                <w:szCs w:val="19"/>
              </w:rPr>
              <w:t>0~0.2m</w:t>
            </w:r>
          </w:p>
        </w:tc>
        <w:tc>
          <w:tcPr>
            <w:tcW w:w="538" w:type="pct"/>
            <w:vMerge w:val="restart"/>
            <w:vAlign w:val="center"/>
          </w:tcPr>
          <w:p w14:paraId="54654E5B">
            <w:pPr>
              <w:jc w:val="center"/>
              <w:rPr>
                <w:sz w:val="19"/>
                <w:szCs w:val="19"/>
              </w:rPr>
            </w:pPr>
            <w:r>
              <w:rPr>
                <w:rFonts w:hint="eastAsia"/>
                <w:sz w:val="19"/>
                <w:szCs w:val="19"/>
              </w:rPr>
              <w:t>建设用地</w:t>
            </w:r>
          </w:p>
        </w:tc>
      </w:tr>
      <w:tr w14:paraId="0209D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445E8B2B">
            <w:pPr>
              <w:jc w:val="center"/>
              <w:rPr>
                <w:sz w:val="19"/>
                <w:szCs w:val="19"/>
              </w:rPr>
            </w:pPr>
          </w:p>
        </w:tc>
        <w:tc>
          <w:tcPr>
            <w:tcW w:w="1161" w:type="pct"/>
            <w:vAlign w:val="center"/>
          </w:tcPr>
          <w:p w14:paraId="2F4334E1">
            <w:pPr>
              <w:jc w:val="center"/>
              <w:rPr>
                <w:sz w:val="19"/>
                <w:szCs w:val="19"/>
              </w:rPr>
            </w:pPr>
            <w:r>
              <w:rPr>
                <w:rFonts w:hint="eastAsia"/>
                <w:sz w:val="19"/>
                <w:szCs w:val="19"/>
              </w:rPr>
              <w:t>T</w:t>
            </w:r>
            <w:r>
              <w:rPr>
                <w:sz w:val="19"/>
                <w:szCs w:val="19"/>
              </w:rPr>
              <w:t>2（表层样点2）</w:t>
            </w:r>
          </w:p>
        </w:tc>
        <w:tc>
          <w:tcPr>
            <w:tcW w:w="1329" w:type="pct"/>
            <w:tcBorders>
              <w:bottom w:val="single" w:color="auto" w:sz="4" w:space="0"/>
            </w:tcBorders>
            <w:vAlign w:val="center"/>
          </w:tcPr>
          <w:p w14:paraId="15C54763">
            <w:pPr>
              <w:jc w:val="center"/>
              <w:rPr>
                <w:sz w:val="19"/>
                <w:szCs w:val="19"/>
              </w:rPr>
            </w:pPr>
            <w:r>
              <w:rPr>
                <w:rFonts w:hint="eastAsia"/>
                <w:sz w:val="19"/>
                <w:szCs w:val="19"/>
              </w:rPr>
              <w:t>时代清源厂区范围内</w:t>
            </w:r>
          </w:p>
        </w:tc>
        <w:tc>
          <w:tcPr>
            <w:tcW w:w="807" w:type="pct"/>
            <w:vMerge w:val="continue"/>
            <w:vAlign w:val="center"/>
          </w:tcPr>
          <w:p w14:paraId="219BD324">
            <w:pPr>
              <w:jc w:val="center"/>
              <w:rPr>
                <w:sz w:val="19"/>
                <w:szCs w:val="19"/>
              </w:rPr>
            </w:pPr>
          </w:p>
        </w:tc>
        <w:tc>
          <w:tcPr>
            <w:tcW w:w="516" w:type="pct"/>
            <w:vMerge w:val="continue"/>
            <w:vAlign w:val="center"/>
          </w:tcPr>
          <w:p w14:paraId="128AEF5C">
            <w:pPr>
              <w:jc w:val="center"/>
              <w:rPr>
                <w:sz w:val="19"/>
                <w:szCs w:val="19"/>
              </w:rPr>
            </w:pPr>
          </w:p>
        </w:tc>
        <w:tc>
          <w:tcPr>
            <w:tcW w:w="538" w:type="pct"/>
            <w:vMerge w:val="continue"/>
            <w:vAlign w:val="center"/>
          </w:tcPr>
          <w:p w14:paraId="51982C44">
            <w:pPr>
              <w:jc w:val="center"/>
              <w:rPr>
                <w:sz w:val="19"/>
                <w:szCs w:val="19"/>
              </w:rPr>
            </w:pPr>
          </w:p>
        </w:tc>
      </w:tr>
      <w:tr w14:paraId="6BDE3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4D3FFE0">
            <w:pPr>
              <w:jc w:val="center"/>
              <w:rPr>
                <w:sz w:val="19"/>
                <w:szCs w:val="19"/>
              </w:rPr>
            </w:pPr>
          </w:p>
        </w:tc>
        <w:tc>
          <w:tcPr>
            <w:tcW w:w="1161" w:type="pct"/>
            <w:vAlign w:val="center"/>
          </w:tcPr>
          <w:p w14:paraId="297911D1">
            <w:pPr>
              <w:jc w:val="center"/>
              <w:rPr>
                <w:sz w:val="19"/>
                <w:szCs w:val="19"/>
              </w:rPr>
            </w:pPr>
            <w:r>
              <w:rPr>
                <w:rFonts w:hint="eastAsia"/>
                <w:sz w:val="19"/>
                <w:szCs w:val="19"/>
              </w:rPr>
              <w:t>T</w:t>
            </w:r>
            <w:r>
              <w:rPr>
                <w:sz w:val="19"/>
                <w:szCs w:val="19"/>
              </w:rPr>
              <w:t>3</w:t>
            </w:r>
            <w:r>
              <w:rPr>
                <w:rFonts w:hint="eastAsia"/>
                <w:sz w:val="19"/>
                <w:szCs w:val="19"/>
              </w:rPr>
              <w:t>（</w:t>
            </w:r>
            <w:r>
              <w:rPr>
                <w:sz w:val="19"/>
                <w:szCs w:val="19"/>
              </w:rPr>
              <w:t>表层样点3</w:t>
            </w:r>
            <w:r>
              <w:rPr>
                <w:rFonts w:hint="eastAsia"/>
                <w:sz w:val="19"/>
                <w:szCs w:val="19"/>
              </w:rPr>
              <w:t>）</w:t>
            </w:r>
          </w:p>
        </w:tc>
        <w:tc>
          <w:tcPr>
            <w:tcW w:w="1329" w:type="pct"/>
            <w:tcBorders>
              <w:bottom w:val="single" w:color="auto" w:sz="4" w:space="0"/>
            </w:tcBorders>
            <w:vAlign w:val="center"/>
          </w:tcPr>
          <w:p w14:paraId="45A605E0">
            <w:pPr>
              <w:jc w:val="center"/>
              <w:rPr>
                <w:sz w:val="19"/>
                <w:szCs w:val="19"/>
              </w:rPr>
            </w:pPr>
            <w:r>
              <w:rPr>
                <w:rFonts w:hint="eastAsia"/>
                <w:sz w:val="19"/>
                <w:szCs w:val="19"/>
              </w:rPr>
              <w:t>恒宇石业厂区范围内</w:t>
            </w:r>
          </w:p>
        </w:tc>
        <w:tc>
          <w:tcPr>
            <w:tcW w:w="807" w:type="pct"/>
            <w:vMerge w:val="continue"/>
            <w:vAlign w:val="center"/>
          </w:tcPr>
          <w:p w14:paraId="2B754698">
            <w:pPr>
              <w:jc w:val="center"/>
              <w:rPr>
                <w:sz w:val="19"/>
                <w:szCs w:val="19"/>
              </w:rPr>
            </w:pPr>
          </w:p>
        </w:tc>
        <w:tc>
          <w:tcPr>
            <w:tcW w:w="516" w:type="pct"/>
            <w:vMerge w:val="continue"/>
            <w:vAlign w:val="center"/>
          </w:tcPr>
          <w:p w14:paraId="11660E7B">
            <w:pPr>
              <w:jc w:val="center"/>
              <w:rPr>
                <w:sz w:val="19"/>
                <w:szCs w:val="19"/>
              </w:rPr>
            </w:pPr>
          </w:p>
        </w:tc>
        <w:tc>
          <w:tcPr>
            <w:tcW w:w="538" w:type="pct"/>
            <w:vMerge w:val="continue"/>
            <w:vAlign w:val="center"/>
          </w:tcPr>
          <w:p w14:paraId="01317F6C">
            <w:pPr>
              <w:jc w:val="center"/>
              <w:rPr>
                <w:sz w:val="19"/>
                <w:szCs w:val="19"/>
              </w:rPr>
            </w:pPr>
          </w:p>
        </w:tc>
      </w:tr>
      <w:tr w14:paraId="61FB6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2C797B28">
            <w:pPr>
              <w:jc w:val="center"/>
              <w:rPr>
                <w:sz w:val="19"/>
                <w:szCs w:val="19"/>
              </w:rPr>
            </w:pPr>
          </w:p>
        </w:tc>
        <w:tc>
          <w:tcPr>
            <w:tcW w:w="1161" w:type="pct"/>
            <w:vAlign w:val="center"/>
          </w:tcPr>
          <w:p w14:paraId="42B4F2EB">
            <w:pPr>
              <w:jc w:val="center"/>
              <w:rPr>
                <w:sz w:val="19"/>
                <w:szCs w:val="19"/>
              </w:rPr>
            </w:pPr>
            <w:r>
              <w:rPr>
                <w:rFonts w:hint="eastAsia"/>
                <w:sz w:val="19"/>
                <w:szCs w:val="19"/>
              </w:rPr>
              <w:t>T4</w:t>
            </w:r>
            <w:r>
              <w:rPr>
                <w:sz w:val="19"/>
                <w:szCs w:val="19"/>
              </w:rPr>
              <w:t>（表层样点</w:t>
            </w:r>
            <w:r>
              <w:rPr>
                <w:rFonts w:hint="eastAsia"/>
                <w:sz w:val="19"/>
                <w:szCs w:val="19"/>
              </w:rPr>
              <w:t>4</w:t>
            </w:r>
            <w:r>
              <w:rPr>
                <w:sz w:val="19"/>
                <w:szCs w:val="19"/>
              </w:rPr>
              <w:t>）</w:t>
            </w:r>
          </w:p>
        </w:tc>
        <w:tc>
          <w:tcPr>
            <w:tcW w:w="1329" w:type="pct"/>
            <w:tcBorders>
              <w:bottom w:val="single" w:color="auto" w:sz="4" w:space="0"/>
            </w:tcBorders>
            <w:vAlign w:val="center"/>
          </w:tcPr>
          <w:p w14:paraId="7A6B4675">
            <w:pPr>
              <w:jc w:val="center"/>
              <w:rPr>
                <w:sz w:val="19"/>
                <w:szCs w:val="19"/>
              </w:rPr>
            </w:pPr>
            <w:r>
              <w:rPr>
                <w:rFonts w:hint="eastAsia"/>
                <w:sz w:val="19"/>
                <w:szCs w:val="19"/>
              </w:rPr>
              <w:t>圣地石业厂区范围内</w:t>
            </w:r>
          </w:p>
        </w:tc>
        <w:tc>
          <w:tcPr>
            <w:tcW w:w="807" w:type="pct"/>
            <w:vMerge w:val="continue"/>
            <w:vAlign w:val="center"/>
          </w:tcPr>
          <w:p w14:paraId="0BCA88A5">
            <w:pPr>
              <w:jc w:val="center"/>
              <w:rPr>
                <w:sz w:val="19"/>
                <w:szCs w:val="19"/>
              </w:rPr>
            </w:pPr>
          </w:p>
        </w:tc>
        <w:tc>
          <w:tcPr>
            <w:tcW w:w="516" w:type="pct"/>
            <w:vMerge w:val="continue"/>
            <w:vAlign w:val="center"/>
          </w:tcPr>
          <w:p w14:paraId="10704FFC">
            <w:pPr>
              <w:jc w:val="center"/>
              <w:rPr>
                <w:sz w:val="19"/>
                <w:szCs w:val="19"/>
              </w:rPr>
            </w:pPr>
          </w:p>
        </w:tc>
        <w:tc>
          <w:tcPr>
            <w:tcW w:w="538" w:type="pct"/>
            <w:vMerge w:val="continue"/>
            <w:vAlign w:val="center"/>
          </w:tcPr>
          <w:p w14:paraId="6C8ADA48">
            <w:pPr>
              <w:jc w:val="center"/>
              <w:rPr>
                <w:sz w:val="19"/>
                <w:szCs w:val="19"/>
              </w:rPr>
            </w:pPr>
          </w:p>
        </w:tc>
      </w:tr>
      <w:tr w14:paraId="581D3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3731996">
            <w:pPr>
              <w:jc w:val="center"/>
              <w:rPr>
                <w:sz w:val="19"/>
                <w:szCs w:val="19"/>
              </w:rPr>
            </w:pPr>
          </w:p>
        </w:tc>
        <w:tc>
          <w:tcPr>
            <w:tcW w:w="1161" w:type="pct"/>
            <w:vAlign w:val="center"/>
          </w:tcPr>
          <w:p w14:paraId="2C48F80B">
            <w:pPr>
              <w:jc w:val="center"/>
              <w:rPr>
                <w:sz w:val="19"/>
                <w:szCs w:val="19"/>
              </w:rPr>
            </w:pPr>
            <w:r>
              <w:rPr>
                <w:rFonts w:hint="eastAsia"/>
                <w:sz w:val="19"/>
                <w:szCs w:val="19"/>
              </w:rPr>
              <w:t>T5（</w:t>
            </w:r>
            <w:r>
              <w:rPr>
                <w:sz w:val="19"/>
                <w:szCs w:val="19"/>
              </w:rPr>
              <w:t>表层样点</w:t>
            </w:r>
            <w:r>
              <w:rPr>
                <w:rFonts w:hint="eastAsia"/>
                <w:sz w:val="19"/>
                <w:szCs w:val="19"/>
              </w:rPr>
              <w:t>5）</w:t>
            </w:r>
          </w:p>
        </w:tc>
        <w:tc>
          <w:tcPr>
            <w:tcW w:w="1329" w:type="pct"/>
            <w:tcBorders>
              <w:bottom w:val="single" w:color="auto" w:sz="4" w:space="0"/>
            </w:tcBorders>
            <w:vAlign w:val="center"/>
          </w:tcPr>
          <w:p w14:paraId="35E939DF">
            <w:pPr>
              <w:jc w:val="center"/>
              <w:rPr>
                <w:sz w:val="19"/>
                <w:szCs w:val="19"/>
              </w:rPr>
            </w:pPr>
            <w:r>
              <w:rPr>
                <w:rFonts w:hint="eastAsia"/>
                <w:sz w:val="19"/>
                <w:szCs w:val="19"/>
              </w:rPr>
              <w:t>福磊厂区范围内</w:t>
            </w:r>
          </w:p>
        </w:tc>
        <w:tc>
          <w:tcPr>
            <w:tcW w:w="807" w:type="pct"/>
            <w:vMerge w:val="continue"/>
            <w:vAlign w:val="center"/>
          </w:tcPr>
          <w:p w14:paraId="2370A1C9">
            <w:pPr>
              <w:jc w:val="center"/>
              <w:rPr>
                <w:sz w:val="19"/>
                <w:szCs w:val="19"/>
              </w:rPr>
            </w:pPr>
          </w:p>
        </w:tc>
        <w:tc>
          <w:tcPr>
            <w:tcW w:w="516" w:type="pct"/>
            <w:vMerge w:val="continue"/>
            <w:vAlign w:val="center"/>
          </w:tcPr>
          <w:p w14:paraId="55FA1A1E">
            <w:pPr>
              <w:jc w:val="center"/>
              <w:rPr>
                <w:sz w:val="19"/>
                <w:szCs w:val="19"/>
              </w:rPr>
            </w:pPr>
          </w:p>
        </w:tc>
        <w:tc>
          <w:tcPr>
            <w:tcW w:w="538" w:type="pct"/>
            <w:vMerge w:val="continue"/>
            <w:vAlign w:val="center"/>
          </w:tcPr>
          <w:p w14:paraId="56C14F24">
            <w:pPr>
              <w:jc w:val="center"/>
              <w:rPr>
                <w:sz w:val="19"/>
                <w:szCs w:val="19"/>
              </w:rPr>
            </w:pPr>
          </w:p>
        </w:tc>
      </w:tr>
      <w:tr w14:paraId="477A9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0CDB8A63">
            <w:pPr>
              <w:jc w:val="center"/>
              <w:rPr>
                <w:sz w:val="19"/>
                <w:szCs w:val="19"/>
              </w:rPr>
            </w:pPr>
          </w:p>
        </w:tc>
        <w:tc>
          <w:tcPr>
            <w:tcW w:w="1161" w:type="pct"/>
            <w:vAlign w:val="center"/>
          </w:tcPr>
          <w:p w14:paraId="30BE3FF5">
            <w:pPr>
              <w:jc w:val="center"/>
              <w:rPr>
                <w:sz w:val="19"/>
                <w:szCs w:val="19"/>
              </w:rPr>
            </w:pPr>
            <w:r>
              <w:rPr>
                <w:rFonts w:hint="eastAsia"/>
                <w:sz w:val="19"/>
                <w:szCs w:val="19"/>
              </w:rPr>
              <w:t>T6</w:t>
            </w:r>
            <w:r>
              <w:rPr>
                <w:sz w:val="19"/>
                <w:szCs w:val="19"/>
              </w:rPr>
              <w:t>（表层样点</w:t>
            </w:r>
            <w:r>
              <w:rPr>
                <w:rFonts w:hint="eastAsia"/>
                <w:sz w:val="19"/>
                <w:szCs w:val="19"/>
              </w:rPr>
              <w:t>6</w:t>
            </w:r>
            <w:r>
              <w:rPr>
                <w:sz w:val="19"/>
                <w:szCs w:val="19"/>
              </w:rPr>
              <w:t>）</w:t>
            </w:r>
          </w:p>
        </w:tc>
        <w:tc>
          <w:tcPr>
            <w:tcW w:w="1329" w:type="pct"/>
            <w:tcBorders>
              <w:bottom w:val="single" w:color="auto" w:sz="4" w:space="0"/>
            </w:tcBorders>
            <w:vAlign w:val="center"/>
          </w:tcPr>
          <w:p w14:paraId="0C866B07">
            <w:pPr>
              <w:jc w:val="center"/>
              <w:rPr>
                <w:sz w:val="19"/>
                <w:szCs w:val="19"/>
              </w:rPr>
            </w:pPr>
            <w:r>
              <w:rPr>
                <w:rFonts w:hint="eastAsia"/>
                <w:sz w:val="19"/>
                <w:szCs w:val="19"/>
              </w:rPr>
              <w:t>泰达石业厂区范围内</w:t>
            </w:r>
          </w:p>
        </w:tc>
        <w:tc>
          <w:tcPr>
            <w:tcW w:w="807" w:type="pct"/>
            <w:vMerge w:val="continue"/>
            <w:vAlign w:val="center"/>
          </w:tcPr>
          <w:p w14:paraId="2CB63C56">
            <w:pPr>
              <w:jc w:val="center"/>
              <w:rPr>
                <w:sz w:val="19"/>
                <w:szCs w:val="19"/>
              </w:rPr>
            </w:pPr>
          </w:p>
        </w:tc>
        <w:tc>
          <w:tcPr>
            <w:tcW w:w="516" w:type="pct"/>
            <w:vMerge w:val="continue"/>
            <w:vAlign w:val="center"/>
          </w:tcPr>
          <w:p w14:paraId="7C74907C">
            <w:pPr>
              <w:jc w:val="center"/>
              <w:rPr>
                <w:sz w:val="19"/>
                <w:szCs w:val="19"/>
              </w:rPr>
            </w:pPr>
          </w:p>
        </w:tc>
        <w:tc>
          <w:tcPr>
            <w:tcW w:w="538" w:type="pct"/>
            <w:vMerge w:val="continue"/>
            <w:vAlign w:val="center"/>
          </w:tcPr>
          <w:p w14:paraId="0C61DF78">
            <w:pPr>
              <w:jc w:val="center"/>
              <w:rPr>
                <w:sz w:val="19"/>
                <w:szCs w:val="19"/>
              </w:rPr>
            </w:pPr>
          </w:p>
        </w:tc>
      </w:tr>
      <w:tr w14:paraId="0C592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1CA0C17C">
            <w:pPr>
              <w:jc w:val="center"/>
              <w:rPr>
                <w:sz w:val="19"/>
                <w:szCs w:val="19"/>
              </w:rPr>
            </w:pPr>
          </w:p>
        </w:tc>
        <w:tc>
          <w:tcPr>
            <w:tcW w:w="1161" w:type="pct"/>
            <w:vAlign w:val="center"/>
          </w:tcPr>
          <w:p w14:paraId="7E6EB8E4">
            <w:pPr>
              <w:jc w:val="center"/>
              <w:rPr>
                <w:sz w:val="19"/>
                <w:szCs w:val="19"/>
              </w:rPr>
            </w:pPr>
            <w:r>
              <w:rPr>
                <w:rFonts w:hint="eastAsia"/>
                <w:sz w:val="19"/>
                <w:szCs w:val="19"/>
              </w:rPr>
              <w:t>T7（</w:t>
            </w:r>
            <w:r>
              <w:rPr>
                <w:sz w:val="19"/>
                <w:szCs w:val="19"/>
              </w:rPr>
              <w:t>表层样点</w:t>
            </w:r>
            <w:r>
              <w:rPr>
                <w:rFonts w:hint="eastAsia"/>
                <w:sz w:val="19"/>
                <w:szCs w:val="19"/>
              </w:rPr>
              <w:t>7）</w:t>
            </w:r>
          </w:p>
        </w:tc>
        <w:tc>
          <w:tcPr>
            <w:tcW w:w="1329" w:type="pct"/>
            <w:tcBorders>
              <w:bottom w:val="single" w:color="auto" w:sz="4" w:space="0"/>
            </w:tcBorders>
            <w:vAlign w:val="center"/>
          </w:tcPr>
          <w:p w14:paraId="759AED75">
            <w:pPr>
              <w:jc w:val="center"/>
              <w:rPr>
                <w:sz w:val="19"/>
                <w:szCs w:val="19"/>
              </w:rPr>
            </w:pPr>
            <w:r>
              <w:rPr>
                <w:rFonts w:hint="eastAsia"/>
                <w:sz w:val="19"/>
                <w:szCs w:val="19"/>
              </w:rPr>
              <w:t>正鑫厂区范围内</w:t>
            </w:r>
          </w:p>
        </w:tc>
        <w:tc>
          <w:tcPr>
            <w:tcW w:w="807" w:type="pct"/>
            <w:vMerge w:val="continue"/>
            <w:vAlign w:val="center"/>
          </w:tcPr>
          <w:p w14:paraId="6A337B79">
            <w:pPr>
              <w:jc w:val="center"/>
              <w:rPr>
                <w:sz w:val="19"/>
                <w:szCs w:val="19"/>
              </w:rPr>
            </w:pPr>
          </w:p>
        </w:tc>
        <w:tc>
          <w:tcPr>
            <w:tcW w:w="516" w:type="pct"/>
            <w:vMerge w:val="continue"/>
            <w:vAlign w:val="center"/>
          </w:tcPr>
          <w:p w14:paraId="3383361D">
            <w:pPr>
              <w:jc w:val="center"/>
              <w:rPr>
                <w:sz w:val="19"/>
                <w:szCs w:val="19"/>
              </w:rPr>
            </w:pPr>
          </w:p>
        </w:tc>
        <w:tc>
          <w:tcPr>
            <w:tcW w:w="538" w:type="pct"/>
            <w:vMerge w:val="continue"/>
            <w:vAlign w:val="center"/>
          </w:tcPr>
          <w:p w14:paraId="67D9B349">
            <w:pPr>
              <w:jc w:val="center"/>
              <w:rPr>
                <w:sz w:val="19"/>
                <w:szCs w:val="19"/>
              </w:rPr>
            </w:pPr>
          </w:p>
        </w:tc>
      </w:tr>
      <w:tr w14:paraId="423D6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0178FD61">
            <w:pPr>
              <w:jc w:val="center"/>
              <w:rPr>
                <w:sz w:val="19"/>
                <w:szCs w:val="19"/>
              </w:rPr>
            </w:pPr>
          </w:p>
        </w:tc>
        <w:tc>
          <w:tcPr>
            <w:tcW w:w="1161" w:type="pct"/>
            <w:vAlign w:val="center"/>
          </w:tcPr>
          <w:p w14:paraId="389021EB">
            <w:pPr>
              <w:jc w:val="center"/>
              <w:rPr>
                <w:sz w:val="19"/>
                <w:szCs w:val="19"/>
              </w:rPr>
            </w:pPr>
            <w:r>
              <w:rPr>
                <w:rFonts w:hint="eastAsia"/>
                <w:sz w:val="19"/>
                <w:szCs w:val="19"/>
              </w:rPr>
              <w:t>T8</w:t>
            </w:r>
            <w:r>
              <w:rPr>
                <w:sz w:val="19"/>
                <w:szCs w:val="19"/>
              </w:rPr>
              <w:t>（表层样点</w:t>
            </w:r>
            <w:r>
              <w:rPr>
                <w:rFonts w:hint="eastAsia"/>
                <w:sz w:val="19"/>
                <w:szCs w:val="19"/>
              </w:rPr>
              <w:t>8</w:t>
            </w:r>
            <w:r>
              <w:rPr>
                <w:sz w:val="19"/>
                <w:szCs w:val="19"/>
              </w:rPr>
              <w:t>）</w:t>
            </w:r>
          </w:p>
        </w:tc>
        <w:tc>
          <w:tcPr>
            <w:tcW w:w="1329" w:type="pct"/>
            <w:tcBorders>
              <w:bottom w:val="single" w:color="auto" w:sz="4" w:space="0"/>
            </w:tcBorders>
            <w:vAlign w:val="center"/>
          </w:tcPr>
          <w:p w14:paraId="41B4612F">
            <w:pPr>
              <w:jc w:val="center"/>
              <w:rPr>
                <w:sz w:val="19"/>
                <w:szCs w:val="19"/>
              </w:rPr>
            </w:pPr>
            <w:r>
              <w:rPr>
                <w:rFonts w:hint="eastAsia"/>
                <w:sz w:val="19"/>
                <w:szCs w:val="19"/>
              </w:rPr>
              <w:t>园区西北侧农林用地</w:t>
            </w:r>
          </w:p>
        </w:tc>
        <w:tc>
          <w:tcPr>
            <w:tcW w:w="807" w:type="pct"/>
            <w:vMerge w:val="restart"/>
            <w:vAlign w:val="center"/>
          </w:tcPr>
          <w:p w14:paraId="0988E93F">
            <w:pPr>
              <w:jc w:val="center"/>
              <w:rPr>
                <w:sz w:val="19"/>
                <w:szCs w:val="19"/>
              </w:rPr>
            </w:pPr>
            <w:r>
              <w:rPr>
                <w:rFonts w:hint="eastAsia"/>
                <w:sz w:val="19"/>
                <w:szCs w:val="19"/>
              </w:rPr>
              <w:t>农用地基本项目+pH、石油烃</w:t>
            </w:r>
          </w:p>
        </w:tc>
        <w:tc>
          <w:tcPr>
            <w:tcW w:w="516" w:type="pct"/>
            <w:vMerge w:val="restart"/>
            <w:vAlign w:val="center"/>
          </w:tcPr>
          <w:p w14:paraId="22003ACB">
            <w:pPr>
              <w:jc w:val="center"/>
              <w:rPr>
                <w:sz w:val="19"/>
                <w:szCs w:val="19"/>
              </w:rPr>
            </w:pPr>
            <w:r>
              <w:rPr>
                <w:sz w:val="19"/>
                <w:szCs w:val="19"/>
              </w:rPr>
              <w:t>0~0.</w:t>
            </w:r>
            <w:r>
              <w:rPr>
                <w:rFonts w:hint="eastAsia"/>
                <w:sz w:val="19"/>
                <w:szCs w:val="19"/>
              </w:rPr>
              <w:t>2</w:t>
            </w:r>
            <w:r>
              <w:rPr>
                <w:sz w:val="19"/>
                <w:szCs w:val="19"/>
              </w:rPr>
              <w:t>m</w:t>
            </w:r>
          </w:p>
        </w:tc>
        <w:tc>
          <w:tcPr>
            <w:tcW w:w="538" w:type="pct"/>
            <w:vMerge w:val="restart"/>
            <w:vAlign w:val="center"/>
          </w:tcPr>
          <w:p w14:paraId="15D61BD1">
            <w:pPr>
              <w:jc w:val="center"/>
              <w:rPr>
                <w:sz w:val="19"/>
                <w:szCs w:val="19"/>
              </w:rPr>
            </w:pPr>
            <w:r>
              <w:rPr>
                <w:sz w:val="19"/>
                <w:szCs w:val="19"/>
              </w:rPr>
              <w:t>现状农用地</w:t>
            </w:r>
          </w:p>
        </w:tc>
      </w:tr>
      <w:tr w14:paraId="32FF2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F559FA6">
            <w:pPr>
              <w:jc w:val="center"/>
              <w:rPr>
                <w:sz w:val="19"/>
                <w:szCs w:val="19"/>
              </w:rPr>
            </w:pPr>
          </w:p>
        </w:tc>
        <w:tc>
          <w:tcPr>
            <w:tcW w:w="1161" w:type="pct"/>
            <w:vAlign w:val="center"/>
          </w:tcPr>
          <w:p w14:paraId="211AF7AA">
            <w:pPr>
              <w:jc w:val="center"/>
              <w:rPr>
                <w:sz w:val="19"/>
                <w:szCs w:val="19"/>
              </w:rPr>
            </w:pPr>
            <w:r>
              <w:rPr>
                <w:rFonts w:hint="eastAsia"/>
                <w:sz w:val="19"/>
                <w:szCs w:val="19"/>
              </w:rPr>
              <w:t>T9（</w:t>
            </w:r>
            <w:r>
              <w:rPr>
                <w:sz w:val="19"/>
                <w:szCs w:val="19"/>
              </w:rPr>
              <w:t>表层样点</w:t>
            </w:r>
            <w:r>
              <w:rPr>
                <w:rFonts w:hint="eastAsia"/>
                <w:sz w:val="19"/>
                <w:szCs w:val="19"/>
              </w:rPr>
              <w:t>9）</w:t>
            </w:r>
          </w:p>
        </w:tc>
        <w:tc>
          <w:tcPr>
            <w:tcW w:w="1329" w:type="pct"/>
            <w:tcBorders>
              <w:bottom w:val="single" w:color="auto" w:sz="4" w:space="0"/>
            </w:tcBorders>
            <w:vAlign w:val="center"/>
          </w:tcPr>
          <w:p w14:paraId="2DEA480C">
            <w:pPr>
              <w:jc w:val="center"/>
              <w:rPr>
                <w:sz w:val="19"/>
                <w:szCs w:val="19"/>
              </w:rPr>
            </w:pPr>
            <w:r>
              <w:rPr>
                <w:rFonts w:hint="eastAsia"/>
                <w:sz w:val="19"/>
                <w:szCs w:val="19"/>
              </w:rPr>
              <w:t>园区中部农林用地</w:t>
            </w:r>
          </w:p>
        </w:tc>
        <w:tc>
          <w:tcPr>
            <w:tcW w:w="807" w:type="pct"/>
            <w:vMerge w:val="continue"/>
            <w:vAlign w:val="center"/>
          </w:tcPr>
          <w:p w14:paraId="56A11A07">
            <w:pPr>
              <w:jc w:val="center"/>
              <w:rPr>
                <w:sz w:val="19"/>
                <w:szCs w:val="19"/>
              </w:rPr>
            </w:pPr>
          </w:p>
        </w:tc>
        <w:tc>
          <w:tcPr>
            <w:tcW w:w="516" w:type="pct"/>
            <w:vMerge w:val="continue"/>
            <w:vAlign w:val="center"/>
          </w:tcPr>
          <w:p w14:paraId="07E2AB5F">
            <w:pPr>
              <w:jc w:val="center"/>
              <w:rPr>
                <w:sz w:val="19"/>
                <w:szCs w:val="19"/>
              </w:rPr>
            </w:pPr>
          </w:p>
        </w:tc>
        <w:tc>
          <w:tcPr>
            <w:tcW w:w="538" w:type="pct"/>
            <w:vMerge w:val="continue"/>
            <w:vAlign w:val="center"/>
          </w:tcPr>
          <w:p w14:paraId="31EF4878">
            <w:pPr>
              <w:jc w:val="center"/>
              <w:rPr>
                <w:sz w:val="19"/>
                <w:szCs w:val="19"/>
              </w:rPr>
            </w:pPr>
          </w:p>
        </w:tc>
      </w:tr>
      <w:tr w14:paraId="1C720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3EFE3880">
            <w:pPr>
              <w:jc w:val="center"/>
              <w:rPr>
                <w:sz w:val="19"/>
                <w:szCs w:val="19"/>
              </w:rPr>
            </w:pPr>
          </w:p>
        </w:tc>
        <w:tc>
          <w:tcPr>
            <w:tcW w:w="1161" w:type="pct"/>
            <w:vAlign w:val="center"/>
          </w:tcPr>
          <w:p w14:paraId="2FD91340">
            <w:pPr>
              <w:jc w:val="center"/>
              <w:rPr>
                <w:sz w:val="19"/>
                <w:szCs w:val="19"/>
              </w:rPr>
            </w:pPr>
            <w:r>
              <w:rPr>
                <w:rFonts w:hint="eastAsia"/>
                <w:sz w:val="19"/>
                <w:szCs w:val="19"/>
              </w:rPr>
              <w:t>T10</w:t>
            </w:r>
            <w:r>
              <w:rPr>
                <w:sz w:val="19"/>
                <w:szCs w:val="19"/>
              </w:rPr>
              <w:t>（表层样点</w:t>
            </w:r>
            <w:r>
              <w:rPr>
                <w:rFonts w:hint="eastAsia"/>
                <w:sz w:val="19"/>
                <w:szCs w:val="19"/>
              </w:rPr>
              <w:t>10</w:t>
            </w:r>
            <w:r>
              <w:rPr>
                <w:sz w:val="19"/>
                <w:szCs w:val="19"/>
              </w:rPr>
              <w:t>）</w:t>
            </w:r>
          </w:p>
        </w:tc>
        <w:tc>
          <w:tcPr>
            <w:tcW w:w="1329" w:type="pct"/>
            <w:tcBorders>
              <w:bottom w:val="single" w:color="auto" w:sz="4" w:space="0"/>
            </w:tcBorders>
            <w:vAlign w:val="center"/>
          </w:tcPr>
          <w:p w14:paraId="0AE4D732">
            <w:pPr>
              <w:jc w:val="center"/>
              <w:rPr>
                <w:sz w:val="19"/>
                <w:szCs w:val="19"/>
              </w:rPr>
            </w:pPr>
            <w:r>
              <w:rPr>
                <w:rFonts w:hint="eastAsia"/>
                <w:sz w:val="19"/>
                <w:szCs w:val="19"/>
              </w:rPr>
              <w:t>园区南部农林用地</w:t>
            </w:r>
          </w:p>
        </w:tc>
        <w:tc>
          <w:tcPr>
            <w:tcW w:w="807" w:type="pct"/>
            <w:vMerge w:val="continue"/>
            <w:vAlign w:val="center"/>
          </w:tcPr>
          <w:p w14:paraId="71B5ABC3">
            <w:pPr>
              <w:jc w:val="center"/>
              <w:rPr>
                <w:sz w:val="19"/>
                <w:szCs w:val="19"/>
              </w:rPr>
            </w:pPr>
          </w:p>
        </w:tc>
        <w:tc>
          <w:tcPr>
            <w:tcW w:w="516" w:type="pct"/>
            <w:vMerge w:val="continue"/>
            <w:vAlign w:val="center"/>
          </w:tcPr>
          <w:p w14:paraId="36D76CA4">
            <w:pPr>
              <w:jc w:val="center"/>
              <w:rPr>
                <w:sz w:val="19"/>
                <w:szCs w:val="19"/>
              </w:rPr>
            </w:pPr>
          </w:p>
        </w:tc>
        <w:tc>
          <w:tcPr>
            <w:tcW w:w="538" w:type="pct"/>
            <w:vMerge w:val="continue"/>
            <w:vAlign w:val="center"/>
          </w:tcPr>
          <w:p w14:paraId="254F6E0A">
            <w:pPr>
              <w:jc w:val="center"/>
              <w:rPr>
                <w:sz w:val="19"/>
                <w:szCs w:val="19"/>
              </w:rPr>
            </w:pPr>
          </w:p>
        </w:tc>
      </w:tr>
      <w:tr w14:paraId="24719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restart"/>
            <w:vAlign w:val="center"/>
          </w:tcPr>
          <w:p w14:paraId="639B94E2">
            <w:pPr>
              <w:jc w:val="center"/>
              <w:rPr>
                <w:sz w:val="19"/>
                <w:szCs w:val="19"/>
              </w:rPr>
            </w:pPr>
            <w:r>
              <w:rPr>
                <w:rFonts w:hint="eastAsia"/>
                <w:sz w:val="19"/>
                <w:szCs w:val="19"/>
              </w:rPr>
              <w:t>万和石材产业园</w:t>
            </w:r>
          </w:p>
        </w:tc>
        <w:tc>
          <w:tcPr>
            <w:tcW w:w="1161" w:type="pct"/>
            <w:vAlign w:val="center"/>
          </w:tcPr>
          <w:p w14:paraId="2453936C">
            <w:pPr>
              <w:jc w:val="center"/>
              <w:rPr>
                <w:sz w:val="19"/>
                <w:szCs w:val="19"/>
              </w:rPr>
            </w:pPr>
            <w:r>
              <w:rPr>
                <w:rFonts w:hint="eastAsia"/>
                <w:sz w:val="19"/>
                <w:szCs w:val="19"/>
              </w:rPr>
              <w:t>T1</w:t>
            </w:r>
            <w:r>
              <w:rPr>
                <w:sz w:val="19"/>
                <w:szCs w:val="19"/>
              </w:rPr>
              <w:t>（表层样点1）</w:t>
            </w:r>
          </w:p>
        </w:tc>
        <w:tc>
          <w:tcPr>
            <w:tcW w:w="1329" w:type="pct"/>
            <w:tcBorders>
              <w:bottom w:val="single" w:color="auto" w:sz="4" w:space="0"/>
            </w:tcBorders>
            <w:vAlign w:val="center"/>
          </w:tcPr>
          <w:p w14:paraId="43699C94">
            <w:pPr>
              <w:jc w:val="center"/>
              <w:rPr>
                <w:sz w:val="19"/>
                <w:szCs w:val="19"/>
              </w:rPr>
            </w:pPr>
            <w:r>
              <w:rPr>
                <w:rFonts w:hint="eastAsia"/>
                <w:sz w:val="19"/>
                <w:szCs w:val="19"/>
              </w:rPr>
              <w:t>南片区铭源石业周边</w:t>
            </w:r>
          </w:p>
        </w:tc>
        <w:tc>
          <w:tcPr>
            <w:tcW w:w="807" w:type="pct"/>
            <w:vMerge w:val="restart"/>
            <w:vAlign w:val="center"/>
          </w:tcPr>
          <w:p w14:paraId="0331E3DF">
            <w:pPr>
              <w:jc w:val="center"/>
              <w:rPr>
                <w:sz w:val="19"/>
                <w:szCs w:val="19"/>
              </w:rPr>
            </w:pPr>
            <w:r>
              <w:rPr>
                <w:rFonts w:hint="eastAsia"/>
                <w:sz w:val="19"/>
                <w:szCs w:val="19"/>
              </w:rPr>
              <w:t>建设用地基本项目+pH、石油烃</w:t>
            </w:r>
          </w:p>
        </w:tc>
        <w:tc>
          <w:tcPr>
            <w:tcW w:w="516" w:type="pct"/>
            <w:vMerge w:val="restart"/>
            <w:vAlign w:val="center"/>
          </w:tcPr>
          <w:p w14:paraId="2CD45121">
            <w:pPr>
              <w:jc w:val="center"/>
              <w:rPr>
                <w:sz w:val="19"/>
                <w:szCs w:val="19"/>
              </w:rPr>
            </w:pPr>
            <w:r>
              <w:rPr>
                <w:sz w:val="19"/>
                <w:szCs w:val="19"/>
              </w:rPr>
              <w:t>0~0.2m</w:t>
            </w:r>
          </w:p>
        </w:tc>
        <w:tc>
          <w:tcPr>
            <w:tcW w:w="538" w:type="pct"/>
            <w:vMerge w:val="restart"/>
            <w:vAlign w:val="center"/>
          </w:tcPr>
          <w:p w14:paraId="05C7D018">
            <w:pPr>
              <w:jc w:val="center"/>
              <w:rPr>
                <w:sz w:val="19"/>
                <w:szCs w:val="19"/>
              </w:rPr>
            </w:pPr>
            <w:r>
              <w:rPr>
                <w:rFonts w:hint="eastAsia"/>
                <w:sz w:val="19"/>
                <w:szCs w:val="19"/>
              </w:rPr>
              <w:t>建设用地</w:t>
            </w:r>
          </w:p>
        </w:tc>
      </w:tr>
      <w:tr w14:paraId="1E90A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7B0D7EA6">
            <w:pPr>
              <w:jc w:val="center"/>
              <w:rPr>
                <w:sz w:val="19"/>
                <w:szCs w:val="19"/>
              </w:rPr>
            </w:pPr>
          </w:p>
        </w:tc>
        <w:tc>
          <w:tcPr>
            <w:tcW w:w="1161" w:type="pct"/>
            <w:vAlign w:val="center"/>
          </w:tcPr>
          <w:p w14:paraId="29BDFB9C">
            <w:pPr>
              <w:jc w:val="center"/>
              <w:rPr>
                <w:sz w:val="19"/>
                <w:szCs w:val="19"/>
              </w:rPr>
            </w:pPr>
            <w:r>
              <w:rPr>
                <w:rFonts w:hint="eastAsia"/>
                <w:sz w:val="19"/>
                <w:szCs w:val="19"/>
              </w:rPr>
              <w:t>T</w:t>
            </w:r>
            <w:r>
              <w:rPr>
                <w:sz w:val="19"/>
                <w:szCs w:val="19"/>
              </w:rPr>
              <w:t>2（表层样点2）</w:t>
            </w:r>
          </w:p>
        </w:tc>
        <w:tc>
          <w:tcPr>
            <w:tcW w:w="1329" w:type="pct"/>
            <w:tcBorders>
              <w:bottom w:val="single" w:color="auto" w:sz="4" w:space="0"/>
            </w:tcBorders>
            <w:vAlign w:val="center"/>
          </w:tcPr>
          <w:p w14:paraId="2A183FE2">
            <w:pPr>
              <w:jc w:val="center"/>
              <w:rPr>
                <w:sz w:val="19"/>
                <w:szCs w:val="19"/>
              </w:rPr>
            </w:pPr>
            <w:r>
              <w:rPr>
                <w:rFonts w:hint="eastAsia"/>
                <w:sz w:val="19"/>
                <w:szCs w:val="19"/>
              </w:rPr>
              <w:t>南片区瑞丰石业厂区范围内</w:t>
            </w:r>
          </w:p>
        </w:tc>
        <w:tc>
          <w:tcPr>
            <w:tcW w:w="807" w:type="pct"/>
            <w:vMerge w:val="continue"/>
            <w:vAlign w:val="center"/>
          </w:tcPr>
          <w:p w14:paraId="23FA9D9D">
            <w:pPr>
              <w:jc w:val="center"/>
              <w:rPr>
                <w:sz w:val="19"/>
                <w:szCs w:val="19"/>
              </w:rPr>
            </w:pPr>
          </w:p>
        </w:tc>
        <w:tc>
          <w:tcPr>
            <w:tcW w:w="516" w:type="pct"/>
            <w:vMerge w:val="continue"/>
            <w:vAlign w:val="center"/>
          </w:tcPr>
          <w:p w14:paraId="5AF1EC99">
            <w:pPr>
              <w:jc w:val="center"/>
              <w:rPr>
                <w:sz w:val="19"/>
                <w:szCs w:val="19"/>
              </w:rPr>
            </w:pPr>
          </w:p>
        </w:tc>
        <w:tc>
          <w:tcPr>
            <w:tcW w:w="538" w:type="pct"/>
            <w:vMerge w:val="continue"/>
            <w:vAlign w:val="center"/>
          </w:tcPr>
          <w:p w14:paraId="35428FBB">
            <w:pPr>
              <w:jc w:val="center"/>
              <w:rPr>
                <w:sz w:val="19"/>
                <w:szCs w:val="19"/>
              </w:rPr>
            </w:pPr>
          </w:p>
        </w:tc>
      </w:tr>
      <w:tr w14:paraId="40846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09EA88ED">
            <w:pPr>
              <w:jc w:val="center"/>
              <w:rPr>
                <w:sz w:val="19"/>
                <w:szCs w:val="19"/>
              </w:rPr>
            </w:pPr>
          </w:p>
        </w:tc>
        <w:tc>
          <w:tcPr>
            <w:tcW w:w="1161" w:type="pct"/>
            <w:tcBorders>
              <w:bottom w:val="single" w:color="auto" w:sz="4" w:space="0"/>
            </w:tcBorders>
            <w:vAlign w:val="center"/>
          </w:tcPr>
          <w:p w14:paraId="47F72616">
            <w:pPr>
              <w:jc w:val="center"/>
              <w:rPr>
                <w:sz w:val="19"/>
                <w:szCs w:val="19"/>
              </w:rPr>
            </w:pPr>
            <w:r>
              <w:rPr>
                <w:rFonts w:hint="eastAsia"/>
                <w:sz w:val="19"/>
                <w:szCs w:val="19"/>
              </w:rPr>
              <w:t>T</w:t>
            </w:r>
            <w:r>
              <w:rPr>
                <w:sz w:val="19"/>
                <w:szCs w:val="19"/>
              </w:rPr>
              <w:t>3</w:t>
            </w:r>
            <w:r>
              <w:rPr>
                <w:rFonts w:hint="eastAsia"/>
                <w:sz w:val="19"/>
                <w:szCs w:val="19"/>
              </w:rPr>
              <w:t>（</w:t>
            </w:r>
            <w:r>
              <w:rPr>
                <w:sz w:val="19"/>
                <w:szCs w:val="19"/>
              </w:rPr>
              <w:t>表层样点3</w:t>
            </w:r>
            <w:r>
              <w:rPr>
                <w:rFonts w:hint="eastAsia"/>
                <w:sz w:val="19"/>
                <w:szCs w:val="19"/>
              </w:rPr>
              <w:t>）</w:t>
            </w:r>
          </w:p>
        </w:tc>
        <w:tc>
          <w:tcPr>
            <w:tcW w:w="1329" w:type="pct"/>
            <w:tcBorders>
              <w:bottom w:val="single" w:color="auto" w:sz="4" w:space="0"/>
            </w:tcBorders>
            <w:vAlign w:val="center"/>
          </w:tcPr>
          <w:p w14:paraId="17F3F8F7">
            <w:pPr>
              <w:jc w:val="center"/>
              <w:rPr>
                <w:sz w:val="19"/>
                <w:szCs w:val="19"/>
              </w:rPr>
            </w:pPr>
            <w:r>
              <w:rPr>
                <w:rFonts w:hint="eastAsia"/>
                <w:sz w:val="19"/>
                <w:szCs w:val="19"/>
              </w:rPr>
              <w:t>万和万科石材厂范围内</w:t>
            </w:r>
          </w:p>
        </w:tc>
        <w:tc>
          <w:tcPr>
            <w:tcW w:w="807" w:type="pct"/>
            <w:vMerge w:val="continue"/>
            <w:vAlign w:val="center"/>
          </w:tcPr>
          <w:p w14:paraId="16220D95">
            <w:pPr>
              <w:jc w:val="center"/>
              <w:rPr>
                <w:sz w:val="19"/>
                <w:szCs w:val="19"/>
              </w:rPr>
            </w:pPr>
          </w:p>
        </w:tc>
        <w:tc>
          <w:tcPr>
            <w:tcW w:w="516" w:type="pct"/>
            <w:vMerge w:val="continue"/>
            <w:vAlign w:val="center"/>
          </w:tcPr>
          <w:p w14:paraId="493C6F83">
            <w:pPr>
              <w:jc w:val="center"/>
              <w:rPr>
                <w:sz w:val="19"/>
                <w:szCs w:val="19"/>
              </w:rPr>
            </w:pPr>
          </w:p>
        </w:tc>
        <w:tc>
          <w:tcPr>
            <w:tcW w:w="538" w:type="pct"/>
            <w:vMerge w:val="continue"/>
            <w:vAlign w:val="center"/>
          </w:tcPr>
          <w:p w14:paraId="0AA41702">
            <w:pPr>
              <w:jc w:val="center"/>
              <w:rPr>
                <w:sz w:val="19"/>
                <w:szCs w:val="19"/>
              </w:rPr>
            </w:pPr>
          </w:p>
        </w:tc>
      </w:tr>
      <w:tr w14:paraId="01072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52320476">
            <w:pPr>
              <w:jc w:val="center"/>
              <w:rPr>
                <w:sz w:val="19"/>
                <w:szCs w:val="19"/>
              </w:rPr>
            </w:pPr>
          </w:p>
        </w:tc>
        <w:tc>
          <w:tcPr>
            <w:tcW w:w="1161" w:type="pct"/>
            <w:tcBorders>
              <w:top w:val="single" w:color="auto" w:sz="4" w:space="0"/>
            </w:tcBorders>
            <w:vAlign w:val="center"/>
          </w:tcPr>
          <w:p w14:paraId="6A333797">
            <w:pPr>
              <w:jc w:val="center"/>
              <w:rPr>
                <w:sz w:val="19"/>
                <w:szCs w:val="19"/>
              </w:rPr>
            </w:pPr>
            <w:r>
              <w:rPr>
                <w:rFonts w:hint="eastAsia"/>
                <w:sz w:val="19"/>
                <w:szCs w:val="19"/>
              </w:rPr>
              <w:t>T4</w:t>
            </w:r>
            <w:r>
              <w:rPr>
                <w:sz w:val="19"/>
                <w:szCs w:val="19"/>
              </w:rPr>
              <w:t>（表层样点</w:t>
            </w:r>
            <w:r>
              <w:rPr>
                <w:rFonts w:hint="eastAsia"/>
                <w:sz w:val="19"/>
                <w:szCs w:val="19"/>
              </w:rPr>
              <w:t>4</w:t>
            </w:r>
            <w:r>
              <w:rPr>
                <w:sz w:val="19"/>
                <w:szCs w:val="19"/>
              </w:rPr>
              <w:t>）</w:t>
            </w:r>
          </w:p>
        </w:tc>
        <w:tc>
          <w:tcPr>
            <w:tcW w:w="1329" w:type="pct"/>
            <w:tcBorders>
              <w:bottom w:val="single" w:color="auto" w:sz="4" w:space="0"/>
            </w:tcBorders>
            <w:vAlign w:val="center"/>
          </w:tcPr>
          <w:p w14:paraId="261930E9">
            <w:pPr>
              <w:jc w:val="center"/>
              <w:rPr>
                <w:sz w:val="19"/>
                <w:szCs w:val="19"/>
              </w:rPr>
            </w:pPr>
            <w:r>
              <w:rPr>
                <w:rFonts w:hint="eastAsia"/>
                <w:sz w:val="19"/>
                <w:szCs w:val="19"/>
              </w:rPr>
              <w:t>中部片区</w:t>
            </w:r>
          </w:p>
        </w:tc>
        <w:tc>
          <w:tcPr>
            <w:tcW w:w="807" w:type="pct"/>
            <w:vMerge w:val="continue"/>
            <w:vAlign w:val="center"/>
          </w:tcPr>
          <w:p w14:paraId="639D960B">
            <w:pPr>
              <w:jc w:val="center"/>
              <w:rPr>
                <w:sz w:val="19"/>
                <w:szCs w:val="19"/>
              </w:rPr>
            </w:pPr>
          </w:p>
        </w:tc>
        <w:tc>
          <w:tcPr>
            <w:tcW w:w="516" w:type="pct"/>
            <w:vMerge w:val="continue"/>
            <w:vAlign w:val="center"/>
          </w:tcPr>
          <w:p w14:paraId="0EDB6B6F">
            <w:pPr>
              <w:jc w:val="center"/>
              <w:rPr>
                <w:sz w:val="19"/>
                <w:szCs w:val="19"/>
              </w:rPr>
            </w:pPr>
          </w:p>
        </w:tc>
        <w:tc>
          <w:tcPr>
            <w:tcW w:w="538" w:type="pct"/>
            <w:vMerge w:val="continue"/>
            <w:vAlign w:val="center"/>
          </w:tcPr>
          <w:p w14:paraId="2A98D773">
            <w:pPr>
              <w:jc w:val="center"/>
              <w:rPr>
                <w:sz w:val="19"/>
                <w:szCs w:val="19"/>
              </w:rPr>
            </w:pPr>
          </w:p>
        </w:tc>
      </w:tr>
      <w:tr w14:paraId="2C06A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724A0888">
            <w:pPr>
              <w:jc w:val="center"/>
              <w:rPr>
                <w:sz w:val="19"/>
                <w:szCs w:val="19"/>
              </w:rPr>
            </w:pPr>
          </w:p>
        </w:tc>
        <w:tc>
          <w:tcPr>
            <w:tcW w:w="1161" w:type="pct"/>
            <w:vAlign w:val="center"/>
          </w:tcPr>
          <w:p w14:paraId="75A8D72A">
            <w:pPr>
              <w:jc w:val="center"/>
              <w:rPr>
                <w:sz w:val="19"/>
                <w:szCs w:val="19"/>
              </w:rPr>
            </w:pPr>
            <w:r>
              <w:rPr>
                <w:rFonts w:hint="eastAsia"/>
                <w:sz w:val="19"/>
                <w:szCs w:val="19"/>
              </w:rPr>
              <w:t>T5</w:t>
            </w:r>
            <w:r>
              <w:rPr>
                <w:sz w:val="19"/>
                <w:szCs w:val="19"/>
              </w:rPr>
              <w:t>（表层样点</w:t>
            </w:r>
            <w:r>
              <w:rPr>
                <w:rFonts w:hint="eastAsia"/>
                <w:sz w:val="19"/>
                <w:szCs w:val="19"/>
              </w:rPr>
              <w:t>5</w:t>
            </w:r>
            <w:r>
              <w:rPr>
                <w:sz w:val="19"/>
                <w:szCs w:val="19"/>
              </w:rPr>
              <w:t>）</w:t>
            </w:r>
          </w:p>
        </w:tc>
        <w:tc>
          <w:tcPr>
            <w:tcW w:w="1329" w:type="pct"/>
            <w:tcBorders>
              <w:top w:val="single" w:color="auto" w:sz="4" w:space="0"/>
              <w:bottom w:val="single" w:color="auto" w:sz="4" w:space="0"/>
            </w:tcBorders>
            <w:vAlign w:val="center"/>
          </w:tcPr>
          <w:p w14:paraId="7E4A8C3F">
            <w:pPr>
              <w:jc w:val="center"/>
              <w:rPr>
                <w:sz w:val="19"/>
                <w:szCs w:val="19"/>
              </w:rPr>
            </w:pPr>
            <w:r>
              <w:rPr>
                <w:rFonts w:hint="eastAsia"/>
                <w:sz w:val="19"/>
                <w:szCs w:val="19"/>
              </w:rPr>
              <w:t>中部片区</w:t>
            </w:r>
          </w:p>
        </w:tc>
        <w:tc>
          <w:tcPr>
            <w:tcW w:w="807" w:type="pct"/>
            <w:vMerge w:val="continue"/>
            <w:vAlign w:val="center"/>
          </w:tcPr>
          <w:p w14:paraId="40757556">
            <w:pPr>
              <w:jc w:val="center"/>
              <w:rPr>
                <w:sz w:val="19"/>
                <w:szCs w:val="19"/>
              </w:rPr>
            </w:pPr>
          </w:p>
        </w:tc>
        <w:tc>
          <w:tcPr>
            <w:tcW w:w="516" w:type="pct"/>
            <w:vMerge w:val="continue"/>
            <w:vAlign w:val="center"/>
          </w:tcPr>
          <w:p w14:paraId="3875289B">
            <w:pPr>
              <w:jc w:val="center"/>
              <w:rPr>
                <w:sz w:val="19"/>
                <w:szCs w:val="19"/>
              </w:rPr>
            </w:pPr>
          </w:p>
        </w:tc>
        <w:tc>
          <w:tcPr>
            <w:tcW w:w="538" w:type="pct"/>
            <w:vMerge w:val="continue"/>
            <w:vAlign w:val="center"/>
          </w:tcPr>
          <w:p w14:paraId="66C702DD">
            <w:pPr>
              <w:jc w:val="center"/>
              <w:rPr>
                <w:sz w:val="19"/>
                <w:szCs w:val="19"/>
              </w:rPr>
            </w:pPr>
          </w:p>
        </w:tc>
      </w:tr>
      <w:tr w14:paraId="75296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2717EB4F">
            <w:pPr>
              <w:jc w:val="center"/>
              <w:rPr>
                <w:sz w:val="19"/>
                <w:szCs w:val="19"/>
              </w:rPr>
            </w:pPr>
          </w:p>
        </w:tc>
        <w:tc>
          <w:tcPr>
            <w:tcW w:w="1161" w:type="pct"/>
            <w:vAlign w:val="center"/>
          </w:tcPr>
          <w:p w14:paraId="21521130">
            <w:pPr>
              <w:jc w:val="center"/>
              <w:rPr>
                <w:sz w:val="19"/>
                <w:szCs w:val="19"/>
              </w:rPr>
            </w:pPr>
            <w:r>
              <w:rPr>
                <w:rFonts w:hint="eastAsia"/>
                <w:sz w:val="19"/>
                <w:szCs w:val="19"/>
              </w:rPr>
              <w:t>T6（</w:t>
            </w:r>
            <w:r>
              <w:rPr>
                <w:sz w:val="19"/>
                <w:szCs w:val="19"/>
              </w:rPr>
              <w:t>表层样点</w:t>
            </w:r>
            <w:r>
              <w:rPr>
                <w:rFonts w:hint="eastAsia"/>
                <w:sz w:val="19"/>
                <w:szCs w:val="19"/>
              </w:rPr>
              <w:t>6）</w:t>
            </w:r>
          </w:p>
        </w:tc>
        <w:tc>
          <w:tcPr>
            <w:tcW w:w="1329" w:type="pct"/>
            <w:tcBorders>
              <w:top w:val="single" w:color="auto" w:sz="4" w:space="0"/>
              <w:bottom w:val="single" w:color="auto" w:sz="4" w:space="0"/>
            </w:tcBorders>
            <w:vAlign w:val="center"/>
          </w:tcPr>
          <w:p w14:paraId="6118037C">
            <w:pPr>
              <w:jc w:val="center"/>
              <w:rPr>
                <w:sz w:val="19"/>
                <w:szCs w:val="19"/>
              </w:rPr>
            </w:pPr>
            <w:r>
              <w:rPr>
                <w:rFonts w:hint="eastAsia"/>
                <w:sz w:val="19"/>
                <w:szCs w:val="19"/>
              </w:rPr>
              <w:t>中部片区</w:t>
            </w:r>
          </w:p>
        </w:tc>
        <w:tc>
          <w:tcPr>
            <w:tcW w:w="807" w:type="pct"/>
            <w:vMerge w:val="continue"/>
            <w:vAlign w:val="center"/>
          </w:tcPr>
          <w:p w14:paraId="3CEFF068">
            <w:pPr>
              <w:jc w:val="center"/>
              <w:rPr>
                <w:sz w:val="19"/>
                <w:szCs w:val="19"/>
              </w:rPr>
            </w:pPr>
          </w:p>
        </w:tc>
        <w:tc>
          <w:tcPr>
            <w:tcW w:w="516" w:type="pct"/>
            <w:vMerge w:val="continue"/>
            <w:vAlign w:val="center"/>
          </w:tcPr>
          <w:p w14:paraId="3F8E5FAD">
            <w:pPr>
              <w:jc w:val="center"/>
              <w:rPr>
                <w:sz w:val="19"/>
                <w:szCs w:val="19"/>
              </w:rPr>
            </w:pPr>
          </w:p>
        </w:tc>
        <w:tc>
          <w:tcPr>
            <w:tcW w:w="538" w:type="pct"/>
            <w:vMerge w:val="continue"/>
            <w:vAlign w:val="center"/>
          </w:tcPr>
          <w:p w14:paraId="7B5A1353">
            <w:pPr>
              <w:jc w:val="center"/>
              <w:rPr>
                <w:sz w:val="19"/>
                <w:szCs w:val="19"/>
              </w:rPr>
            </w:pPr>
          </w:p>
        </w:tc>
      </w:tr>
      <w:tr w14:paraId="15297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33B333D1">
            <w:pPr>
              <w:jc w:val="center"/>
              <w:rPr>
                <w:sz w:val="19"/>
                <w:szCs w:val="19"/>
              </w:rPr>
            </w:pPr>
          </w:p>
        </w:tc>
        <w:tc>
          <w:tcPr>
            <w:tcW w:w="1161" w:type="pct"/>
            <w:vAlign w:val="center"/>
          </w:tcPr>
          <w:p w14:paraId="7EEC9537">
            <w:pPr>
              <w:jc w:val="center"/>
              <w:rPr>
                <w:sz w:val="19"/>
                <w:szCs w:val="19"/>
              </w:rPr>
            </w:pPr>
            <w:r>
              <w:rPr>
                <w:rFonts w:hint="eastAsia"/>
                <w:sz w:val="19"/>
                <w:szCs w:val="19"/>
              </w:rPr>
              <w:t>T7</w:t>
            </w:r>
            <w:r>
              <w:rPr>
                <w:sz w:val="19"/>
                <w:szCs w:val="19"/>
              </w:rPr>
              <w:t>（表层样点</w:t>
            </w:r>
            <w:r>
              <w:rPr>
                <w:rFonts w:hint="eastAsia"/>
                <w:sz w:val="19"/>
                <w:szCs w:val="19"/>
              </w:rPr>
              <w:t>7</w:t>
            </w:r>
            <w:r>
              <w:rPr>
                <w:sz w:val="19"/>
                <w:szCs w:val="19"/>
              </w:rPr>
              <w:t>）</w:t>
            </w:r>
          </w:p>
        </w:tc>
        <w:tc>
          <w:tcPr>
            <w:tcW w:w="1329" w:type="pct"/>
            <w:tcBorders>
              <w:top w:val="single" w:color="auto" w:sz="4" w:space="0"/>
              <w:bottom w:val="single" w:color="auto" w:sz="4" w:space="0"/>
            </w:tcBorders>
            <w:vAlign w:val="center"/>
          </w:tcPr>
          <w:p w14:paraId="5CFDA3D9">
            <w:pPr>
              <w:jc w:val="center"/>
              <w:rPr>
                <w:sz w:val="19"/>
                <w:szCs w:val="19"/>
              </w:rPr>
            </w:pPr>
            <w:r>
              <w:rPr>
                <w:rFonts w:hint="eastAsia"/>
                <w:sz w:val="19"/>
                <w:szCs w:val="19"/>
              </w:rPr>
              <w:t>中部片区</w:t>
            </w:r>
          </w:p>
        </w:tc>
        <w:tc>
          <w:tcPr>
            <w:tcW w:w="807" w:type="pct"/>
            <w:vMerge w:val="continue"/>
            <w:vAlign w:val="center"/>
          </w:tcPr>
          <w:p w14:paraId="4F5EBF6E">
            <w:pPr>
              <w:jc w:val="center"/>
              <w:rPr>
                <w:sz w:val="19"/>
                <w:szCs w:val="19"/>
              </w:rPr>
            </w:pPr>
          </w:p>
        </w:tc>
        <w:tc>
          <w:tcPr>
            <w:tcW w:w="516" w:type="pct"/>
            <w:vMerge w:val="continue"/>
            <w:vAlign w:val="center"/>
          </w:tcPr>
          <w:p w14:paraId="2486CA9A">
            <w:pPr>
              <w:jc w:val="center"/>
              <w:rPr>
                <w:sz w:val="19"/>
                <w:szCs w:val="19"/>
              </w:rPr>
            </w:pPr>
          </w:p>
        </w:tc>
        <w:tc>
          <w:tcPr>
            <w:tcW w:w="538" w:type="pct"/>
            <w:vMerge w:val="continue"/>
            <w:vAlign w:val="center"/>
          </w:tcPr>
          <w:p w14:paraId="7B5E90B5">
            <w:pPr>
              <w:jc w:val="center"/>
              <w:rPr>
                <w:sz w:val="19"/>
                <w:szCs w:val="19"/>
              </w:rPr>
            </w:pPr>
          </w:p>
        </w:tc>
      </w:tr>
      <w:tr w14:paraId="33585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9186E0C">
            <w:pPr>
              <w:jc w:val="center"/>
              <w:rPr>
                <w:sz w:val="19"/>
                <w:szCs w:val="19"/>
              </w:rPr>
            </w:pPr>
          </w:p>
        </w:tc>
        <w:tc>
          <w:tcPr>
            <w:tcW w:w="1161" w:type="pct"/>
            <w:tcBorders>
              <w:bottom w:val="single" w:color="auto" w:sz="4" w:space="0"/>
            </w:tcBorders>
            <w:vAlign w:val="center"/>
          </w:tcPr>
          <w:p w14:paraId="7B388FBB">
            <w:pPr>
              <w:jc w:val="center"/>
              <w:rPr>
                <w:sz w:val="19"/>
                <w:szCs w:val="19"/>
              </w:rPr>
            </w:pPr>
            <w:r>
              <w:rPr>
                <w:rFonts w:hint="eastAsia"/>
                <w:sz w:val="19"/>
                <w:szCs w:val="19"/>
              </w:rPr>
              <w:t>T8</w:t>
            </w:r>
            <w:r>
              <w:rPr>
                <w:sz w:val="19"/>
                <w:szCs w:val="19"/>
              </w:rPr>
              <w:t>（表层样点</w:t>
            </w:r>
            <w:r>
              <w:rPr>
                <w:rFonts w:hint="eastAsia"/>
                <w:sz w:val="19"/>
                <w:szCs w:val="19"/>
              </w:rPr>
              <w:t>8</w:t>
            </w:r>
            <w:r>
              <w:rPr>
                <w:sz w:val="19"/>
                <w:szCs w:val="19"/>
              </w:rPr>
              <w:t>）</w:t>
            </w:r>
          </w:p>
        </w:tc>
        <w:tc>
          <w:tcPr>
            <w:tcW w:w="1329" w:type="pct"/>
            <w:tcBorders>
              <w:top w:val="single" w:color="auto" w:sz="4" w:space="0"/>
              <w:bottom w:val="single" w:color="auto" w:sz="4" w:space="0"/>
            </w:tcBorders>
            <w:vAlign w:val="center"/>
          </w:tcPr>
          <w:p w14:paraId="2D306F40">
            <w:pPr>
              <w:jc w:val="center"/>
              <w:rPr>
                <w:sz w:val="19"/>
                <w:szCs w:val="19"/>
              </w:rPr>
            </w:pPr>
            <w:r>
              <w:rPr>
                <w:rFonts w:hint="eastAsia"/>
                <w:sz w:val="19"/>
                <w:szCs w:val="19"/>
              </w:rPr>
              <w:t>中部片区空地</w:t>
            </w:r>
          </w:p>
        </w:tc>
        <w:tc>
          <w:tcPr>
            <w:tcW w:w="807" w:type="pct"/>
            <w:vMerge w:val="continue"/>
            <w:vAlign w:val="center"/>
          </w:tcPr>
          <w:p w14:paraId="786D1268">
            <w:pPr>
              <w:jc w:val="center"/>
              <w:rPr>
                <w:sz w:val="19"/>
                <w:szCs w:val="19"/>
              </w:rPr>
            </w:pPr>
          </w:p>
        </w:tc>
        <w:tc>
          <w:tcPr>
            <w:tcW w:w="516" w:type="pct"/>
            <w:vMerge w:val="continue"/>
            <w:vAlign w:val="center"/>
          </w:tcPr>
          <w:p w14:paraId="7F0E402C">
            <w:pPr>
              <w:jc w:val="center"/>
              <w:rPr>
                <w:sz w:val="19"/>
                <w:szCs w:val="19"/>
              </w:rPr>
            </w:pPr>
          </w:p>
        </w:tc>
        <w:tc>
          <w:tcPr>
            <w:tcW w:w="538" w:type="pct"/>
            <w:vMerge w:val="continue"/>
            <w:vAlign w:val="center"/>
          </w:tcPr>
          <w:p w14:paraId="72595CCC">
            <w:pPr>
              <w:jc w:val="center"/>
              <w:rPr>
                <w:sz w:val="19"/>
                <w:szCs w:val="19"/>
              </w:rPr>
            </w:pPr>
          </w:p>
        </w:tc>
      </w:tr>
      <w:tr w14:paraId="0FB1B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1BD5F6A9">
            <w:pPr>
              <w:jc w:val="center"/>
              <w:rPr>
                <w:sz w:val="19"/>
                <w:szCs w:val="19"/>
              </w:rPr>
            </w:pPr>
          </w:p>
        </w:tc>
        <w:tc>
          <w:tcPr>
            <w:tcW w:w="1161" w:type="pct"/>
            <w:tcBorders>
              <w:top w:val="single" w:color="auto" w:sz="4" w:space="0"/>
            </w:tcBorders>
            <w:vAlign w:val="center"/>
          </w:tcPr>
          <w:p w14:paraId="31B98866">
            <w:pPr>
              <w:jc w:val="center"/>
              <w:rPr>
                <w:sz w:val="19"/>
                <w:szCs w:val="19"/>
              </w:rPr>
            </w:pPr>
            <w:r>
              <w:rPr>
                <w:rFonts w:hint="eastAsia"/>
                <w:sz w:val="19"/>
                <w:szCs w:val="19"/>
              </w:rPr>
              <w:t>T9（</w:t>
            </w:r>
            <w:r>
              <w:rPr>
                <w:sz w:val="19"/>
                <w:szCs w:val="19"/>
              </w:rPr>
              <w:t>表层样点</w:t>
            </w:r>
            <w:r>
              <w:rPr>
                <w:rFonts w:hint="eastAsia"/>
                <w:sz w:val="19"/>
                <w:szCs w:val="19"/>
              </w:rPr>
              <w:t>9）</w:t>
            </w:r>
          </w:p>
        </w:tc>
        <w:tc>
          <w:tcPr>
            <w:tcW w:w="1329" w:type="pct"/>
            <w:tcBorders>
              <w:top w:val="single" w:color="auto" w:sz="4" w:space="0"/>
              <w:bottom w:val="single" w:color="auto" w:sz="4" w:space="0"/>
            </w:tcBorders>
            <w:vAlign w:val="center"/>
          </w:tcPr>
          <w:p w14:paraId="19EB3577">
            <w:pPr>
              <w:jc w:val="center"/>
              <w:rPr>
                <w:sz w:val="19"/>
                <w:szCs w:val="19"/>
              </w:rPr>
            </w:pPr>
            <w:r>
              <w:rPr>
                <w:rFonts w:hint="eastAsia"/>
                <w:sz w:val="19"/>
                <w:szCs w:val="19"/>
              </w:rPr>
              <w:t>北片区</w:t>
            </w:r>
          </w:p>
        </w:tc>
        <w:tc>
          <w:tcPr>
            <w:tcW w:w="807" w:type="pct"/>
            <w:vMerge w:val="continue"/>
            <w:vAlign w:val="center"/>
          </w:tcPr>
          <w:p w14:paraId="17E9BDCC">
            <w:pPr>
              <w:jc w:val="center"/>
              <w:rPr>
                <w:sz w:val="19"/>
                <w:szCs w:val="19"/>
              </w:rPr>
            </w:pPr>
          </w:p>
        </w:tc>
        <w:tc>
          <w:tcPr>
            <w:tcW w:w="516" w:type="pct"/>
            <w:vMerge w:val="continue"/>
            <w:vAlign w:val="center"/>
          </w:tcPr>
          <w:p w14:paraId="79A3D20C">
            <w:pPr>
              <w:jc w:val="center"/>
              <w:rPr>
                <w:sz w:val="19"/>
                <w:szCs w:val="19"/>
              </w:rPr>
            </w:pPr>
          </w:p>
        </w:tc>
        <w:tc>
          <w:tcPr>
            <w:tcW w:w="538" w:type="pct"/>
            <w:vMerge w:val="continue"/>
            <w:vAlign w:val="center"/>
          </w:tcPr>
          <w:p w14:paraId="182A468D">
            <w:pPr>
              <w:jc w:val="center"/>
              <w:rPr>
                <w:sz w:val="19"/>
                <w:szCs w:val="19"/>
              </w:rPr>
            </w:pPr>
          </w:p>
        </w:tc>
      </w:tr>
      <w:tr w14:paraId="428B51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1087FBED">
            <w:pPr>
              <w:jc w:val="center"/>
              <w:rPr>
                <w:sz w:val="19"/>
                <w:szCs w:val="19"/>
              </w:rPr>
            </w:pPr>
          </w:p>
        </w:tc>
        <w:tc>
          <w:tcPr>
            <w:tcW w:w="1161" w:type="pct"/>
            <w:vAlign w:val="center"/>
          </w:tcPr>
          <w:p w14:paraId="44364694">
            <w:pPr>
              <w:jc w:val="center"/>
              <w:rPr>
                <w:sz w:val="19"/>
                <w:szCs w:val="19"/>
              </w:rPr>
            </w:pPr>
            <w:r>
              <w:rPr>
                <w:rFonts w:hint="eastAsia"/>
                <w:sz w:val="19"/>
                <w:szCs w:val="19"/>
              </w:rPr>
              <w:t>T10</w:t>
            </w:r>
            <w:r>
              <w:rPr>
                <w:sz w:val="19"/>
                <w:szCs w:val="19"/>
              </w:rPr>
              <w:t>（表层样点</w:t>
            </w:r>
            <w:r>
              <w:rPr>
                <w:rFonts w:hint="eastAsia"/>
                <w:sz w:val="19"/>
                <w:szCs w:val="19"/>
              </w:rPr>
              <w:t>10</w:t>
            </w:r>
            <w:r>
              <w:rPr>
                <w:sz w:val="19"/>
                <w:szCs w:val="19"/>
              </w:rPr>
              <w:t>）</w:t>
            </w:r>
          </w:p>
        </w:tc>
        <w:tc>
          <w:tcPr>
            <w:tcW w:w="1329" w:type="pct"/>
            <w:tcBorders>
              <w:top w:val="single" w:color="auto" w:sz="4" w:space="0"/>
              <w:bottom w:val="single" w:color="auto" w:sz="4" w:space="0"/>
            </w:tcBorders>
            <w:vAlign w:val="center"/>
          </w:tcPr>
          <w:p w14:paraId="57CD7769">
            <w:pPr>
              <w:jc w:val="center"/>
              <w:rPr>
                <w:sz w:val="19"/>
                <w:szCs w:val="19"/>
              </w:rPr>
            </w:pPr>
            <w:r>
              <w:rPr>
                <w:rFonts w:hint="eastAsia"/>
                <w:sz w:val="19"/>
                <w:szCs w:val="19"/>
              </w:rPr>
              <w:t>北片区</w:t>
            </w:r>
          </w:p>
        </w:tc>
        <w:tc>
          <w:tcPr>
            <w:tcW w:w="807" w:type="pct"/>
            <w:vMerge w:val="continue"/>
            <w:vAlign w:val="center"/>
          </w:tcPr>
          <w:p w14:paraId="5D899061">
            <w:pPr>
              <w:jc w:val="center"/>
              <w:rPr>
                <w:sz w:val="19"/>
                <w:szCs w:val="19"/>
              </w:rPr>
            </w:pPr>
          </w:p>
        </w:tc>
        <w:tc>
          <w:tcPr>
            <w:tcW w:w="516" w:type="pct"/>
            <w:vMerge w:val="continue"/>
            <w:vAlign w:val="center"/>
          </w:tcPr>
          <w:p w14:paraId="3262742C">
            <w:pPr>
              <w:jc w:val="center"/>
              <w:rPr>
                <w:sz w:val="19"/>
                <w:szCs w:val="19"/>
              </w:rPr>
            </w:pPr>
          </w:p>
        </w:tc>
        <w:tc>
          <w:tcPr>
            <w:tcW w:w="538" w:type="pct"/>
            <w:vMerge w:val="continue"/>
            <w:vAlign w:val="center"/>
          </w:tcPr>
          <w:p w14:paraId="5375263E">
            <w:pPr>
              <w:jc w:val="center"/>
              <w:rPr>
                <w:sz w:val="19"/>
                <w:szCs w:val="19"/>
              </w:rPr>
            </w:pPr>
          </w:p>
        </w:tc>
      </w:tr>
      <w:tr w14:paraId="1D34E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D7601B0">
            <w:pPr>
              <w:jc w:val="center"/>
              <w:rPr>
                <w:sz w:val="19"/>
                <w:szCs w:val="19"/>
              </w:rPr>
            </w:pPr>
          </w:p>
        </w:tc>
        <w:tc>
          <w:tcPr>
            <w:tcW w:w="1161" w:type="pct"/>
            <w:vAlign w:val="center"/>
          </w:tcPr>
          <w:p w14:paraId="2FEEF922">
            <w:pPr>
              <w:jc w:val="center"/>
              <w:rPr>
                <w:sz w:val="19"/>
                <w:szCs w:val="19"/>
              </w:rPr>
            </w:pPr>
            <w:r>
              <w:rPr>
                <w:rFonts w:hint="eastAsia"/>
                <w:sz w:val="19"/>
                <w:szCs w:val="19"/>
              </w:rPr>
              <w:t>T11</w:t>
            </w:r>
            <w:r>
              <w:rPr>
                <w:sz w:val="19"/>
                <w:szCs w:val="19"/>
              </w:rPr>
              <w:t>（表层样点</w:t>
            </w:r>
            <w:r>
              <w:rPr>
                <w:rFonts w:hint="eastAsia"/>
                <w:sz w:val="19"/>
                <w:szCs w:val="19"/>
              </w:rPr>
              <w:t>11</w:t>
            </w:r>
            <w:r>
              <w:rPr>
                <w:sz w:val="19"/>
                <w:szCs w:val="19"/>
              </w:rPr>
              <w:t>）</w:t>
            </w:r>
          </w:p>
        </w:tc>
        <w:tc>
          <w:tcPr>
            <w:tcW w:w="1329" w:type="pct"/>
            <w:tcBorders>
              <w:top w:val="single" w:color="auto" w:sz="4" w:space="0"/>
              <w:bottom w:val="single" w:color="auto" w:sz="4" w:space="0"/>
            </w:tcBorders>
            <w:vAlign w:val="center"/>
          </w:tcPr>
          <w:p w14:paraId="4E5F6F6F">
            <w:pPr>
              <w:jc w:val="center"/>
              <w:rPr>
                <w:sz w:val="19"/>
                <w:szCs w:val="19"/>
              </w:rPr>
            </w:pPr>
            <w:r>
              <w:rPr>
                <w:rFonts w:hint="eastAsia"/>
                <w:sz w:val="19"/>
                <w:szCs w:val="19"/>
              </w:rPr>
              <w:t>北片区</w:t>
            </w:r>
          </w:p>
        </w:tc>
        <w:tc>
          <w:tcPr>
            <w:tcW w:w="807" w:type="pct"/>
            <w:vMerge w:val="continue"/>
            <w:vAlign w:val="center"/>
          </w:tcPr>
          <w:p w14:paraId="5119FE53">
            <w:pPr>
              <w:jc w:val="center"/>
              <w:rPr>
                <w:sz w:val="19"/>
                <w:szCs w:val="19"/>
              </w:rPr>
            </w:pPr>
          </w:p>
        </w:tc>
        <w:tc>
          <w:tcPr>
            <w:tcW w:w="516" w:type="pct"/>
            <w:vMerge w:val="continue"/>
            <w:vAlign w:val="center"/>
          </w:tcPr>
          <w:p w14:paraId="7698F199">
            <w:pPr>
              <w:jc w:val="center"/>
              <w:rPr>
                <w:sz w:val="19"/>
                <w:szCs w:val="19"/>
              </w:rPr>
            </w:pPr>
          </w:p>
        </w:tc>
        <w:tc>
          <w:tcPr>
            <w:tcW w:w="538" w:type="pct"/>
            <w:vMerge w:val="continue"/>
            <w:vAlign w:val="center"/>
          </w:tcPr>
          <w:p w14:paraId="22034F77">
            <w:pPr>
              <w:jc w:val="center"/>
              <w:rPr>
                <w:sz w:val="19"/>
                <w:szCs w:val="19"/>
              </w:rPr>
            </w:pPr>
          </w:p>
        </w:tc>
      </w:tr>
      <w:tr w14:paraId="31E9C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29A34B79">
            <w:pPr>
              <w:jc w:val="center"/>
              <w:rPr>
                <w:sz w:val="19"/>
                <w:szCs w:val="19"/>
              </w:rPr>
            </w:pPr>
          </w:p>
        </w:tc>
        <w:tc>
          <w:tcPr>
            <w:tcW w:w="1161" w:type="pct"/>
            <w:tcBorders>
              <w:bottom w:val="single" w:color="auto" w:sz="4" w:space="0"/>
            </w:tcBorders>
            <w:vAlign w:val="center"/>
          </w:tcPr>
          <w:p w14:paraId="3261FE90">
            <w:pPr>
              <w:jc w:val="center"/>
              <w:rPr>
                <w:sz w:val="19"/>
                <w:szCs w:val="19"/>
              </w:rPr>
            </w:pPr>
            <w:r>
              <w:rPr>
                <w:rFonts w:hint="eastAsia"/>
                <w:sz w:val="19"/>
                <w:szCs w:val="19"/>
              </w:rPr>
              <w:t>T12（</w:t>
            </w:r>
            <w:r>
              <w:rPr>
                <w:sz w:val="19"/>
                <w:szCs w:val="19"/>
              </w:rPr>
              <w:t>表层样点</w:t>
            </w:r>
            <w:r>
              <w:rPr>
                <w:rFonts w:hint="eastAsia"/>
                <w:sz w:val="19"/>
                <w:szCs w:val="19"/>
              </w:rPr>
              <w:t>12）</w:t>
            </w:r>
          </w:p>
        </w:tc>
        <w:tc>
          <w:tcPr>
            <w:tcW w:w="1329" w:type="pct"/>
            <w:tcBorders>
              <w:top w:val="single" w:color="auto" w:sz="4" w:space="0"/>
              <w:bottom w:val="single" w:color="auto" w:sz="4" w:space="0"/>
            </w:tcBorders>
            <w:vAlign w:val="center"/>
          </w:tcPr>
          <w:p w14:paraId="09641244">
            <w:pPr>
              <w:jc w:val="center"/>
              <w:rPr>
                <w:sz w:val="19"/>
                <w:szCs w:val="19"/>
              </w:rPr>
            </w:pPr>
            <w:r>
              <w:rPr>
                <w:rFonts w:hint="eastAsia"/>
                <w:sz w:val="19"/>
                <w:szCs w:val="19"/>
              </w:rPr>
              <w:t>北片区</w:t>
            </w:r>
          </w:p>
        </w:tc>
        <w:tc>
          <w:tcPr>
            <w:tcW w:w="807" w:type="pct"/>
            <w:vMerge w:val="continue"/>
            <w:vAlign w:val="center"/>
          </w:tcPr>
          <w:p w14:paraId="0D71423A">
            <w:pPr>
              <w:jc w:val="center"/>
              <w:rPr>
                <w:sz w:val="19"/>
                <w:szCs w:val="19"/>
              </w:rPr>
            </w:pPr>
          </w:p>
        </w:tc>
        <w:tc>
          <w:tcPr>
            <w:tcW w:w="516" w:type="pct"/>
            <w:vMerge w:val="continue"/>
            <w:vAlign w:val="center"/>
          </w:tcPr>
          <w:p w14:paraId="0CC68C12">
            <w:pPr>
              <w:jc w:val="center"/>
              <w:rPr>
                <w:sz w:val="19"/>
                <w:szCs w:val="19"/>
              </w:rPr>
            </w:pPr>
          </w:p>
        </w:tc>
        <w:tc>
          <w:tcPr>
            <w:tcW w:w="538" w:type="pct"/>
            <w:vMerge w:val="continue"/>
            <w:vAlign w:val="center"/>
          </w:tcPr>
          <w:p w14:paraId="718DF1C8">
            <w:pPr>
              <w:jc w:val="center"/>
              <w:rPr>
                <w:sz w:val="19"/>
                <w:szCs w:val="19"/>
              </w:rPr>
            </w:pPr>
          </w:p>
        </w:tc>
      </w:tr>
      <w:tr w14:paraId="7694D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4E3EA2CA">
            <w:pPr>
              <w:jc w:val="center"/>
              <w:rPr>
                <w:sz w:val="19"/>
                <w:szCs w:val="19"/>
              </w:rPr>
            </w:pPr>
          </w:p>
        </w:tc>
        <w:tc>
          <w:tcPr>
            <w:tcW w:w="1161" w:type="pct"/>
            <w:tcBorders>
              <w:top w:val="single" w:color="auto" w:sz="4" w:space="0"/>
              <w:bottom w:val="single" w:color="auto" w:sz="4" w:space="0"/>
            </w:tcBorders>
            <w:vAlign w:val="center"/>
          </w:tcPr>
          <w:p w14:paraId="33476C25">
            <w:pPr>
              <w:jc w:val="center"/>
              <w:rPr>
                <w:sz w:val="19"/>
                <w:szCs w:val="19"/>
              </w:rPr>
            </w:pPr>
            <w:r>
              <w:rPr>
                <w:rFonts w:hint="eastAsia"/>
                <w:sz w:val="19"/>
                <w:szCs w:val="19"/>
              </w:rPr>
              <w:t>T1</w:t>
            </w:r>
            <w:r>
              <w:rPr>
                <w:sz w:val="19"/>
                <w:szCs w:val="19"/>
              </w:rPr>
              <w:t>3</w:t>
            </w:r>
            <w:r>
              <w:rPr>
                <w:rFonts w:hint="eastAsia"/>
                <w:sz w:val="19"/>
                <w:szCs w:val="19"/>
              </w:rPr>
              <w:t>（</w:t>
            </w:r>
            <w:r>
              <w:rPr>
                <w:sz w:val="19"/>
                <w:szCs w:val="19"/>
              </w:rPr>
              <w:t>表层样点</w:t>
            </w:r>
            <w:r>
              <w:rPr>
                <w:rFonts w:hint="eastAsia"/>
                <w:sz w:val="19"/>
                <w:szCs w:val="19"/>
              </w:rPr>
              <w:t>1</w:t>
            </w:r>
            <w:r>
              <w:rPr>
                <w:sz w:val="19"/>
                <w:szCs w:val="19"/>
              </w:rPr>
              <w:t>3</w:t>
            </w:r>
            <w:r>
              <w:rPr>
                <w:rFonts w:hint="eastAsia"/>
                <w:sz w:val="19"/>
                <w:szCs w:val="19"/>
              </w:rPr>
              <w:t>）</w:t>
            </w:r>
          </w:p>
        </w:tc>
        <w:tc>
          <w:tcPr>
            <w:tcW w:w="1329" w:type="pct"/>
            <w:tcBorders>
              <w:top w:val="single" w:color="auto" w:sz="4" w:space="0"/>
              <w:bottom w:val="single" w:color="auto" w:sz="4" w:space="0"/>
            </w:tcBorders>
            <w:vAlign w:val="center"/>
          </w:tcPr>
          <w:p w14:paraId="4E8D5F48">
            <w:pPr>
              <w:jc w:val="center"/>
              <w:rPr>
                <w:sz w:val="19"/>
                <w:szCs w:val="19"/>
              </w:rPr>
            </w:pPr>
            <w:r>
              <w:rPr>
                <w:rFonts w:hint="eastAsia"/>
                <w:sz w:val="19"/>
                <w:szCs w:val="19"/>
              </w:rPr>
              <w:t>南片区现状农林用地</w:t>
            </w:r>
          </w:p>
        </w:tc>
        <w:tc>
          <w:tcPr>
            <w:tcW w:w="807" w:type="pct"/>
            <w:tcBorders>
              <w:top w:val="single" w:color="auto" w:sz="4" w:space="0"/>
              <w:bottom w:val="single" w:color="auto" w:sz="4" w:space="0"/>
            </w:tcBorders>
            <w:vAlign w:val="center"/>
          </w:tcPr>
          <w:p w14:paraId="26E55774">
            <w:pPr>
              <w:jc w:val="center"/>
              <w:rPr>
                <w:sz w:val="19"/>
                <w:szCs w:val="19"/>
              </w:rPr>
            </w:pPr>
            <w:r>
              <w:rPr>
                <w:rFonts w:hint="eastAsia"/>
                <w:sz w:val="19"/>
                <w:szCs w:val="19"/>
              </w:rPr>
              <w:t>农用地基本项目+pH、石油烃</w:t>
            </w:r>
          </w:p>
        </w:tc>
        <w:tc>
          <w:tcPr>
            <w:tcW w:w="516" w:type="pct"/>
            <w:tcBorders>
              <w:top w:val="single" w:color="auto" w:sz="4" w:space="0"/>
              <w:bottom w:val="single" w:color="auto" w:sz="4" w:space="0"/>
            </w:tcBorders>
            <w:vAlign w:val="center"/>
          </w:tcPr>
          <w:p w14:paraId="09BDAD4D">
            <w:pPr>
              <w:jc w:val="center"/>
              <w:rPr>
                <w:sz w:val="19"/>
                <w:szCs w:val="19"/>
              </w:rPr>
            </w:pPr>
            <w:r>
              <w:rPr>
                <w:sz w:val="19"/>
                <w:szCs w:val="19"/>
              </w:rPr>
              <w:t>0~0.</w:t>
            </w:r>
            <w:r>
              <w:rPr>
                <w:rFonts w:hint="eastAsia"/>
                <w:sz w:val="19"/>
                <w:szCs w:val="19"/>
              </w:rPr>
              <w:t>2</w:t>
            </w:r>
            <w:r>
              <w:rPr>
                <w:sz w:val="19"/>
                <w:szCs w:val="19"/>
              </w:rPr>
              <w:t>m</w:t>
            </w:r>
          </w:p>
        </w:tc>
        <w:tc>
          <w:tcPr>
            <w:tcW w:w="538" w:type="pct"/>
            <w:tcBorders>
              <w:top w:val="single" w:color="auto" w:sz="4" w:space="0"/>
              <w:bottom w:val="single" w:color="auto" w:sz="4" w:space="0"/>
            </w:tcBorders>
            <w:vAlign w:val="center"/>
          </w:tcPr>
          <w:p w14:paraId="5EC9C4EF">
            <w:pPr>
              <w:jc w:val="center"/>
              <w:rPr>
                <w:sz w:val="19"/>
                <w:szCs w:val="19"/>
              </w:rPr>
            </w:pPr>
            <w:r>
              <w:rPr>
                <w:sz w:val="19"/>
                <w:szCs w:val="19"/>
              </w:rPr>
              <w:t>现状农用地</w:t>
            </w:r>
          </w:p>
        </w:tc>
      </w:tr>
      <w:tr w14:paraId="0DE7A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restart"/>
            <w:vAlign w:val="center"/>
          </w:tcPr>
          <w:p w14:paraId="7024C447">
            <w:pPr>
              <w:jc w:val="center"/>
              <w:rPr>
                <w:sz w:val="19"/>
                <w:szCs w:val="19"/>
              </w:rPr>
            </w:pPr>
            <w:r>
              <w:rPr>
                <w:rFonts w:hint="eastAsia"/>
                <w:sz w:val="19"/>
                <w:szCs w:val="19"/>
              </w:rPr>
              <w:t>太白顶石材产业园</w:t>
            </w:r>
          </w:p>
        </w:tc>
        <w:tc>
          <w:tcPr>
            <w:tcW w:w="1161" w:type="pct"/>
            <w:tcBorders>
              <w:top w:val="single" w:color="auto" w:sz="4" w:space="0"/>
              <w:bottom w:val="single" w:color="auto" w:sz="4" w:space="0"/>
            </w:tcBorders>
            <w:vAlign w:val="center"/>
          </w:tcPr>
          <w:p w14:paraId="79D938A2">
            <w:pPr>
              <w:jc w:val="center"/>
              <w:rPr>
                <w:sz w:val="19"/>
                <w:szCs w:val="19"/>
              </w:rPr>
            </w:pPr>
            <w:r>
              <w:rPr>
                <w:sz w:val="19"/>
                <w:szCs w:val="19"/>
              </w:rPr>
              <w:t>T1</w:t>
            </w:r>
            <w:r>
              <w:rPr>
                <w:rFonts w:hint="eastAsia"/>
                <w:sz w:val="19"/>
                <w:szCs w:val="19"/>
              </w:rPr>
              <w:t>（表层样点</w:t>
            </w:r>
            <w:r>
              <w:rPr>
                <w:sz w:val="19"/>
                <w:szCs w:val="19"/>
              </w:rPr>
              <w:t>1</w:t>
            </w:r>
            <w:r>
              <w:rPr>
                <w:rFonts w:hint="eastAsia"/>
                <w:sz w:val="19"/>
                <w:szCs w:val="19"/>
              </w:rPr>
              <w:t>）</w:t>
            </w:r>
          </w:p>
        </w:tc>
        <w:tc>
          <w:tcPr>
            <w:tcW w:w="1329" w:type="pct"/>
            <w:tcBorders>
              <w:top w:val="single" w:color="auto" w:sz="4" w:space="0"/>
              <w:bottom w:val="single" w:color="auto" w:sz="4" w:space="0"/>
            </w:tcBorders>
            <w:vAlign w:val="center"/>
          </w:tcPr>
          <w:p w14:paraId="04044768">
            <w:pPr>
              <w:jc w:val="center"/>
              <w:rPr>
                <w:sz w:val="19"/>
                <w:szCs w:val="19"/>
              </w:rPr>
            </w:pPr>
            <w:r>
              <w:rPr>
                <w:rFonts w:hint="eastAsia"/>
                <w:sz w:val="19"/>
                <w:szCs w:val="19"/>
              </w:rPr>
              <w:t>恒达石业厂区范围内</w:t>
            </w:r>
          </w:p>
        </w:tc>
        <w:tc>
          <w:tcPr>
            <w:tcW w:w="807" w:type="pct"/>
            <w:vMerge w:val="restart"/>
            <w:tcBorders>
              <w:top w:val="single" w:color="auto" w:sz="4" w:space="0"/>
            </w:tcBorders>
            <w:vAlign w:val="center"/>
          </w:tcPr>
          <w:p w14:paraId="6676FB7B">
            <w:pPr>
              <w:jc w:val="center"/>
              <w:rPr>
                <w:sz w:val="19"/>
                <w:szCs w:val="19"/>
              </w:rPr>
            </w:pPr>
            <w:r>
              <w:rPr>
                <w:rFonts w:hint="eastAsia"/>
                <w:sz w:val="19"/>
                <w:szCs w:val="19"/>
              </w:rPr>
              <w:t>建设用地基本项目</w:t>
            </w:r>
            <w:r>
              <w:rPr>
                <w:sz w:val="19"/>
                <w:szCs w:val="19"/>
              </w:rPr>
              <w:t>+pH</w:t>
            </w:r>
            <w:r>
              <w:rPr>
                <w:rFonts w:hint="eastAsia"/>
                <w:sz w:val="19"/>
                <w:szCs w:val="19"/>
              </w:rPr>
              <w:t>、石油烃</w:t>
            </w:r>
          </w:p>
        </w:tc>
        <w:tc>
          <w:tcPr>
            <w:tcW w:w="516" w:type="pct"/>
            <w:vMerge w:val="restart"/>
            <w:tcBorders>
              <w:top w:val="single" w:color="auto" w:sz="4" w:space="0"/>
            </w:tcBorders>
            <w:vAlign w:val="center"/>
          </w:tcPr>
          <w:p w14:paraId="7F3AEC3F">
            <w:pPr>
              <w:jc w:val="center"/>
              <w:rPr>
                <w:sz w:val="19"/>
                <w:szCs w:val="19"/>
              </w:rPr>
            </w:pPr>
            <w:r>
              <w:rPr>
                <w:sz w:val="19"/>
                <w:szCs w:val="19"/>
              </w:rPr>
              <w:t>0~0.2m</w:t>
            </w:r>
          </w:p>
        </w:tc>
        <w:tc>
          <w:tcPr>
            <w:tcW w:w="538" w:type="pct"/>
            <w:vMerge w:val="restart"/>
            <w:tcBorders>
              <w:top w:val="single" w:color="auto" w:sz="4" w:space="0"/>
            </w:tcBorders>
            <w:vAlign w:val="center"/>
          </w:tcPr>
          <w:p w14:paraId="2E0DF13E">
            <w:pPr>
              <w:jc w:val="center"/>
              <w:rPr>
                <w:sz w:val="19"/>
                <w:szCs w:val="19"/>
              </w:rPr>
            </w:pPr>
            <w:r>
              <w:rPr>
                <w:rFonts w:hint="eastAsia"/>
                <w:sz w:val="19"/>
                <w:szCs w:val="19"/>
              </w:rPr>
              <w:t>建设用地</w:t>
            </w:r>
          </w:p>
        </w:tc>
      </w:tr>
      <w:tr w14:paraId="5C648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E46FB56">
            <w:pPr>
              <w:jc w:val="center"/>
              <w:rPr>
                <w:sz w:val="19"/>
                <w:szCs w:val="19"/>
              </w:rPr>
            </w:pPr>
          </w:p>
        </w:tc>
        <w:tc>
          <w:tcPr>
            <w:tcW w:w="1161" w:type="pct"/>
            <w:tcBorders>
              <w:top w:val="single" w:color="auto" w:sz="4" w:space="0"/>
              <w:bottom w:val="single" w:color="auto" w:sz="4" w:space="0"/>
            </w:tcBorders>
            <w:vAlign w:val="center"/>
          </w:tcPr>
          <w:p w14:paraId="1CAF339E">
            <w:pPr>
              <w:jc w:val="center"/>
              <w:rPr>
                <w:sz w:val="19"/>
                <w:szCs w:val="19"/>
              </w:rPr>
            </w:pPr>
            <w:r>
              <w:rPr>
                <w:sz w:val="19"/>
                <w:szCs w:val="19"/>
              </w:rPr>
              <w:t>T2</w:t>
            </w:r>
            <w:r>
              <w:rPr>
                <w:rFonts w:hint="eastAsia"/>
                <w:sz w:val="19"/>
                <w:szCs w:val="19"/>
              </w:rPr>
              <w:t>（表层样点</w:t>
            </w:r>
            <w:r>
              <w:rPr>
                <w:sz w:val="19"/>
                <w:szCs w:val="19"/>
              </w:rPr>
              <w:t>2</w:t>
            </w:r>
            <w:r>
              <w:rPr>
                <w:rFonts w:hint="eastAsia"/>
                <w:sz w:val="19"/>
                <w:szCs w:val="19"/>
              </w:rPr>
              <w:t>）</w:t>
            </w:r>
          </w:p>
        </w:tc>
        <w:tc>
          <w:tcPr>
            <w:tcW w:w="1329" w:type="pct"/>
            <w:tcBorders>
              <w:top w:val="single" w:color="auto" w:sz="4" w:space="0"/>
              <w:bottom w:val="single" w:color="auto" w:sz="4" w:space="0"/>
            </w:tcBorders>
            <w:vAlign w:val="center"/>
          </w:tcPr>
          <w:p w14:paraId="68211ABE">
            <w:pPr>
              <w:jc w:val="center"/>
              <w:rPr>
                <w:sz w:val="19"/>
                <w:szCs w:val="19"/>
              </w:rPr>
            </w:pPr>
            <w:r>
              <w:rPr>
                <w:rFonts w:hint="eastAsia"/>
                <w:sz w:val="19"/>
                <w:szCs w:val="19"/>
              </w:rPr>
              <w:t>鑫成石业厂区范围内</w:t>
            </w:r>
          </w:p>
        </w:tc>
        <w:tc>
          <w:tcPr>
            <w:tcW w:w="807" w:type="pct"/>
            <w:vMerge w:val="continue"/>
            <w:tcBorders>
              <w:bottom w:val="single" w:color="auto" w:sz="4" w:space="0"/>
            </w:tcBorders>
            <w:vAlign w:val="center"/>
          </w:tcPr>
          <w:p w14:paraId="75E025D6">
            <w:pPr>
              <w:widowControl/>
              <w:jc w:val="left"/>
              <w:rPr>
                <w:sz w:val="19"/>
                <w:szCs w:val="19"/>
              </w:rPr>
            </w:pPr>
          </w:p>
        </w:tc>
        <w:tc>
          <w:tcPr>
            <w:tcW w:w="516" w:type="pct"/>
            <w:vMerge w:val="continue"/>
            <w:tcBorders>
              <w:bottom w:val="single" w:color="auto" w:sz="4" w:space="0"/>
            </w:tcBorders>
            <w:vAlign w:val="center"/>
          </w:tcPr>
          <w:p w14:paraId="123B74DA">
            <w:pPr>
              <w:jc w:val="center"/>
              <w:rPr>
                <w:sz w:val="19"/>
                <w:szCs w:val="19"/>
              </w:rPr>
            </w:pPr>
          </w:p>
        </w:tc>
        <w:tc>
          <w:tcPr>
            <w:tcW w:w="538" w:type="pct"/>
            <w:vMerge w:val="continue"/>
            <w:tcBorders>
              <w:bottom w:val="single" w:color="auto" w:sz="4" w:space="0"/>
            </w:tcBorders>
            <w:vAlign w:val="center"/>
          </w:tcPr>
          <w:p w14:paraId="6A5DFD8D">
            <w:pPr>
              <w:widowControl/>
              <w:jc w:val="left"/>
              <w:rPr>
                <w:sz w:val="19"/>
                <w:szCs w:val="19"/>
              </w:rPr>
            </w:pPr>
          </w:p>
        </w:tc>
      </w:tr>
      <w:tr w14:paraId="1A74D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59A0E176">
            <w:pPr>
              <w:jc w:val="center"/>
              <w:rPr>
                <w:sz w:val="19"/>
                <w:szCs w:val="19"/>
              </w:rPr>
            </w:pPr>
          </w:p>
        </w:tc>
        <w:tc>
          <w:tcPr>
            <w:tcW w:w="1161" w:type="pct"/>
            <w:tcBorders>
              <w:top w:val="single" w:color="auto" w:sz="4" w:space="0"/>
              <w:bottom w:val="single" w:color="auto" w:sz="4" w:space="0"/>
            </w:tcBorders>
            <w:vAlign w:val="center"/>
          </w:tcPr>
          <w:p w14:paraId="4DFF7F81">
            <w:pPr>
              <w:jc w:val="center"/>
              <w:rPr>
                <w:sz w:val="19"/>
                <w:szCs w:val="19"/>
              </w:rPr>
            </w:pPr>
            <w:r>
              <w:rPr>
                <w:sz w:val="19"/>
                <w:szCs w:val="19"/>
              </w:rPr>
              <w:t>T3</w:t>
            </w:r>
            <w:r>
              <w:rPr>
                <w:rFonts w:hint="eastAsia"/>
                <w:sz w:val="19"/>
                <w:szCs w:val="19"/>
              </w:rPr>
              <w:t>（表层样点</w:t>
            </w:r>
            <w:r>
              <w:rPr>
                <w:sz w:val="19"/>
                <w:szCs w:val="19"/>
              </w:rPr>
              <w:t>3</w:t>
            </w:r>
            <w:r>
              <w:rPr>
                <w:rFonts w:hint="eastAsia"/>
                <w:sz w:val="19"/>
                <w:szCs w:val="19"/>
              </w:rPr>
              <w:t>）</w:t>
            </w:r>
          </w:p>
        </w:tc>
        <w:tc>
          <w:tcPr>
            <w:tcW w:w="1329" w:type="pct"/>
            <w:tcBorders>
              <w:top w:val="single" w:color="auto" w:sz="4" w:space="0"/>
              <w:bottom w:val="single" w:color="auto" w:sz="4" w:space="0"/>
            </w:tcBorders>
            <w:vAlign w:val="center"/>
          </w:tcPr>
          <w:p w14:paraId="255F86FF">
            <w:pPr>
              <w:jc w:val="center"/>
              <w:rPr>
                <w:sz w:val="19"/>
                <w:szCs w:val="19"/>
              </w:rPr>
            </w:pPr>
            <w:r>
              <w:rPr>
                <w:rFonts w:hint="eastAsia"/>
                <w:sz w:val="19"/>
                <w:szCs w:val="19"/>
              </w:rPr>
              <w:t>生产集中区中部农林用地</w:t>
            </w:r>
          </w:p>
        </w:tc>
        <w:tc>
          <w:tcPr>
            <w:tcW w:w="807" w:type="pct"/>
            <w:tcBorders>
              <w:top w:val="single" w:color="auto" w:sz="4" w:space="0"/>
              <w:bottom w:val="single" w:color="auto" w:sz="4" w:space="0"/>
            </w:tcBorders>
            <w:vAlign w:val="center"/>
          </w:tcPr>
          <w:p w14:paraId="166DCBED">
            <w:pPr>
              <w:jc w:val="center"/>
              <w:rPr>
                <w:sz w:val="19"/>
                <w:szCs w:val="19"/>
              </w:rPr>
            </w:pPr>
            <w:r>
              <w:rPr>
                <w:rFonts w:hint="eastAsia"/>
                <w:sz w:val="19"/>
                <w:szCs w:val="19"/>
              </w:rPr>
              <w:t>农用地基本项目</w:t>
            </w:r>
            <w:r>
              <w:rPr>
                <w:sz w:val="19"/>
                <w:szCs w:val="19"/>
              </w:rPr>
              <w:t>+pH</w:t>
            </w:r>
            <w:r>
              <w:rPr>
                <w:rFonts w:hint="eastAsia"/>
                <w:sz w:val="19"/>
                <w:szCs w:val="19"/>
              </w:rPr>
              <w:t>、石油烃</w:t>
            </w:r>
          </w:p>
        </w:tc>
        <w:tc>
          <w:tcPr>
            <w:tcW w:w="516" w:type="pct"/>
            <w:tcBorders>
              <w:top w:val="single" w:color="auto" w:sz="4" w:space="0"/>
              <w:bottom w:val="single" w:color="auto" w:sz="4" w:space="0"/>
            </w:tcBorders>
            <w:vAlign w:val="center"/>
          </w:tcPr>
          <w:p w14:paraId="48645DE5">
            <w:pPr>
              <w:jc w:val="center"/>
              <w:rPr>
                <w:sz w:val="19"/>
                <w:szCs w:val="19"/>
              </w:rPr>
            </w:pPr>
            <w:r>
              <w:rPr>
                <w:sz w:val="19"/>
                <w:szCs w:val="19"/>
              </w:rPr>
              <w:t>0~0.2m</w:t>
            </w:r>
          </w:p>
        </w:tc>
        <w:tc>
          <w:tcPr>
            <w:tcW w:w="538" w:type="pct"/>
            <w:tcBorders>
              <w:top w:val="single" w:color="auto" w:sz="4" w:space="0"/>
              <w:bottom w:val="single" w:color="auto" w:sz="4" w:space="0"/>
            </w:tcBorders>
            <w:vAlign w:val="center"/>
          </w:tcPr>
          <w:p w14:paraId="64D76605">
            <w:pPr>
              <w:jc w:val="center"/>
              <w:rPr>
                <w:sz w:val="19"/>
                <w:szCs w:val="19"/>
              </w:rPr>
            </w:pPr>
            <w:r>
              <w:rPr>
                <w:rFonts w:hint="eastAsia"/>
                <w:sz w:val="19"/>
                <w:szCs w:val="19"/>
              </w:rPr>
              <w:t>现状农用地</w:t>
            </w:r>
          </w:p>
        </w:tc>
      </w:tr>
      <w:tr w14:paraId="46E03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0827584D">
            <w:pPr>
              <w:jc w:val="center"/>
              <w:rPr>
                <w:sz w:val="19"/>
                <w:szCs w:val="19"/>
              </w:rPr>
            </w:pPr>
          </w:p>
        </w:tc>
        <w:tc>
          <w:tcPr>
            <w:tcW w:w="1161" w:type="pct"/>
            <w:tcBorders>
              <w:top w:val="single" w:color="auto" w:sz="4" w:space="0"/>
              <w:bottom w:val="single" w:color="auto" w:sz="4" w:space="0"/>
            </w:tcBorders>
            <w:vAlign w:val="center"/>
          </w:tcPr>
          <w:p w14:paraId="5D7BCBDF">
            <w:pPr>
              <w:jc w:val="center"/>
              <w:rPr>
                <w:sz w:val="19"/>
                <w:szCs w:val="19"/>
              </w:rPr>
            </w:pPr>
            <w:r>
              <w:rPr>
                <w:sz w:val="19"/>
                <w:szCs w:val="19"/>
              </w:rPr>
              <w:t>T4</w:t>
            </w:r>
            <w:r>
              <w:rPr>
                <w:rFonts w:hint="eastAsia"/>
                <w:sz w:val="19"/>
                <w:szCs w:val="19"/>
              </w:rPr>
              <w:t>（表层样点</w:t>
            </w:r>
            <w:r>
              <w:rPr>
                <w:sz w:val="19"/>
                <w:szCs w:val="19"/>
              </w:rPr>
              <w:t>4</w:t>
            </w:r>
            <w:r>
              <w:rPr>
                <w:rFonts w:hint="eastAsia"/>
                <w:sz w:val="19"/>
                <w:szCs w:val="19"/>
              </w:rPr>
              <w:t>）</w:t>
            </w:r>
          </w:p>
        </w:tc>
        <w:tc>
          <w:tcPr>
            <w:tcW w:w="1329" w:type="pct"/>
            <w:tcBorders>
              <w:top w:val="single" w:color="auto" w:sz="4" w:space="0"/>
              <w:bottom w:val="single" w:color="auto" w:sz="4" w:space="0"/>
            </w:tcBorders>
            <w:vAlign w:val="center"/>
          </w:tcPr>
          <w:p w14:paraId="62E41644">
            <w:pPr>
              <w:jc w:val="center"/>
              <w:rPr>
                <w:sz w:val="19"/>
                <w:szCs w:val="19"/>
              </w:rPr>
            </w:pPr>
            <w:r>
              <w:rPr>
                <w:rFonts w:hint="eastAsia"/>
                <w:sz w:val="19"/>
                <w:szCs w:val="19"/>
              </w:rPr>
              <w:t>鑫邦石业厂区范围内</w:t>
            </w:r>
          </w:p>
        </w:tc>
        <w:tc>
          <w:tcPr>
            <w:tcW w:w="807" w:type="pct"/>
            <w:vMerge w:val="restart"/>
            <w:tcBorders>
              <w:top w:val="single" w:color="auto" w:sz="4" w:space="0"/>
            </w:tcBorders>
            <w:vAlign w:val="center"/>
          </w:tcPr>
          <w:p w14:paraId="308D8844">
            <w:pPr>
              <w:jc w:val="center"/>
              <w:rPr>
                <w:sz w:val="19"/>
                <w:szCs w:val="19"/>
              </w:rPr>
            </w:pPr>
            <w:r>
              <w:rPr>
                <w:rFonts w:hint="eastAsia"/>
                <w:sz w:val="19"/>
                <w:szCs w:val="19"/>
              </w:rPr>
              <w:t>建设用地基本项目</w:t>
            </w:r>
            <w:r>
              <w:rPr>
                <w:sz w:val="19"/>
                <w:szCs w:val="19"/>
              </w:rPr>
              <w:t>+pH</w:t>
            </w:r>
            <w:r>
              <w:rPr>
                <w:rFonts w:hint="eastAsia"/>
                <w:sz w:val="19"/>
                <w:szCs w:val="19"/>
              </w:rPr>
              <w:t>、石油烃</w:t>
            </w:r>
          </w:p>
        </w:tc>
        <w:tc>
          <w:tcPr>
            <w:tcW w:w="516" w:type="pct"/>
            <w:vMerge w:val="restart"/>
            <w:tcBorders>
              <w:top w:val="single" w:color="auto" w:sz="4" w:space="0"/>
            </w:tcBorders>
            <w:vAlign w:val="center"/>
          </w:tcPr>
          <w:p w14:paraId="01593E2C">
            <w:pPr>
              <w:jc w:val="center"/>
              <w:rPr>
                <w:sz w:val="19"/>
                <w:szCs w:val="19"/>
              </w:rPr>
            </w:pPr>
            <w:r>
              <w:rPr>
                <w:sz w:val="19"/>
                <w:szCs w:val="19"/>
              </w:rPr>
              <w:t>0~0.2m</w:t>
            </w:r>
          </w:p>
        </w:tc>
        <w:tc>
          <w:tcPr>
            <w:tcW w:w="538" w:type="pct"/>
            <w:vMerge w:val="restart"/>
            <w:tcBorders>
              <w:top w:val="single" w:color="auto" w:sz="4" w:space="0"/>
            </w:tcBorders>
            <w:vAlign w:val="center"/>
          </w:tcPr>
          <w:p w14:paraId="4367B449">
            <w:pPr>
              <w:jc w:val="center"/>
              <w:rPr>
                <w:sz w:val="19"/>
                <w:szCs w:val="19"/>
              </w:rPr>
            </w:pPr>
            <w:r>
              <w:rPr>
                <w:rFonts w:hint="eastAsia"/>
                <w:sz w:val="19"/>
                <w:szCs w:val="19"/>
              </w:rPr>
              <w:t>建设用地</w:t>
            </w:r>
          </w:p>
        </w:tc>
      </w:tr>
      <w:tr w14:paraId="0BDAA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8D658BB">
            <w:pPr>
              <w:jc w:val="center"/>
              <w:rPr>
                <w:sz w:val="19"/>
                <w:szCs w:val="19"/>
              </w:rPr>
            </w:pPr>
          </w:p>
        </w:tc>
        <w:tc>
          <w:tcPr>
            <w:tcW w:w="1161" w:type="pct"/>
            <w:tcBorders>
              <w:top w:val="single" w:color="auto" w:sz="4" w:space="0"/>
              <w:bottom w:val="single" w:color="auto" w:sz="4" w:space="0"/>
            </w:tcBorders>
            <w:vAlign w:val="center"/>
          </w:tcPr>
          <w:p w14:paraId="1154F334">
            <w:pPr>
              <w:jc w:val="center"/>
              <w:rPr>
                <w:sz w:val="19"/>
                <w:szCs w:val="19"/>
              </w:rPr>
            </w:pPr>
            <w:r>
              <w:rPr>
                <w:sz w:val="19"/>
                <w:szCs w:val="19"/>
              </w:rPr>
              <w:t>T5</w:t>
            </w:r>
            <w:r>
              <w:rPr>
                <w:rFonts w:hint="eastAsia"/>
                <w:sz w:val="19"/>
                <w:szCs w:val="19"/>
              </w:rPr>
              <w:t>（表层样点</w:t>
            </w:r>
            <w:r>
              <w:rPr>
                <w:sz w:val="19"/>
                <w:szCs w:val="19"/>
              </w:rPr>
              <w:t>5</w:t>
            </w:r>
            <w:r>
              <w:rPr>
                <w:rFonts w:hint="eastAsia"/>
                <w:sz w:val="19"/>
                <w:szCs w:val="19"/>
              </w:rPr>
              <w:t>）</w:t>
            </w:r>
          </w:p>
        </w:tc>
        <w:tc>
          <w:tcPr>
            <w:tcW w:w="1329" w:type="pct"/>
            <w:tcBorders>
              <w:top w:val="single" w:color="auto" w:sz="4" w:space="0"/>
              <w:bottom w:val="single" w:color="auto" w:sz="4" w:space="0"/>
            </w:tcBorders>
            <w:vAlign w:val="center"/>
          </w:tcPr>
          <w:p w14:paraId="7F09A77C">
            <w:pPr>
              <w:jc w:val="center"/>
              <w:rPr>
                <w:sz w:val="19"/>
                <w:szCs w:val="19"/>
              </w:rPr>
            </w:pPr>
            <w:r>
              <w:rPr>
                <w:rFonts w:hint="eastAsia"/>
                <w:sz w:val="19"/>
                <w:szCs w:val="19"/>
              </w:rPr>
              <w:t>鑫星石材厂区范围内</w:t>
            </w:r>
          </w:p>
        </w:tc>
        <w:tc>
          <w:tcPr>
            <w:tcW w:w="807" w:type="pct"/>
            <w:vMerge w:val="continue"/>
            <w:vAlign w:val="center"/>
          </w:tcPr>
          <w:p w14:paraId="07273854">
            <w:pPr>
              <w:widowControl/>
              <w:jc w:val="left"/>
              <w:rPr>
                <w:sz w:val="19"/>
                <w:szCs w:val="19"/>
              </w:rPr>
            </w:pPr>
          </w:p>
        </w:tc>
        <w:tc>
          <w:tcPr>
            <w:tcW w:w="516" w:type="pct"/>
            <w:vMerge w:val="continue"/>
            <w:vAlign w:val="center"/>
          </w:tcPr>
          <w:p w14:paraId="56CCE34C">
            <w:pPr>
              <w:widowControl/>
              <w:jc w:val="left"/>
              <w:rPr>
                <w:sz w:val="19"/>
                <w:szCs w:val="19"/>
              </w:rPr>
            </w:pPr>
          </w:p>
        </w:tc>
        <w:tc>
          <w:tcPr>
            <w:tcW w:w="538" w:type="pct"/>
            <w:vMerge w:val="continue"/>
            <w:vAlign w:val="center"/>
          </w:tcPr>
          <w:p w14:paraId="5FADA7E8">
            <w:pPr>
              <w:widowControl/>
              <w:jc w:val="left"/>
              <w:rPr>
                <w:sz w:val="19"/>
                <w:szCs w:val="19"/>
              </w:rPr>
            </w:pPr>
          </w:p>
        </w:tc>
      </w:tr>
      <w:tr w14:paraId="19AA4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5DEA9D02">
            <w:pPr>
              <w:jc w:val="center"/>
              <w:rPr>
                <w:sz w:val="19"/>
                <w:szCs w:val="19"/>
              </w:rPr>
            </w:pPr>
          </w:p>
        </w:tc>
        <w:tc>
          <w:tcPr>
            <w:tcW w:w="1161" w:type="pct"/>
            <w:tcBorders>
              <w:top w:val="single" w:color="auto" w:sz="4" w:space="0"/>
              <w:bottom w:val="single" w:color="auto" w:sz="4" w:space="0"/>
            </w:tcBorders>
            <w:vAlign w:val="center"/>
          </w:tcPr>
          <w:p w14:paraId="588CA6F0">
            <w:pPr>
              <w:jc w:val="center"/>
              <w:rPr>
                <w:sz w:val="19"/>
                <w:szCs w:val="19"/>
              </w:rPr>
            </w:pPr>
            <w:r>
              <w:rPr>
                <w:sz w:val="19"/>
                <w:szCs w:val="19"/>
              </w:rPr>
              <w:t>T6</w:t>
            </w:r>
            <w:r>
              <w:rPr>
                <w:rFonts w:hint="eastAsia"/>
                <w:sz w:val="19"/>
                <w:szCs w:val="19"/>
              </w:rPr>
              <w:t>（表层样点</w:t>
            </w:r>
            <w:r>
              <w:rPr>
                <w:sz w:val="19"/>
                <w:szCs w:val="19"/>
              </w:rPr>
              <w:t>6</w:t>
            </w:r>
            <w:r>
              <w:rPr>
                <w:rFonts w:hint="eastAsia"/>
                <w:sz w:val="19"/>
                <w:szCs w:val="19"/>
              </w:rPr>
              <w:t>）</w:t>
            </w:r>
          </w:p>
        </w:tc>
        <w:tc>
          <w:tcPr>
            <w:tcW w:w="1329" w:type="pct"/>
            <w:tcBorders>
              <w:top w:val="single" w:color="auto" w:sz="4" w:space="0"/>
              <w:bottom w:val="single" w:color="auto" w:sz="4" w:space="0"/>
            </w:tcBorders>
            <w:vAlign w:val="center"/>
          </w:tcPr>
          <w:p w14:paraId="5EAEF2CB">
            <w:pPr>
              <w:jc w:val="center"/>
              <w:rPr>
                <w:sz w:val="19"/>
                <w:szCs w:val="19"/>
              </w:rPr>
            </w:pPr>
            <w:r>
              <w:rPr>
                <w:rFonts w:hint="eastAsia"/>
                <w:sz w:val="19"/>
                <w:szCs w:val="19"/>
              </w:rPr>
              <w:t>义纯石材厂区范围内</w:t>
            </w:r>
          </w:p>
        </w:tc>
        <w:tc>
          <w:tcPr>
            <w:tcW w:w="807" w:type="pct"/>
            <w:vMerge w:val="continue"/>
            <w:vAlign w:val="center"/>
          </w:tcPr>
          <w:p w14:paraId="1832B1B3">
            <w:pPr>
              <w:widowControl/>
              <w:jc w:val="left"/>
              <w:rPr>
                <w:sz w:val="19"/>
                <w:szCs w:val="19"/>
              </w:rPr>
            </w:pPr>
          </w:p>
        </w:tc>
        <w:tc>
          <w:tcPr>
            <w:tcW w:w="516" w:type="pct"/>
            <w:vMerge w:val="continue"/>
            <w:vAlign w:val="center"/>
          </w:tcPr>
          <w:p w14:paraId="466A312F">
            <w:pPr>
              <w:widowControl/>
              <w:jc w:val="left"/>
              <w:rPr>
                <w:sz w:val="19"/>
                <w:szCs w:val="19"/>
              </w:rPr>
            </w:pPr>
          </w:p>
        </w:tc>
        <w:tc>
          <w:tcPr>
            <w:tcW w:w="538" w:type="pct"/>
            <w:vMerge w:val="continue"/>
            <w:vAlign w:val="center"/>
          </w:tcPr>
          <w:p w14:paraId="53E1D430">
            <w:pPr>
              <w:widowControl/>
              <w:jc w:val="left"/>
              <w:rPr>
                <w:sz w:val="19"/>
                <w:szCs w:val="19"/>
              </w:rPr>
            </w:pPr>
          </w:p>
        </w:tc>
      </w:tr>
      <w:tr w14:paraId="65381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restart"/>
            <w:vAlign w:val="center"/>
          </w:tcPr>
          <w:p w14:paraId="2EB84412">
            <w:pPr>
              <w:jc w:val="center"/>
              <w:rPr>
                <w:sz w:val="19"/>
                <w:szCs w:val="19"/>
              </w:rPr>
            </w:pPr>
            <w:r>
              <w:rPr>
                <w:rFonts w:hint="eastAsia"/>
                <w:sz w:val="19"/>
                <w:szCs w:val="19"/>
              </w:rPr>
              <w:t>草店石材产业园</w:t>
            </w:r>
          </w:p>
        </w:tc>
        <w:tc>
          <w:tcPr>
            <w:tcW w:w="1161" w:type="pct"/>
            <w:tcBorders>
              <w:top w:val="single" w:color="auto" w:sz="4" w:space="0"/>
              <w:bottom w:val="single" w:color="auto" w:sz="4" w:space="0"/>
            </w:tcBorders>
            <w:vAlign w:val="center"/>
          </w:tcPr>
          <w:p w14:paraId="1AC84EC7">
            <w:pPr>
              <w:jc w:val="center"/>
              <w:rPr>
                <w:sz w:val="19"/>
                <w:szCs w:val="19"/>
              </w:rPr>
            </w:pPr>
            <w:r>
              <w:rPr>
                <w:rFonts w:hint="eastAsia"/>
                <w:sz w:val="19"/>
                <w:szCs w:val="19"/>
              </w:rPr>
              <w:t>T1</w:t>
            </w:r>
            <w:r>
              <w:rPr>
                <w:sz w:val="19"/>
                <w:szCs w:val="19"/>
              </w:rPr>
              <w:t>（表层样点1）</w:t>
            </w:r>
          </w:p>
        </w:tc>
        <w:tc>
          <w:tcPr>
            <w:tcW w:w="1329" w:type="pct"/>
            <w:tcBorders>
              <w:top w:val="single" w:color="auto" w:sz="4" w:space="0"/>
              <w:bottom w:val="single" w:color="auto" w:sz="4" w:space="0"/>
            </w:tcBorders>
            <w:vAlign w:val="center"/>
          </w:tcPr>
          <w:p w14:paraId="515C45F7">
            <w:pPr>
              <w:jc w:val="center"/>
              <w:rPr>
                <w:sz w:val="19"/>
                <w:szCs w:val="19"/>
              </w:rPr>
            </w:pPr>
            <w:r>
              <w:rPr>
                <w:rFonts w:hint="eastAsia"/>
                <w:sz w:val="19"/>
                <w:szCs w:val="19"/>
              </w:rPr>
              <w:t>随州汉东石业有限公司厂区范围内</w:t>
            </w:r>
          </w:p>
        </w:tc>
        <w:tc>
          <w:tcPr>
            <w:tcW w:w="807" w:type="pct"/>
            <w:vMerge w:val="restart"/>
            <w:vAlign w:val="center"/>
          </w:tcPr>
          <w:p w14:paraId="7CBE4AA4">
            <w:pPr>
              <w:jc w:val="center"/>
              <w:rPr>
                <w:sz w:val="19"/>
                <w:szCs w:val="19"/>
              </w:rPr>
            </w:pPr>
            <w:r>
              <w:rPr>
                <w:rFonts w:hint="eastAsia"/>
                <w:sz w:val="19"/>
                <w:szCs w:val="19"/>
              </w:rPr>
              <w:t>建设用地基本项目+pH、石油烃</w:t>
            </w:r>
          </w:p>
        </w:tc>
        <w:tc>
          <w:tcPr>
            <w:tcW w:w="516" w:type="pct"/>
            <w:vMerge w:val="restart"/>
            <w:vAlign w:val="center"/>
          </w:tcPr>
          <w:p w14:paraId="35C0E82A">
            <w:pPr>
              <w:jc w:val="center"/>
              <w:rPr>
                <w:sz w:val="19"/>
                <w:szCs w:val="19"/>
              </w:rPr>
            </w:pPr>
            <w:r>
              <w:rPr>
                <w:sz w:val="19"/>
                <w:szCs w:val="19"/>
              </w:rPr>
              <w:t>0~0.2m</w:t>
            </w:r>
          </w:p>
        </w:tc>
        <w:tc>
          <w:tcPr>
            <w:tcW w:w="538" w:type="pct"/>
            <w:vMerge w:val="restart"/>
            <w:vAlign w:val="center"/>
          </w:tcPr>
          <w:p w14:paraId="4B1D324D">
            <w:pPr>
              <w:jc w:val="center"/>
              <w:rPr>
                <w:sz w:val="19"/>
                <w:szCs w:val="19"/>
              </w:rPr>
            </w:pPr>
            <w:r>
              <w:rPr>
                <w:rFonts w:hint="eastAsia"/>
                <w:sz w:val="19"/>
                <w:szCs w:val="19"/>
              </w:rPr>
              <w:t>建设用地</w:t>
            </w:r>
          </w:p>
        </w:tc>
      </w:tr>
      <w:tr w14:paraId="346A5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7469BAE6">
            <w:pPr>
              <w:jc w:val="center"/>
              <w:rPr>
                <w:sz w:val="19"/>
                <w:szCs w:val="19"/>
              </w:rPr>
            </w:pPr>
          </w:p>
        </w:tc>
        <w:tc>
          <w:tcPr>
            <w:tcW w:w="1161" w:type="pct"/>
            <w:tcBorders>
              <w:top w:val="single" w:color="auto" w:sz="4" w:space="0"/>
              <w:bottom w:val="single" w:color="auto" w:sz="4" w:space="0"/>
            </w:tcBorders>
            <w:vAlign w:val="center"/>
          </w:tcPr>
          <w:p w14:paraId="6D2B8E45">
            <w:pPr>
              <w:jc w:val="center"/>
              <w:rPr>
                <w:sz w:val="19"/>
                <w:szCs w:val="19"/>
              </w:rPr>
            </w:pPr>
            <w:r>
              <w:rPr>
                <w:rFonts w:hint="eastAsia"/>
                <w:sz w:val="19"/>
                <w:szCs w:val="19"/>
              </w:rPr>
              <w:t>T</w:t>
            </w:r>
            <w:r>
              <w:rPr>
                <w:sz w:val="19"/>
                <w:szCs w:val="19"/>
              </w:rPr>
              <w:t>2（表层样点2）</w:t>
            </w:r>
          </w:p>
        </w:tc>
        <w:tc>
          <w:tcPr>
            <w:tcW w:w="1329" w:type="pct"/>
            <w:tcBorders>
              <w:top w:val="single" w:color="auto" w:sz="4" w:space="0"/>
              <w:bottom w:val="single" w:color="auto" w:sz="4" w:space="0"/>
            </w:tcBorders>
            <w:vAlign w:val="center"/>
          </w:tcPr>
          <w:p w14:paraId="577B1975">
            <w:pPr>
              <w:jc w:val="center"/>
              <w:rPr>
                <w:sz w:val="19"/>
                <w:szCs w:val="19"/>
              </w:rPr>
            </w:pPr>
            <w:r>
              <w:rPr>
                <w:rFonts w:hint="eastAsia"/>
                <w:sz w:val="19"/>
                <w:szCs w:val="19"/>
              </w:rPr>
              <w:t>随县鸿发石业有限公司厂区范围内</w:t>
            </w:r>
          </w:p>
        </w:tc>
        <w:tc>
          <w:tcPr>
            <w:tcW w:w="807" w:type="pct"/>
            <w:vMerge w:val="continue"/>
            <w:vAlign w:val="center"/>
          </w:tcPr>
          <w:p w14:paraId="2290E7D9">
            <w:pPr>
              <w:jc w:val="center"/>
              <w:rPr>
                <w:sz w:val="19"/>
                <w:szCs w:val="19"/>
              </w:rPr>
            </w:pPr>
          </w:p>
        </w:tc>
        <w:tc>
          <w:tcPr>
            <w:tcW w:w="516" w:type="pct"/>
            <w:vMerge w:val="continue"/>
            <w:vAlign w:val="center"/>
          </w:tcPr>
          <w:p w14:paraId="6457D7AD">
            <w:pPr>
              <w:jc w:val="center"/>
              <w:rPr>
                <w:sz w:val="19"/>
                <w:szCs w:val="19"/>
              </w:rPr>
            </w:pPr>
          </w:p>
        </w:tc>
        <w:tc>
          <w:tcPr>
            <w:tcW w:w="538" w:type="pct"/>
            <w:vMerge w:val="continue"/>
            <w:vAlign w:val="center"/>
          </w:tcPr>
          <w:p w14:paraId="69340084">
            <w:pPr>
              <w:jc w:val="center"/>
              <w:rPr>
                <w:sz w:val="19"/>
                <w:szCs w:val="19"/>
              </w:rPr>
            </w:pPr>
          </w:p>
        </w:tc>
      </w:tr>
      <w:tr w14:paraId="3B59F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648" w:type="pct"/>
            <w:vMerge w:val="continue"/>
            <w:vAlign w:val="center"/>
          </w:tcPr>
          <w:p w14:paraId="686F7B3E">
            <w:pPr>
              <w:jc w:val="center"/>
              <w:rPr>
                <w:sz w:val="19"/>
                <w:szCs w:val="19"/>
              </w:rPr>
            </w:pPr>
          </w:p>
        </w:tc>
        <w:tc>
          <w:tcPr>
            <w:tcW w:w="1161" w:type="pct"/>
            <w:tcBorders>
              <w:top w:val="single" w:color="auto" w:sz="4" w:space="0"/>
            </w:tcBorders>
            <w:vAlign w:val="center"/>
          </w:tcPr>
          <w:p w14:paraId="4265138C">
            <w:pPr>
              <w:jc w:val="center"/>
              <w:rPr>
                <w:sz w:val="19"/>
                <w:szCs w:val="19"/>
              </w:rPr>
            </w:pPr>
            <w:r>
              <w:rPr>
                <w:rFonts w:hint="eastAsia"/>
                <w:sz w:val="19"/>
                <w:szCs w:val="19"/>
              </w:rPr>
              <w:t>T</w:t>
            </w:r>
            <w:r>
              <w:rPr>
                <w:sz w:val="19"/>
                <w:szCs w:val="19"/>
              </w:rPr>
              <w:t>3</w:t>
            </w:r>
            <w:r>
              <w:rPr>
                <w:rFonts w:hint="eastAsia"/>
                <w:sz w:val="19"/>
                <w:szCs w:val="19"/>
              </w:rPr>
              <w:t>（</w:t>
            </w:r>
            <w:r>
              <w:rPr>
                <w:sz w:val="19"/>
                <w:szCs w:val="19"/>
              </w:rPr>
              <w:t>表层样点3</w:t>
            </w:r>
            <w:r>
              <w:rPr>
                <w:rFonts w:hint="eastAsia"/>
                <w:sz w:val="19"/>
                <w:szCs w:val="19"/>
              </w:rPr>
              <w:t>）</w:t>
            </w:r>
          </w:p>
        </w:tc>
        <w:tc>
          <w:tcPr>
            <w:tcW w:w="1329" w:type="pct"/>
            <w:tcBorders>
              <w:top w:val="single" w:color="auto" w:sz="4" w:space="0"/>
              <w:bottom w:val="single" w:color="auto" w:sz="12" w:space="0"/>
            </w:tcBorders>
            <w:vAlign w:val="center"/>
          </w:tcPr>
          <w:p w14:paraId="400C2612">
            <w:pPr>
              <w:jc w:val="center"/>
              <w:rPr>
                <w:sz w:val="19"/>
                <w:szCs w:val="19"/>
              </w:rPr>
            </w:pPr>
            <w:r>
              <w:rPr>
                <w:rFonts w:hint="eastAsia"/>
                <w:sz w:val="19"/>
                <w:szCs w:val="19"/>
              </w:rPr>
              <w:t>生产集中区西南侧农林用地</w:t>
            </w:r>
          </w:p>
        </w:tc>
        <w:tc>
          <w:tcPr>
            <w:tcW w:w="807" w:type="pct"/>
            <w:vAlign w:val="center"/>
          </w:tcPr>
          <w:p w14:paraId="4D70815E">
            <w:pPr>
              <w:jc w:val="center"/>
              <w:rPr>
                <w:sz w:val="19"/>
                <w:szCs w:val="19"/>
              </w:rPr>
            </w:pPr>
            <w:r>
              <w:rPr>
                <w:rFonts w:hint="eastAsia"/>
                <w:sz w:val="19"/>
                <w:szCs w:val="19"/>
              </w:rPr>
              <w:t>农用地基本项目+pH、石油烃</w:t>
            </w:r>
          </w:p>
        </w:tc>
        <w:tc>
          <w:tcPr>
            <w:tcW w:w="516" w:type="pct"/>
            <w:vAlign w:val="center"/>
          </w:tcPr>
          <w:p w14:paraId="54551B3A">
            <w:pPr>
              <w:jc w:val="center"/>
              <w:rPr>
                <w:sz w:val="19"/>
                <w:szCs w:val="19"/>
              </w:rPr>
            </w:pPr>
            <w:r>
              <w:rPr>
                <w:sz w:val="19"/>
                <w:szCs w:val="19"/>
              </w:rPr>
              <w:t>0~0.</w:t>
            </w:r>
            <w:r>
              <w:rPr>
                <w:rFonts w:hint="eastAsia"/>
                <w:sz w:val="19"/>
                <w:szCs w:val="19"/>
              </w:rPr>
              <w:t>2</w:t>
            </w:r>
            <w:r>
              <w:rPr>
                <w:sz w:val="19"/>
                <w:szCs w:val="19"/>
              </w:rPr>
              <w:t>m</w:t>
            </w:r>
          </w:p>
        </w:tc>
        <w:tc>
          <w:tcPr>
            <w:tcW w:w="538" w:type="pct"/>
            <w:vAlign w:val="center"/>
          </w:tcPr>
          <w:p w14:paraId="65DC93DE">
            <w:pPr>
              <w:jc w:val="center"/>
              <w:rPr>
                <w:sz w:val="19"/>
                <w:szCs w:val="19"/>
              </w:rPr>
            </w:pPr>
            <w:r>
              <w:rPr>
                <w:sz w:val="19"/>
                <w:szCs w:val="19"/>
              </w:rPr>
              <w:t>农用地</w:t>
            </w:r>
          </w:p>
        </w:tc>
      </w:tr>
      <w:bookmarkEnd w:id="115"/>
    </w:tbl>
    <w:p w14:paraId="1BD71990">
      <w:pPr>
        <w:pStyle w:val="3393"/>
      </w:pPr>
      <w:r>
        <w:rPr>
          <w:rFonts w:hint="eastAsia"/>
        </w:rPr>
        <w:t>建设用地基本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w:t>
      </w:r>
      <w:r>
        <w:t>[k]</w:t>
      </w:r>
      <w:r>
        <w:rPr>
          <w:rFonts w:hint="eastAsia"/>
        </w:rPr>
        <w:t>荧蒽、䓛、二苯并</w:t>
      </w:r>
      <w:r>
        <w:t>[a</w:t>
      </w:r>
      <w:r>
        <w:rPr>
          <w:rFonts w:hint="eastAsia"/>
        </w:rPr>
        <w:t>，</w:t>
      </w:r>
      <w:r>
        <w:t>b]</w:t>
      </w:r>
      <w:r>
        <w:rPr>
          <w:rFonts w:hint="eastAsia"/>
        </w:rPr>
        <w:t>蒽、茚并</w:t>
      </w:r>
      <w:r>
        <w:t>[1,2,3-cd]</w:t>
      </w:r>
      <w:r>
        <w:rPr>
          <w:rFonts w:hint="eastAsia"/>
        </w:rPr>
        <w:t>芘、萘共</w:t>
      </w:r>
      <w:r>
        <w:t>45</w:t>
      </w:r>
      <w:r>
        <w:rPr>
          <w:rFonts w:hint="eastAsia"/>
        </w:rPr>
        <w:t>项。</w:t>
      </w:r>
    </w:p>
    <w:p w14:paraId="6D0DD219">
      <w:pPr>
        <w:pStyle w:val="3393"/>
      </w:pPr>
      <w:r>
        <w:rPr>
          <w:rFonts w:hint="eastAsia"/>
        </w:rPr>
        <w:t>农用地基本因子：pH、砷、铬、镉、铜、铅、汞、镍、锌共9项。</w:t>
      </w:r>
    </w:p>
    <w:p w14:paraId="350A6282">
      <w:pPr>
        <w:pStyle w:val="3393"/>
      </w:pPr>
      <w:r>
        <w:rPr>
          <w:rFonts w:hint="eastAsia"/>
        </w:rPr>
        <w:t>特征因子：pH、石油烃。</w:t>
      </w:r>
    </w:p>
    <w:p w14:paraId="2F827E7A">
      <w:pPr>
        <w:pStyle w:val="3393"/>
      </w:pPr>
      <w:r>
        <w:t>（2）监测时间及频次</w:t>
      </w:r>
    </w:p>
    <w:p w14:paraId="5AF79668">
      <w:pPr>
        <w:pStyle w:val="3393"/>
      </w:pPr>
      <w:r>
        <w:t>土壤环境质量监测时间</w:t>
      </w:r>
      <w:r>
        <w:rPr>
          <w:szCs w:val="22"/>
        </w:rPr>
        <w:t>202</w:t>
      </w:r>
      <w:r>
        <w:rPr>
          <w:rFonts w:hint="eastAsia"/>
          <w:szCs w:val="22"/>
        </w:rPr>
        <w:t>4</w:t>
      </w:r>
      <w:r>
        <w:rPr>
          <w:szCs w:val="22"/>
        </w:rPr>
        <w:t>年</w:t>
      </w:r>
      <w:r>
        <w:rPr>
          <w:rFonts w:hint="eastAsia"/>
          <w:szCs w:val="22"/>
        </w:rPr>
        <w:t>1</w:t>
      </w:r>
      <w:r>
        <w:rPr>
          <w:szCs w:val="22"/>
        </w:rPr>
        <w:t>月</w:t>
      </w:r>
      <w:r>
        <w:rPr>
          <w:rFonts w:hint="eastAsia"/>
          <w:szCs w:val="22"/>
        </w:rPr>
        <w:t>23</w:t>
      </w:r>
      <w:r>
        <w:rPr>
          <w:szCs w:val="22"/>
        </w:rPr>
        <w:t>日</w:t>
      </w:r>
      <w:r>
        <w:rPr>
          <w:rFonts w:hint="eastAsia"/>
          <w:szCs w:val="22"/>
        </w:rPr>
        <w:t>至1月25日，各点位</w:t>
      </w:r>
      <w:r>
        <w:t>监测1天，1次。</w:t>
      </w:r>
    </w:p>
    <w:p w14:paraId="3FC5E75D">
      <w:pPr>
        <w:pStyle w:val="3393"/>
      </w:pPr>
      <w:r>
        <w:t>（</w:t>
      </w:r>
      <w:r>
        <w:rPr>
          <w:rFonts w:hint="eastAsia"/>
        </w:rPr>
        <w:t>3</w:t>
      </w:r>
      <w:r>
        <w:t>）评价标准与评价方法</w:t>
      </w:r>
    </w:p>
    <w:p w14:paraId="08A35AEE">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建设用地执行《土壤环境质量  建设用地土壤污染风险管控标准（试行）》(GB36600-2018)筛选值第二类用地标准，农用地执行《土壤环境质量  农用地土壤污染风险管控标准》（GB15618-2018）。</w:t>
      </w:r>
    </w:p>
    <w:p w14:paraId="4B16D3A0">
      <w:pPr>
        <w:widowControl/>
        <w:adjustRightInd w:val="0"/>
        <w:snapToGrid w:val="0"/>
        <w:spacing w:line="360" w:lineRule="auto"/>
        <w:ind w:firstLine="480" w:firstLineChars="200"/>
        <w:rPr>
          <w:rFonts w:eastAsiaTheme="minorEastAsia"/>
          <w:kern w:val="0"/>
          <w:sz w:val="24"/>
        </w:rPr>
      </w:pPr>
      <w:r>
        <w:rPr>
          <w:rFonts w:eastAsiaTheme="minorEastAsia"/>
          <w:kern w:val="0"/>
          <w:sz w:val="24"/>
        </w:rPr>
        <w:t>现状评价采用单因子指数法进行评价。P</w:t>
      </w:r>
      <w:r>
        <w:rPr>
          <w:rFonts w:eastAsiaTheme="minorEastAsia"/>
          <w:kern w:val="0"/>
          <w:sz w:val="24"/>
          <w:vertAlign w:val="subscript"/>
        </w:rPr>
        <w:t>i</w:t>
      </w:r>
      <w:r>
        <w:rPr>
          <w:rFonts w:eastAsiaTheme="minorEastAsia"/>
          <w:kern w:val="0"/>
          <w:sz w:val="24"/>
        </w:rPr>
        <w:t>的定义如下：</w:t>
      </w:r>
    </w:p>
    <w:p w14:paraId="76ABA081">
      <w:pPr>
        <w:widowControl/>
        <w:adjustRightInd w:val="0"/>
        <w:snapToGrid w:val="0"/>
        <w:spacing w:line="360" w:lineRule="auto"/>
        <w:ind w:firstLine="480" w:firstLineChars="200"/>
        <w:jc w:val="center"/>
        <w:rPr>
          <w:rFonts w:eastAsiaTheme="minorEastAsia"/>
          <w:kern w:val="0"/>
          <w:sz w:val="24"/>
        </w:rPr>
      </w:pPr>
      <w:r>
        <w:rPr>
          <w:rFonts w:eastAsiaTheme="minorEastAsia"/>
          <w:kern w:val="0"/>
          <w:sz w:val="24"/>
        </w:rPr>
        <w:t>P</w:t>
      </w:r>
      <w:r>
        <w:rPr>
          <w:rFonts w:eastAsiaTheme="minorEastAsia"/>
          <w:kern w:val="0"/>
          <w:sz w:val="24"/>
          <w:vertAlign w:val="subscript"/>
        </w:rPr>
        <w:t>i</w:t>
      </w:r>
      <w:r>
        <w:rPr>
          <w:rFonts w:eastAsiaTheme="minorEastAsia"/>
          <w:kern w:val="0"/>
          <w:sz w:val="24"/>
        </w:rPr>
        <w:t>=C</w:t>
      </w:r>
      <w:r>
        <w:rPr>
          <w:rFonts w:eastAsiaTheme="minorEastAsia"/>
          <w:kern w:val="0"/>
          <w:sz w:val="24"/>
          <w:vertAlign w:val="subscript"/>
        </w:rPr>
        <w:t>i</w:t>
      </w:r>
      <w:r>
        <w:rPr>
          <w:rFonts w:eastAsiaTheme="minorEastAsia"/>
          <w:kern w:val="0"/>
          <w:sz w:val="24"/>
        </w:rPr>
        <w:t>/C</w:t>
      </w:r>
      <w:r>
        <w:rPr>
          <w:rFonts w:eastAsiaTheme="minorEastAsia"/>
          <w:kern w:val="0"/>
          <w:sz w:val="24"/>
          <w:vertAlign w:val="subscript"/>
        </w:rPr>
        <w:t>0i</w:t>
      </w:r>
    </w:p>
    <w:p w14:paraId="51FCEBA9">
      <w:pPr>
        <w:widowControl/>
        <w:adjustRightInd w:val="0"/>
        <w:snapToGrid w:val="0"/>
        <w:spacing w:line="360" w:lineRule="auto"/>
        <w:ind w:firstLine="480" w:firstLineChars="200"/>
        <w:rPr>
          <w:rFonts w:eastAsiaTheme="minorEastAsia"/>
          <w:kern w:val="0"/>
          <w:sz w:val="24"/>
        </w:rPr>
      </w:pPr>
      <w:r>
        <w:rPr>
          <w:rFonts w:eastAsiaTheme="minorEastAsia"/>
          <w:kern w:val="0"/>
          <w:sz w:val="24"/>
        </w:rPr>
        <w:t>式中：P</w:t>
      </w:r>
      <w:r>
        <w:rPr>
          <w:rFonts w:eastAsiaTheme="minorEastAsia"/>
          <w:kern w:val="0"/>
          <w:sz w:val="24"/>
          <w:vertAlign w:val="subscript"/>
        </w:rPr>
        <w:t>i</w:t>
      </w:r>
      <w:r>
        <w:rPr>
          <w:rFonts w:eastAsiaTheme="minorEastAsia"/>
          <w:kern w:val="0"/>
          <w:sz w:val="24"/>
        </w:rPr>
        <w:t>——第i 个污染物的单因子指数，无量纲；</w:t>
      </w:r>
    </w:p>
    <w:p w14:paraId="0D120C61">
      <w:pPr>
        <w:widowControl/>
        <w:adjustRightInd w:val="0"/>
        <w:snapToGrid w:val="0"/>
        <w:spacing w:line="360" w:lineRule="auto"/>
        <w:ind w:firstLine="1200" w:firstLineChars="500"/>
        <w:rPr>
          <w:rFonts w:eastAsiaTheme="minorEastAsia"/>
          <w:kern w:val="0"/>
          <w:sz w:val="24"/>
        </w:rPr>
      </w:pPr>
      <w:r>
        <w:rPr>
          <w:rFonts w:eastAsiaTheme="minorEastAsia"/>
          <w:kern w:val="0"/>
          <w:sz w:val="24"/>
        </w:rPr>
        <w:t>C</w:t>
      </w:r>
      <w:r>
        <w:rPr>
          <w:rFonts w:eastAsiaTheme="minorEastAsia"/>
          <w:kern w:val="0"/>
          <w:sz w:val="24"/>
          <w:vertAlign w:val="subscript"/>
        </w:rPr>
        <w:t>i</w:t>
      </w:r>
      <w:r>
        <w:rPr>
          <w:rFonts w:eastAsiaTheme="minorEastAsia"/>
          <w:kern w:val="0"/>
          <w:sz w:val="24"/>
        </w:rPr>
        <w:t>——第i 个污染物的实测平均浓度，mg/kg；</w:t>
      </w:r>
    </w:p>
    <w:p w14:paraId="78198700">
      <w:pPr>
        <w:widowControl/>
        <w:adjustRightInd w:val="0"/>
        <w:snapToGrid w:val="0"/>
        <w:spacing w:line="360" w:lineRule="auto"/>
        <w:ind w:firstLine="1200" w:firstLineChars="500"/>
        <w:rPr>
          <w:rFonts w:eastAsiaTheme="minorEastAsia"/>
          <w:kern w:val="0"/>
          <w:sz w:val="24"/>
        </w:rPr>
      </w:pPr>
      <w:r>
        <w:rPr>
          <w:rFonts w:eastAsiaTheme="minorEastAsia"/>
          <w:kern w:val="0"/>
          <w:sz w:val="24"/>
        </w:rPr>
        <w:t>C</w:t>
      </w:r>
      <w:r>
        <w:rPr>
          <w:rFonts w:eastAsiaTheme="minorEastAsia"/>
          <w:kern w:val="0"/>
          <w:sz w:val="24"/>
          <w:vertAlign w:val="subscript"/>
        </w:rPr>
        <w:t>0i</w:t>
      </w:r>
      <w:r>
        <w:rPr>
          <w:rFonts w:eastAsiaTheme="minorEastAsia"/>
          <w:kern w:val="0"/>
          <w:sz w:val="24"/>
        </w:rPr>
        <w:t>——第i 种污染物的评价标准浓度值，mg/kg。</w:t>
      </w:r>
    </w:p>
    <w:p w14:paraId="08377090">
      <w:pPr>
        <w:pStyle w:val="3393"/>
      </w:pPr>
      <w:r>
        <w:t>（</w:t>
      </w:r>
      <w:r>
        <w:rPr>
          <w:rFonts w:hint="eastAsia"/>
        </w:rPr>
        <w:t>4</w:t>
      </w:r>
      <w:r>
        <w:t>）监测结果与评价</w:t>
      </w:r>
    </w:p>
    <w:p w14:paraId="3CB0617F">
      <w:pPr>
        <w:pStyle w:val="3393"/>
      </w:pPr>
      <w:r>
        <w:t>土壤环境质量基本因子及特征因子监测结果见下表。</w:t>
      </w:r>
    </w:p>
    <w:p w14:paraId="185D0F37">
      <w:pPr>
        <w:spacing w:line="360" w:lineRule="auto"/>
        <w:ind w:firstLine="422"/>
        <w:jc w:val="center"/>
        <w:rPr>
          <w:rFonts w:eastAsiaTheme="minorEastAsia"/>
          <w:b/>
          <w:bCs/>
          <w:kern w:val="0"/>
          <w:szCs w:val="21"/>
        </w:rPr>
      </w:pPr>
      <w:r>
        <w:rPr>
          <w:rFonts w:eastAsiaTheme="minorEastAsia"/>
          <w:b/>
          <w:szCs w:val="21"/>
        </w:rPr>
        <w:t>表</w:t>
      </w:r>
      <w:r>
        <w:rPr>
          <w:rFonts w:hint="eastAsia" w:eastAsiaTheme="minorEastAsia"/>
          <w:b/>
          <w:szCs w:val="21"/>
        </w:rPr>
        <w:t>3.3</w:t>
      </w:r>
      <w:r>
        <w:rPr>
          <w:rFonts w:eastAsiaTheme="minorEastAsia"/>
          <w:b/>
          <w:szCs w:val="21"/>
        </w:rPr>
        <w:t>.4-</w:t>
      </w:r>
      <w:r>
        <w:rPr>
          <w:rFonts w:eastAsiaTheme="minorEastAsia"/>
          <w:b/>
          <w:kern w:val="0"/>
          <w:szCs w:val="21"/>
        </w:rPr>
        <w:t>2</w:t>
      </w:r>
      <w:r>
        <w:rPr>
          <w:rFonts w:eastAsiaTheme="minorEastAsia"/>
          <w:b/>
          <w:bCs/>
          <w:kern w:val="0"/>
          <w:szCs w:val="21"/>
        </w:rPr>
        <w:t xml:space="preserve"> </w:t>
      </w:r>
      <w:r>
        <w:rPr>
          <w:rFonts w:hint="eastAsia" w:eastAsiaTheme="minorEastAsia"/>
          <w:b/>
          <w:bCs/>
          <w:kern w:val="0"/>
          <w:szCs w:val="21"/>
        </w:rPr>
        <w:t xml:space="preserve">  吴山闽商石材产业区域</w:t>
      </w:r>
      <w:r>
        <w:rPr>
          <w:rFonts w:eastAsiaTheme="minorEastAsia"/>
          <w:b/>
          <w:bCs/>
          <w:kern w:val="0"/>
          <w:szCs w:val="21"/>
        </w:rPr>
        <w:t>土壤环境质量建设用地监测结果表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5"/>
        <w:gridCol w:w="1160"/>
        <w:gridCol w:w="762"/>
        <w:gridCol w:w="762"/>
        <w:gridCol w:w="764"/>
        <w:gridCol w:w="764"/>
        <w:gridCol w:w="764"/>
        <w:gridCol w:w="766"/>
        <w:gridCol w:w="761"/>
      </w:tblGrid>
      <w:tr w14:paraId="2BC52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tcBorders>
              <w:tl2br w:val="single" w:color="auto" w:sz="4" w:space="0"/>
            </w:tcBorders>
            <w:vAlign w:val="center"/>
          </w:tcPr>
          <w:p w14:paraId="3E51B5B7">
            <w:pPr>
              <w:spacing w:line="320" w:lineRule="exact"/>
              <w:jc w:val="center"/>
              <w:rPr>
                <w:rFonts w:eastAsiaTheme="minorEastAsia"/>
                <w:szCs w:val="21"/>
              </w:rPr>
            </w:pPr>
            <w:bookmarkStart w:id="116" w:name="_Hlk169532965"/>
            <w:r>
              <w:rPr>
                <w:rFonts w:hint="eastAsia" w:eastAsiaTheme="minorEastAsia"/>
                <w:szCs w:val="21"/>
              </w:rPr>
              <w:t xml:space="preserve">              </w:t>
            </w:r>
            <w:r>
              <w:rPr>
                <w:rFonts w:eastAsiaTheme="minorEastAsia"/>
                <w:szCs w:val="21"/>
              </w:rPr>
              <w:t>监测点位</w:t>
            </w:r>
          </w:p>
          <w:p w14:paraId="78BE1073">
            <w:pPr>
              <w:autoSpaceDE w:val="0"/>
              <w:autoSpaceDN w:val="0"/>
              <w:adjustRightInd w:val="0"/>
              <w:spacing w:after="120" w:line="320" w:lineRule="exact"/>
              <w:rPr>
                <w:rFonts w:eastAsiaTheme="minorEastAsia"/>
                <w:szCs w:val="21"/>
              </w:rPr>
            </w:pPr>
            <w:r>
              <w:rPr>
                <w:rFonts w:eastAsiaTheme="minorEastAsia"/>
                <w:szCs w:val="21"/>
              </w:rPr>
              <w:t>监测项目</w:t>
            </w:r>
          </w:p>
        </w:tc>
        <w:tc>
          <w:tcPr>
            <w:tcW w:w="680" w:type="pct"/>
            <w:vAlign w:val="center"/>
          </w:tcPr>
          <w:p w14:paraId="63829A7B">
            <w:pPr>
              <w:spacing w:line="320" w:lineRule="exact"/>
              <w:jc w:val="center"/>
              <w:rPr>
                <w:rFonts w:eastAsiaTheme="minorEastAsia"/>
                <w:szCs w:val="21"/>
              </w:rPr>
            </w:pPr>
            <w:r>
              <w:rPr>
                <w:rFonts w:eastAsiaTheme="minorEastAsia"/>
                <w:szCs w:val="21"/>
              </w:rPr>
              <w:t>T</w:t>
            </w:r>
            <w:r>
              <w:rPr>
                <w:rFonts w:hint="eastAsia" w:eastAsiaTheme="minorEastAsia"/>
                <w:szCs w:val="21"/>
              </w:rPr>
              <w:t>1</w:t>
            </w:r>
          </w:p>
        </w:tc>
        <w:tc>
          <w:tcPr>
            <w:tcW w:w="447" w:type="pct"/>
            <w:vAlign w:val="center"/>
          </w:tcPr>
          <w:p w14:paraId="18363757">
            <w:pPr>
              <w:spacing w:line="320" w:lineRule="exact"/>
              <w:jc w:val="center"/>
              <w:rPr>
                <w:rFonts w:eastAsiaTheme="minorEastAsia"/>
                <w:szCs w:val="21"/>
              </w:rPr>
            </w:pPr>
            <w:r>
              <w:rPr>
                <w:rFonts w:eastAsiaTheme="minorEastAsia"/>
                <w:szCs w:val="21"/>
              </w:rPr>
              <w:t>T</w:t>
            </w:r>
            <w:r>
              <w:rPr>
                <w:rFonts w:hint="eastAsia" w:eastAsiaTheme="minorEastAsia"/>
                <w:szCs w:val="21"/>
              </w:rPr>
              <w:t>2</w:t>
            </w:r>
          </w:p>
        </w:tc>
        <w:tc>
          <w:tcPr>
            <w:tcW w:w="447" w:type="pct"/>
            <w:vAlign w:val="center"/>
          </w:tcPr>
          <w:p w14:paraId="5C9323BE">
            <w:pPr>
              <w:spacing w:line="320" w:lineRule="exact"/>
              <w:jc w:val="center"/>
              <w:rPr>
                <w:rFonts w:eastAsiaTheme="minorEastAsia"/>
                <w:szCs w:val="21"/>
              </w:rPr>
            </w:pPr>
            <w:r>
              <w:rPr>
                <w:rFonts w:hint="eastAsia" w:eastAsiaTheme="minorEastAsia"/>
                <w:szCs w:val="21"/>
              </w:rPr>
              <w:t>T3</w:t>
            </w:r>
          </w:p>
        </w:tc>
        <w:tc>
          <w:tcPr>
            <w:tcW w:w="448" w:type="pct"/>
            <w:vAlign w:val="center"/>
          </w:tcPr>
          <w:p w14:paraId="3D418317">
            <w:pPr>
              <w:spacing w:line="320" w:lineRule="exact"/>
              <w:jc w:val="center"/>
              <w:rPr>
                <w:rFonts w:eastAsiaTheme="minorEastAsia"/>
                <w:szCs w:val="21"/>
              </w:rPr>
            </w:pPr>
            <w:r>
              <w:rPr>
                <w:rFonts w:eastAsiaTheme="minorEastAsia"/>
                <w:szCs w:val="21"/>
              </w:rPr>
              <w:t>T</w:t>
            </w:r>
            <w:r>
              <w:rPr>
                <w:rFonts w:hint="eastAsia" w:eastAsiaTheme="minorEastAsia"/>
                <w:szCs w:val="21"/>
              </w:rPr>
              <w:t>4</w:t>
            </w:r>
          </w:p>
        </w:tc>
        <w:tc>
          <w:tcPr>
            <w:tcW w:w="448" w:type="pct"/>
            <w:vAlign w:val="center"/>
          </w:tcPr>
          <w:p w14:paraId="4FB876AB">
            <w:pPr>
              <w:spacing w:line="320" w:lineRule="exact"/>
              <w:jc w:val="center"/>
              <w:rPr>
                <w:rFonts w:eastAsiaTheme="minorEastAsia"/>
                <w:szCs w:val="21"/>
              </w:rPr>
            </w:pPr>
            <w:r>
              <w:rPr>
                <w:rFonts w:eastAsiaTheme="minorEastAsia"/>
                <w:szCs w:val="21"/>
              </w:rPr>
              <w:t>T</w:t>
            </w:r>
            <w:r>
              <w:rPr>
                <w:rFonts w:hint="eastAsia" w:eastAsiaTheme="minorEastAsia"/>
                <w:szCs w:val="21"/>
              </w:rPr>
              <w:t>5</w:t>
            </w:r>
          </w:p>
        </w:tc>
        <w:tc>
          <w:tcPr>
            <w:tcW w:w="448" w:type="pct"/>
            <w:vAlign w:val="center"/>
          </w:tcPr>
          <w:p w14:paraId="2C178AAC">
            <w:pPr>
              <w:spacing w:line="320" w:lineRule="exact"/>
              <w:jc w:val="center"/>
              <w:rPr>
                <w:rFonts w:eastAsiaTheme="minorEastAsia"/>
                <w:szCs w:val="21"/>
              </w:rPr>
            </w:pPr>
            <w:r>
              <w:rPr>
                <w:rFonts w:eastAsiaTheme="minorEastAsia"/>
                <w:szCs w:val="21"/>
              </w:rPr>
              <w:t>T</w:t>
            </w:r>
            <w:r>
              <w:rPr>
                <w:rFonts w:hint="eastAsia" w:eastAsiaTheme="minorEastAsia"/>
                <w:szCs w:val="21"/>
              </w:rPr>
              <w:t>6</w:t>
            </w:r>
          </w:p>
        </w:tc>
        <w:tc>
          <w:tcPr>
            <w:tcW w:w="449" w:type="pct"/>
            <w:vAlign w:val="center"/>
          </w:tcPr>
          <w:p w14:paraId="6F240A1B">
            <w:pPr>
              <w:spacing w:line="320" w:lineRule="exact"/>
              <w:jc w:val="center"/>
              <w:rPr>
                <w:rFonts w:eastAsiaTheme="minorEastAsia"/>
                <w:szCs w:val="21"/>
              </w:rPr>
            </w:pPr>
            <w:r>
              <w:rPr>
                <w:rFonts w:hint="eastAsia" w:eastAsiaTheme="minorEastAsia"/>
                <w:szCs w:val="21"/>
              </w:rPr>
              <w:t>T7</w:t>
            </w:r>
          </w:p>
        </w:tc>
        <w:tc>
          <w:tcPr>
            <w:tcW w:w="446" w:type="pct"/>
            <w:vAlign w:val="center"/>
          </w:tcPr>
          <w:p w14:paraId="7D07C5B1">
            <w:pPr>
              <w:spacing w:line="320" w:lineRule="exact"/>
              <w:jc w:val="center"/>
              <w:rPr>
                <w:rFonts w:eastAsiaTheme="minorEastAsia"/>
                <w:szCs w:val="21"/>
              </w:rPr>
            </w:pPr>
            <w:r>
              <w:rPr>
                <w:rFonts w:eastAsiaTheme="minorEastAsia"/>
                <w:szCs w:val="21"/>
              </w:rPr>
              <w:t>标准限值</w:t>
            </w:r>
          </w:p>
        </w:tc>
      </w:tr>
      <w:tr w14:paraId="05AFA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53A20F3">
            <w:pPr>
              <w:spacing w:line="320" w:lineRule="exact"/>
              <w:jc w:val="center"/>
              <w:rPr>
                <w:rFonts w:eastAsiaTheme="minorEastAsia"/>
                <w:szCs w:val="21"/>
              </w:rPr>
            </w:pPr>
            <w:r>
              <w:rPr>
                <w:rFonts w:eastAsiaTheme="minorEastAsia"/>
                <w:szCs w:val="21"/>
              </w:rPr>
              <w:t>pH值</w:t>
            </w:r>
          </w:p>
        </w:tc>
        <w:tc>
          <w:tcPr>
            <w:tcW w:w="680" w:type="pct"/>
            <w:vAlign w:val="center"/>
          </w:tcPr>
          <w:p w14:paraId="1EA972C2">
            <w:pPr>
              <w:widowControl/>
              <w:jc w:val="center"/>
              <w:textAlignment w:val="center"/>
              <w:rPr>
                <w:szCs w:val="21"/>
              </w:rPr>
            </w:pPr>
            <w:r>
              <w:rPr>
                <w:rFonts w:hint="eastAsia"/>
                <w:szCs w:val="21"/>
              </w:rPr>
              <w:t>8.2</w:t>
            </w:r>
          </w:p>
        </w:tc>
        <w:tc>
          <w:tcPr>
            <w:tcW w:w="447" w:type="pct"/>
            <w:vAlign w:val="center"/>
          </w:tcPr>
          <w:p w14:paraId="481C8A10">
            <w:pPr>
              <w:spacing w:line="320" w:lineRule="exact"/>
              <w:jc w:val="center"/>
              <w:rPr>
                <w:rFonts w:eastAsiaTheme="minorEastAsia"/>
                <w:szCs w:val="21"/>
              </w:rPr>
            </w:pPr>
            <w:r>
              <w:rPr>
                <w:rFonts w:hint="eastAsia" w:eastAsiaTheme="minorEastAsia"/>
                <w:szCs w:val="21"/>
              </w:rPr>
              <w:t>7.9</w:t>
            </w:r>
          </w:p>
        </w:tc>
        <w:tc>
          <w:tcPr>
            <w:tcW w:w="447" w:type="pct"/>
            <w:vAlign w:val="center"/>
          </w:tcPr>
          <w:p w14:paraId="2FA57A76">
            <w:pPr>
              <w:spacing w:line="320" w:lineRule="exact"/>
              <w:jc w:val="center"/>
              <w:rPr>
                <w:rFonts w:eastAsiaTheme="minorEastAsia"/>
                <w:szCs w:val="21"/>
              </w:rPr>
            </w:pPr>
            <w:r>
              <w:rPr>
                <w:rFonts w:hint="eastAsia" w:eastAsiaTheme="minorEastAsia"/>
                <w:szCs w:val="21"/>
              </w:rPr>
              <w:t>8.5</w:t>
            </w:r>
          </w:p>
        </w:tc>
        <w:tc>
          <w:tcPr>
            <w:tcW w:w="448" w:type="pct"/>
            <w:vAlign w:val="center"/>
          </w:tcPr>
          <w:p w14:paraId="19313E89">
            <w:pPr>
              <w:spacing w:line="320" w:lineRule="exact"/>
              <w:jc w:val="center"/>
              <w:rPr>
                <w:rFonts w:eastAsiaTheme="minorEastAsia"/>
                <w:szCs w:val="21"/>
              </w:rPr>
            </w:pPr>
            <w:r>
              <w:rPr>
                <w:rFonts w:hint="eastAsia" w:eastAsiaTheme="minorEastAsia"/>
                <w:szCs w:val="21"/>
              </w:rPr>
              <w:t>8.3</w:t>
            </w:r>
          </w:p>
        </w:tc>
        <w:tc>
          <w:tcPr>
            <w:tcW w:w="448" w:type="pct"/>
            <w:vAlign w:val="center"/>
          </w:tcPr>
          <w:p w14:paraId="57BF0815">
            <w:pPr>
              <w:spacing w:line="320" w:lineRule="exact"/>
              <w:jc w:val="center"/>
              <w:rPr>
                <w:rFonts w:eastAsiaTheme="minorEastAsia"/>
                <w:szCs w:val="21"/>
              </w:rPr>
            </w:pPr>
            <w:r>
              <w:rPr>
                <w:rFonts w:hint="eastAsia" w:eastAsiaTheme="minorEastAsia"/>
                <w:szCs w:val="21"/>
              </w:rPr>
              <w:t>8.7</w:t>
            </w:r>
          </w:p>
        </w:tc>
        <w:tc>
          <w:tcPr>
            <w:tcW w:w="448" w:type="pct"/>
            <w:vAlign w:val="center"/>
          </w:tcPr>
          <w:p w14:paraId="7A211FD9">
            <w:pPr>
              <w:spacing w:line="320" w:lineRule="exact"/>
              <w:jc w:val="center"/>
              <w:rPr>
                <w:rFonts w:eastAsiaTheme="minorEastAsia"/>
                <w:szCs w:val="21"/>
              </w:rPr>
            </w:pPr>
            <w:r>
              <w:rPr>
                <w:rFonts w:hint="eastAsia" w:eastAsiaTheme="minorEastAsia"/>
                <w:szCs w:val="21"/>
              </w:rPr>
              <w:t>8.1</w:t>
            </w:r>
          </w:p>
        </w:tc>
        <w:tc>
          <w:tcPr>
            <w:tcW w:w="449" w:type="pct"/>
            <w:vAlign w:val="center"/>
          </w:tcPr>
          <w:p w14:paraId="37CB5266">
            <w:pPr>
              <w:spacing w:line="320" w:lineRule="exact"/>
              <w:jc w:val="center"/>
              <w:rPr>
                <w:rFonts w:eastAsiaTheme="minorEastAsia"/>
                <w:szCs w:val="21"/>
              </w:rPr>
            </w:pPr>
            <w:r>
              <w:rPr>
                <w:rFonts w:hint="eastAsia" w:eastAsiaTheme="minorEastAsia"/>
                <w:szCs w:val="21"/>
              </w:rPr>
              <w:t>8.5</w:t>
            </w:r>
          </w:p>
        </w:tc>
        <w:tc>
          <w:tcPr>
            <w:tcW w:w="446" w:type="pct"/>
            <w:vAlign w:val="center"/>
          </w:tcPr>
          <w:p w14:paraId="3899F07C">
            <w:pPr>
              <w:spacing w:line="320" w:lineRule="exact"/>
              <w:jc w:val="center"/>
              <w:rPr>
                <w:rFonts w:eastAsiaTheme="minorEastAsia"/>
                <w:szCs w:val="21"/>
              </w:rPr>
            </w:pPr>
            <w:r>
              <w:rPr>
                <w:rFonts w:hint="eastAsia" w:eastAsiaTheme="minorEastAsia"/>
                <w:szCs w:val="21"/>
              </w:rPr>
              <w:t>/</w:t>
            </w:r>
          </w:p>
        </w:tc>
      </w:tr>
      <w:tr w14:paraId="35856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CD3804F">
            <w:pPr>
              <w:spacing w:line="320" w:lineRule="exact"/>
              <w:jc w:val="center"/>
              <w:rPr>
                <w:rFonts w:eastAsiaTheme="minorEastAsia"/>
                <w:szCs w:val="21"/>
              </w:rPr>
            </w:pPr>
            <w:r>
              <w:rPr>
                <w:rFonts w:eastAsiaTheme="minorEastAsia"/>
                <w:szCs w:val="21"/>
              </w:rPr>
              <w:t>石油烃（mg/kg）</w:t>
            </w:r>
          </w:p>
        </w:tc>
        <w:tc>
          <w:tcPr>
            <w:tcW w:w="680" w:type="pct"/>
            <w:vAlign w:val="center"/>
          </w:tcPr>
          <w:p w14:paraId="680803FA">
            <w:pPr>
              <w:widowControl/>
              <w:jc w:val="center"/>
              <w:textAlignment w:val="center"/>
              <w:rPr>
                <w:szCs w:val="21"/>
              </w:rPr>
            </w:pPr>
            <w:r>
              <w:rPr>
                <w:rFonts w:hint="eastAsia"/>
                <w:szCs w:val="21"/>
              </w:rPr>
              <w:t>ND</w:t>
            </w:r>
          </w:p>
        </w:tc>
        <w:tc>
          <w:tcPr>
            <w:tcW w:w="447" w:type="pct"/>
            <w:vAlign w:val="center"/>
          </w:tcPr>
          <w:p w14:paraId="214581B1">
            <w:pPr>
              <w:spacing w:line="320" w:lineRule="exact"/>
              <w:jc w:val="center"/>
              <w:rPr>
                <w:rFonts w:eastAsiaTheme="minorEastAsia"/>
                <w:szCs w:val="21"/>
              </w:rPr>
            </w:pPr>
            <w:r>
              <w:rPr>
                <w:rFonts w:hint="eastAsia"/>
                <w:szCs w:val="21"/>
              </w:rPr>
              <w:t>ND</w:t>
            </w:r>
          </w:p>
        </w:tc>
        <w:tc>
          <w:tcPr>
            <w:tcW w:w="447" w:type="pct"/>
            <w:vAlign w:val="center"/>
          </w:tcPr>
          <w:p w14:paraId="5A4B466C">
            <w:pPr>
              <w:spacing w:line="320" w:lineRule="exact"/>
              <w:jc w:val="center"/>
              <w:rPr>
                <w:szCs w:val="21"/>
              </w:rPr>
            </w:pPr>
            <w:r>
              <w:rPr>
                <w:rFonts w:hint="eastAsia"/>
                <w:szCs w:val="21"/>
              </w:rPr>
              <w:t>ND</w:t>
            </w:r>
          </w:p>
        </w:tc>
        <w:tc>
          <w:tcPr>
            <w:tcW w:w="448" w:type="pct"/>
            <w:vAlign w:val="center"/>
          </w:tcPr>
          <w:p w14:paraId="2D3F8635">
            <w:pPr>
              <w:spacing w:line="320" w:lineRule="exact"/>
              <w:jc w:val="center"/>
              <w:rPr>
                <w:rFonts w:eastAsiaTheme="minorEastAsia"/>
                <w:szCs w:val="21"/>
              </w:rPr>
            </w:pPr>
            <w:r>
              <w:rPr>
                <w:rFonts w:hint="eastAsia"/>
                <w:szCs w:val="21"/>
              </w:rPr>
              <w:t>ND</w:t>
            </w:r>
          </w:p>
        </w:tc>
        <w:tc>
          <w:tcPr>
            <w:tcW w:w="448" w:type="pct"/>
            <w:vAlign w:val="center"/>
          </w:tcPr>
          <w:p w14:paraId="4CCEAF6B">
            <w:pPr>
              <w:spacing w:line="320" w:lineRule="exact"/>
              <w:jc w:val="center"/>
              <w:rPr>
                <w:rFonts w:eastAsiaTheme="minorEastAsia"/>
                <w:szCs w:val="21"/>
              </w:rPr>
            </w:pPr>
            <w:r>
              <w:rPr>
                <w:rFonts w:hint="eastAsia"/>
                <w:szCs w:val="21"/>
              </w:rPr>
              <w:t>ND</w:t>
            </w:r>
          </w:p>
        </w:tc>
        <w:tc>
          <w:tcPr>
            <w:tcW w:w="448" w:type="pct"/>
            <w:vAlign w:val="center"/>
          </w:tcPr>
          <w:p w14:paraId="64AA125E">
            <w:pPr>
              <w:spacing w:line="320" w:lineRule="exact"/>
              <w:jc w:val="center"/>
              <w:rPr>
                <w:rFonts w:eastAsiaTheme="minorEastAsia"/>
                <w:szCs w:val="21"/>
              </w:rPr>
            </w:pPr>
            <w:r>
              <w:rPr>
                <w:rFonts w:hint="eastAsia"/>
                <w:szCs w:val="21"/>
              </w:rPr>
              <w:t>ND</w:t>
            </w:r>
          </w:p>
        </w:tc>
        <w:tc>
          <w:tcPr>
            <w:tcW w:w="449" w:type="pct"/>
            <w:vAlign w:val="center"/>
          </w:tcPr>
          <w:p w14:paraId="4593AEC7">
            <w:pPr>
              <w:spacing w:line="320" w:lineRule="exact"/>
              <w:jc w:val="center"/>
              <w:rPr>
                <w:rFonts w:eastAsiaTheme="minorEastAsia"/>
                <w:szCs w:val="21"/>
              </w:rPr>
            </w:pPr>
            <w:r>
              <w:rPr>
                <w:rFonts w:hint="eastAsia"/>
                <w:szCs w:val="21"/>
              </w:rPr>
              <w:t>ND</w:t>
            </w:r>
          </w:p>
        </w:tc>
        <w:tc>
          <w:tcPr>
            <w:tcW w:w="446" w:type="pct"/>
            <w:vAlign w:val="center"/>
          </w:tcPr>
          <w:p w14:paraId="63ECFC2D">
            <w:pPr>
              <w:spacing w:line="320" w:lineRule="exact"/>
              <w:jc w:val="center"/>
              <w:rPr>
                <w:rFonts w:eastAsiaTheme="minorEastAsia"/>
                <w:szCs w:val="21"/>
              </w:rPr>
            </w:pPr>
            <w:r>
              <w:rPr>
                <w:rFonts w:hint="eastAsia" w:eastAsiaTheme="minorEastAsia"/>
                <w:szCs w:val="21"/>
              </w:rPr>
              <w:t>4500</w:t>
            </w:r>
          </w:p>
        </w:tc>
      </w:tr>
      <w:tr w14:paraId="172D9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57E7E9B">
            <w:pPr>
              <w:spacing w:line="320" w:lineRule="exact"/>
              <w:jc w:val="center"/>
              <w:rPr>
                <w:rFonts w:eastAsiaTheme="minorEastAsia"/>
                <w:szCs w:val="21"/>
              </w:rPr>
            </w:pPr>
            <w:r>
              <w:rPr>
                <w:rFonts w:eastAsiaTheme="minorEastAsia"/>
                <w:szCs w:val="21"/>
              </w:rPr>
              <w:t>砷（mg/kg）</w:t>
            </w:r>
          </w:p>
        </w:tc>
        <w:tc>
          <w:tcPr>
            <w:tcW w:w="680" w:type="pct"/>
            <w:vAlign w:val="center"/>
          </w:tcPr>
          <w:p w14:paraId="0405BEBD">
            <w:pPr>
              <w:widowControl/>
              <w:jc w:val="center"/>
              <w:textAlignment w:val="center"/>
              <w:rPr>
                <w:szCs w:val="21"/>
              </w:rPr>
            </w:pPr>
            <w:r>
              <w:rPr>
                <w:rFonts w:hint="eastAsia"/>
                <w:szCs w:val="21"/>
              </w:rPr>
              <w:t>7.54</w:t>
            </w:r>
          </w:p>
        </w:tc>
        <w:tc>
          <w:tcPr>
            <w:tcW w:w="447" w:type="pct"/>
            <w:vAlign w:val="center"/>
          </w:tcPr>
          <w:p w14:paraId="4A7A7493">
            <w:pPr>
              <w:spacing w:line="320" w:lineRule="exact"/>
              <w:jc w:val="center"/>
              <w:rPr>
                <w:rFonts w:eastAsiaTheme="minorEastAsia"/>
                <w:szCs w:val="21"/>
              </w:rPr>
            </w:pPr>
            <w:r>
              <w:rPr>
                <w:rFonts w:hint="eastAsia" w:eastAsiaTheme="minorEastAsia"/>
                <w:szCs w:val="21"/>
              </w:rPr>
              <w:t>7.35</w:t>
            </w:r>
          </w:p>
        </w:tc>
        <w:tc>
          <w:tcPr>
            <w:tcW w:w="447" w:type="pct"/>
            <w:vAlign w:val="center"/>
          </w:tcPr>
          <w:p w14:paraId="01FF3FE5">
            <w:pPr>
              <w:spacing w:line="320" w:lineRule="exact"/>
              <w:jc w:val="center"/>
              <w:rPr>
                <w:rFonts w:eastAsiaTheme="minorEastAsia"/>
                <w:szCs w:val="21"/>
              </w:rPr>
            </w:pPr>
            <w:r>
              <w:rPr>
                <w:rFonts w:hint="eastAsia" w:eastAsiaTheme="minorEastAsia"/>
                <w:szCs w:val="21"/>
              </w:rPr>
              <w:t>7.77</w:t>
            </w:r>
          </w:p>
        </w:tc>
        <w:tc>
          <w:tcPr>
            <w:tcW w:w="448" w:type="pct"/>
            <w:vAlign w:val="center"/>
          </w:tcPr>
          <w:p w14:paraId="06DD38F0">
            <w:pPr>
              <w:spacing w:line="320" w:lineRule="exact"/>
              <w:jc w:val="center"/>
              <w:rPr>
                <w:rFonts w:eastAsiaTheme="minorEastAsia"/>
                <w:szCs w:val="21"/>
              </w:rPr>
            </w:pPr>
            <w:r>
              <w:rPr>
                <w:rFonts w:hint="eastAsia" w:eastAsiaTheme="minorEastAsia"/>
                <w:szCs w:val="21"/>
              </w:rPr>
              <w:t>7.90</w:t>
            </w:r>
          </w:p>
        </w:tc>
        <w:tc>
          <w:tcPr>
            <w:tcW w:w="448" w:type="pct"/>
            <w:vAlign w:val="center"/>
          </w:tcPr>
          <w:p w14:paraId="26BD235A">
            <w:pPr>
              <w:spacing w:line="320" w:lineRule="exact"/>
              <w:jc w:val="center"/>
              <w:rPr>
                <w:rFonts w:eastAsiaTheme="minorEastAsia"/>
                <w:szCs w:val="21"/>
              </w:rPr>
            </w:pPr>
            <w:r>
              <w:rPr>
                <w:rFonts w:hint="eastAsia" w:eastAsiaTheme="minorEastAsia"/>
                <w:szCs w:val="21"/>
              </w:rPr>
              <w:t>8.12</w:t>
            </w:r>
          </w:p>
        </w:tc>
        <w:tc>
          <w:tcPr>
            <w:tcW w:w="448" w:type="pct"/>
            <w:vAlign w:val="center"/>
          </w:tcPr>
          <w:p w14:paraId="108A1C29">
            <w:pPr>
              <w:spacing w:line="320" w:lineRule="exact"/>
              <w:jc w:val="center"/>
              <w:rPr>
                <w:rFonts w:eastAsiaTheme="minorEastAsia"/>
                <w:szCs w:val="21"/>
              </w:rPr>
            </w:pPr>
            <w:r>
              <w:rPr>
                <w:rFonts w:hint="eastAsia" w:eastAsiaTheme="minorEastAsia"/>
                <w:szCs w:val="21"/>
              </w:rPr>
              <w:t>6.78</w:t>
            </w:r>
          </w:p>
        </w:tc>
        <w:tc>
          <w:tcPr>
            <w:tcW w:w="449" w:type="pct"/>
            <w:vAlign w:val="center"/>
          </w:tcPr>
          <w:p w14:paraId="4C9EED74">
            <w:pPr>
              <w:spacing w:line="320" w:lineRule="exact"/>
              <w:jc w:val="center"/>
              <w:rPr>
                <w:rFonts w:eastAsiaTheme="minorEastAsia"/>
                <w:szCs w:val="21"/>
              </w:rPr>
            </w:pPr>
            <w:r>
              <w:rPr>
                <w:rFonts w:hint="eastAsia" w:eastAsiaTheme="minorEastAsia"/>
                <w:szCs w:val="21"/>
              </w:rPr>
              <w:t>7.20</w:t>
            </w:r>
          </w:p>
        </w:tc>
        <w:tc>
          <w:tcPr>
            <w:tcW w:w="446" w:type="pct"/>
            <w:vAlign w:val="center"/>
          </w:tcPr>
          <w:p w14:paraId="69DCA62D">
            <w:pPr>
              <w:spacing w:line="320" w:lineRule="exact"/>
              <w:jc w:val="center"/>
              <w:rPr>
                <w:rFonts w:eastAsiaTheme="minorEastAsia"/>
                <w:szCs w:val="21"/>
              </w:rPr>
            </w:pPr>
            <w:r>
              <w:rPr>
                <w:rFonts w:eastAsiaTheme="minorEastAsia"/>
                <w:szCs w:val="21"/>
              </w:rPr>
              <w:t>60</w:t>
            </w:r>
          </w:p>
        </w:tc>
      </w:tr>
      <w:tr w14:paraId="1F41B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4340DA8D">
            <w:pPr>
              <w:spacing w:line="320" w:lineRule="exact"/>
              <w:jc w:val="center"/>
              <w:rPr>
                <w:rFonts w:eastAsiaTheme="minorEastAsia"/>
                <w:szCs w:val="21"/>
              </w:rPr>
            </w:pPr>
            <w:r>
              <w:rPr>
                <w:rFonts w:eastAsiaTheme="minorEastAsia"/>
                <w:szCs w:val="21"/>
              </w:rPr>
              <w:t>镉（mg/kg）</w:t>
            </w:r>
          </w:p>
        </w:tc>
        <w:tc>
          <w:tcPr>
            <w:tcW w:w="680" w:type="pct"/>
            <w:vAlign w:val="center"/>
          </w:tcPr>
          <w:p w14:paraId="44184F02">
            <w:pPr>
              <w:widowControl/>
              <w:jc w:val="center"/>
              <w:textAlignment w:val="center"/>
              <w:rPr>
                <w:szCs w:val="21"/>
              </w:rPr>
            </w:pPr>
            <w:r>
              <w:rPr>
                <w:rFonts w:hint="eastAsia"/>
                <w:szCs w:val="21"/>
              </w:rPr>
              <w:t>0.12</w:t>
            </w:r>
          </w:p>
        </w:tc>
        <w:tc>
          <w:tcPr>
            <w:tcW w:w="447" w:type="pct"/>
            <w:vAlign w:val="center"/>
          </w:tcPr>
          <w:p w14:paraId="0E2D0843">
            <w:pPr>
              <w:spacing w:line="320" w:lineRule="exact"/>
              <w:jc w:val="center"/>
              <w:rPr>
                <w:rFonts w:eastAsiaTheme="minorEastAsia"/>
                <w:szCs w:val="21"/>
              </w:rPr>
            </w:pPr>
            <w:r>
              <w:rPr>
                <w:rFonts w:hint="eastAsia" w:eastAsiaTheme="minorEastAsia"/>
                <w:szCs w:val="21"/>
              </w:rPr>
              <w:t>0.16</w:t>
            </w:r>
          </w:p>
        </w:tc>
        <w:tc>
          <w:tcPr>
            <w:tcW w:w="447" w:type="pct"/>
            <w:vAlign w:val="center"/>
          </w:tcPr>
          <w:p w14:paraId="49E06E0A">
            <w:pPr>
              <w:spacing w:line="320" w:lineRule="exact"/>
              <w:jc w:val="center"/>
              <w:rPr>
                <w:rFonts w:eastAsiaTheme="minorEastAsia"/>
                <w:szCs w:val="21"/>
              </w:rPr>
            </w:pPr>
            <w:r>
              <w:rPr>
                <w:rFonts w:hint="eastAsia" w:eastAsiaTheme="minorEastAsia"/>
                <w:szCs w:val="21"/>
              </w:rPr>
              <w:t>0.12</w:t>
            </w:r>
          </w:p>
        </w:tc>
        <w:tc>
          <w:tcPr>
            <w:tcW w:w="448" w:type="pct"/>
            <w:vAlign w:val="center"/>
          </w:tcPr>
          <w:p w14:paraId="52456F64">
            <w:pPr>
              <w:spacing w:line="320" w:lineRule="exact"/>
              <w:jc w:val="center"/>
              <w:rPr>
                <w:rFonts w:eastAsiaTheme="minorEastAsia"/>
                <w:szCs w:val="21"/>
              </w:rPr>
            </w:pPr>
            <w:r>
              <w:rPr>
                <w:rFonts w:hint="eastAsia" w:eastAsiaTheme="minorEastAsia"/>
                <w:szCs w:val="21"/>
              </w:rPr>
              <w:t>0.07</w:t>
            </w:r>
          </w:p>
        </w:tc>
        <w:tc>
          <w:tcPr>
            <w:tcW w:w="448" w:type="pct"/>
            <w:vAlign w:val="center"/>
          </w:tcPr>
          <w:p w14:paraId="48642081">
            <w:pPr>
              <w:spacing w:line="320" w:lineRule="exact"/>
              <w:jc w:val="center"/>
              <w:rPr>
                <w:rFonts w:eastAsiaTheme="minorEastAsia"/>
                <w:szCs w:val="21"/>
              </w:rPr>
            </w:pPr>
            <w:r>
              <w:rPr>
                <w:rFonts w:hint="eastAsia" w:eastAsiaTheme="minorEastAsia"/>
                <w:szCs w:val="21"/>
              </w:rPr>
              <w:t>0.10</w:t>
            </w:r>
          </w:p>
        </w:tc>
        <w:tc>
          <w:tcPr>
            <w:tcW w:w="448" w:type="pct"/>
            <w:vAlign w:val="center"/>
          </w:tcPr>
          <w:p w14:paraId="581035D2">
            <w:pPr>
              <w:spacing w:line="320" w:lineRule="exact"/>
              <w:jc w:val="center"/>
              <w:rPr>
                <w:rFonts w:eastAsiaTheme="minorEastAsia"/>
                <w:szCs w:val="21"/>
              </w:rPr>
            </w:pPr>
            <w:r>
              <w:rPr>
                <w:rFonts w:hint="eastAsia" w:eastAsiaTheme="minorEastAsia"/>
                <w:szCs w:val="21"/>
              </w:rPr>
              <w:t>0.10</w:t>
            </w:r>
          </w:p>
        </w:tc>
        <w:tc>
          <w:tcPr>
            <w:tcW w:w="449" w:type="pct"/>
            <w:vAlign w:val="center"/>
          </w:tcPr>
          <w:p w14:paraId="707DD897">
            <w:pPr>
              <w:spacing w:line="320" w:lineRule="exact"/>
              <w:jc w:val="center"/>
              <w:rPr>
                <w:rFonts w:eastAsiaTheme="minorEastAsia"/>
                <w:szCs w:val="21"/>
              </w:rPr>
            </w:pPr>
            <w:r>
              <w:rPr>
                <w:rFonts w:hint="eastAsia" w:eastAsiaTheme="minorEastAsia"/>
                <w:szCs w:val="21"/>
              </w:rPr>
              <w:t>0.13</w:t>
            </w:r>
          </w:p>
        </w:tc>
        <w:tc>
          <w:tcPr>
            <w:tcW w:w="446" w:type="pct"/>
            <w:vAlign w:val="center"/>
          </w:tcPr>
          <w:p w14:paraId="4B4E3BBE">
            <w:pPr>
              <w:spacing w:line="320" w:lineRule="exact"/>
              <w:jc w:val="center"/>
              <w:rPr>
                <w:rFonts w:eastAsiaTheme="minorEastAsia"/>
                <w:szCs w:val="21"/>
              </w:rPr>
            </w:pPr>
            <w:r>
              <w:rPr>
                <w:rFonts w:eastAsiaTheme="minorEastAsia"/>
                <w:szCs w:val="21"/>
              </w:rPr>
              <w:t>65</w:t>
            </w:r>
          </w:p>
        </w:tc>
      </w:tr>
      <w:tr w14:paraId="3B53D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8A3830C">
            <w:pPr>
              <w:spacing w:line="320" w:lineRule="exact"/>
              <w:jc w:val="center"/>
              <w:rPr>
                <w:rFonts w:eastAsiaTheme="minorEastAsia"/>
                <w:szCs w:val="21"/>
              </w:rPr>
            </w:pPr>
            <w:r>
              <w:rPr>
                <w:rFonts w:eastAsiaTheme="minorEastAsia"/>
                <w:szCs w:val="21"/>
              </w:rPr>
              <w:t>六价铬（mg/kg）</w:t>
            </w:r>
          </w:p>
        </w:tc>
        <w:tc>
          <w:tcPr>
            <w:tcW w:w="680" w:type="pct"/>
            <w:vAlign w:val="center"/>
          </w:tcPr>
          <w:p w14:paraId="21276F16">
            <w:pPr>
              <w:widowControl/>
              <w:jc w:val="center"/>
              <w:textAlignment w:val="center"/>
              <w:rPr>
                <w:szCs w:val="21"/>
              </w:rPr>
            </w:pPr>
            <w:r>
              <w:rPr>
                <w:rFonts w:hint="eastAsia"/>
                <w:szCs w:val="21"/>
              </w:rPr>
              <w:t>ND</w:t>
            </w:r>
          </w:p>
        </w:tc>
        <w:tc>
          <w:tcPr>
            <w:tcW w:w="447" w:type="pct"/>
            <w:vAlign w:val="center"/>
          </w:tcPr>
          <w:p w14:paraId="0DE9D5E3">
            <w:pPr>
              <w:spacing w:line="320" w:lineRule="exact"/>
              <w:jc w:val="center"/>
              <w:rPr>
                <w:rFonts w:eastAsiaTheme="minorEastAsia"/>
                <w:szCs w:val="21"/>
              </w:rPr>
            </w:pPr>
            <w:r>
              <w:rPr>
                <w:rFonts w:hint="eastAsia"/>
                <w:szCs w:val="21"/>
              </w:rPr>
              <w:t>ND</w:t>
            </w:r>
          </w:p>
        </w:tc>
        <w:tc>
          <w:tcPr>
            <w:tcW w:w="447" w:type="pct"/>
            <w:vAlign w:val="center"/>
          </w:tcPr>
          <w:p w14:paraId="152E795F">
            <w:pPr>
              <w:spacing w:line="320" w:lineRule="exact"/>
              <w:jc w:val="center"/>
              <w:rPr>
                <w:szCs w:val="21"/>
              </w:rPr>
            </w:pPr>
            <w:r>
              <w:rPr>
                <w:rFonts w:hint="eastAsia"/>
                <w:szCs w:val="21"/>
              </w:rPr>
              <w:t>ND</w:t>
            </w:r>
          </w:p>
        </w:tc>
        <w:tc>
          <w:tcPr>
            <w:tcW w:w="448" w:type="pct"/>
            <w:vAlign w:val="center"/>
          </w:tcPr>
          <w:p w14:paraId="54D8CEF2">
            <w:pPr>
              <w:spacing w:line="320" w:lineRule="exact"/>
              <w:jc w:val="center"/>
              <w:rPr>
                <w:rFonts w:eastAsiaTheme="minorEastAsia"/>
                <w:szCs w:val="21"/>
              </w:rPr>
            </w:pPr>
            <w:r>
              <w:rPr>
                <w:rFonts w:hint="eastAsia"/>
                <w:szCs w:val="21"/>
              </w:rPr>
              <w:t>ND</w:t>
            </w:r>
          </w:p>
        </w:tc>
        <w:tc>
          <w:tcPr>
            <w:tcW w:w="448" w:type="pct"/>
            <w:vAlign w:val="center"/>
          </w:tcPr>
          <w:p w14:paraId="5F80EA54">
            <w:pPr>
              <w:spacing w:line="320" w:lineRule="exact"/>
              <w:jc w:val="center"/>
              <w:rPr>
                <w:rFonts w:eastAsiaTheme="minorEastAsia"/>
                <w:szCs w:val="21"/>
              </w:rPr>
            </w:pPr>
            <w:r>
              <w:rPr>
                <w:rFonts w:hint="eastAsia"/>
                <w:szCs w:val="21"/>
              </w:rPr>
              <w:t>ND</w:t>
            </w:r>
          </w:p>
        </w:tc>
        <w:tc>
          <w:tcPr>
            <w:tcW w:w="448" w:type="pct"/>
            <w:vAlign w:val="center"/>
          </w:tcPr>
          <w:p w14:paraId="2A2C2E45">
            <w:pPr>
              <w:spacing w:line="320" w:lineRule="exact"/>
              <w:jc w:val="center"/>
              <w:rPr>
                <w:rFonts w:eastAsiaTheme="minorEastAsia"/>
                <w:szCs w:val="21"/>
              </w:rPr>
            </w:pPr>
            <w:r>
              <w:rPr>
                <w:rFonts w:hint="eastAsia"/>
                <w:szCs w:val="21"/>
              </w:rPr>
              <w:t>ND</w:t>
            </w:r>
          </w:p>
        </w:tc>
        <w:tc>
          <w:tcPr>
            <w:tcW w:w="449" w:type="pct"/>
            <w:vAlign w:val="center"/>
          </w:tcPr>
          <w:p w14:paraId="1577D12A">
            <w:pPr>
              <w:spacing w:line="320" w:lineRule="exact"/>
              <w:jc w:val="center"/>
              <w:rPr>
                <w:rFonts w:eastAsiaTheme="minorEastAsia"/>
                <w:szCs w:val="21"/>
              </w:rPr>
            </w:pPr>
            <w:r>
              <w:rPr>
                <w:rFonts w:hint="eastAsia"/>
                <w:szCs w:val="21"/>
              </w:rPr>
              <w:t>ND</w:t>
            </w:r>
          </w:p>
        </w:tc>
        <w:tc>
          <w:tcPr>
            <w:tcW w:w="446" w:type="pct"/>
            <w:vAlign w:val="center"/>
          </w:tcPr>
          <w:p w14:paraId="00B34559">
            <w:pPr>
              <w:spacing w:line="320" w:lineRule="exact"/>
              <w:jc w:val="center"/>
              <w:rPr>
                <w:rFonts w:eastAsiaTheme="minorEastAsia"/>
                <w:szCs w:val="21"/>
              </w:rPr>
            </w:pPr>
            <w:r>
              <w:rPr>
                <w:rFonts w:eastAsiaTheme="minorEastAsia"/>
                <w:szCs w:val="21"/>
              </w:rPr>
              <w:t>5.7</w:t>
            </w:r>
          </w:p>
        </w:tc>
      </w:tr>
      <w:tr w14:paraId="691FA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06E2232F">
            <w:pPr>
              <w:spacing w:line="320" w:lineRule="exact"/>
              <w:jc w:val="center"/>
              <w:rPr>
                <w:rFonts w:eastAsiaTheme="minorEastAsia"/>
                <w:szCs w:val="21"/>
              </w:rPr>
            </w:pPr>
            <w:r>
              <w:rPr>
                <w:rFonts w:eastAsiaTheme="minorEastAsia"/>
                <w:szCs w:val="21"/>
              </w:rPr>
              <w:t>铜（mg/kg）</w:t>
            </w:r>
          </w:p>
        </w:tc>
        <w:tc>
          <w:tcPr>
            <w:tcW w:w="680" w:type="pct"/>
            <w:vAlign w:val="center"/>
          </w:tcPr>
          <w:p w14:paraId="7596A3C8">
            <w:pPr>
              <w:widowControl/>
              <w:jc w:val="center"/>
              <w:textAlignment w:val="center"/>
              <w:rPr>
                <w:szCs w:val="21"/>
              </w:rPr>
            </w:pPr>
            <w:r>
              <w:rPr>
                <w:rFonts w:hint="eastAsia"/>
                <w:szCs w:val="21"/>
              </w:rPr>
              <w:t>45</w:t>
            </w:r>
          </w:p>
        </w:tc>
        <w:tc>
          <w:tcPr>
            <w:tcW w:w="447" w:type="pct"/>
            <w:vAlign w:val="center"/>
          </w:tcPr>
          <w:p w14:paraId="2F40F864">
            <w:pPr>
              <w:spacing w:line="320" w:lineRule="exact"/>
              <w:jc w:val="center"/>
              <w:rPr>
                <w:rFonts w:eastAsiaTheme="minorEastAsia"/>
                <w:szCs w:val="21"/>
              </w:rPr>
            </w:pPr>
            <w:r>
              <w:rPr>
                <w:rFonts w:hint="eastAsia" w:eastAsiaTheme="minorEastAsia"/>
                <w:szCs w:val="21"/>
              </w:rPr>
              <w:t>39</w:t>
            </w:r>
          </w:p>
        </w:tc>
        <w:tc>
          <w:tcPr>
            <w:tcW w:w="447" w:type="pct"/>
            <w:vAlign w:val="center"/>
          </w:tcPr>
          <w:p w14:paraId="7DD80595">
            <w:pPr>
              <w:spacing w:line="320" w:lineRule="exact"/>
              <w:jc w:val="center"/>
              <w:rPr>
                <w:rFonts w:eastAsiaTheme="minorEastAsia"/>
                <w:szCs w:val="21"/>
              </w:rPr>
            </w:pPr>
            <w:r>
              <w:rPr>
                <w:rFonts w:hint="eastAsia" w:eastAsiaTheme="minorEastAsia"/>
                <w:szCs w:val="21"/>
              </w:rPr>
              <w:t>40</w:t>
            </w:r>
          </w:p>
        </w:tc>
        <w:tc>
          <w:tcPr>
            <w:tcW w:w="448" w:type="pct"/>
            <w:vAlign w:val="center"/>
          </w:tcPr>
          <w:p w14:paraId="615AFDA1">
            <w:pPr>
              <w:spacing w:line="320" w:lineRule="exact"/>
              <w:jc w:val="center"/>
              <w:rPr>
                <w:rFonts w:eastAsiaTheme="minorEastAsia"/>
                <w:szCs w:val="21"/>
              </w:rPr>
            </w:pPr>
            <w:r>
              <w:rPr>
                <w:rFonts w:hint="eastAsia" w:eastAsiaTheme="minorEastAsia"/>
                <w:szCs w:val="21"/>
              </w:rPr>
              <w:t>24</w:t>
            </w:r>
          </w:p>
        </w:tc>
        <w:tc>
          <w:tcPr>
            <w:tcW w:w="448" w:type="pct"/>
            <w:vAlign w:val="center"/>
          </w:tcPr>
          <w:p w14:paraId="5EA1D05F">
            <w:pPr>
              <w:spacing w:line="320" w:lineRule="exact"/>
              <w:jc w:val="center"/>
              <w:rPr>
                <w:rFonts w:eastAsiaTheme="minorEastAsia"/>
                <w:szCs w:val="21"/>
              </w:rPr>
            </w:pPr>
            <w:r>
              <w:rPr>
                <w:rFonts w:hint="eastAsia" w:eastAsiaTheme="minorEastAsia"/>
                <w:szCs w:val="21"/>
              </w:rPr>
              <w:t>32</w:t>
            </w:r>
          </w:p>
        </w:tc>
        <w:tc>
          <w:tcPr>
            <w:tcW w:w="448" w:type="pct"/>
            <w:vAlign w:val="center"/>
          </w:tcPr>
          <w:p w14:paraId="664991F5">
            <w:pPr>
              <w:spacing w:line="320" w:lineRule="exact"/>
              <w:jc w:val="center"/>
              <w:rPr>
                <w:rFonts w:eastAsiaTheme="minorEastAsia"/>
                <w:szCs w:val="21"/>
              </w:rPr>
            </w:pPr>
            <w:r>
              <w:rPr>
                <w:rFonts w:hint="eastAsia" w:eastAsiaTheme="minorEastAsia"/>
                <w:szCs w:val="21"/>
              </w:rPr>
              <w:t>22</w:t>
            </w:r>
          </w:p>
        </w:tc>
        <w:tc>
          <w:tcPr>
            <w:tcW w:w="449" w:type="pct"/>
            <w:vAlign w:val="center"/>
          </w:tcPr>
          <w:p w14:paraId="6D4EEB72">
            <w:pPr>
              <w:spacing w:line="320" w:lineRule="exact"/>
              <w:jc w:val="center"/>
              <w:rPr>
                <w:rFonts w:eastAsiaTheme="minorEastAsia"/>
                <w:szCs w:val="21"/>
              </w:rPr>
            </w:pPr>
            <w:r>
              <w:rPr>
                <w:rFonts w:hint="eastAsia" w:eastAsiaTheme="minorEastAsia"/>
                <w:szCs w:val="21"/>
              </w:rPr>
              <w:t>32</w:t>
            </w:r>
          </w:p>
        </w:tc>
        <w:tc>
          <w:tcPr>
            <w:tcW w:w="446" w:type="pct"/>
            <w:vAlign w:val="center"/>
          </w:tcPr>
          <w:p w14:paraId="2E515AEF">
            <w:pPr>
              <w:spacing w:line="320" w:lineRule="exact"/>
              <w:jc w:val="center"/>
              <w:rPr>
                <w:rFonts w:eastAsiaTheme="minorEastAsia"/>
                <w:szCs w:val="21"/>
              </w:rPr>
            </w:pPr>
            <w:r>
              <w:rPr>
                <w:rFonts w:eastAsiaTheme="minorEastAsia"/>
                <w:szCs w:val="21"/>
              </w:rPr>
              <w:t>18000</w:t>
            </w:r>
          </w:p>
        </w:tc>
      </w:tr>
      <w:tr w14:paraId="355EE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3854BAA5">
            <w:pPr>
              <w:spacing w:line="320" w:lineRule="exact"/>
              <w:jc w:val="center"/>
              <w:rPr>
                <w:rFonts w:eastAsiaTheme="minorEastAsia"/>
                <w:szCs w:val="21"/>
              </w:rPr>
            </w:pPr>
            <w:r>
              <w:rPr>
                <w:rFonts w:eastAsiaTheme="minorEastAsia"/>
                <w:szCs w:val="21"/>
              </w:rPr>
              <w:t>铅（mg/kg）</w:t>
            </w:r>
          </w:p>
        </w:tc>
        <w:tc>
          <w:tcPr>
            <w:tcW w:w="680" w:type="pct"/>
            <w:vAlign w:val="center"/>
          </w:tcPr>
          <w:p w14:paraId="0C7D0020">
            <w:pPr>
              <w:widowControl/>
              <w:jc w:val="center"/>
              <w:textAlignment w:val="center"/>
              <w:rPr>
                <w:szCs w:val="21"/>
              </w:rPr>
            </w:pPr>
            <w:r>
              <w:rPr>
                <w:rFonts w:hint="eastAsia"/>
                <w:szCs w:val="21"/>
              </w:rPr>
              <w:t>32</w:t>
            </w:r>
          </w:p>
        </w:tc>
        <w:tc>
          <w:tcPr>
            <w:tcW w:w="447" w:type="pct"/>
            <w:vAlign w:val="center"/>
          </w:tcPr>
          <w:p w14:paraId="7288A002">
            <w:pPr>
              <w:spacing w:line="320" w:lineRule="exact"/>
              <w:jc w:val="center"/>
              <w:rPr>
                <w:rFonts w:eastAsiaTheme="minorEastAsia"/>
                <w:szCs w:val="21"/>
              </w:rPr>
            </w:pPr>
            <w:r>
              <w:rPr>
                <w:rFonts w:hint="eastAsia" w:eastAsiaTheme="minorEastAsia"/>
                <w:szCs w:val="21"/>
              </w:rPr>
              <w:t>41</w:t>
            </w:r>
          </w:p>
        </w:tc>
        <w:tc>
          <w:tcPr>
            <w:tcW w:w="447" w:type="pct"/>
            <w:vAlign w:val="center"/>
          </w:tcPr>
          <w:p w14:paraId="4373544F">
            <w:pPr>
              <w:spacing w:line="320" w:lineRule="exact"/>
              <w:jc w:val="center"/>
              <w:rPr>
                <w:rFonts w:eastAsiaTheme="minorEastAsia"/>
                <w:szCs w:val="21"/>
              </w:rPr>
            </w:pPr>
            <w:r>
              <w:rPr>
                <w:rFonts w:hint="eastAsia" w:eastAsiaTheme="minorEastAsia"/>
                <w:szCs w:val="21"/>
              </w:rPr>
              <w:t>40</w:t>
            </w:r>
          </w:p>
        </w:tc>
        <w:tc>
          <w:tcPr>
            <w:tcW w:w="448" w:type="pct"/>
            <w:vAlign w:val="center"/>
          </w:tcPr>
          <w:p w14:paraId="1FE0F206">
            <w:pPr>
              <w:spacing w:line="320" w:lineRule="exact"/>
              <w:jc w:val="center"/>
              <w:rPr>
                <w:rFonts w:eastAsiaTheme="minorEastAsia"/>
                <w:szCs w:val="21"/>
              </w:rPr>
            </w:pPr>
            <w:r>
              <w:rPr>
                <w:rFonts w:hint="eastAsia" w:eastAsiaTheme="minorEastAsia"/>
                <w:szCs w:val="21"/>
              </w:rPr>
              <w:t>32</w:t>
            </w:r>
          </w:p>
        </w:tc>
        <w:tc>
          <w:tcPr>
            <w:tcW w:w="448" w:type="pct"/>
            <w:vAlign w:val="center"/>
          </w:tcPr>
          <w:p w14:paraId="0E58E632">
            <w:pPr>
              <w:spacing w:line="320" w:lineRule="exact"/>
              <w:jc w:val="center"/>
              <w:rPr>
                <w:rFonts w:eastAsiaTheme="minorEastAsia"/>
                <w:szCs w:val="21"/>
              </w:rPr>
            </w:pPr>
            <w:r>
              <w:rPr>
                <w:rFonts w:hint="eastAsia" w:eastAsiaTheme="minorEastAsia"/>
                <w:szCs w:val="21"/>
              </w:rPr>
              <w:t>29</w:t>
            </w:r>
          </w:p>
        </w:tc>
        <w:tc>
          <w:tcPr>
            <w:tcW w:w="448" w:type="pct"/>
            <w:vAlign w:val="center"/>
          </w:tcPr>
          <w:p w14:paraId="0649E0F5">
            <w:pPr>
              <w:spacing w:line="320" w:lineRule="exact"/>
              <w:jc w:val="center"/>
              <w:rPr>
                <w:rFonts w:eastAsiaTheme="minorEastAsia"/>
                <w:szCs w:val="21"/>
              </w:rPr>
            </w:pPr>
            <w:r>
              <w:rPr>
                <w:rFonts w:hint="eastAsia" w:eastAsiaTheme="minorEastAsia"/>
                <w:szCs w:val="21"/>
              </w:rPr>
              <w:t>27</w:t>
            </w:r>
          </w:p>
        </w:tc>
        <w:tc>
          <w:tcPr>
            <w:tcW w:w="449" w:type="pct"/>
            <w:vAlign w:val="center"/>
          </w:tcPr>
          <w:p w14:paraId="55BAA3F6">
            <w:pPr>
              <w:spacing w:line="320" w:lineRule="exact"/>
              <w:jc w:val="center"/>
              <w:rPr>
                <w:rFonts w:eastAsiaTheme="minorEastAsia"/>
                <w:szCs w:val="21"/>
              </w:rPr>
            </w:pPr>
            <w:r>
              <w:rPr>
                <w:rFonts w:hint="eastAsia" w:eastAsiaTheme="minorEastAsia"/>
                <w:szCs w:val="21"/>
              </w:rPr>
              <w:t>31</w:t>
            </w:r>
          </w:p>
        </w:tc>
        <w:tc>
          <w:tcPr>
            <w:tcW w:w="446" w:type="pct"/>
            <w:vAlign w:val="center"/>
          </w:tcPr>
          <w:p w14:paraId="1950829C">
            <w:pPr>
              <w:spacing w:line="320" w:lineRule="exact"/>
              <w:jc w:val="center"/>
              <w:rPr>
                <w:rFonts w:eastAsiaTheme="minorEastAsia"/>
                <w:szCs w:val="21"/>
              </w:rPr>
            </w:pPr>
            <w:r>
              <w:rPr>
                <w:rFonts w:eastAsiaTheme="minorEastAsia"/>
                <w:szCs w:val="21"/>
              </w:rPr>
              <w:t>800</w:t>
            </w:r>
          </w:p>
        </w:tc>
      </w:tr>
      <w:tr w14:paraId="11111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280A0F3">
            <w:pPr>
              <w:spacing w:line="320" w:lineRule="exact"/>
              <w:jc w:val="center"/>
              <w:rPr>
                <w:rFonts w:eastAsiaTheme="minorEastAsia"/>
                <w:szCs w:val="21"/>
              </w:rPr>
            </w:pPr>
            <w:r>
              <w:rPr>
                <w:rFonts w:eastAsiaTheme="minorEastAsia"/>
                <w:szCs w:val="21"/>
              </w:rPr>
              <w:t>汞（mg/kg）</w:t>
            </w:r>
          </w:p>
        </w:tc>
        <w:tc>
          <w:tcPr>
            <w:tcW w:w="680" w:type="pct"/>
            <w:vAlign w:val="center"/>
          </w:tcPr>
          <w:p w14:paraId="3D9F324A">
            <w:pPr>
              <w:widowControl/>
              <w:jc w:val="center"/>
              <w:textAlignment w:val="center"/>
              <w:rPr>
                <w:szCs w:val="21"/>
              </w:rPr>
            </w:pPr>
            <w:r>
              <w:rPr>
                <w:rFonts w:hint="eastAsia"/>
                <w:szCs w:val="21"/>
              </w:rPr>
              <w:t>0.019</w:t>
            </w:r>
          </w:p>
        </w:tc>
        <w:tc>
          <w:tcPr>
            <w:tcW w:w="447" w:type="pct"/>
            <w:vAlign w:val="center"/>
          </w:tcPr>
          <w:p w14:paraId="4FAE84D1">
            <w:pPr>
              <w:spacing w:line="320" w:lineRule="exact"/>
              <w:jc w:val="center"/>
              <w:rPr>
                <w:rFonts w:eastAsiaTheme="minorEastAsia"/>
                <w:szCs w:val="21"/>
              </w:rPr>
            </w:pPr>
            <w:r>
              <w:rPr>
                <w:rFonts w:hint="eastAsia" w:eastAsiaTheme="minorEastAsia"/>
                <w:szCs w:val="21"/>
              </w:rPr>
              <w:t>0.018</w:t>
            </w:r>
          </w:p>
        </w:tc>
        <w:tc>
          <w:tcPr>
            <w:tcW w:w="447" w:type="pct"/>
            <w:vAlign w:val="center"/>
          </w:tcPr>
          <w:p w14:paraId="5D18611C">
            <w:pPr>
              <w:spacing w:line="320" w:lineRule="exact"/>
              <w:jc w:val="center"/>
              <w:rPr>
                <w:rFonts w:eastAsiaTheme="minorEastAsia"/>
                <w:szCs w:val="21"/>
              </w:rPr>
            </w:pPr>
            <w:r>
              <w:rPr>
                <w:rFonts w:hint="eastAsia" w:eastAsiaTheme="minorEastAsia"/>
                <w:szCs w:val="21"/>
              </w:rPr>
              <w:t>0.015</w:t>
            </w:r>
          </w:p>
        </w:tc>
        <w:tc>
          <w:tcPr>
            <w:tcW w:w="448" w:type="pct"/>
            <w:vAlign w:val="center"/>
          </w:tcPr>
          <w:p w14:paraId="748296DA">
            <w:pPr>
              <w:spacing w:line="320" w:lineRule="exact"/>
              <w:jc w:val="center"/>
              <w:rPr>
                <w:rFonts w:eastAsiaTheme="minorEastAsia"/>
                <w:szCs w:val="21"/>
              </w:rPr>
            </w:pPr>
            <w:r>
              <w:rPr>
                <w:rFonts w:hint="eastAsia" w:eastAsiaTheme="minorEastAsia"/>
                <w:szCs w:val="21"/>
              </w:rPr>
              <w:t>0.016</w:t>
            </w:r>
          </w:p>
        </w:tc>
        <w:tc>
          <w:tcPr>
            <w:tcW w:w="448" w:type="pct"/>
            <w:vAlign w:val="center"/>
          </w:tcPr>
          <w:p w14:paraId="42E7D5AC">
            <w:pPr>
              <w:spacing w:line="320" w:lineRule="exact"/>
              <w:jc w:val="center"/>
              <w:rPr>
                <w:rFonts w:eastAsiaTheme="minorEastAsia"/>
                <w:szCs w:val="21"/>
              </w:rPr>
            </w:pPr>
            <w:r>
              <w:rPr>
                <w:rFonts w:hint="eastAsia" w:eastAsiaTheme="minorEastAsia"/>
                <w:szCs w:val="21"/>
              </w:rPr>
              <w:t>0.016</w:t>
            </w:r>
          </w:p>
        </w:tc>
        <w:tc>
          <w:tcPr>
            <w:tcW w:w="448" w:type="pct"/>
            <w:vAlign w:val="center"/>
          </w:tcPr>
          <w:p w14:paraId="5765E7AA">
            <w:pPr>
              <w:spacing w:line="320" w:lineRule="exact"/>
              <w:jc w:val="center"/>
              <w:rPr>
                <w:rFonts w:eastAsiaTheme="minorEastAsia"/>
                <w:szCs w:val="21"/>
              </w:rPr>
            </w:pPr>
            <w:r>
              <w:rPr>
                <w:rFonts w:hint="eastAsia" w:eastAsiaTheme="minorEastAsia"/>
                <w:szCs w:val="21"/>
              </w:rPr>
              <w:t>0.017</w:t>
            </w:r>
          </w:p>
        </w:tc>
        <w:tc>
          <w:tcPr>
            <w:tcW w:w="449" w:type="pct"/>
            <w:vAlign w:val="center"/>
          </w:tcPr>
          <w:p w14:paraId="0F43B3F8">
            <w:pPr>
              <w:spacing w:line="320" w:lineRule="exact"/>
              <w:jc w:val="center"/>
              <w:rPr>
                <w:rFonts w:eastAsiaTheme="minorEastAsia"/>
                <w:szCs w:val="21"/>
              </w:rPr>
            </w:pPr>
            <w:r>
              <w:rPr>
                <w:rFonts w:hint="eastAsia" w:eastAsiaTheme="minorEastAsia"/>
                <w:szCs w:val="21"/>
              </w:rPr>
              <w:t>0.022</w:t>
            </w:r>
          </w:p>
        </w:tc>
        <w:tc>
          <w:tcPr>
            <w:tcW w:w="446" w:type="pct"/>
            <w:vAlign w:val="center"/>
          </w:tcPr>
          <w:p w14:paraId="68B32838">
            <w:pPr>
              <w:spacing w:line="320" w:lineRule="exact"/>
              <w:jc w:val="center"/>
              <w:rPr>
                <w:rFonts w:eastAsiaTheme="minorEastAsia"/>
                <w:szCs w:val="21"/>
              </w:rPr>
            </w:pPr>
            <w:r>
              <w:rPr>
                <w:rFonts w:eastAsiaTheme="minorEastAsia"/>
                <w:szCs w:val="21"/>
              </w:rPr>
              <w:t>38</w:t>
            </w:r>
          </w:p>
        </w:tc>
      </w:tr>
      <w:tr w14:paraId="771E1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8CA3520">
            <w:pPr>
              <w:spacing w:line="320" w:lineRule="exact"/>
              <w:jc w:val="center"/>
              <w:rPr>
                <w:rFonts w:eastAsiaTheme="minorEastAsia"/>
                <w:szCs w:val="21"/>
              </w:rPr>
            </w:pPr>
            <w:r>
              <w:rPr>
                <w:rFonts w:eastAsiaTheme="minorEastAsia"/>
                <w:szCs w:val="21"/>
              </w:rPr>
              <w:t>镍（mg/kg）</w:t>
            </w:r>
          </w:p>
        </w:tc>
        <w:tc>
          <w:tcPr>
            <w:tcW w:w="680" w:type="pct"/>
            <w:vAlign w:val="center"/>
          </w:tcPr>
          <w:p w14:paraId="3B6FEC64">
            <w:pPr>
              <w:widowControl/>
              <w:jc w:val="center"/>
              <w:textAlignment w:val="center"/>
              <w:rPr>
                <w:szCs w:val="21"/>
              </w:rPr>
            </w:pPr>
            <w:r>
              <w:rPr>
                <w:rFonts w:hint="eastAsia"/>
                <w:szCs w:val="21"/>
              </w:rPr>
              <w:t>46</w:t>
            </w:r>
          </w:p>
        </w:tc>
        <w:tc>
          <w:tcPr>
            <w:tcW w:w="447" w:type="pct"/>
            <w:vAlign w:val="center"/>
          </w:tcPr>
          <w:p w14:paraId="465BA5DA">
            <w:pPr>
              <w:spacing w:line="320" w:lineRule="exact"/>
              <w:jc w:val="center"/>
              <w:rPr>
                <w:rFonts w:eastAsiaTheme="minorEastAsia"/>
                <w:szCs w:val="21"/>
              </w:rPr>
            </w:pPr>
            <w:r>
              <w:rPr>
                <w:rFonts w:hint="eastAsia" w:eastAsiaTheme="minorEastAsia"/>
                <w:szCs w:val="21"/>
              </w:rPr>
              <w:t>49</w:t>
            </w:r>
          </w:p>
        </w:tc>
        <w:tc>
          <w:tcPr>
            <w:tcW w:w="447" w:type="pct"/>
            <w:vAlign w:val="center"/>
          </w:tcPr>
          <w:p w14:paraId="41504DD3">
            <w:pPr>
              <w:spacing w:line="320" w:lineRule="exact"/>
              <w:jc w:val="center"/>
              <w:rPr>
                <w:rFonts w:eastAsiaTheme="minorEastAsia"/>
                <w:szCs w:val="21"/>
              </w:rPr>
            </w:pPr>
            <w:r>
              <w:rPr>
                <w:rFonts w:hint="eastAsia" w:eastAsiaTheme="minorEastAsia"/>
                <w:szCs w:val="21"/>
              </w:rPr>
              <w:t>27</w:t>
            </w:r>
          </w:p>
        </w:tc>
        <w:tc>
          <w:tcPr>
            <w:tcW w:w="448" w:type="pct"/>
            <w:vAlign w:val="center"/>
          </w:tcPr>
          <w:p w14:paraId="379463AF">
            <w:pPr>
              <w:spacing w:line="320" w:lineRule="exact"/>
              <w:jc w:val="center"/>
              <w:rPr>
                <w:rFonts w:eastAsiaTheme="minorEastAsia"/>
                <w:szCs w:val="21"/>
              </w:rPr>
            </w:pPr>
            <w:r>
              <w:rPr>
                <w:rFonts w:hint="eastAsia" w:eastAsiaTheme="minorEastAsia"/>
                <w:szCs w:val="21"/>
              </w:rPr>
              <w:t>38</w:t>
            </w:r>
          </w:p>
        </w:tc>
        <w:tc>
          <w:tcPr>
            <w:tcW w:w="448" w:type="pct"/>
            <w:vAlign w:val="center"/>
          </w:tcPr>
          <w:p w14:paraId="6C7315A5">
            <w:pPr>
              <w:spacing w:line="320" w:lineRule="exact"/>
              <w:jc w:val="center"/>
              <w:rPr>
                <w:rFonts w:eastAsiaTheme="minorEastAsia"/>
                <w:szCs w:val="21"/>
              </w:rPr>
            </w:pPr>
            <w:r>
              <w:rPr>
                <w:rFonts w:hint="eastAsia" w:eastAsiaTheme="minorEastAsia"/>
                <w:szCs w:val="21"/>
              </w:rPr>
              <w:t>30</w:t>
            </w:r>
          </w:p>
        </w:tc>
        <w:tc>
          <w:tcPr>
            <w:tcW w:w="448" w:type="pct"/>
            <w:vAlign w:val="center"/>
          </w:tcPr>
          <w:p w14:paraId="00F4A659">
            <w:pPr>
              <w:spacing w:line="320" w:lineRule="exact"/>
              <w:jc w:val="center"/>
              <w:rPr>
                <w:rFonts w:eastAsiaTheme="minorEastAsia"/>
                <w:szCs w:val="21"/>
              </w:rPr>
            </w:pPr>
            <w:r>
              <w:rPr>
                <w:rFonts w:hint="eastAsia" w:eastAsiaTheme="minorEastAsia"/>
                <w:szCs w:val="21"/>
              </w:rPr>
              <w:t>47</w:t>
            </w:r>
          </w:p>
        </w:tc>
        <w:tc>
          <w:tcPr>
            <w:tcW w:w="449" w:type="pct"/>
            <w:vAlign w:val="center"/>
          </w:tcPr>
          <w:p w14:paraId="49376FE9">
            <w:pPr>
              <w:spacing w:line="320" w:lineRule="exact"/>
              <w:jc w:val="center"/>
              <w:rPr>
                <w:rFonts w:eastAsiaTheme="minorEastAsia"/>
                <w:szCs w:val="21"/>
              </w:rPr>
            </w:pPr>
            <w:r>
              <w:rPr>
                <w:rFonts w:hint="eastAsia" w:eastAsiaTheme="minorEastAsia"/>
                <w:szCs w:val="21"/>
              </w:rPr>
              <w:t>44</w:t>
            </w:r>
          </w:p>
        </w:tc>
        <w:tc>
          <w:tcPr>
            <w:tcW w:w="446" w:type="pct"/>
            <w:vAlign w:val="center"/>
          </w:tcPr>
          <w:p w14:paraId="39A28A3E">
            <w:pPr>
              <w:spacing w:line="320" w:lineRule="exact"/>
              <w:jc w:val="center"/>
              <w:rPr>
                <w:rFonts w:eastAsiaTheme="minorEastAsia"/>
                <w:szCs w:val="21"/>
              </w:rPr>
            </w:pPr>
            <w:r>
              <w:rPr>
                <w:rFonts w:eastAsiaTheme="minorEastAsia"/>
                <w:szCs w:val="21"/>
              </w:rPr>
              <w:t>900</w:t>
            </w:r>
          </w:p>
        </w:tc>
      </w:tr>
      <w:tr w14:paraId="093B5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055A6B21">
            <w:pPr>
              <w:spacing w:line="320" w:lineRule="exact"/>
              <w:jc w:val="center"/>
              <w:rPr>
                <w:rFonts w:eastAsiaTheme="minorEastAsia"/>
                <w:szCs w:val="21"/>
              </w:rPr>
            </w:pPr>
            <w:r>
              <w:rPr>
                <w:rFonts w:eastAsiaTheme="minorEastAsia"/>
                <w:szCs w:val="21"/>
              </w:rPr>
              <w:t>硝基苯（mg/kg）</w:t>
            </w:r>
          </w:p>
        </w:tc>
        <w:tc>
          <w:tcPr>
            <w:tcW w:w="680" w:type="pct"/>
            <w:vAlign w:val="center"/>
          </w:tcPr>
          <w:p w14:paraId="1D1CE3FE">
            <w:pPr>
              <w:widowControl/>
              <w:jc w:val="center"/>
              <w:rPr>
                <w:szCs w:val="21"/>
              </w:rPr>
            </w:pPr>
            <w:r>
              <w:rPr>
                <w:rFonts w:hint="eastAsia"/>
                <w:szCs w:val="21"/>
              </w:rPr>
              <w:t>ND</w:t>
            </w:r>
          </w:p>
        </w:tc>
        <w:tc>
          <w:tcPr>
            <w:tcW w:w="447" w:type="pct"/>
            <w:vAlign w:val="center"/>
          </w:tcPr>
          <w:p w14:paraId="3B85A54A">
            <w:pPr>
              <w:spacing w:before="63" w:line="320" w:lineRule="exact"/>
              <w:ind w:left="5"/>
              <w:jc w:val="center"/>
              <w:rPr>
                <w:rFonts w:eastAsiaTheme="minorEastAsia"/>
                <w:szCs w:val="21"/>
              </w:rPr>
            </w:pPr>
            <w:r>
              <w:rPr>
                <w:rFonts w:hint="eastAsia"/>
                <w:szCs w:val="21"/>
              </w:rPr>
              <w:t>ND</w:t>
            </w:r>
          </w:p>
        </w:tc>
        <w:tc>
          <w:tcPr>
            <w:tcW w:w="447" w:type="pct"/>
            <w:vAlign w:val="center"/>
          </w:tcPr>
          <w:p w14:paraId="22C68CB0">
            <w:pPr>
              <w:spacing w:before="63" w:line="320" w:lineRule="exact"/>
              <w:ind w:left="5"/>
              <w:jc w:val="center"/>
              <w:rPr>
                <w:szCs w:val="21"/>
              </w:rPr>
            </w:pPr>
            <w:r>
              <w:rPr>
                <w:rFonts w:hint="eastAsia"/>
                <w:szCs w:val="21"/>
              </w:rPr>
              <w:t>ND</w:t>
            </w:r>
          </w:p>
        </w:tc>
        <w:tc>
          <w:tcPr>
            <w:tcW w:w="448" w:type="pct"/>
            <w:vAlign w:val="center"/>
          </w:tcPr>
          <w:p w14:paraId="1DD2FCBA">
            <w:pPr>
              <w:spacing w:before="63" w:line="320" w:lineRule="exact"/>
              <w:ind w:left="5"/>
              <w:jc w:val="center"/>
              <w:rPr>
                <w:rFonts w:eastAsiaTheme="minorEastAsia"/>
                <w:szCs w:val="21"/>
              </w:rPr>
            </w:pPr>
            <w:r>
              <w:rPr>
                <w:rFonts w:hint="eastAsia"/>
                <w:szCs w:val="21"/>
              </w:rPr>
              <w:t>ND</w:t>
            </w:r>
          </w:p>
        </w:tc>
        <w:tc>
          <w:tcPr>
            <w:tcW w:w="448" w:type="pct"/>
            <w:vAlign w:val="center"/>
          </w:tcPr>
          <w:p w14:paraId="59574DB7">
            <w:pPr>
              <w:spacing w:before="63" w:line="320" w:lineRule="exact"/>
              <w:ind w:left="5"/>
              <w:jc w:val="center"/>
              <w:rPr>
                <w:rFonts w:eastAsiaTheme="minorEastAsia"/>
                <w:szCs w:val="21"/>
              </w:rPr>
            </w:pPr>
            <w:r>
              <w:rPr>
                <w:rFonts w:hint="eastAsia"/>
                <w:szCs w:val="21"/>
              </w:rPr>
              <w:t>ND</w:t>
            </w:r>
          </w:p>
        </w:tc>
        <w:tc>
          <w:tcPr>
            <w:tcW w:w="448" w:type="pct"/>
            <w:vAlign w:val="center"/>
          </w:tcPr>
          <w:p w14:paraId="2E34939C">
            <w:pPr>
              <w:spacing w:before="63" w:line="320" w:lineRule="exact"/>
              <w:ind w:left="5"/>
              <w:jc w:val="center"/>
              <w:rPr>
                <w:rFonts w:eastAsiaTheme="minorEastAsia"/>
                <w:szCs w:val="21"/>
              </w:rPr>
            </w:pPr>
            <w:r>
              <w:rPr>
                <w:rFonts w:hint="eastAsia"/>
                <w:szCs w:val="21"/>
              </w:rPr>
              <w:t>ND</w:t>
            </w:r>
          </w:p>
        </w:tc>
        <w:tc>
          <w:tcPr>
            <w:tcW w:w="449" w:type="pct"/>
            <w:vAlign w:val="center"/>
          </w:tcPr>
          <w:p w14:paraId="305AC060">
            <w:pPr>
              <w:spacing w:before="63" w:line="320" w:lineRule="exact"/>
              <w:ind w:left="5"/>
              <w:jc w:val="center"/>
              <w:rPr>
                <w:rFonts w:eastAsiaTheme="minorEastAsia"/>
                <w:szCs w:val="21"/>
              </w:rPr>
            </w:pPr>
            <w:r>
              <w:rPr>
                <w:rFonts w:hint="eastAsia"/>
                <w:szCs w:val="21"/>
              </w:rPr>
              <w:t>ND</w:t>
            </w:r>
          </w:p>
        </w:tc>
        <w:tc>
          <w:tcPr>
            <w:tcW w:w="446" w:type="pct"/>
            <w:vAlign w:val="center"/>
          </w:tcPr>
          <w:p w14:paraId="1E93C9D6">
            <w:pPr>
              <w:spacing w:before="63" w:line="320" w:lineRule="exact"/>
              <w:ind w:left="5"/>
              <w:jc w:val="center"/>
              <w:rPr>
                <w:rFonts w:eastAsiaTheme="minorEastAsia"/>
                <w:szCs w:val="21"/>
              </w:rPr>
            </w:pPr>
            <w:r>
              <w:rPr>
                <w:rFonts w:eastAsiaTheme="minorEastAsia"/>
                <w:szCs w:val="21"/>
              </w:rPr>
              <w:t>76</w:t>
            </w:r>
          </w:p>
        </w:tc>
      </w:tr>
      <w:tr w14:paraId="39118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494CA15">
            <w:pPr>
              <w:spacing w:line="320" w:lineRule="exact"/>
              <w:jc w:val="center"/>
              <w:rPr>
                <w:rFonts w:eastAsiaTheme="minorEastAsia"/>
                <w:szCs w:val="21"/>
              </w:rPr>
            </w:pPr>
            <w:r>
              <w:rPr>
                <w:rFonts w:eastAsiaTheme="minorEastAsia"/>
                <w:szCs w:val="21"/>
              </w:rPr>
              <w:t>苯胺（mg/kg）</w:t>
            </w:r>
          </w:p>
        </w:tc>
        <w:tc>
          <w:tcPr>
            <w:tcW w:w="680" w:type="pct"/>
            <w:vAlign w:val="center"/>
          </w:tcPr>
          <w:p w14:paraId="542F73AB">
            <w:pPr>
              <w:widowControl/>
              <w:jc w:val="center"/>
              <w:rPr>
                <w:szCs w:val="21"/>
              </w:rPr>
            </w:pPr>
            <w:r>
              <w:rPr>
                <w:rFonts w:hint="eastAsia"/>
                <w:szCs w:val="21"/>
              </w:rPr>
              <w:t>ND</w:t>
            </w:r>
          </w:p>
        </w:tc>
        <w:tc>
          <w:tcPr>
            <w:tcW w:w="447" w:type="pct"/>
            <w:vAlign w:val="center"/>
          </w:tcPr>
          <w:p w14:paraId="0C23F13A">
            <w:pPr>
              <w:spacing w:before="61" w:line="320" w:lineRule="exact"/>
              <w:jc w:val="center"/>
              <w:rPr>
                <w:rFonts w:eastAsiaTheme="minorEastAsia"/>
                <w:szCs w:val="21"/>
              </w:rPr>
            </w:pPr>
            <w:r>
              <w:rPr>
                <w:rFonts w:hint="eastAsia"/>
                <w:szCs w:val="21"/>
              </w:rPr>
              <w:t>ND</w:t>
            </w:r>
          </w:p>
        </w:tc>
        <w:tc>
          <w:tcPr>
            <w:tcW w:w="447" w:type="pct"/>
            <w:vAlign w:val="center"/>
          </w:tcPr>
          <w:p w14:paraId="1B2A406A">
            <w:pPr>
              <w:spacing w:before="61" w:line="320" w:lineRule="exact"/>
              <w:jc w:val="center"/>
              <w:rPr>
                <w:szCs w:val="21"/>
              </w:rPr>
            </w:pPr>
            <w:r>
              <w:rPr>
                <w:rFonts w:hint="eastAsia"/>
                <w:szCs w:val="21"/>
              </w:rPr>
              <w:t>ND</w:t>
            </w:r>
          </w:p>
        </w:tc>
        <w:tc>
          <w:tcPr>
            <w:tcW w:w="448" w:type="pct"/>
            <w:vAlign w:val="center"/>
          </w:tcPr>
          <w:p w14:paraId="640CAB09">
            <w:pPr>
              <w:spacing w:before="61" w:line="320" w:lineRule="exact"/>
              <w:jc w:val="center"/>
              <w:rPr>
                <w:rFonts w:eastAsiaTheme="minorEastAsia"/>
                <w:szCs w:val="21"/>
              </w:rPr>
            </w:pPr>
            <w:r>
              <w:rPr>
                <w:rFonts w:hint="eastAsia"/>
                <w:szCs w:val="21"/>
              </w:rPr>
              <w:t>ND</w:t>
            </w:r>
          </w:p>
        </w:tc>
        <w:tc>
          <w:tcPr>
            <w:tcW w:w="448" w:type="pct"/>
            <w:vAlign w:val="center"/>
          </w:tcPr>
          <w:p w14:paraId="70BAFF96">
            <w:pPr>
              <w:spacing w:before="61" w:line="320" w:lineRule="exact"/>
              <w:jc w:val="center"/>
              <w:rPr>
                <w:rFonts w:eastAsiaTheme="minorEastAsia"/>
                <w:szCs w:val="21"/>
              </w:rPr>
            </w:pPr>
            <w:r>
              <w:rPr>
                <w:rFonts w:hint="eastAsia"/>
                <w:szCs w:val="21"/>
              </w:rPr>
              <w:t>ND</w:t>
            </w:r>
          </w:p>
        </w:tc>
        <w:tc>
          <w:tcPr>
            <w:tcW w:w="448" w:type="pct"/>
            <w:vAlign w:val="center"/>
          </w:tcPr>
          <w:p w14:paraId="4948B23A">
            <w:pPr>
              <w:spacing w:before="61" w:line="320" w:lineRule="exact"/>
              <w:jc w:val="center"/>
              <w:rPr>
                <w:rFonts w:eastAsiaTheme="minorEastAsia"/>
                <w:szCs w:val="21"/>
              </w:rPr>
            </w:pPr>
            <w:r>
              <w:rPr>
                <w:rFonts w:hint="eastAsia"/>
                <w:szCs w:val="21"/>
              </w:rPr>
              <w:t>ND</w:t>
            </w:r>
          </w:p>
        </w:tc>
        <w:tc>
          <w:tcPr>
            <w:tcW w:w="449" w:type="pct"/>
            <w:vAlign w:val="center"/>
          </w:tcPr>
          <w:p w14:paraId="03108909">
            <w:pPr>
              <w:spacing w:before="61" w:line="320" w:lineRule="exact"/>
              <w:jc w:val="center"/>
              <w:rPr>
                <w:rFonts w:eastAsiaTheme="minorEastAsia"/>
                <w:szCs w:val="21"/>
              </w:rPr>
            </w:pPr>
            <w:r>
              <w:rPr>
                <w:rFonts w:hint="eastAsia"/>
                <w:szCs w:val="21"/>
              </w:rPr>
              <w:t>ND</w:t>
            </w:r>
          </w:p>
        </w:tc>
        <w:tc>
          <w:tcPr>
            <w:tcW w:w="446" w:type="pct"/>
            <w:vAlign w:val="center"/>
          </w:tcPr>
          <w:p w14:paraId="7BBC0547">
            <w:pPr>
              <w:spacing w:before="61" w:line="320" w:lineRule="exact"/>
              <w:jc w:val="center"/>
              <w:rPr>
                <w:rFonts w:eastAsiaTheme="minorEastAsia"/>
                <w:szCs w:val="21"/>
              </w:rPr>
            </w:pPr>
            <w:r>
              <w:rPr>
                <w:rFonts w:eastAsiaTheme="minorEastAsia"/>
                <w:szCs w:val="21"/>
              </w:rPr>
              <w:t>260</w:t>
            </w:r>
          </w:p>
        </w:tc>
      </w:tr>
      <w:tr w14:paraId="2CD46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4AA5FDB0">
            <w:pPr>
              <w:spacing w:line="320" w:lineRule="exact"/>
              <w:jc w:val="center"/>
              <w:rPr>
                <w:rFonts w:eastAsiaTheme="minorEastAsia"/>
                <w:szCs w:val="21"/>
              </w:rPr>
            </w:pPr>
            <w:r>
              <w:rPr>
                <w:rFonts w:eastAsiaTheme="minorEastAsia"/>
                <w:szCs w:val="21"/>
              </w:rPr>
              <w:t>苯并[a]蒽（mg/kg）</w:t>
            </w:r>
          </w:p>
        </w:tc>
        <w:tc>
          <w:tcPr>
            <w:tcW w:w="680" w:type="pct"/>
            <w:vAlign w:val="center"/>
          </w:tcPr>
          <w:p w14:paraId="087729D0">
            <w:pPr>
              <w:widowControl/>
              <w:jc w:val="center"/>
              <w:rPr>
                <w:szCs w:val="21"/>
              </w:rPr>
            </w:pPr>
            <w:r>
              <w:rPr>
                <w:rFonts w:hint="eastAsia"/>
                <w:szCs w:val="21"/>
              </w:rPr>
              <w:t>ND</w:t>
            </w:r>
          </w:p>
        </w:tc>
        <w:tc>
          <w:tcPr>
            <w:tcW w:w="447" w:type="pct"/>
            <w:vAlign w:val="center"/>
          </w:tcPr>
          <w:p w14:paraId="3E1C3363">
            <w:pPr>
              <w:spacing w:before="61" w:line="320" w:lineRule="exact"/>
              <w:jc w:val="center"/>
              <w:rPr>
                <w:rFonts w:eastAsiaTheme="minorEastAsia"/>
                <w:szCs w:val="21"/>
              </w:rPr>
            </w:pPr>
            <w:r>
              <w:rPr>
                <w:rFonts w:hint="eastAsia"/>
                <w:szCs w:val="21"/>
              </w:rPr>
              <w:t>ND</w:t>
            </w:r>
          </w:p>
        </w:tc>
        <w:tc>
          <w:tcPr>
            <w:tcW w:w="447" w:type="pct"/>
            <w:vAlign w:val="center"/>
          </w:tcPr>
          <w:p w14:paraId="0A137B67">
            <w:pPr>
              <w:spacing w:before="61" w:line="320" w:lineRule="exact"/>
              <w:jc w:val="center"/>
              <w:rPr>
                <w:szCs w:val="21"/>
              </w:rPr>
            </w:pPr>
            <w:r>
              <w:rPr>
                <w:rFonts w:hint="eastAsia"/>
                <w:szCs w:val="21"/>
              </w:rPr>
              <w:t>ND</w:t>
            </w:r>
          </w:p>
        </w:tc>
        <w:tc>
          <w:tcPr>
            <w:tcW w:w="448" w:type="pct"/>
            <w:vAlign w:val="center"/>
          </w:tcPr>
          <w:p w14:paraId="4B8DBE9E">
            <w:pPr>
              <w:spacing w:before="61" w:line="320" w:lineRule="exact"/>
              <w:jc w:val="center"/>
              <w:rPr>
                <w:rFonts w:eastAsiaTheme="minorEastAsia"/>
                <w:szCs w:val="21"/>
              </w:rPr>
            </w:pPr>
            <w:r>
              <w:rPr>
                <w:rFonts w:hint="eastAsia"/>
                <w:szCs w:val="21"/>
              </w:rPr>
              <w:t>ND</w:t>
            </w:r>
          </w:p>
        </w:tc>
        <w:tc>
          <w:tcPr>
            <w:tcW w:w="448" w:type="pct"/>
            <w:vAlign w:val="center"/>
          </w:tcPr>
          <w:p w14:paraId="0760A99E">
            <w:pPr>
              <w:spacing w:before="61" w:line="320" w:lineRule="exact"/>
              <w:jc w:val="center"/>
              <w:rPr>
                <w:rFonts w:eastAsiaTheme="minorEastAsia"/>
                <w:szCs w:val="21"/>
              </w:rPr>
            </w:pPr>
            <w:r>
              <w:rPr>
                <w:rFonts w:hint="eastAsia"/>
                <w:szCs w:val="21"/>
              </w:rPr>
              <w:t>ND</w:t>
            </w:r>
          </w:p>
        </w:tc>
        <w:tc>
          <w:tcPr>
            <w:tcW w:w="448" w:type="pct"/>
            <w:vAlign w:val="center"/>
          </w:tcPr>
          <w:p w14:paraId="495ADBB1">
            <w:pPr>
              <w:spacing w:before="61" w:line="320" w:lineRule="exact"/>
              <w:jc w:val="center"/>
              <w:rPr>
                <w:rFonts w:eastAsiaTheme="minorEastAsia"/>
                <w:szCs w:val="21"/>
              </w:rPr>
            </w:pPr>
            <w:r>
              <w:rPr>
                <w:rFonts w:hint="eastAsia"/>
                <w:szCs w:val="21"/>
              </w:rPr>
              <w:t>ND</w:t>
            </w:r>
          </w:p>
        </w:tc>
        <w:tc>
          <w:tcPr>
            <w:tcW w:w="449" w:type="pct"/>
            <w:vAlign w:val="center"/>
          </w:tcPr>
          <w:p w14:paraId="62F48CA4">
            <w:pPr>
              <w:spacing w:before="61" w:line="320" w:lineRule="exact"/>
              <w:jc w:val="center"/>
              <w:rPr>
                <w:rFonts w:eastAsiaTheme="minorEastAsia"/>
                <w:szCs w:val="21"/>
              </w:rPr>
            </w:pPr>
            <w:r>
              <w:rPr>
                <w:rFonts w:hint="eastAsia"/>
                <w:szCs w:val="21"/>
              </w:rPr>
              <w:t>ND</w:t>
            </w:r>
          </w:p>
        </w:tc>
        <w:tc>
          <w:tcPr>
            <w:tcW w:w="446" w:type="pct"/>
            <w:vAlign w:val="center"/>
          </w:tcPr>
          <w:p w14:paraId="511B1A18">
            <w:pPr>
              <w:spacing w:before="61" w:line="320" w:lineRule="exact"/>
              <w:jc w:val="center"/>
              <w:rPr>
                <w:rFonts w:eastAsiaTheme="minorEastAsia"/>
                <w:szCs w:val="21"/>
              </w:rPr>
            </w:pPr>
            <w:r>
              <w:rPr>
                <w:rFonts w:eastAsiaTheme="minorEastAsia"/>
                <w:szCs w:val="21"/>
              </w:rPr>
              <w:t>15</w:t>
            </w:r>
          </w:p>
        </w:tc>
      </w:tr>
      <w:tr w14:paraId="7FFBA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E05195A">
            <w:pPr>
              <w:spacing w:line="320" w:lineRule="exact"/>
              <w:jc w:val="center"/>
              <w:rPr>
                <w:rFonts w:eastAsiaTheme="minorEastAsia"/>
                <w:szCs w:val="21"/>
              </w:rPr>
            </w:pPr>
            <w:r>
              <w:rPr>
                <w:rFonts w:eastAsiaTheme="minorEastAsia"/>
                <w:szCs w:val="21"/>
              </w:rPr>
              <w:t>苯并[a]芘（mg/kg）</w:t>
            </w:r>
          </w:p>
        </w:tc>
        <w:tc>
          <w:tcPr>
            <w:tcW w:w="680" w:type="pct"/>
            <w:vAlign w:val="center"/>
          </w:tcPr>
          <w:p w14:paraId="2DFC3D60">
            <w:pPr>
              <w:widowControl/>
              <w:jc w:val="center"/>
              <w:rPr>
                <w:szCs w:val="21"/>
              </w:rPr>
            </w:pPr>
            <w:r>
              <w:rPr>
                <w:rFonts w:hint="eastAsia"/>
                <w:szCs w:val="21"/>
              </w:rPr>
              <w:t>ND</w:t>
            </w:r>
          </w:p>
        </w:tc>
        <w:tc>
          <w:tcPr>
            <w:tcW w:w="447" w:type="pct"/>
            <w:vAlign w:val="center"/>
          </w:tcPr>
          <w:p w14:paraId="3571D5EE">
            <w:pPr>
              <w:spacing w:before="63" w:line="320" w:lineRule="exact"/>
              <w:jc w:val="center"/>
              <w:rPr>
                <w:rFonts w:eastAsiaTheme="minorEastAsia"/>
                <w:szCs w:val="21"/>
              </w:rPr>
            </w:pPr>
            <w:r>
              <w:rPr>
                <w:rFonts w:hint="eastAsia"/>
                <w:szCs w:val="21"/>
              </w:rPr>
              <w:t>ND</w:t>
            </w:r>
          </w:p>
        </w:tc>
        <w:tc>
          <w:tcPr>
            <w:tcW w:w="447" w:type="pct"/>
            <w:vAlign w:val="center"/>
          </w:tcPr>
          <w:p w14:paraId="33856CD8">
            <w:pPr>
              <w:spacing w:before="63" w:line="320" w:lineRule="exact"/>
              <w:jc w:val="center"/>
              <w:rPr>
                <w:szCs w:val="21"/>
              </w:rPr>
            </w:pPr>
            <w:r>
              <w:rPr>
                <w:rFonts w:hint="eastAsia"/>
                <w:szCs w:val="21"/>
              </w:rPr>
              <w:t>ND</w:t>
            </w:r>
          </w:p>
        </w:tc>
        <w:tc>
          <w:tcPr>
            <w:tcW w:w="448" w:type="pct"/>
            <w:vAlign w:val="center"/>
          </w:tcPr>
          <w:p w14:paraId="0854E738">
            <w:pPr>
              <w:spacing w:before="63" w:line="320" w:lineRule="exact"/>
              <w:jc w:val="center"/>
              <w:rPr>
                <w:rFonts w:eastAsiaTheme="minorEastAsia"/>
                <w:szCs w:val="21"/>
              </w:rPr>
            </w:pPr>
            <w:r>
              <w:rPr>
                <w:rFonts w:hint="eastAsia"/>
                <w:szCs w:val="21"/>
              </w:rPr>
              <w:t>ND</w:t>
            </w:r>
          </w:p>
        </w:tc>
        <w:tc>
          <w:tcPr>
            <w:tcW w:w="448" w:type="pct"/>
            <w:vAlign w:val="center"/>
          </w:tcPr>
          <w:p w14:paraId="48096BAE">
            <w:pPr>
              <w:spacing w:before="63" w:line="320" w:lineRule="exact"/>
              <w:jc w:val="center"/>
              <w:rPr>
                <w:rFonts w:eastAsiaTheme="minorEastAsia"/>
                <w:szCs w:val="21"/>
              </w:rPr>
            </w:pPr>
            <w:r>
              <w:rPr>
                <w:rFonts w:hint="eastAsia"/>
                <w:szCs w:val="21"/>
              </w:rPr>
              <w:t>ND</w:t>
            </w:r>
          </w:p>
        </w:tc>
        <w:tc>
          <w:tcPr>
            <w:tcW w:w="448" w:type="pct"/>
            <w:vAlign w:val="center"/>
          </w:tcPr>
          <w:p w14:paraId="0022FE70">
            <w:pPr>
              <w:spacing w:before="63" w:line="320" w:lineRule="exact"/>
              <w:jc w:val="center"/>
              <w:rPr>
                <w:rFonts w:eastAsiaTheme="minorEastAsia"/>
                <w:szCs w:val="21"/>
              </w:rPr>
            </w:pPr>
            <w:r>
              <w:rPr>
                <w:rFonts w:hint="eastAsia"/>
                <w:szCs w:val="21"/>
              </w:rPr>
              <w:t>ND</w:t>
            </w:r>
          </w:p>
        </w:tc>
        <w:tc>
          <w:tcPr>
            <w:tcW w:w="449" w:type="pct"/>
            <w:vAlign w:val="center"/>
          </w:tcPr>
          <w:p w14:paraId="1C3F99C8">
            <w:pPr>
              <w:spacing w:before="63" w:line="320" w:lineRule="exact"/>
              <w:jc w:val="center"/>
              <w:rPr>
                <w:rFonts w:eastAsiaTheme="minorEastAsia"/>
                <w:szCs w:val="21"/>
              </w:rPr>
            </w:pPr>
            <w:r>
              <w:rPr>
                <w:rFonts w:hint="eastAsia"/>
                <w:szCs w:val="21"/>
              </w:rPr>
              <w:t>ND</w:t>
            </w:r>
          </w:p>
        </w:tc>
        <w:tc>
          <w:tcPr>
            <w:tcW w:w="446" w:type="pct"/>
            <w:vAlign w:val="center"/>
          </w:tcPr>
          <w:p w14:paraId="1FDC430B">
            <w:pPr>
              <w:spacing w:before="63" w:line="320" w:lineRule="exact"/>
              <w:jc w:val="center"/>
              <w:rPr>
                <w:rFonts w:eastAsiaTheme="minorEastAsia"/>
                <w:szCs w:val="21"/>
              </w:rPr>
            </w:pPr>
            <w:r>
              <w:rPr>
                <w:rFonts w:eastAsiaTheme="minorEastAsia"/>
                <w:szCs w:val="21"/>
              </w:rPr>
              <w:t>1.5</w:t>
            </w:r>
          </w:p>
        </w:tc>
      </w:tr>
      <w:tr w14:paraId="45415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39FB905">
            <w:pPr>
              <w:spacing w:line="320" w:lineRule="exact"/>
              <w:jc w:val="center"/>
              <w:rPr>
                <w:rFonts w:eastAsiaTheme="minorEastAsia"/>
                <w:szCs w:val="21"/>
              </w:rPr>
            </w:pPr>
            <w:r>
              <w:rPr>
                <w:rFonts w:eastAsiaTheme="minorEastAsia"/>
                <w:szCs w:val="21"/>
              </w:rPr>
              <w:t>苯并[b]荧蒽（mg/kg）</w:t>
            </w:r>
          </w:p>
        </w:tc>
        <w:tc>
          <w:tcPr>
            <w:tcW w:w="680" w:type="pct"/>
            <w:vAlign w:val="center"/>
          </w:tcPr>
          <w:p w14:paraId="45F6E211">
            <w:pPr>
              <w:widowControl/>
              <w:jc w:val="center"/>
              <w:rPr>
                <w:szCs w:val="21"/>
              </w:rPr>
            </w:pPr>
            <w:r>
              <w:rPr>
                <w:rFonts w:hint="eastAsia"/>
                <w:szCs w:val="21"/>
              </w:rPr>
              <w:t>ND</w:t>
            </w:r>
          </w:p>
        </w:tc>
        <w:tc>
          <w:tcPr>
            <w:tcW w:w="447" w:type="pct"/>
            <w:vAlign w:val="center"/>
          </w:tcPr>
          <w:p w14:paraId="3AFA3032">
            <w:pPr>
              <w:spacing w:before="61" w:line="320" w:lineRule="exact"/>
              <w:jc w:val="center"/>
              <w:rPr>
                <w:rFonts w:eastAsiaTheme="minorEastAsia"/>
                <w:szCs w:val="21"/>
              </w:rPr>
            </w:pPr>
            <w:r>
              <w:rPr>
                <w:rFonts w:hint="eastAsia"/>
                <w:szCs w:val="21"/>
              </w:rPr>
              <w:t>ND</w:t>
            </w:r>
          </w:p>
        </w:tc>
        <w:tc>
          <w:tcPr>
            <w:tcW w:w="447" w:type="pct"/>
            <w:vAlign w:val="center"/>
          </w:tcPr>
          <w:p w14:paraId="2F508080">
            <w:pPr>
              <w:spacing w:before="61" w:line="320" w:lineRule="exact"/>
              <w:jc w:val="center"/>
              <w:rPr>
                <w:szCs w:val="21"/>
              </w:rPr>
            </w:pPr>
            <w:r>
              <w:rPr>
                <w:rFonts w:hint="eastAsia"/>
                <w:szCs w:val="21"/>
              </w:rPr>
              <w:t>ND</w:t>
            </w:r>
          </w:p>
        </w:tc>
        <w:tc>
          <w:tcPr>
            <w:tcW w:w="448" w:type="pct"/>
            <w:vAlign w:val="center"/>
          </w:tcPr>
          <w:p w14:paraId="43334DCB">
            <w:pPr>
              <w:spacing w:before="61" w:line="320" w:lineRule="exact"/>
              <w:jc w:val="center"/>
              <w:rPr>
                <w:rFonts w:eastAsiaTheme="minorEastAsia"/>
                <w:szCs w:val="21"/>
              </w:rPr>
            </w:pPr>
            <w:r>
              <w:rPr>
                <w:rFonts w:hint="eastAsia"/>
                <w:szCs w:val="21"/>
              </w:rPr>
              <w:t>ND</w:t>
            </w:r>
          </w:p>
        </w:tc>
        <w:tc>
          <w:tcPr>
            <w:tcW w:w="448" w:type="pct"/>
            <w:vAlign w:val="center"/>
          </w:tcPr>
          <w:p w14:paraId="0C0DA00A">
            <w:pPr>
              <w:spacing w:before="61" w:line="320" w:lineRule="exact"/>
              <w:jc w:val="center"/>
              <w:rPr>
                <w:rFonts w:eastAsiaTheme="minorEastAsia"/>
                <w:szCs w:val="21"/>
              </w:rPr>
            </w:pPr>
            <w:r>
              <w:rPr>
                <w:rFonts w:hint="eastAsia"/>
                <w:szCs w:val="21"/>
              </w:rPr>
              <w:t>ND</w:t>
            </w:r>
          </w:p>
        </w:tc>
        <w:tc>
          <w:tcPr>
            <w:tcW w:w="448" w:type="pct"/>
            <w:vAlign w:val="center"/>
          </w:tcPr>
          <w:p w14:paraId="0E7A1906">
            <w:pPr>
              <w:spacing w:before="61" w:line="320" w:lineRule="exact"/>
              <w:jc w:val="center"/>
              <w:rPr>
                <w:rFonts w:eastAsiaTheme="minorEastAsia"/>
                <w:szCs w:val="21"/>
              </w:rPr>
            </w:pPr>
            <w:r>
              <w:rPr>
                <w:rFonts w:hint="eastAsia"/>
                <w:szCs w:val="21"/>
              </w:rPr>
              <w:t>ND</w:t>
            </w:r>
          </w:p>
        </w:tc>
        <w:tc>
          <w:tcPr>
            <w:tcW w:w="449" w:type="pct"/>
            <w:vAlign w:val="center"/>
          </w:tcPr>
          <w:p w14:paraId="3FAABC59">
            <w:pPr>
              <w:spacing w:before="61" w:line="320" w:lineRule="exact"/>
              <w:jc w:val="center"/>
              <w:rPr>
                <w:rFonts w:eastAsiaTheme="minorEastAsia"/>
                <w:szCs w:val="21"/>
              </w:rPr>
            </w:pPr>
            <w:r>
              <w:rPr>
                <w:rFonts w:hint="eastAsia"/>
                <w:szCs w:val="21"/>
              </w:rPr>
              <w:t>ND</w:t>
            </w:r>
          </w:p>
        </w:tc>
        <w:tc>
          <w:tcPr>
            <w:tcW w:w="446" w:type="pct"/>
            <w:vAlign w:val="center"/>
          </w:tcPr>
          <w:p w14:paraId="0DC497E1">
            <w:pPr>
              <w:spacing w:before="61" w:line="320" w:lineRule="exact"/>
              <w:jc w:val="center"/>
              <w:rPr>
                <w:rFonts w:eastAsiaTheme="minorEastAsia"/>
                <w:szCs w:val="21"/>
              </w:rPr>
            </w:pPr>
            <w:r>
              <w:rPr>
                <w:rFonts w:eastAsiaTheme="minorEastAsia"/>
                <w:szCs w:val="21"/>
              </w:rPr>
              <w:t>15</w:t>
            </w:r>
          </w:p>
        </w:tc>
      </w:tr>
      <w:tr w14:paraId="6A97B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6BCCDA08">
            <w:pPr>
              <w:spacing w:line="320" w:lineRule="exact"/>
              <w:jc w:val="center"/>
              <w:rPr>
                <w:rFonts w:eastAsiaTheme="minorEastAsia"/>
                <w:szCs w:val="21"/>
              </w:rPr>
            </w:pPr>
            <w:r>
              <w:rPr>
                <w:rFonts w:eastAsiaTheme="minorEastAsia"/>
                <w:szCs w:val="21"/>
              </w:rPr>
              <w:t>苯并[k]荧蒽（mg/kg）</w:t>
            </w:r>
          </w:p>
        </w:tc>
        <w:tc>
          <w:tcPr>
            <w:tcW w:w="680" w:type="pct"/>
            <w:vAlign w:val="center"/>
          </w:tcPr>
          <w:p w14:paraId="7EB893C7">
            <w:pPr>
              <w:widowControl/>
              <w:jc w:val="center"/>
              <w:rPr>
                <w:szCs w:val="21"/>
              </w:rPr>
            </w:pPr>
            <w:r>
              <w:rPr>
                <w:rFonts w:hint="eastAsia"/>
                <w:szCs w:val="21"/>
              </w:rPr>
              <w:t>ND</w:t>
            </w:r>
          </w:p>
        </w:tc>
        <w:tc>
          <w:tcPr>
            <w:tcW w:w="447" w:type="pct"/>
            <w:vAlign w:val="center"/>
          </w:tcPr>
          <w:p w14:paraId="73DCD3A4">
            <w:pPr>
              <w:spacing w:before="61" w:line="320" w:lineRule="exact"/>
              <w:jc w:val="center"/>
              <w:rPr>
                <w:rFonts w:eastAsiaTheme="minorEastAsia"/>
                <w:szCs w:val="21"/>
              </w:rPr>
            </w:pPr>
            <w:r>
              <w:rPr>
                <w:rFonts w:hint="eastAsia"/>
                <w:szCs w:val="21"/>
              </w:rPr>
              <w:t>ND</w:t>
            </w:r>
          </w:p>
        </w:tc>
        <w:tc>
          <w:tcPr>
            <w:tcW w:w="447" w:type="pct"/>
            <w:vAlign w:val="center"/>
          </w:tcPr>
          <w:p w14:paraId="56CA4CB6">
            <w:pPr>
              <w:spacing w:before="61" w:line="320" w:lineRule="exact"/>
              <w:jc w:val="center"/>
              <w:rPr>
                <w:szCs w:val="21"/>
              </w:rPr>
            </w:pPr>
            <w:r>
              <w:rPr>
                <w:rFonts w:hint="eastAsia"/>
                <w:szCs w:val="21"/>
              </w:rPr>
              <w:t>ND</w:t>
            </w:r>
          </w:p>
        </w:tc>
        <w:tc>
          <w:tcPr>
            <w:tcW w:w="448" w:type="pct"/>
            <w:vAlign w:val="center"/>
          </w:tcPr>
          <w:p w14:paraId="0FA34A26">
            <w:pPr>
              <w:spacing w:before="61" w:line="320" w:lineRule="exact"/>
              <w:jc w:val="center"/>
              <w:rPr>
                <w:rFonts w:eastAsiaTheme="minorEastAsia"/>
                <w:szCs w:val="21"/>
              </w:rPr>
            </w:pPr>
            <w:r>
              <w:rPr>
                <w:rFonts w:hint="eastAsia"/>
                <w:szCs w:val="21"/>
              </w:rPr>
              <w:t>ND</w:t>
            </w:r>
          </w:p>
        </w:tc>
        <w:tc>
          <w:tcPr>
            <w:tcW w:w="448" w:type="pct"/>
            <w:vAlign w:val="center"/>
          </w:tcPr>
          <w:p w14:paraId="59C249E2">
            <w:pPr>
              <w:spacing w:before="61" w:line="320" w:lineRule="exact"/>
              <w:jc w:val="center"/>
              <w:rPr>
                <w:rFonts w:eastAsiaTheme="minorEastAsia"/>
                <w:szCs w:val="21"/>
              </w:rPr>
            </w:pPr>
            <w:r>
              <w:rPr>
                <w:rFonts w:hint="eastAsia"/>
                <w:szCs w:val="21"/>
              </w:rPr>
              <w:t>ND</w:t>
            </w:r>
          </w:p>
        </w:tc>
        <w:tc>
          <w:tcPr>
            <w:tcW w:w="448" w:type="pct"/>
            <w:vAlign w:val="center"/>
          </w:tcPr>
          <w:p w14:paraId="4614C064">
            <w:pPr>
              <w:spacing w:before="61" w:line="320" w:lineRule="exact"/>
              <w:jc w:val="center"/>
              <w:rPr>
                <w:rFonts w:eastAsiaTheme="minorEastAsia"/>
                <w:szCs w:val="21"/>
              </w:rPr>
            </w:pPr>
            <w:r>
              <w:rPr>
                <w:rFonts w:hint="eastAsia"/>
                <w:szCs w:val="21"/>
              </w:rPr>
              <w:t>ND</w:t>
            </w:r>
          </w:p>
        </w:tc>
        <w:tc>
          <w:tcPr>
            <w:tcW w:w="449" w:type="pct"/>
            <w:vAlign w:val="center"/>
          </w:tcPr>
          <w:p w14:paraId="30CD47BF">
            <w:pPr>
              <w:spacing w:before="61" w:line="320" w:lineRule="exact"/>
              <w:jc w:val="center"/>
              <w:rPr>
                <w:rFonts w:eastAsiaTheme="minorEastAsia"/>
                <w:szCs w:val="21"/>
              </w:rPr>
            </w:pPr>
            <w:r>
              <w:rPr>
                <w:rFonts w:hint="eastAsia"/>
                <w:szCs w:val="21"/>
              </w:rPr>
              <w:t>ND</w:t>
            </w:r>
          </w:p>
        </w:tc>
        <w:tc>
          <w:tcPr>
            <w:tcW w:w="446" w:type="pct"/>
            <w:vAlign w:val="center"/>
          </w:tcPr>
          <w:p w14:paraId="07324C10">
            <w:pPr>
              <w:spacing w:before="61" w:line="320" w:lineRule="exact"/>
              <w:jc w:val="center"/>
              <w:rPr>
                <w:rFonts w:eastAsiaTheme="minorEastAsia"/>
                <w:szCs w:val="21"/>
              </w:rPr>
            </w:pPr>
            <w:r>
              <w:rPr>
                <w:rFonts w:eastAsiaTheme="minorEastAsia"/>
                <w:szCs w:val="21"/>
              </w:rPr>
              <w:t>151</w:t>
            </w:r>
          </w:p>
        </w:tc>
      </w:tr>
      <w:tr w14:paraId="2EBE9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B1E85DC">
            <w:pPr>
              <w:spacing w:line="320" w:lineRule="exact"/>
              <w:jc w:val="center"/>
              <w:rPr>
                <w:rFonts w:eastAsiaTheme="minorEastAsia"/>
                <w:szCs w:val="21"/>
              </w:rPr>
            </w:pPr>
            <w:r>
              <w:rPr>
                <w:rFonts w:eastAsiaTheme="minorEastAsia"/>
                <w:szCs w:val="21"/>
              </w:rPr>
              <w:t>䓛（mg/kg）</w:t>
            </w:r>
          </w:p>
        </w:tc>
        <w:tc>
          <w:tcPr>
            <w:tcW w:w="680" w:type="pct"/>
            <w:vAlign w:val="center"/>
          </w:tcPr>
          <w:p w14:paraId="50340ABA">
            <w:pPr>
              <w:widowControl/>
              <w:jc w:val="center"/>
              <w:rPr>
                <w:szCs w:val="21"/>
              </w:rPr>
            </w:pPr>
            <w:r>
              <w:rPr>
                <w:rFonts w:hint="eastAsia"/>
                <w:szCs w:val="21"/>
              </w:rPr>
              <w:t>ND</w:t>
            </w:r>
          </w:p>
        </w:tc>
        <w:tc>
          <w:tcPr>
            <w:tcW w:w="447" w:type="pct"/>
            <w:vAlign w:val="center"/>
          </w:tcPr>
          <w:p w14:paraId="358D6F15">
            <w:pPr>
              <w:spacing w:before="61" w:line="320" w:lineRule="exact"/>
              <w:jc w:val="center"/>
              <w:rPr>
                <w:rFonts w:eastAsiaTheme="minorEastAsia"/>
                <w:szCs w:val="21"/>
              </w:rPr>
            </w:pPr>
            <w:r>
              <w:rPr>
                <w:rFonts w:hint="eastAsia"/>
                <w:szCs w:val="21"/>
              </w:rPr>
              <w:t>ND</w:t>
            </w:r>
          </w:p>
        </w:tc>
        <w:tc>
          <w:tcPr>
            <w:tcW w:w="447" w:type="pct"/>
            <w:vAlign w:val="center"/>
          </w:tcPr>
          <w:p w14:paraId="2E3B6E91">
            <w:pPr>
              <w:spacing w:before="61" w:line="320" w:lineRule="exact"/>
              <w:jc w:val="center"/>
              <w:rPr>
                <w:szCs w:val="21"/>
              </w:rPr>
            </w:pPr>
            <w:r>
              <w:rPr>
                <w:rFonts w:hint="eastAsia"/>
                <w:szCs w:val="21"/>
              </w:rPr>
              <w:t>ND</w:t>
            </w:r>
          </w:p>
        </w:tc>
        <w:tc>
          <w:tcPr>
            <w:tcW w:w="448" w:type="pct"/>
            <w:vAlign w:val="center"/>
          </w:tcPr>
          <w:p w14:paraId="6FD343ED">
            <w:pPr>
              <w:spacing w:before="61" w:line="320" w:lineRule="exact"/>
              <w:jc w:val="center"/>
              <w:rPr>
                <w:rFonts w:eastAsiaTheme="minorEastAsia"/>
                <w:szCs w:val="21"/>
              </w:rPr>
            </w:pPr>
            <w:r>
              <w:rPr>
                <w:rFonts w:hint="eastAsia"/>
                <w:szCs w:val="21"/>
              </w:rPr>
              <w:t>ND</w:t>
            </w:r>
          </w:p>
        </w:tc>
        <w:tc>
          <w:tcPr>
            <w:tcW w:w="448" w:type="pct"/>
            <w:vAlign w:val="center"/>
          </w:tcPr>
          <w:p w14:paraId="57D6EDD3">
            <w:pPr>
              <w:spacing w:before="61" w:line="320" w:lineRule="exact"/>
              <w:jc w:val="center"/>
              <w:rPr>
                <w:rFonts w:eastAsiaTheme="minorEastAsia"/>
                <w:szCs w:val="21"/>
              </w:rPr>
            </w:pPr>
            <w:r>
              <w:rPr>
                <w:rFonts w:hint="eastAsia"/>
                <w:szCs w:val="21"/>
              </w:rPr>
              <w:t>ND</w:t>
            </w:r>
          </w:p>
        </w:tc>
        <w:tc>
          <w:tcPr>
            <w:tcW w:w="448" w:type="pct"/>
            <w:vAlign w:val="center"/>
          </w:tcPr>
          <w:p w14:paraId="3EADF65D">
            <w:pPr>
              <w:spacing w:before="61" w:line="320" w:lineRule="exact"/>
              <w:jc w:val="center"/>
              <w:rPr>
                <w:rFonts w:eastAsiaTheme="minorEastAsia"/>
                <w:szCs w:val="21"/>
              </w:rPr>
            </w:pPr>
            <w:r>
              <w:rPr>
                <w:rFonts w:hint="eastAsia"/>
                <w:szCs w:val="21"/>
              </w:rPr>
              <w:t>ND</w:t>
            </w:r>
          </w:p>
        </w:tc>
        <w:tc>
          <w:tcPr>
            <w:tcW w:w="449" w:type="pct"/>
            <w:vAlign w:val="center"/>
          </w:tcPr>
          <w:p w14:paraId="11E89D2F">
            <w:pPr>
              <w:spacing w:before="61" w:line="320" w:lineRule="exact"/>
              <w:jc w:val="center"/>
              <w:rPr>
                <w:rFonts w:eastAsiaTheme="minorEastAsia"/>
                <w:szCs w:val="21"/>
              </w:rPr>
            </w:pPr>
            <w:r>
              <w:rPr>
                <w:rFonts w:hint="eastAsia"/>
                <w:szCs w:val="21"/>
              </w:rPr>
              <w:t>ND</w:t>
            </w:r>
          </w:p>
        </w:tc>
        <w:tc>
          <w:tcPr>
            <w:tcW w:w="446" w:type="pct"/>
            <w:vAlign w:val="center"/>
          </w:tcPr>
          <w:p w14:paraId="10121EB1">
            <w:pPr>
              <w:spacing w:before="61" w:line="320" w:lineRule="exact"/>
              <w:jc w:val="center"/>
              <w:rPr>
                <w:rFonts w:eastAsiaTheme="minorEastAsia"/>
                <w:szCs w:val="21"/>
              </w:rPr>
            </w:pPr>
            <w:r>
              <w:rPr>
                <w:rFonts w:eastAsiaTheme="minorEastAsia"/>
                <w:szCs w:val="21"/>
              </w:rPr>
              <w:t>1293</w:t>
            </w:r>
          </w:p>
        </w:tc>
      </w:tr>
      <w:tr w14:paraId="13BDC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0AF840A">
            <w:pPr>
              <w:spacing w:line="320" w:lineRule="exact"/>
              <w:jc w:val="center"/>
              <w:rPr>
                <w:rFonts w:eastAsiaTheme="minorEastAsia"/>
                <w:szCs w:val="21"/>
              </w:rPr>
            </w:pPr>
            <w:r>
              <w:rPr>
                <w:rFonts w:eastAsiaTheme="minorEastAsia"/>
                <w:szCs w:val="21"/>
              </w:rPr>
              <w:t>二苯并[a，h]蒽（mg/kg）</w:t>
            </w:r>
          </w:p>
        </w:tc>
        <w:tc>
          <w:tcPr>
            <w:tcW w:w="680" w:type="pct"/>
            <w:vAlign w:val="center"/>
          </w:tcPr>
          <w:p w14:paraId="008E949F">
            <w:pPr>
              <w:widowControl/>
              <w:jc w:val="center"/>
              <w:rPr>
                <w:szCs w:val="21"/>
              </w:rPr>
            </w:pPr>
            <w:r>
              <w:rPr>
                <w:rFonts w:hint="eastAsia"/>
                <w:szCs w:val="21"/>
              </w:rPr>
              <w:t>ND</w:t>
            </w:r>
          </w:p>
        </w:tc>
        <w:tc>
          <w:tcPr>
            <w:tcW w:w="447" w:type="pct"/>
            <w:vAlign w:val="center"/>
          </w:tcPr>
          <w:p w14:paraId="3BCD3EED">
            <w:pPr>
              <w:spacing w:before="61" w:line="320" w:lineRule="exact"/>
              <w:jc w:val="center"/>
              <w:rPr>
                <w:rFonts w:eastAsiaTheme="minorEastAsia"/>
                <w:szCs w:val="21"/>
              </w:rPr>
            </w:pPr>
            <w:r>
              <w:rPr>
                <w:rFonts w:hint="eastAsia"/>
                <w:szCs w:val="21"/>
              </w:rPr>
              <w:t>ND</w:t>
            </w:r>
          </w:p>
        </w:tc>
        <w:tc>
          <w:tcPr>
            <w:tcW w:w="447" w:type="pct"/>
            <w:vAlign w:val="center"/>
          </w:tcPr>
          <w:p w14:paraId="5E95CC10">
            <w:pPr>
              <w:spacing w:before="61" w:line="320" w:lineRule="exact"/>
              <w:jc w:val="center"/>
              <w:rPr>
                <w:szCs w:val="21"/>
              </w:rPr>
            </w:pPr>
            <w:r>
              <w:rPr>
                <w:rFonts w:hint="eastAsia"/>
                <w:szCs w:val="21"/>
              </w:rPr>
              <w:t>ND</w:t>
            </w:r>
          </w:p>
        </w:tc>
        <w:tc>
          <w:tcPr>
            <w:tcW w:w="448" w:type="pct"/>
            <w:vAlign w:val="center"/>
          </w:tcPr>
          <w:p w14:paraId="1FDA84FD">
            <w:pPr>
              <w:spacing w:before="61" w:line="320" w:lineRule="exact"/>
              <w:jc w:val="center"/>
              <w:rPr>
                <w:rFonts w:eastAsiaTheme="minorEastAsia"/>
                <w:szCs w:val="21"/>
              </w:rPr>
            </w:pPr>
            <w:r>
              <w:rPr>
                <w:rFonts w:hint="eastAsia"/>
                <w:szCs w:val="21"/>
              </w:rPr>
              <w:t>ND</w:t>
            </w:r>
          </w:p>
        </w:tc>
        <w:tc>
          <w:tcPr>
            <w:tcW w:w="448" w:type="pct"/>
            <w:vAlign w:val="center"/>
          </w:tcPr>
          <w:p w14:paraId="0BBF8B8E">
            <w:pPr>
              <w:spacing w:before="61" w:line="320" w:lineRule="exact"/>
              <w:jc w:val="center"/>
              <w:rPr>
                <w:rFonts w:eastAsiaTheme="minorEastAsia"/>
                <w:szCs w:val="21"/>
              </w:rPr>
            </w:pPr>
            <w:r>
              <w:rPr>
                <w:rFonts w:hint="eastAsia"/>
                <w:szCs w:val="21"/>
              </w:rPr>
              <w:t>ND</w:t>
            </w:r>
          </w:p>
        </w:tc>
        <w:tc>
          <w:tcPr>
            <w:tcW w:w="448" w:type="pct"/>
            <w:vAlign w:val="center"/>
          </w:tcPr>
          <w:p w14:paraId="79E91C51">
            <w:pPr>
              <w:spacing w:before="61" w:line="320" w:lineRule="exact"/>
              <w:jc w:val="center"/>
              <w:rPr>
                <w:rFonts w:eastAsiaTheme="minorEastAsia"/>
                <w:szCs w:val="21"/>
              </w:rPr>
            </w:pPr>
            <w:r>
              <w:rPr>
                <w:rFonts w:hint="eastAsia"/>
                <w:szCs w:val="21"/>
              </w:rPr>
              <w:t>ND</w:t>
            </w:r>
          </w:p>
        </w:tc>
        <w:tc>
          <w:tcPr>
            <w:tcW w:w="449" w:type="pct"/>
            <w:vAlign w:val="center"/>
          </w:tcPr>
          <w:p w14:paraId="3DE44CDD">
            <w:pPr>
              <w:spacing w:before="61" w:line="320" w:lineRule="exact"/>
              <w:jc w:val="center"/>
              <w:rPr>
                <w:rFonts w:eastAsiaTheme="minorEastAsia"/>
                <w:szCs w:val="21"/>
              </w:rPr>
            </w:pPr>
            <w:r>
              <w:rPr>
                <w:rFonts w:hint="eastAsia"/>
                <w:szCs w:val="21"/>
              </w:rPr>
              <w:t>ND</w:t>
            </w:r>
          </w:p>
        </w:tc>
        <w:tc>
          <w:tcPr>
            <w:tcW w:w="446" w:type="pct"/>
            <w:vAlign w:val="center"/>
          </w:tcPr>
          <w:p w14:paraId="719A69D8">
            <w:pPr>
              <w:spacing w:before="61" w:line="320" w:lineRule="exact"/>
              <w:jc w:val="center"/>
              <w:rPr>
                <w:rFonts w:eastAsiaTheme="minorEastAsia"/>
                <w:szCs w:val="21"/>
              </w:rPr>
            </w:pPr>
            <w:r>
              <w:rPr>
                <w:rFonts w:eastAsiaTheme="minorEastAsia"/>
                <w:szCs w:val="21"/>
              </w:rPr>
              <w:t>1.5</w:t>
            </w:r>
          </w:p>
        </w:tc>
      </w:tr>
      <w:tr w14:paraId="59B67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4B14D8C">
            <w:pPr>
              <w:spacing w:line="320" w:lineRule="exact"/>
              <w:jc w:val="center"/>
              <w:rPr>
                <w:rFonts w:eastAsiaTheme="minorEastAsia"/>
                <w:szCs w:val="21"/>
              </w:rPr>
            </w:pPr>
            <w:r>
              <w:rPr>
                <w:rFonts w:eastAsiaTheme="minorEastAsia"/>
                <w:szCs w:val="21"/>
              </w:rPr>
              <w:t>茚并[1,2,3-cd]芘（mg/kg）</w:t>
            </w:r>
          </w:p>
        </w:tc>
        <w:tc>
          <w:tcPr>
            <w:tcW w:w="680" w:type="pct"/>
            <w:vAlign w:val="center"/>
          </w:tcPr>
          <w:p w14:paraId="14890BC3">
            <w:pPr>
              <w:widowControl/>
              <w:jc w:val="center"/>
              <w:rPr>
                <w:szCs w:val="21"/>
              </w:rPr>
            </w:pPr>
            <w:r>
              <w:rPr>
                <w:rFonts w:hint="eastAsia"/>
                <w:szCs w:val="21"/>
              </w:rPr>
              <w:t>ND</w:t>
            </w:r>
          </w:p>
        </w:tc>
        <w:tc>
          <w:tcPr>
            <w:tcW w:w="447" w:type="pct"/>
            <w:vAlign w:val="center"/>
          </w:tcPr>
          <w:p w14:paraId="2F94D3DF">
            <w:pPr>
              <w:spacing w:before="61" w:line="320" w:lineRule="exact"/>
              <w:jc w:val="center"/>
              <w:rPr>
                <w:rFonts w:eastAsiaTheme="minorEastAsia"/>
                <w:szCs w:val="21"/>
              </w:rPr>
            </w:pPr>
            <w:r>
              <w:rPr>
                <w:rFonts w:hint="eastAsia"/>
                <w:szCs w:val="21"/>
              </w:rPr>
              <w:t>ND</w:t>
            </w:r>
          </w:p>
        </w:tc>
        <w:tc>
          <w:tcPr>
            <w:tcW w:w="447" w:type="pct"/>
            <w:vAlign w:val="center"/>
          </w:tcPr>
          <w:p w14:paraId="2D6108E2">
            <w:pPr>
              <w:spacing w:before="61" w:line="320" w:lineRule="exact"/>
              <w:jc w:val="center"/>
              <w:rPr>
                <w:szCs w:val="21"/>
              </w:rPr>
            </w:pPr>
            <w:r>
              <w:rPr>
                <w:rFonts w:hint="eastAsia"/>
                <w:szCs w:val="21"/>
              </w:rPr>
              <w:t>ND</w:t>
            </w:r>
          </w:p>
        </w:tc>
        <w:tc>
          <w:tcPr>
            <w:tcW w:w="448" w:type="pct"/>
            <w:vAlign w:val="center"/>
          </w:tcPr>
          <w:p w14:paraId="6E846511">
            <w:pPr>
              <w:spacing w:before="61" w:line="320" w:lineRule="exact"/>
              <w:jc w:val="center"/>
              <w:rPr>
                <w:rFonts w:eastAsiaTheme="minorEastAsia"/>
                <w:szCs w:val="21"/>
              </w:rPr>
            </w:pPr>
            <w:r>
              <w:rPr>
                <w:rFonts w:hint="eastAsia"/>
                <w:szCs w:val="21"/>
              </w:rPr>
              <w:t>ND</w:t>
            </w:r>
          </w:p>
        </w:tc>
        <w:tc>
          <w:tcPr>
            <w:tcW w:w="448" w:type="pct"/>
            <w:vAlign w:val="center"/>
          </w:tcPr>
          <w:p w14:paraId="2159C6AA">
            <w:pPr>
              <w:spacing w:before="61" w:line="320" w:lineRule="exact"/>
              <w:jc w:val="center"/>
              <w:rPr>
                <w:rFonts w:eastAsiaTheme="minorEastAsia"/>
                <w:szCs w:val="21"/>
              </w:rPr>
            </w:pPr>
            <w:r>
              <w:rPr>
                <w:rFonts w:hint="eastAsia"/>
                <w:szCs w:val="21"/>
              </w:rPr>
              <w:t>ND</w:t>
            </w:r>
          </w:p>
        </w:tc>
        <w:tc>
          <w:tcPr>
            <w:tcW w:w="448" w:type="pct"/>
            <w:vAlign w:val="center"/>
          </w:tcPr>
          <w:p w14:paraId="542D253F">
            <w:pPr>
              <w:spacing w:before="61" w:line="320" w:lineRule="exact"/>
              <w:jc w:val="center"/>
              <w:rPr>
                <w:rFonts w:eastAsiaTheme="minorEastAsia"/>
                <w:szCs w:val="21"/>
              </w:rPr>
            </w:pPr>
            <w:r>
              <w:rPr>
                <w:rFonts w:hint="eastAsia"/>
                <w:szCs w:val="21"/>
              </w:rPr>
              <w:t>ND</w:t>
            </w:r>
          </w:p>
        </w:tc>
        <w:tc>
          <w:tcPr>
            <w:tcW w:w="449" w:type="pct"/>
            <w:vAlign w:val="center"/>
          </w:tcPr>
          <w:p w14:paraId="534C69D4">
            <w:pPr>
              <w:spacing w:before="61" w:line="320" w:lineRule="exact"/>
              <w:jc w:val="center"/>
              <w:rPr>
                <w:rFonts w:eastAsiaTheme="minorEastAsia"/>
                <w:szCs w:val="21"/>
              </w:rPr>
            </w:pPr>
            <w:r>
              <w:rPr>
                <w:rFonts w:hint="eastAsia"/>
                <w:szCs w:val="21"/>
              </w:rPr>
              <w:t>ND</w:t>
            </w:r>
          </w:p>
        </w:tc>
        <w:tc>
          <w:tcPr>
            <w:tcW w:w="446" w:type="pct"/>
            <w:vAlign w:val="center"/>
          </w:tcPr>
          <w:p w14:paraId="04B9A327">
            <w:pPr>
              <w:spacing w:before="61" w:line="320" w:lineRule="exact"/>
              <w:jc w:val="center"/>
              <w:rPr>
                <w:rFonts w:eastAsiaTheme="minorEastAsia"/>
                <w:szCs w:val="21"/>
              </w:rPr>
            </w:pPr>
            <w:r>
              <w:rPr>
                <w:rFonts w:eastAsiaTheme="minorEastAsia"/>
                <w:szCs w:val="21"/>
              </w:rPr>
              <w:t>15</w:t>
            </w:r>
          </w:p>
        </w:tc>
      </w:tr>
      <w:tr w14:paraId="5BBF4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44EE688D">
            <w:pPr>
              <w:spacing w:line="320" w:lineRule="exact"/>
              <w:jc w:val="center"/>
              <w:rPr>
                <w:rFonts w:eastAsiaTheme="minorEastAsia"/>
                <w:szCs w:val="21"/>
              </w:rPr>
            </w:pPr>
            <w:r>
              <w:rPr>
                <w:rFonts w:eastAsiaTheme="minorEastAsia"/>
                <w:szCs w:val="21"/>
              </w:rPr>
              <w:t>萘（mg/kg）</w:t>
            </w:r>
          </w:p>
        </w:tc>
        <w:tc>
          <w:tcPr>
            <w:tcW w:w="680" w:type="pct"/>
            <w:vAlign w:val="center"/>
          </w:tcPr>
          <w:p w14:paraId="67D1A2BA">
            <w:pPr>
              <w:widowControl/>
              <w:jc w:val="center"/>
              <w:rPr>
                <w:szCs w:val="21"/>
              </w:rPr>
            </w:pPr>
            <w:r>
              <w:rPr>
                <w:rFonts w:hint="eastAsia"/>
                <w:szCs w:val="21"/>
              </w:rPr>
              <w:t>ND</w:t>
            </w:r>
          </w:p>
        </w:tc>
        <w:tc>
          <w:tcPr>
            <w:tcW w:w="447" w:type="pct"/>
            <w:vAlign w:val="center"/>
          </w:tcPr>
          <w:p w14:paraId="6B056506">
            <w:pPr>
              <w:spacing w:before="61" w:line="320" w:lineRule="exact"/>
              <w:jc w:val="center"/>
              <w:rPr>
                <w:rFonts w:eastAsiaTheme="minorEastAsia"/>
                <w:szCs w:val="21"/>
              </w:rPr>
            </w:pPr>
            <w:r>
              <w:rPr>
                <w:rFonts w:hint="eastAsia"/>
                <w:szCs w:val="21"/>
              </w:rPr>
              <w:t>ND</w:t>
            </w:r>
          </w:p>
        </w:tc>
        <w:tc>
          <w:tcPr>
            <w:tcW w:w="447" w:type="pct"/>
            <w:vAlign w:val="center"/>
          </w:tcPr>
          <w:p w14:paraId="79D43A5D">
            <w:pPr>
              <w:spacing w:before="61" w:line="320" w:lineRule="exact"/>
              <w:jc w:val="center"/>
              <w:rPr>
                <w:szCs w:val="21"/>
              </w:rPr>
            </w:pPr>
            <w:r>
              <w:rPr>
                <w:rFonts w:hint="eastAsia"/>
                <w:szCs w:val="21"/>
              </w:rPr>
              <w:t>ND</w:t>
            </w:r>
          </w:p>
        </w:tc>
        <w:tc>
          <w:tcPr>
            <w:tcW w:w="448" w:type="pct"/>
            <w:vAlign w:val="center"/>
          </w:tcPr>
          <w:p w14:paraId="1257DB39">
            <w:pPr>
              <w:spacing w:before="61" w:line="320" w:lineRule="exact"/>
              <w:jc w:val="center"/>
              <w:rPr>
                <w:rFonts w:eastAsiaTheme="minorEastAsia"/>
                <w:szCs w:val="21"/>
              </w:rPr>
            </w:pPr>
            <w:r>
              <w:rPr>
                <w:rFonts w:hint="eastAsia"/>
                <w:szCs w:val="21"/>
              </w:rPr>
              <w:t>ND</w:t>
            </w:r>
          </w:p>
        </w:tc>
        <w:tc>
          <w:tcPr>
            <w:tcW w:w="448" w:type="pct"/>
            <w:vAlign w:val="center"/>
          </w:tcPr>
          <w:p w14:paraId="62665E42">
            <w:pPr>
              <w:spacing w:before="61" w:line="320" w:lineRule="exact"/>
              <w:jc w:val="center"/>
              <w:rPr>
                <w:rFonts w:eastAsiaTheme="minorEastAsia"/>
                <w:szCs w:val="21"/>
              </w:rPr>
            </w:pPr>
            <w:r>
              <w:rPr>
                <w:rFonts w:hint="eastAsia"/>
                <w:szCs w:val="21"/>
              </w:rPr>
              <w:t>ND</w:t>
            </w:r>
          </w:p>
        </w:tc>
        <w:tc>
          <w:tcPr>
            <w:tcW w:w="448" w:type="pct"/>
            <w:vAlign w:val="center"/>
          </w:tcPr>
          <w:p w14:paraId="7EEAD7F6">
            <w:pPr>
              <w:spacing w:before="61" w:line="320" w:lineRule="exact"/>
              <w:jc w:val="center"/>
              <w:rPr>
                <w:rFonts w:eastAsiaTheme="minorEastAsia"/>
                <w:szCs w:val="21"/>
              </w:rPr>
            </w:pPr>
            <w:r>
              <w:rPr>
                <w:rFonts w:hint="eastAsia"/>
                <w:szCs w:val="21"/>
              </w:rPr>
              <w:t>ND</w:t>
            </w:r>
          </w:p>
        </w:tc>
        <w:tc>
          <w:tcPr>
            <w:tcW w:w="449" w:type="pct"/>
            <w:vAlign w:val="center"/>
          </w:tcPr>
          <w:p w14:paraId="0679B36A">
            <w:pPr>
              <w:spacing w:before="61" w:line="320" w:lineRule="exact"/>
              <w:jc w:val="center"/>
              <w:rPr>
                <w:rFonts w:eastAsiaTheme="minorEastAsia"/>
                <w:szCs w:val="21"/>
              </w:rPr>
            </w:pPr>
            <w:r>
              <w:rPr>
                <w:rFonts w:hint="eastAsia"/>
                <w:szCs w:val="21"/>
              </w:rPr>
              <w:t>ND</w:t>
            </w:r>
          </w:p>
        </w:tc>
        <w:tc>
          <w:tcPr>
            <w:tcW w:w="446" w:type="pct"/>
            <w:vAlign w:val="center"/>
          </w:tcPr>
          <w:p w14:paraId="232BBB3D">
            <w:pPr>
              <w:spacing w:before="61" w:line="320" w:lineRule="exact"/>
              <w:jc w:val="center"/>
              <w:rPr>
                <w:rFonts w:eastAsiaTheme="minorEastAsia"/>
                <w:szCs w:val="21"/>
              </w:rPr>
            </w:pPr>
            <w:r>
              <w:rPr>
                <w:rFonts w:eastAsiaTheme="minorEastAsia"/>
                <w:szCs w:val="21"/>
              </w:rPr>
              <w:t>70</w:t>
            </w:r>
          </w:p>
        </w:tc>
      </w:tr>
      <w:tr w14:paraId="6B28A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43CCF21">
            <w:pPr>
              <w:spacing w:line="320" w:lineRule="exact"/>
              <w:jc w:val="center"/>
              <w:rPr>
                <w:rFonts w:eastAsiaTheme="minorEastAsia"/>
                <w:szCs w:val="21"/>
              </w:rPr>
            </w:pPr>
            <w:r>
              <w:rPr>
                <w:rFonts w:eastAsiaTheme="minorEastAsia"/>
                <w:szCs w:val="21"/>
              </w:rPr>
              <w:t>2-氯酚（mg/kg）</w:t>
            </w:r>
          </w:p>
        </w:tc>
        <w:tc>
          <w:tcPr>
            <w:tcW w:w="680" w:type="pct"/>
            <w:vAlign w:val="center"/>
          </w:tcPr>
          <w:p w14:paraId="2A75F19D">
            <w:pPr>
              <w:widowControl/>
              <w:jc w:val="center"/>
              <w:rPr>
                <w:szCs w:val="21"/>
              </w:rPr>
            </w:pPr>
            <w:r>
              <w:rPr>
                <w:rFonts w:hint="eastAsia"/>
                <w:szCs w:val="21"/>
              </w:rPr>
              <w:t>ND</w:t>
            </w:r>
          </w:p>
        </w:tc>
        <w:tc>
          <w:tcPr>
            <w:tcW w:w="447" w:type="pct"/>
            <w:vAlign w:val="center"/>
          </w:tcPr>
          <w:p w14:paraId="6EC5190D">
            <w:pPr>
              <w:spacing w:before="61" w:line="320" w:lineRule="exact"/>
              <w:jc w:val="center"/>
              <w:rPr>
                <w:rFonts w:eastAsiaTheme="minorEastAsia"/>
                <w:szCs w:val="21"/>
              </w:rPr>
            </w:pPr>
            <w:r>
              <w:rPr>
                <w:rFonts w:hint="eastAsia"/>
                <w:szCs w:val="21"/>
              </w:rPr>
              <w:t>ND</w:t>
            </w:r>
          </w:p>
        </w:tc>
        <w:tc>
          <w:tcPr>
            <w:tcW w:w="447" w:type="pct"/>
            <w:vAlign w:val="center"/>
          </w:tcPr>
          <w:p w14:paraId="3C3CFB39">
            <w:pPr>
              <w:spacing w:before="61" w:line="320" w:lineRule="exact"/>
              <w:jc w:val="center"/>
              <w:rPr>
                <w:szCs w:val="21"/>
              </w:rPr>
            </w:pPr>
            <w:r>
              <w:rPr>
                <w:rFonts w:hint="eastAsia"/>
                <w:szCs w:val="21"/>
              </w:rPr>
              <w:t>ND</w:t>
            </w:r>
          </w:p>
        </w:tc>
        <w:tc>
          <w:tcPr>
            <w:tcW w:w="448" w:type="pct"/>
            <w:vAlign w:val="center"/>
          </w:tcPr>
          <w:p w14:paraId="68A2EC56">
            <w:pPr>
              <w:spacing w:before="61" w:line="320" w:lineRule="exact"/>
              <w:jc w:val="center"/>
              <w:rPr>
                <w:rFonts w:eastAsiaTheme="minorEastAsia"/>
                <w:szCs w:val="21"/>
              </w:rPr>
            </w:pPr>
            <w:r>
              <w:rPr>
                <w:rFonts w:hint="eastAsia"/>
                <w:szCs w:val="21"/>
              </w:rPr>
              <w:t>ND</w:t>
            </w:r>
          </w:p>
        </w:tc>
        <w:tc>
          <w:tcPr>
            <w:tcW w:w="448" w:type="pct"/>
            <w:vAlign w:val="center"/>
          </w:tcPr>
          <w:p w14:paraId="74A3BCC0">
            <w:pPr>
              <w:spacing w:before="61" w:line="320" w:lineRule="exact"/>
              <w:jc w:val="center"/>
              <w:rPr>
                <w:rFonts w:eastAsiaTheme="minorEastAsia"/>
                <w:szCs w:val="21"/>
              </w:rPr>
            </w:pPr>
            <w:r>
              <w:rPr>
                <w:rFonts w:hint="eastAsia"/>
                <w:szCs w:val="21"/>
              </w:rPr>
              <w:t>ND</w:t>
            </w:r>
          </w:p>
        </w:tc>
        <w:tc>
          <w:tcPr>
            <w:tcW w:w="448" w:type="pct"/>
            <w:vAlign w:val="center"/>
          </w:tcPr>
          <w:p w14:paraId="5394139C">
            <w:pPr>
              <w:spacing w:before="61" w:line="320" w:lineRule="exact"/>
              <w:jc w:val="center"/>
              <w:rPr>
                <w:rFonts w:eastAsiaTheme="minorEastAsia"/>
                <w:szCs w:val="21"/>
              </w:rPr>
            </w:pPr>
            <w:r>
              <w:rPr>
                <w:rFonts w:hint="eastAsia"/>
                <w:szCs w:val="21"/>
              </w:rPr>
              <w:t>ND</w:t>
            </w:r>
          </w:p>
        </w:tc>
        <w:tc>
          <w:tcPr>
            <w:tcW w:w="449" w:type="pct"/>
            <w:vAlign w:val="center"/>
          </w:tcPr>
          <w:p w14:paraId="1683EA76">
            <w:pPr>
              <w:spacing w:before="61" w:line="320" w:lineRule="exact"/>
              <w:jc w:val="center"/>
              <w:rPr>
                <w:rFonts w:eastAsiaTheme="minorEastAsia"/>
                <w:szCs w:val="21"/>
              </w:rPr>
            </w:pPr>
            <w:r>
              <w:rPr>
                <w:rFonts w:hint="eastAsia"/>
                <w:szCs w:val="21"/>
              </w:rPr>
              <w:t>ND</w:t>
            </w:r>
          </w:p>
        </w:tc>
        <w:tc>
          <w:tcPr>
            <w:tcW w:w="446" w:type="pct"/>
            <w:vAlign w:val="center"/>
          </w:tcPr>
          <w:p w14:paraId="47A07803">
            <w:pPr>
              <w:spacing w:before="61" w:line="320" w:lineRule="exact"/>
              <w:jc w:val="center"/>
              <w:rPr>
                <w:rFonts w:eastAsiaTheme="minorEastAsia"/>
                <w:szCs w:val="21"/>
              </w:rPr>
            </w:pPr>
            <w:r>
              <w:rPr>
                <w:rFonts w:eastAsiaTheme="minorEastAsia"/>
                <w:szCs w:val="21"/>
              </w:rPr>
              <w:t>2256</w:t>
            </w:r>
          </w:p>
        </w:tc>
      </w:tr>
      <w:tr w14:paraId="794F3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9C8633C">
            <w:pPr>
              <w:spacing w:line="320" w:lineRule="exact"/>
              <w:jc w:val="center"/>
              <w:rPr>
                <w:rFonts w:eastAsiaTheme="minorEastAsia"/>
                <w:szCs w:val="21"/>
              </w:rPr>
            </w:pPr>
            <w:r>
              <w:rPr>
                <w:rFonts w:eastAsiaTheme="minorEastAsia"/>
                <w:szCs w:val="21"/>
              </w:rPr>
              <w:t>四氯化碳（mg/kg）</w:t>
            </w:r>
          </w:p>
        </w:tc>
        <w:tc>
          <w:tcPr>
            <w:tcW w:w="680" w:type="pct"/>
            <w:vAlign w:val="center"/>
          </w:tcPr>
          <w:p w14:paraId="779A5649">
            <w:pPr>
              <w:widowControl/>
              <w:jc w:val="center"/>
              <w:textAlignment w:val="center"/>
              <w:rPr>
                <w:szCs w:val="21"/>
              </w:rPr>
            </w:pPr>
            <w:r>
              <w:rPr>
                <w:rFonts w:hint="eastAsia"/>
                <w:szCs w:val="21"/>
              </w:rPr>
              <w:t>ND</w:t>
            </w:r>
          </w:p>
        </w:tc>
        <w:tc>
          <w:tcPr>
            <w:tcW w:w="447" w:type="pct"/>
            <w:vAlign w:val="center"/>
          </w:tcPr>
          <w:p w14:paraId="1866D215">
            <w:pPr>
              <w:spacing w:line="320" w:lineRule="exact"/>
              <w:jc w:val="center"/>
              <w:rPr>
                <w:rFonts w:eastAsiaTheme="minorEastAsia"/>
                <w:szCs w:val="21"/>
              </w:rPr>
            </w:pPr>
            <w:r>
              <w:rPr>
                <w:rFonts w:hint="eastAsia"/>
                <w:szCs w:val="21"/>
              </w:rPr>
              <w:t>ND</w:t>
            </w:r>
          </w:p>
        </w:tc>
        <w:tc>
          <w:tcPr>
            <w:tcW w:w="447" w:type="pct"/>
            <w:vAlign w:val="center"/>
          </w:tcPr>
          <w:p w14:paraId="33D1CA1D">
            <w:pPr>
              <w:spacing w:line="320" w:lineRule="exact"/>
              <w:jc w:val="center"/>
              <w:rPr>
                <w:szCs w:val="21"/>
              </w:rPr>
            </w:pPr>
            <w:r>
              <w:rPr>
                <w:rFonts w:hint="eastAsia"/>
                <w:szCs w:val="21"/>
              </w:rPr>
              <w:t>ND</w:t>
            </w:r>
          </w:p>
        </w:tc>
        <w:tc>
          <w:tcPr>
            <w:tcW w:w="448" w:type="pct"/>
            <w:vAlign w:val="center"/>
          </w:tcPr>
          <w:p w14:paraId="1816791D">
            <w:pPr>
              <w:spacing w:line="320" w:lineRule="exact"/>
              <w:jc w:val="center"/>
              <w:rPr>
                <w:rFonts w:eastAsiaTheme="minorEastAsia"/>
                <w:szCs w:val="21"/>
              </w:rPr>
            </w:pPr>
            <w:r>
              <w:rPr>
                <w:rFonts w:hint="eastAsia"/>
                <w:szCs w:val="21"/>
              </w:rPr>
              <w:t>ND</w:t>
            </w:r>
          </w:p>
        </w:tc>
        <w:tc>
          <w:tcPr>
            <w:tcW w:w="448" w:type="pct"/>
            <w:vAlign w:val="center"/>
          </w:tcPr>
          <w:p w14:paraId="293E99F0">
            <w:pPr>
              <w:spacing w:line="320" w:lineRule="exact"/>
              <w:jc w:val="center"/>
              <w:rPr>
                <w:rFonts w:eastAsiaTheme="minorEastAsia"/>
                <w:szCs w:val="21"/>
              </w:rPr>
            </w:pPr>
            <w:r>
              <w:rPr>
                <w:rFonts w:hint="eastAsia"/>
                <w:szCs w:val="21"/>
              </w:rPr>
              <w:t>ND</w:t>
            </w:r>
          </w:p>
        </w:tc>
        <w:tc>
          <w:tcPr>
            <w:tcW w:w="448" w:type="pct"/>
            <w:vAlign w:val="center"/>
          </w:tcPr>
          <w:p w14:paraId="0159C745">
            <w:pPr>
              <w:spacing w:line="320" w:lineRule="exact"/>
              <w:jc w:val="center"/>
              <w:rPr>
                <w:rFonts w:eastAsiaTheme="minorEastAsia"/>
                <w:szCs w:val="21"/>
              </w:rPr>
            </w:pPr>
            <w:r>
              <w:rPr>
                <w:rFonts w:hint="eastAsia"/>
                <w:szCs w:val="21"/>
              </w:rPr>
              <w:t>ND</w:t>
            </w:r>
          </w:p>
        </w:tc>
        <w:tc>
          <w:tcPr>
            <w:tcW w:w="449" w:type="pct"/>
            <w:vAlign w:val="center"/>
          </w:tcPr>
          <w:p w14:paraId="679722B1">
            <w:pPr>
              <w:spacing w:line="320" w:lineRule="exact"/>
              <w:jc w:val="center"/>
              <w:rPr>
                <w:rFonts w:eastAsiaTheme="minorEastAsia"/>
                <w:szCs w:val="21"/>
              </w:rPr>
            </w:pPr>
            <w:r>
              <w:rPr>
                <w:rFonts w:hint="eastAsia"/>
                <w:szCs w:val="21"/>
              </w:rPr>
              <w:t>ND</w:t>
            </w:r>
          </w:p>
        </w:tc>
        <w:tc>
          <w:tcPr>
            <w:tcW w:w="446" w:type="pct"/>
            <w:vAlign w:val="center"/>
          </w:tcPr>
          <w:p w14:paraId="4122F623">
            <w:pPr>
              <w:spacing w:line="320" w:lineRule="exact"/>
              <w:jc w:val="center"/>
              <w:rPr>
                <w:rFonts w:eastAsiaTheme="minorEastAsia"/>
                <w:szCs w:val="21"/>
              </w:rPr>
            </w:pPr>
            <w:r>
              <w:rPr>
                <w:rFonts w:eastAsiaTheme="minorEastAsia"/>
                <w:szCs w:val="21"/>
              </w:rPr>
              <w:t>2.8</w:t>
            </w:r>
          </w:p>
        </w:tc>
      </w:tr>
      <w:tr w14:paraId="5D4A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07815906">
            <w:pPr>
              <w:spacing w:line="320" w:lineRule="exact"/>
              <w:jc w:val="center"/>
              <w:rPr>
                <w:rFonts w:eastAsiaTheme="minorEastAsia"/>
                <w:szCs w:val="21"/>
              </w:rPr>
            </w:pPr>
            <w:r>
              <w:rPr>
                <w:rFonts w:eastAsiaTheme="minorEastAsia"/>
                <w:szCs w:val="21"/>
              </w:rPr>
              <w:t>氯仿（mg/kg）</w:t>
            </w:r>
          </w:p>
        </w:tc>
        <w:tc>
          <w:tcPr>
            <w:tcW w:w="680" w:type="pct"/>
            <w:vAlign w:val="center"/>
          </w:tcPr>
          <w:p w14:paraId="2A1E5924">
            <w:pPr>
              <w:widowControl/>
              <w:jc w:val="center"/>
              <w:textAlignment w:val="center"/>
              <w:rPr>
                <w:szCs w:val="21"/>
              </w:rPr>
            </w:pPr>
            <w:r>
              <w:rPr>
                <w:rFonts w:hint="eastAsia"/>
                <w:szCs w:val="21"/>
              </w:rPr>
              <w:t>ND</w:t>
            </w:r>
          </w:p>
        </w:tc>
        <w:tc>
          <w:tcPr>
            <w:tcW w:w="447" w:type="pct"/>
            <w:vAlign w:val="center"/>
          </w:tcPr>
          <w:p w14:paraId="54F70272">
            <w:pPr>
              <w:spacing w:line="320" w:lineRule="exact"/>
              <w:jc w:val="center"/>
              <w:rPr>
                <w:rFonts w:eastAsiaTheme="minorEastAsia"/>
                <w:szCs w:val="21"/>
              </w:rPr>
            </w:pPr>
            <w:r>
              <w:rPr>
                <w:rFonts w:hint="eastAsia"/>
                <w:szCs w:val="21"/>
              </w:rPr>
              <w:t>ND</w:t>
            </w:r>
          </w:p>
        </w:tc>
        <w:tc>
          <w:tcPr>
            <w:tcW w:w="447" w:type="pct"/>
            <w:vAlign w:val="center"/>
          </w:tcPr>
          <w:p w14:paraId="112CC45C">
            <w:pPr>
              <w:spacing w:line="320" w:lineRule="exact"/>
              <w:jc w:val="center"/>
              <w:rPr>
                <w:szCs w:val="21"/>
              </w:rPr>
            </w:pPr>
            <w:r>
              <w:rPr>
                <w:rFonts w:hint="eastAsia"/>
                <w:szCs w:val="21"/>
              </w:rPr>
              <w:t>ND</w:t>
            </w:r>
          </w:p>
        </w:tc>
        <w:tc>
          <w:tcPr>
            <w:tcW w:w="448" w:type="pct"/>
            <w:vAlign w:val="center"/>
          </w:tcPr>
          <w:p w14:paraId="4A176586">
            <w:pPr>
              <w:spacing w:line="320" w:lineRule="exact"/>
              <w:jc w:val="center"/>
              <w:rPr>
                <w:rFonts w:eastAsiaTheme="minorEastAsia"/>
                <w:szCs w:val="21"/>
              </w:rPr>
            </w:pPr>
            <w:r>
              <w:rPr>
                <w:rFonts w:hint="eastAsia"/>
                <w:szCs w:val="21"/>
              </w:rPr>
              <w:t>ND</w:t>
            </w:r>
          </w:p>
        </w:tc>
        <w:tc>
          <w:tcPr>
            <w:tcW w:w="448" w:type="pct"/>
            <w:vAlign w:val="center"/>
          </w:tcPr>
          <w:p w14:paraId="217C3895">
            <w:pPr>
              <w:spacing w:line="320" w:lineRule="exact"/>
              <w:jc w:val="center"/>
              <w:rPr>
                <w:rFonts w:eastAsiaTheme="minorEastAsia"/>
                <w:szCs w:val="21"/>
              </w:rPr>
            </w:pPr>
            <w:r>
              <w:rPr>
                <w:rFonts w:hint="eastAsia"/>
                <w:szCs w:val="21"/>
              </w:rPr>
              <w:t>ND</w:t>
            </w:r>
          </w:p>
        </w:tc>
        <w:tc>
          <w:tcPr>
            <w:tcW w:w="448" w:type="pct"/>
            <w:vAlign w:val="center"/>
          </w:tcPr>
          <w:p w14:paraId="31742401">
            <w:pPr>
              <w:spacing w:line="320" w:lineRule="exact"/>
              <w:jc w:val="center"/>
              <w:rPr>
                <w:rFonts w:eastAsiaTheme="minorEastAsia"/>
                <w:szCs w:val="21"/>
              </w:rPr>
            </w:pPr>
            <w:r>
              <w:rPr>
                <w:rFonts w:hint="eastAsia"/>
                <w:szCs w:val="21"/>
              </w:rPr>
              <w:t>ND</w:t>
            </w:r>
          </w:p>
        </w:tc>
        <w:tc>
          <w:tcPr>
            <w:tcW w:w="449" w:type="pct"/>
            <w:vAlign w:val="center"/>
          </w:tcPr>
          <w:p w14:paraId="2F763F61">
            <w:pPr>
              <w:spacing w:line="320" w:lineRule="exact"/>
              <w:jc w:val="center"/>
              <w:rPr>
                <w:rFonts w:eastAsiaTheme="minorEastAsia"/>
                <w:szCs w:val="21"/>
              </w:rPr>
            </w:pPr>
            <w:r>
              <w:rPr>
                <w:rFonts w:hint="eastAsia"/>
                <w:szCs w:val="21"/>
              </w:rPr>
              <w:t>ND</w:t>
            </w:r>
          </w:p>
        </w:tc>
        <w:tc>
          <w:tcPr>
            <w:tcW w:w="446" w:type="pct"/>
            <w:vAlign w:val="center"/>
          </w:tcPr>
          <w:p w14:paraId="261511EF">
            <w:pPr>
              <w:spacing w:line="320" w:lineRule="exact"/>
              <w:jc w:val="center"/>
              <w:rPr>
                <w:rFonts w:eastAsiaTheme="minorEastAsia"/>
                <w:szCs w:val="21"/>
              </w:rPr>
            </w:pPr>
            <w:r>
              <w:rPr>
                <w:rFonts w:eastAsiaTheme="minorEastAsia"/>
                <w:szCs w:val="21"/>
              </w:rPr>
              <w:t>0.9</w:t>
            </w:r>
          </w:p>
        </w:tc>
      </w:tr>
      <w:tr w14:paraId="4B0A2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2067519">
            <w:pPr>
              <w:spacing w:line="320" w:lineRule="exact"/>
              <w:jc w:val="center"/>
              <w:rPr>
                <w:rFonts w:eastAsiaTheme="minorEastAsia"/>
                <w:szCs w:val="21"/>
              </w:rPr>
            </w:pPr>
            <w:r>
              <w:rPr>
                <w:rFonts w:eastAsiaTheme="minorEastAsia"/>
                <w:szCs w:val="21"/>
              </w:rPr>
              <w:t>氯甲烷（mg/kg）</w:t>
            </w:r>
          </w:p>
        </w:tc>
        <w:tc>
          <w:tcPr>
            <w:tcW w:w="680" w:type="pct"/>
            <w:vAlign w:val="center"/>
          </w:tcPr>
          <w:p w14:paraId="2A842C28">
            <w:pPr>
              <w:widowControl/>
              <w:jc w:val="center"/>
              <w:textAlignment w:val="center"/>
              <w:rPr>
                <w:szCs w:val="21"/>
              </w:rPr>
            </w:pPr>
            <w:r>
              <w:rPr>
                <w:rFonts w:hint="eastAsia"/>
                <w:szCs w:val="21"/>
              </w:rPr>
              <w:t>ND</w:t>
            </w:r>
          </w:p>
        </w:tc>
        <w:tc>
          <w:tcPr>
            <w:tcW w:w="447" w:type="pct"/>
            <w:vAlign w:val="center"/>
          </w:tcPr>
          <w:p w14:paraId="36D629C9">
            <w:pPr>
              <w:spacing w:line="320" w:lineRule="exact"/>
              <w:jc w:val="center"/>
              <w:rPr>
                <w:rFonts w:eastAsiaTheme="minorEastAsia"/>
                <w:szCs w:val="21"/>
              </w:rPr>
            </w:pPr>
            <w:r>
              <w:rPr>
                <w:rFonts w:hint="eastAsia"/>
                <w:szCs w:val="21"/>
              </w:rPr>
              <w:t>ND</w:t>
            </w:r>
          </w:p>
        </w:tc>
        <w:tc>
          <w:tcPr>
            <w:tcW w:w="447" w:type="pct"/>
            <w:vAlign w:val="center"/>
          </w:tcPr>
          <w:p w14:paraId="448F5813">
            <w:pPr>
              <w:spacing w:line="320" w:lineRule="exact"/>
              <w:jc w:val="center"/>
              <w:rPr>
                <w:szCs w:val="21"/>
              </w:rPr>
            </w:pPr>
            <w:r>
              <w:rPr>
                <w:rFonts w:hint="eastAsia"/>
                <w:szCs w:val="21"/>
              </w:rPr>
              <w:t>ND</w:t>
            </w:r>
          </w:p>
        </w:tc>
        <w:tc>
          <w:tcPr>
            <w:tcW w:w="448" w:type="pct"/>
            <w:vAlign w:val="center"/>
          </w:tcPr>
          <w:p w14:paraId="1A1B0B77">
            <w:pPr>
              <w:spacing w:line="320" w:lineRule="exact"/>
              <w:jc w:val="center"/>
              <w:rPr>
                <w:rFonts w:eastAsiaTheme="minorEastAsia"/>
                <w:szCs w:val="21"/>
              </w:rPr>
            </w:pPr>
            <w:r>
              <w:rPr>
                <w:rFonts w:hint="eastAsia"/>
                <w:szCs w:val="21"/>
              </w:rPr>
              <w:t>ND</w:t>
            </w:r>
          </w:p>
        </w:tc>
        <w:tc>
          <w:tcPr>
            <w:tcW w:w="448" w:type="pct"/>
            <w:vAlign w:val="center"/>
          </w:tcPr>
          <w:p w14:paraId="50DF82C8">
            <w:pPr>
              <w:spacing w:line="320" w:lineRule="exact"/>
              <w:jc w:val="center"/>
              <w:rPr>
                <w:rFonts w:eastAsiaTheme="minorEastAsia"/>
                <w:szCs w:val="21"/>
              </w:rPr>
            </w:pPr>
            <w:r>
              <w:rPr>
                <w:rFonts w:hint="eastAsia"/>
                <w:szCs w:val="21"/>
              </w:rPr>
              <w:t>ND</w:t>
            </w:r>
          </w:p>
        </w:tc>
        <w:tc>
          <w:tcPr>
            <w:tcW w:w="448" w:type="pct"/>
            <w:vAlign w:val="center"/>
          </w:tcPr>
          <w:p w14:paraId="173E22DC">
            <w:pPr>
              <w:spacing w:line="320" w:lineRule="exact"/>
              <w:jc w:val="center"/>
              <w:rPr>
                <w:rFonts w:eastAsiaTheme="minorEastAsia"/>
                <w:szCs w:val="21"/>
              </w:rPr>
            </w:pPr>
            <w:r>
              <w:rPr>
                <w:rFonts w:hint="eastAsia"/>
                <w:szCs w:val="21"/>
              </w:rPr>
              <w:t>ND</w:t>
            </w:r>
          </w:p>
        </w:tc>
        <w:tc>
          <w:tcPr>
            <w:tcW w:w="449" w:type="pct"/>
            <w:vAlign w:val="center"/>
          </w:tcPr>
          <w:p w14:paraId="4C8F68FB">
            <w:pPr>
              <w:spacing w:line="320" w:lineRule="exact"/>
              <w:jc w:val="center"/>
              <w:rPr>
                <w:rFonts w:eastAsiaTheme="minorEastAsia"/>
                <w:szCs w:val="21"/>
              </w:rPr>
            </w:pPr>
            <w:r>
              <w:rPr>
                <w:rFonts w:hint="eastAsia"/>
                <w:szCs w:val="21"/>
              </w:rPr>
              <w:t>ND</w:t>
            </w:r>
          </w:p>
        </w:tc>
        <w:tc>
          <w:tcPr>
            <w:tcW w:w="446" w:type="pct"/>
            <w:vAlign w:val="center"/>
          </w:tcPr>
          <w:p w14:paraId="0DF14A90">
            <w:pPr>
              <w:spacing w:line="320" w:lineRule="exact"/>
              <w:jc w:val="center"/>
              <w:rPr>
                <w:rFonts w:eastAsiaTheme="minorEastAsia"/>
                <w:szCs w:val="21"/>
              </w:rPr>
            </w:pPr>
            <w:r>
              <w:rPr>
                <w:rFonts w:eastAsiaTheme="minorEastAsia"/>
                <w:szCs w:val="21"/>
              </w:rPr>
              <w:t>37</w:t>
            </w:r>
          </w:p>
        </w:tc>
      </w:tr>
      <w:tr w14:paraId="1E7CD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035D415">
            <w:pPr>
              <w:spacing w:line="320" w:lineRule="exact"/>
              <w:jc w:val="center"/>
              <w:rPr>
                <w:rFonts w:eastAsiaTheme="minorEastAsia"/>
                <w:szCs w:val="21"/>
              </w:rPr>
            </w:pPr>
            <w:r>
              <w:rPr>
                <w:rFonts w:eastAsiaTheme="minorEastAsia"/>
                <w:szCs w:val="21"/>
              </w:rPr>
              <w:t>1,1-二氯乙烷（mg/kg）</w:t>
            </w:r>
          </w:p>
        </w:tc>
        <w:tc>
          <w:tcPr>
            <w:tcW w:w="680" w:type="pct"/>
            <w:vAlign w:val="center"/>
          </w:tcPr>
          <w:p w14:paraId="5449750E">
            <w:pPr>
              <w:widowControl/>
              <w:jc w:val="center"/>
              <w:textAlignment w:val="center"/>
              <w:rPr>
                <w:szCs w:val="21"/>
              </w:rPr>
            </w:pPr>
            <w:r>
              <w:rPr>
                <w:rFonts w:hint="eastAsia"/>
                <w:szCs w:val="21"/>
              </w:rPr>
              <w:t>ND</w:t>
            </w:r>
          </w:p>
        </w:tc>
        <w:tc>
          <w:tcPr>
            <w:tcW w:w="447" w:type="pct"/>
            <w:vAlign w:val="center"/>
          </w:tcPr>
          <w:p w14:paraId="24BBF951">
            <w:pPr>
              <w:spacing w:line="320" w:lineRule="exact"/>
              <w:jc w:val="center"/>
              <w:rPr>
                <w:rFonts w:eastAsiaTheme="minorEastAsia"/>
                <w:szCs w:val="21"/>
              </w:rPr>
            </w:pPr>
            <w:r>
              <w:rPr>
                <w:rFonts w:hint="eastAsia"/>
                <w:szCs w:val="21"/>
              </w:rPr>
              <w:t>ND</w:t>
            </w:r>
          </w:p>
        </w:tc>
        <w:tc>
          <w:tcPr>
            <w:tcW w:w="447" w:type="pct"/>
            <w:vAlign w:val="center"/>
          </w:tcPr>
          <w:p w14:paraId="7A938E59">
            <w:pPr>
              <w:spacing w:line="320" w:lineRule="exact"/>
              <w:jc w:val="center"/>
              <w:rPr>
                <w:szCs w:val="21"/>
              </w:rPr>
            </w:pPr>
            <w:r>
              <w:rPr>
                <w:rFonts w:hint="eastAsia"/>
                <w:szCs w:val="21"/>
              </w:rPr>
              <w:t>ND</w:t>
            </w:r>
          </w:p>
        </w:tc>
        <w:tc>
          <w:tcPr>
            <w:tcW w:w="448" w:type="pct"/>
            <w:vAlign w:val="center"/>
          </w:tcPr>
          <w:p w14:paraId="4BDB999D">
            <w:pPr>
              <w:spacing w:line="320" w:lineRule="exact"/>
              <w:jc w:val="center"/>
              <w:rPr>
                <w:rFonts w:eastAsiaTheme="minorEastAsia"/>
                <w:szCs w:val="21"/>
              </w:rPr>
            </w:pPr>
            <w:r>
              <w:rPr>
                <w:rFonts w:hint="eastAsia"/>
                <w:szCs w:val="21"/>
              </w:rPr>
              <w:t>ND</w:t>
            </w:r>
          </w:p>
        </w:tc>
        <w:tc>
          <w:tcPr>
            <w:tcW w:w="448" w:type="pct"/>
            <w:vAlign w:val="center"/>
          </w:tcPr>
          <w:p w14:paraId="2F31C11E">
            <w:pPr>
              <w:spacing w:line="320" w:lineRule="exact"/>
              <w:jc w:val="center"/>
              <w:rPr>
                <w:rFonts w:eastAsiaTheme="minorEastAsia"/>
                <w:szCs w:val="21"/>
              </w:rPr>
            </w:pPr>
            <w:r>
              <w:rPr>
                <w:rFonts w:hint="eastAsia"/>
                <w:szCs w:val="21"/>
              </w:rPr>
              <w:t>ND</w:t>
            </w:r>
          </w:p>
        </w:tc>
        <w:tc>
          <w:tcPr>
            <w:tcW w:w="448" w:type="pct"/>
            <w:vAlign w:val="center"/>
          </w:tcPr>
          <w:p w14:paraId="3CF15201">
            <w:pPr>
              <w:spacing w:line="320" w:lineRule="exact"/>
              <w:jc w:val="center"/>
              <w:rPr>
                <w:rFonts w:eastAsiaTheme="minorEastAsia"/>
                <w:szCs w:val="21"/>
              </w:rPr>
            </w:pPr>
            <w:r>
              <w:rPr>
                <w:rFonts w:hint="eastAsia"/>
                <w:szCs w:val="21"/>
              </w:rPr>
              <w:t>ND</w:t>
            </w:r>
          </w:p>
        </w:tc>
        <w:tc>
          <w:tcPr>
            <w:tcW w:w="449" w:type="pct"/>
            <w:vAlign w:val="center"/>
          </w:tcPr>
          <w:p w14:paraId="25A76053">
            <w:pPr>
              <w:spacing w:line="320" w:lineRule="exact"/>
              <w:jc w:val="center"/>
              <w:rPr>
                <w:rFonts w:eastAsiaTheme="minorEastAsia"/>
                <w:szCs w:val="21"/>
              </w:rPr>
            </w:pPr>
            <w:r>
              <w:rPr>
                <w:rFonts w:hint="eastAsia"/>
                <w:szCs w:val="21"/>
              </w:rPr>
              <w:t>ND</w:t>
            </w:r>
          </w:p>
        </w:tc>
        <w:tc>
          <w:tcPr>
            <w:tcW w:w="446" w:type="pct"/>
            <w:vAlign w:val="center"/>
          </w:tcPr>
          <w:p w14:paraId="19619430">
            <w:pPr>
              <w:spacing w:line="320" w:lineRule="exact"/>
              <w:jc w:val="center"/>
              <w:rPr>
                <w:rFonts w:eastAsiaTheme="minorEastAsia"/>
                <w:szCs w:val="21"/>
              </w:rPr>
            </w:pPr>
            <w:r>
              <w:rPr>
                <w:rFonts w:eastAsiaTheme="minorEastAsia"/>
                <w:szCs w:val="21"/>
              </w:rPr>
              <w:t>9</w:t>
            </w:r>
          </w:p>
        </w:tc>
      </w:tr>
      <w:tr w14:paraId="7C889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442D7E52">
            <w:pPr>
              <w:spacing w:line="320" w:lineRule="exact"/>
              <w:jc w:val="center"/>
              <w:rPr>
                <w:rFonts w:eastAsiaTheme="minorEastAsia"/>
                <w:szCs w:val="21"/>
              </w:rPr>
            </w:pPr>
            <w:r>
              <w:rPr>
                <w:rFonts w:eastAsiaTheme="minorEastAsia"/>
                <w:szCs w:val="21"/>
              </w:rPr>
              <w:t>1,2-二氯乙烷（mg/kg）</w:t>
            </w:r>
          </w:p>
        </w:tc>
        <w:tc>
          <w:tcPr>
            <w:tcW w:w="680" w:type="pct"/>
            <w:vAlign w:val="center"/>
          </w:tcPr>
          <w:p w14:paraId="146090F5">
            <w:pPr>
              <w:widowControl/>
              <w:jc w:val="center"/>
              <w:textAlignment w:val="center"/>
              <w:rPr>
                <w:szCs w:val="21"/>
              </w:rPr>
            </w:pPr>
            <w:r>
              <w:rPr>
                <w:rFonts w:hint="eastAsia"/>
                <w:szCs w:val="21"/>
              </w:rPr>
              <w:t>ND</w:t>
            </w:r>
          </w:p>
        </w:tc>
        <w:tc>
          <w:tcPr>
            <w:tcW w:w="447" w:type="pct"/>
            <w:vAlign w:val="center"/>
          </w:tcPr>
          <w:p w14:paraId="6E8EA442">
            <w:pPr>
              <w:spacing w:line="320" w:lineRule="exact"/>
              <w:jc w:val="center"/>
              <w:rPr>
                <w:rFonts w:eastAsiaTheme="minorEastAsia"/>
                <w:szCs w:val="21"/>
              </w:rPr>
            </w:pPr>
            <w:r>
              <w:rPr>
                <w:rFonts w:hint="eastAsia"/>
                <w:szCs w:val="21"/>
              </w:rPr>
              <w:t>ND</w:t>
            </w:r>
          </w:p>
        </w:tc>
        <w:tc>
          <w:tcPr>
            <w:tcW w:w="447" w:type="pct"/>
            <w:vAlign w:val="center"/>
          </w:tcPr>
          <w:p w14:paraId="56314E0F">
            <w:pPr>
              <w:spacing w:line="320" w:lineRule="exact"/>
              <w:jc w:val="center"/>
              <w:rPr>
                <w:szCs w:val="21"/>
              </w:rPr>
            </w:pPr>
            <w:r>
              <w:rPr>
                <w:rFonts w:hint="eastAsia"/>
                <w:szCs w:val="21"/>
              </w:rPr>
              <w:t>ND</w:t>
            </w:r>
          </w:p>
        </w:tc>
        <w:tc>
          <w:tcPr>
            <w:tcW w:w="448" w:type="pct"/>
            <w:vAlign w:val="center"/>
          </w:tcPr>
          <w:p w14:paraId="2EADE963">
            <w:pPr>
              <w:spacing w:line="320" w:lineRule="exact"/>
              <w:jc w:val="center"/>
              <w:rPr>
                <w:rFonts w:eastAsiaTheme="minorEastAsia"/>
                <w:szCs w:val="21"/>
              </w:rPr>
            </w:pPr>
            <w:r>
              <w:rPr>
                <w:rFonts w:hint="eastAsia"/>
                <w:szCs w:val="21"/>
              </w:rPr>
              <w:t>ND</w:t>
            </w:r>
          </w:p>
        </w:tc>
        <w:tc>
          <w:tcPr>
            <w:tcW w:w="448" w:type="pct"/>
            <w:vAlign w:val="center"/>
          </w:tcPr>
          <w:p w14:paraId="6DCB4A3F">
            <w:pPr>
              <w:spacing w:line="320" w:lineRule="exact"/>
              <w:jc w:val="center"/>
              <w:rPr>
                <w:rFonts w:eastAsiaTheme="minorEastAsia"/>
                <w:szCs w:val="21"/>
              </w:rPr>
            </w:pPr>
            <w:r>
              <w:rPr>
                <w:rFonts w:hint="eastAsia"/>
                <w:szCs w:val="21"/>
              </w:rPr>
              <w:t>ND</w:t>
            </w:r>
          </w:p>
        </w:tc>
        <w:tc>
          <w:tcPr>
            <w:tcW w:w="448" w:type="pct"/>
            <w:vAlign w:val="center"/>
          </w:tcPr>
          <w:p w14:paraId="005DD7FA">
            <w:pPr>
              <w:spacing w:line="320" w:lineRule="exact"/>
              <w:jc w:val="center"/>
              <w:rPr>
                <w:rFonts w:eastAsiaTheme="minorEastAsia"/>
                <w:szCs w:val="21"/>
              </w:rPr>
            </w:pPr>
            <w:r>
              <w:rPr>
                <w:rFonts w:hint="eastAsia"/>
                <w:szCs w:val="21"/>
              </w:rPr>
              <w:t>ND</w:t>
            </w:r>
          </w:p>
        </w:tc>
        <w:tc>
          <w:tcPr>
            <w:tcW w:w="449" w:type="pct"/>
            <w:vAlign w:val="center"/>
          </w:tcPr>
          <w:p w14:paraId="528F587F">
            <w:pPr>
              <w:spacing w:line="320" w:lineRule="exact"/>
              <w:jc w:val="center"/>
              <w:rPr>
                <w:rFonts w:eastAsiaTheme="minorEastAsia"/>
                <w:szCs w:val="21"/>
              </w:rPr>
            </w:pPr>
            <w:r>
              <w:rPr>
                <w:rFonts w:hint="eastAsia"/>
                <w:szCs w:val="21"/>
              </w:rPr>
              <w:t>ND</w:t>
            </w:r>
          </w:p>
        </w:tc>
        <w:tc>
          <w:tcPr>
            <w:tcW w:w="446" w:type="pct"/>
            <w:vAlign w:val="center"/>
          </w:tcPr>
          <w:p w14:paraId="173F6F27">
            <w:pPr>
              <w:spacing w:line="320" w:lineRule="exact"/>
              <w:jc w:val="center"/>
              <w:rPr>
                <w:rFonts w:eastAsiaTheme="minorEastAsia"/>
                <w:szCs w:val="21"/>
              </w:rPr>
            </w:pPr>
            <w:r>
              <w:rPr>
                <w:rFonts w:eastAsiaTheme="minorEastAsia"/>
                <w:szCs w:val="21"/>
              </w:rPr>
              <w:t>5</w:t>
            </w:r>
          </w:p>
        </w:tc>
      </w:tr>
      <w:tr w14:paraId="698F6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1B3903D">
            <w:pPr>
              <w:spacing w:line="320" w:lineRule="exact"/>
              <w:jc w:val="center"/>
              <w:rPr>
                <w:rFonts w:eastAsiaTheme="minorEastAsia"/>
                <w:szCs w:val="21"/>
              </w:rPr>
            </w:pPr>
            <w:r>
              <w:rPr>
                <w:rFonts w:eastAsiaTheme="minorEastAsia"/>
                <w:szCs w:val="21"/>
              </w:rPr>
              <w:t>1,1-二氯乙烯（mg/kg）</w:t>
            </w:r>
          </w:p>
        </w:tc>
        <w:tc>
          <w:tcPr>
            <w:tcW w:w="680" w:type="pct"/>
            <w:vAlign w:val="center"/>
          </w:tcPr>
          <w:p w14:paraId="681001E1">
            <w:pPr>
              <w:widowControl/>
              <w:jc w:val="center"/>
              <w:textAlignment w:val="center"/>
              <w:rPr>
                <w:szCs w:val="21"/>
              </w:rPr>
            </w:pPr>
            <w:r>
              <w:rPr>
                <w:rFonts w:hint="eastAsia"/>
                <w:szCs w:val="21"/>
              </w:rPr>
              <w:t>ND</w:t>
            </w:r>
          </w:p>
        </w:tc>
        <w:tc>
          <w:tcPr>
            <w:tcW w:w="447" w:type="pct"/>
            <w:vAlign w:val="center"/>
          </w:tcPr>
          <w:p w14:paraId="28F0192E">
            <w:pPr>
              <w:spacing w:line="320" w:lineRule="exact"/>
              <w:jc w:val="center"/>
              <w:rPr>
                <w:rFonts w:eastAsiaTheme="minorEastAsia"/>
                <w:szCs w:val="21"/>
              </w:rPr>
            </w:pPr>
            <w:r>
              <w:rPr>
                <w:rFonts w:hint="eastAsia"/>
                <w:szCs w:val="21"/>
              </w:rPr>
              <w:t>ND</w:t>
            </w:r>
          </w:p>
        </w:tc>
        <w:tc>
          <w:tcPr>
            <w:tcW w:w="447" w:type="pct"/>
            <w:vAlign w:val="center"/>
          </w:tcPr>
          <w:p w14:paraId="42475A8D">
            <w:pPr>
              <w:spacing w:line="320" w:lineRule="exact"/>
              <w:jc w:val="center"/>
              <w:rPr>
                <w:szCs w:val="21"/>
              </w:rPr>
            </w:pPr>
            <w:r>
              <w:rPr>
                <w:rFonts w:hint="eastAsia"/>
                <w:szCs w:val="21"/>
              </w:rPr>
              <w:t>ND</w:t>
            </w:r>
          </w:p>
        </w:tc>
        <w:tc>
          <w:tcPr>
            <w:tcW w:w="448" w:type="pct"/>
            <w:vAlign w:val="center"/>
          </w:tcPr>
          <w:p w14:paraId="463A7FD7">
            <w:pPr>
              <w:spacing w:line="320" w:lineRule="exact"/>
              <w:jc w:val="center"/>
              <w:rPr>
                <w:rFonts w:eastAsiaTheme="minorEastAsia"/>
                <w:szCs w:val="21"/>
              </w:rPr>
            </w:pPr>
            <w:r>
              <w:rPr>
                <w:rFonts w:hint="eastAsia"/>
                <w:szCs w:val="21"/>
              </w:rPr>
              <w:t>ND</w:t>
            </w:r>
          </w:p>
        </w:tc>
        <w:tc>
          <w:tcPr>
            <w:tcW w:w="448" w:type="pct"/>
            <w:vAlign w:val="center"/>
          </w:tcPr>
          <w:p w14:paraId="56B2F960">
            <w:pPr>
              <w:spacing w:line="320" w:lineRule="exact"/>
              <w:jc w:val="center"/>
              <w:rPr>
                <w:rFonts w:eastAsiaTheme="minorEastAsia"/>
                <w:szCs w:val="21"/>
              </w:rPr>
            </w:pPr>
            <w:r>
              <w:rPr>
                <w:rFonts w:hint="eastAsia"/>
                <w:szCs w:val="21"/>
              </w:rPr>
              <w:t>ND</w:t>
            </w:r>
          </w:p>
        </w:tc>
        <w:tc>
          <w:tcPr>
            <w:tcW w:w="448" w:type="pct"/>
            <w:vAlign w:val="center"/>
          </w:tcPr>
          <w:p w14:paraId="7667C068">
            <w:pPr>
              <w:spacing w:line="320" w:lineRule="exact"/>
              <w:jc w:val="center"/>
              <w:rPr>
                <w:rFonts w:eastAsiaTheme="minorEastAsia"/>
                <w:szCs w:val="21"/>
              </w:rPr>
            </w:pPr>
            <w:r>
              <w:rPr>
                <w:rFonts w:hint="eastAsia"/>
                <w:szCs w:val="21"/>
              </w:rPr>
              <w:t>ND</w:t>
            </w:r>
          </w:p>
        </w:tc>
        <w:tc>
          <w:tcPr>
            <w:tcW w:w="449" w:type="pct"/>
            <w:vAlign w:val="center"/>
          </w:tcPr>
          <w:p w14:paraId="03C2543A">
            <w:pPr>
              <w:spacing w:line="320" w:lineRule="exact"/>
              <w:jc w:val="center"/>
              <w:rPr>
                <w:rFonts w:eastAsiaTheme="minorEastAsia"/>
                <w:szCs w:val="21"/>
              </w:rPr>
            </w:pPr>
            <w:r>
              <w:rPr>
                <w:rFonts w:hint="eastAsia"/>
                <w:szCs w:val="21"/>
              </w:rPr>
              <w:t>ND</w:t>
            </w:r>
          </w:p>
        </w:tc>
        <w:tc>
          <w:tcPr>
            <w:tcW w:w="446" w:type="pct"/>
            <w:vAlign w:val="center"/>
          </w:tcPr>
          <w:p w14:paraId="5AA25DDB">
            <w:pPr>
              <w:spacing w:line="320" w:lineRule="exact"/>
              <w:jc w:val="center"/>
              <w:rPr>
                <w:rFonts w:eastAsiaTheme="minorEastAsia"/>
                <w:szCs w:val="21"/>
              </w:rPr>
            </w:pPr>
            <w:r>
              <w:rPr>
                <w:rFonts w:eastAsiaTheme="minorEastAsia"/>
                <w:szCs w:val="21"/>
              </w:rPr>
              <w:t>66</w:t>
            </w:r>
          </w:p>
        </w:tc>
      </w:tr>
      <w:tr w14:paraId="09830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D4BF89A">
            <w:pPr>
              <w:spacing w:line="320" w:lineRule="exact"/>
              <w:jc w:val="center"/>
              <w:rPr>
                <w:rFonts w:eastAsiaTheme="minorEastAsia"/>
                <w:szCs w:val="21"/>
              </w:rPr>
            </w:pPr>
            <w:r>
              <w:rPr>
                <w:rFonts w:eastAsiaTheme="minorEastAsia"/>
                <w:szCs w:val="21"/>
              </w:rPr>
              <w:t>顺-1,2-二氯乙烯（mg/kg）</w:t>
            </w:r>
          </w:p>
        </w:tc>
        <w:tc>
          <w:tcPr>
            <w:tcW w:w="680" w:type="pct"/>
            <w:vAlign w:val="center"/>
          </w:tcPr>
          <w:p w14:paraId="6977DCC4">
            <w:pPr>
              <w:widowControl/>
              <w:jc w:val="center"/>
              <w:textAlignment w:val="center"/>
              <w:rPr>
                <w:szCs w:val="21"/>
              </w:rPr>
            </w:pPr>
            <w:r>
              <w:rPr>
                <w:rFonts w:hint="eastAsia"/>
                <w:szCs w:val="21"/>
              </w:rPr>
              <w:t>ND</w:t>
            </w:r>
          </w:p>
        </w:tc>
        <w:tc>
          <w:tcPr>
            <w:tcW w:w="447" w:type="pct"/>
            <w:vAlign w:val="center"/>
          </w:tcPr>
          <w:p w14:paraId="52C4EA1C">
            <w:pPr>
              <w:spacing w:before="63" w:line="320" w:lineRule="exact"/>
              <w:jc w:val="center"/>
              <w:rPr>
                <w:rFonts w:eastAsiaTheme="minorEastAsia"/>
                <w:szCs w:val="21"/>
              </w:rPr>
            </w:pPr>
            <w:r>
              <w:rPr>
                <w:rFonts w:hint="eastAsia"/>
                <w:szCs w:val="21"/>
              </w:rPr>
              <w:t>ND</w:t>
            </w:r>
          </w:p>
        </w:tc>
        <w:tc>
          <w:tcPr>
            <w:tcW w:w="447" w:type="pct"/>
            <w:vAlign w:val="center"/>
          </w:tcPr>
          <w:p w14:paraId="25A8D50C">
            <w:pPr>
              <w:spacing w:before="63" w:line="320" w:lineRule="exact"/>
              <w:jc w:val="center"/>
              <w:rPr>
                <w:szCs w:val="21"/>
              </w:rPr>
            </w:pPr>
            <w:r>
              <w:rPr>
                <w:rFonts w:hint="eastAsia"/>
                <w:szCs w:val="21"/>
              </w:rPr>
              <w:t>ND</w:t>
            </w:r>
          </w:p>
        </w:tc>
        <w:tc>
          <w:tcPr>
            <w:tcW w:w="448" w:type="pct"/>
            <w:vAlign w:val="center"/>
          </w:tcPr>
          <w:p w14:paraId="2C2BF10F">
            <w:pPr>
              <w:spacing w:before="63" w:line="320" w:lineRule="exact"/>
              <w:jc w:val="center"/>
              <w:rPr>
                <w:rFonts w:eastAsiaTheme="minorEastAsia"/>
                <w:szCs w:val="21"/>
              </w:rPr>
            </w:pPr>
            <w:r>
              <w:rPr>
                <w:rFonts w:hint="eastAsia"/>
                <w:szCs w:val="21"/>
              </w:rPr>
              <w:t>ND</w:t>
            </w:r>
          </w:p>
        </w:tc>
        <w:tc>
          <w:tcPr>
            <w:tcW w:w="448" w:type="pct"/>
            <w:vAlign w:val="center"/>
          </w:tcPr>
          <w:p w14:paraId="24EC35CB">
            <w:pPr>
              <w:spacing w:before="63" w:line="320" w:lineRule="exact"/>
              <w:jc w:val="center"/>
              <w:rPr>
                <w:rFonts w:eastAsiaTheme="minorEastAsia"/>
                <w:szCs w:val="21"/>
              </w:rPr>
            </w:pPr>
            <w:r>
              <w:rPr>
                <w:rFonts w:hint="eastAsia"/>
                <w:szCs w:val="21"/>
              </w:rPr>
              <w:t>ND</w:t>
            </w:r>
          </w:p>
        </w:tc>
        <w:tc>
          <w:tcPr>
            <w:tcW w:w="448" w:type="pct"/>
            <w:vAlign w:val="center"/>
          </w:tcPr>
          <w:p w14:paraId="17642C1E">
            <w:pPr>
              <w:spacing w:before="63" w:line="320" w:lineRule="exact"/>
              <w:jc w:val="center"/>
              <w:rPr>
                <w:rFonts w:eastAsiaTheme="minorEastAsia"/>
                <w:szCs w:val="21"/>
              </w:rPr>
            </w:pPr>
            <w:r>
              <w:rPr>
                <w:rFonts w:hint="eastAsia"/>
                <w:szCs w:val="21"/>
              </w:rPr>
              <w:t>ND</w:t>
            </w:r>
          </w:p>
        </w:tc>
        <w:tc>
          <w:tcPr>
            <w:tcW w:w="449" w:type="pct"/>
            <w:vAlign w:val="center"/>
          </w:tcPr>
          <w:p w14:paraId="4B9EE866">
            <w:pPr>
              <w:spacing w:before="63" w:line="320" w:lineRule="exact"/>
              <w:jc w:val="center"/>
              <w:rPr>
                <w:rFonts w:eastAsiaTheme="minorEastAsia"/>
                <w:szCs w:val="21"/>
              </w:rPr>
            </w:pPr>
            <w:r>
              <w:rPr>
                <w:rFonts w:hint="eastAsia"/>
                <w:szCs w:val="21"/>
              </w:rPr>
              <w:t>ND</w:t>
            </w:r>
          </w:p>
        </w:tc>
        <w:tc>
          <w:tcPr>
            <w:tcW w:w="446" w:type="pct"/>
            <w:vAlign w:val="center"/>
          </w:tcPr>
          <w:p w14:paraId="255521F9">
            <w:pPr>
              <w:spacing w:before="63" w:line="320" w:lineRule="exact"/>
              <w:jc w:val="center"/>
              <w:rPr>
                <w:rFonts w:eastAsiaTheme="minorEastAsia"/>
                <w:szCs w:val="21"/>
              </w:rPr>
            </w:pPr>
            <w:r>
              <w:rPr>
                <w:rFonts w:eastAsiaTheme="minorEastAsia"/>
                <w:szCs w:val="21"/>
              </w:rPr>
              <w:t>596</w:t>
            </w:r>
          </w:p>
        </w:tc>
      </w:tr>
      <w:tr w14:paraId="71C03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7AE88898">
            <w:pPr>
              <w:spacing w:line="320" w:lineRule="exact"/>
              <w:jc w:val="center"/>
              <w:rPr>
                <w:rFonts w:eastAsiaTheme="minorEastAsia"/>
                <w:szCs w:val="21"/>
              </w:rPr>
            </w:pPr>
            <w:r>
              <w:rPr>
                <w:rFonts w:eastAsiaTheme="minorEastAsia"/>
                <w:szCs w:val="21"/>
              </w:rPr>
              <w:t>反-1,2-二氯乙烯（mg/kg）</w:t>
            </w:r>
          </w:p>
        </w:tc>
        <w:tc>
          <w:tcPr>
            <w:tcW w:w="680" w:type="pct"/>
            <w:vAlign w:val="center"/>
          </w:tcPr>
          <w:p w14:paraId="6E5327FE">
            <w:pPr>
              <w:widowControl/>
              <w:jc w:val="center"/>
              <w:textAlignment w:val="center"/>
              <w:rPr>
                <w:szCs w:val="21"/>
              </w:rPr>
            </w:pPr>
            <w:r>
              <w:rPr>
                <w:rFonts w:hint="eastAsia"/>
                <w:szCs w:val="21"/>
              </w:rPr>
              <w:t>ND</w:t>
            </w:r>
          </w:p>
        </w:tc>
        <w:tc>
          <w:tcPr>
            <w:tcW w:w="447" w:type="pct"/>
            <w:vAlign w:val="center"/>
          </w:tcPr>
          <w:p w14:paraId="77656120">
            <w:pPr>
              <w:spacing w:before="61" w:line="320" w:lineRule="exact"/>
              <w:jc w:val="center"/>
              <w:rPr>
                <w:rFonts w:eastAsiaTheme="minorEastAsia"/>
                <w:szCs w:val="21"/>
              </w:rPr>
            </w:pPr>
            <w:r>
              <w:rPr>
                <w:rFonts w:hint="eastAsia"/>
                <w:szCs w:val="21"/>
              </w:rPr>
              <w:t>ND</w:t>
            </w:r>
          </w:p>
        </w:tc>
        <w:tc>
          <w:tcPr>
            <w:tcW w:w="447" w:type="pct"/>
            <w:vAlign w:val="center"/>
          </w:tcPr>
          <w:p w14:paraId="527912F6">
            <w:pPr>
              <w:spacing w:before="61" w:line="320" w:lineRule="exact"/>
              <w:jc w:val="center"/>
              <w:rPr>
                <w:szCs w:val="21"/>
              </w:rPr>
            </w:pPr>
            <w:r>
              <w:rPr>
                <w:rFonts w:hint="eastAsia"/>
                <w:szCs w:val="21"/>
              </w:rPr>
              <w:t>ND</w:t>
            </w:r>
          </w:p>
        </w:tc>
        <w:tc>
          <w:tcPr>
            <w:tcW w:w="448" w:type="pct"/>
            <w:vAlign w:val="center"/>
          </w:tcPr>
          <w:p w14:paraId="647517B2">
            <w:pPr>
              <w:spacing w:before="61" w:line="320" w:lineRule="exact"/>
              <w:jc w:val="center"/>
              <w:rPr>
                <w:rFonts w:eastAsiaTheme="minorEastAsia"/>
                <w:szCs w:val="21"/>
              </w:rPr>
            </w:pPr>
            <w:r>
              <w:rPr>
                <w:rFonts w:hint="eastAsia"/>
                <w:szCs w:val="21"/>
              </w:rPr>
              <w:t>ND</w:t>
            </w:r>
          </w:p>
        </w:tc>
        <w:tc>
          <w:tcPr>
            <w:tcW w:w="448" w:type="pct"/>
            <w:vAlign w:val="center"/>
          </w:tcPr>
          <w:p w14:paraId="4BEF5428">
            <w:pPr>
              <w:spacing w:before="61" w:line="320" w:lineRule="exact"/>
              <w:jc w:val="center"/>
              <w:rPr>
                <w:rFonts w:eastAsiaTheme="minorEastAsia"/>
                <w:szCs w:val="21"/>
              </w:rPr>
            </w:pPr>
            <w:r>
              <w:rPr>
                <w:rFonts w:hint="eastAsia"/>
                <w:szCs w:val="21"/>
              </w:rPr>
              <w:t>ND</w:t>
            </w:r>
          </w:p>
        </w:tc>
        <w:tc>
          <w:tcPr>
            <w:tcW w:w="448" w:type="pct"/>
            <w:vAlign w:val="center"/>
          </w:tcPr>
          <w:p w14:paraId="29863A02">
            <w:pPr>
              <w:spacing w:before="61" w:line="320" w:lineRule="exact"/>
              <w:jc w:val="center"/>
              <w:rPr>
                <w:rFonts w:eastAsiaTheme="minorEastAsia"/>
                <w:szCs w:val="21"/>
              </w:rPr>
            </w:pPr>
            <w:r>
              <w:rPr>
                <w:rFonts w:hint="eastAsia"/>
                <w:szCs w:val="21"/>
              </w:rPr>
              <w:t>ND</w:t>
            </w:r>
          </w:p>
        </w:tc>
        <w:tc>
          <w:tcPr>
            <w:tcW w:w="449" w:type="pct"/>
            <w:vAlign w:val="center"/>
          </w:tcPr>
          <w:p w14:paraId="618A2286">
            <w:pPr>
              <w:spacing w:before="61" w:line="320" w:lineRule="exact"/>
              <w:jc w:val="center"/>
              <w:rPr>
                <w:rFonts w:eastAsiaTheme="minorEastAsia"/>
                <w:szCs w:val="21"/>
              </w:rPr>
            </w:pPr>
            <w:r>
              <w:rPr>
                <w:rFonts w:hint="eastAsia"/>
                <w:szCs w:val="21"/>
              </w:rPr>
              <w:t>ND</w:t>
            </w:r>
          </w:p>
        </w:tc>
        <w:tc>
          <w:tcPr>
            <w:tcW w:w="446" w:type="pct"/>
            <w:vAlign w:val="center"/>
          </w:tcPr>
          <w:p w14:paraId="08952F7B">
            <w:pPr>
              <w:spacing w:before="61" w:line="320" w:lineRule="exact"/>
              <w:jc w:val="center"/>
              <w:rPr>
                <w:rFonts w:eastAsiaTheme="minorEastAsia"/>
                <w:szCs w:val="21"/>
              </w:rPr>
            </w:pPr>
            <w:r>
              <w:rPr>
                <w:rFonts w:eastAsiaTheme="minorEastAsia"/>
                <w:szCs w:val="21"/>
              </w:rPr>
              <w:t>54</w:t>
            </w:r>
          </w:p>
        </w:tc>
      </w:tr>
      <w:tr w14:paraId="3C77B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6C59E58">
            <w:pPr>
              <w:spacing w:line="320" w:lineRule="exact"/>
              <w:jc w:val="center"/>
              <w:rPr>
                <w:rFonts w:eastAsiaTheme="minorEastAsia"/>
                <w:szCs w:val="21"/>
              </w:rPr>
            </w:pPr>
            <w:r>
              <w:rPr>
                <w:rFonts w:eastAsiaTheme="minorEastAsia"/>
                <w:szCs w:val="21"/>
              </w:rPr>
              <w:t>二氯甲烷（mg/kg）</w:t>
            </w:r>
          </w:p>
        </w:tc>
        <w:tc>
          <w:tcPr>
            <w:tcW w:w="680" w:type="pct"/>
            <w:vAlign w:val="center"/>
          </w:tcPr>
          <w:p w14:paraId="09303D0E">
            <w:pPr>
              <w:widowControl/>
              <w:jc w:val="center"/>
              <w:textAlignment w:val="center"/>
              <w:rPr>
                <w:szCs w:val="21"/>
              </w:rPr>
            </w:pPr>
            <w:r>
              <w:rPr>
                <w:rFonts w:hint="eastAsia"/>
                <w:szCs w:val="21"/>
              </w:rPr>
              <w:t>ND</w:t>
            </w:r>
          </w:p>
        </w:tc>
        <w:tc>
          <w:tcPr>
            <w:tcW w:w="447" w:type="pct"/>
            <w:vAlign w:val="center"/>
          </w:tcPr>
          <w:p w14:paraId="143C1BAD">
            <w:pPr>
              <w:spacing w:before="61" w:line="320" w:lineRule="exact"/>
              <w:jc w:val="center"/>
              <w:rPr>
                <w:rFonts w:eastAsiaTheme="minorEastAsia"/>
                <w:szCs w:val="21"/>
              </w:rPr>
            </w:pPr>
            <w:r>
              <w:rPr>
                <w:rFonts w:hint="eastAsia"/>
                <w:szCs w:val="21"/>
              </w:rPr>
              <w:t>ND</w:t>
            </w:r>
          </w:p>
        </w:tc>
        <w:tc>
          <w:tcPr>
            <w:tcW w:w="447" w:type="pct"/>
            <w:vAlign w:val="center"/>
          </w:tcPr>
          <w:p w14:paraId="0B18AFA3">
            <w:pPr>
              <w:spacing w:before="61" w:line="320" w:lineRule="exact"/>
              <w:jc w:val="center"/>
              <w:rPr>
                <w:szCs w:val="21"/>
              </w:rPr>
            </w:pPr>
            <w:r>
              <w:rPr>
                <w:rFonts w:hint="eastAsia"/>
                <w:szCs w:val="21"/>
              </w:rPr>
              <w:t>ND</w:t>
            </w:r>
          </w:p>
        </w:tc>
        <w:tc>
          <w:tcPr>
            <w:tcW w:w="448" w:type="pct"/>
            <w:vAlign w:val="center"/>
          </w:tcPr>
          <w:p w14:paraId="3C9656A3">
            <w:pPr>
              <w:spacing w:before="61" w:line="320" w:lineRule="exact"/>
              <w:jc w:val="center"/>
              <w:rPr>
                <w:rFonts w:eastAsiaTheme="minorEastAsia"/>
                <w:szCs w:val="21"/>
              </w:rPr>
            </w:pPr>
            <w:r>
              <w:rPr>
                <w:rFonts w:hint="eastAsia"/>
                <w:szCs w:val="21"/>
              </w:rPr>
              <w:t>ND</w:t>
            </w:r>
          </w:p>
        </w:tc>
        <w:tc>
          <w:tcPr>
            <w:tcW w:w="448" w:type="pct"/>
            <w:vAlign w:val="center"/>
          </w:tcPr>
          <w:p w14:paraId="26B62F94">
            <w:pPr>
              <w:spacing w:before="61" w:line="320" w:lineRule="exact"/>
              <w:jc w:val="center"/>
              <w:rPr>
                <w:rFonts w:eastAsiaTheme="minorEastAsia"/>
                <w:szCs w:val="21"/>
              </w:rPr>
            </w:pPr>
            <w:r>
              <w:rPr>
                <w:rFonts w:hint="eastAsia"/>
                <w:szCs w:val="21"/>
              </w:rPr>
              <w:t>ND</w:t>
            </w:r>
          </w:p>
        </w:tc>
        <w:tc>
          <w:tcPr>
            <w:tcW w:w="448" w:type="pct"/>
            <w:vAlign w:val="center"/>
          </w:tcPr>
          <w:p w14:paraId="5009D0AC">
            <w:pPr>
              <w:spacing w:before="61" w:line="320" w:lineRule="exact"/>
              <w:jc w:val="center"/>
              <w:rPr>
                <w:rFonts w:eastAsiaTheme="minorEastAsia"/>
                <w:szCs w:val="21"/>
              </w:rPr>
            </w:pPr>
            <w:r>
              <w:rPr>
                <w:rFonts w:hint="eastAsia"/>
                <w:szCs w:val="21"/>
              </w:rPr>
              <w:t>ND</w:t>
            </w:r>
          </w:p>
        </w:tc>
        <w:tc>
          <w:tcPr>
            <w:tcW w:w="449" w:type="pct"/>
            <w:vAlign w:val="center"/>
          </w:tcPr>
          <w:p w14:paraId="6467018E">
            <w:pPr>
              <w:spacing w:before="61" w:line="320" w:lineRule="exact"/>
              <w:jc w:val="center"/>
              <w:rPr>
                <w:rFonts w:eastAsiaTheme="minorEastAsia"/>
                <w:szCs w:val="21"/>
              </w:rPr>
            </w:pPr>
            <w:r>
              <w:rPr>
                <w:rFonts w:hint="eastAsia"/>
                <w:szCs w:val="21"/>
              </w:rPr>
              <w:t>ND</w:t>
            </w:r>
          </w:p>
        </w:tc>
        <w:tc>
          <w:tcPr>
            <w:tcW w:w="446" w:type="pct"/>
            <w:vAlign w:val="center"/>
          </w:tcPr>
          <w:p w14:paraId="1A410300">
            <w:pPr>
              <w:spacing w:before="61" w:line="320" w:lineRule="exact"/>
              <w:jc w:val="center"/>
              <w:rPr>
                <w:rFonts w:eastAsiaTheme="minorEastAsia"/>
                <w:szCs w:val="21"/>
              </w:rPr>
            </w:pPr>
            <w:r>
              <w:rPr>
                <w:rFonts w:eastAsiaTheme="minorEastAsia"/>
                <w:szCs w:val="21"/>
              </w:rPr>
              <w:t>616</w:t>
            </w:r>
          </w:p>
        </w:tc>
      </w:tr>
      <w:tr w14:paraId="3269C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CB30837">
            <w:pPr>
              <w:spacing w:line="320" w:lineRule="exact"/>
              <w:jc w:val="center"/>
              <w:rPr>
                <w:rFonts w:eastAsiaTheme="minorEastAsia"/>
                <w:szCs w:val="21"/>
              </w:rPr>
            </w:pPr>
            <w:r>
              <w:rPr>
                <w:rFonts w:eastAsiaTheme="minorEastAsia"/>
                <w:szCs w:val="21"/>
              </w:rPr>
              <w:t>1,2-二氯丙烷（mg/kg）</w:t>
            </w:r>
          </w:p>
        </w:tc>
        <w:tc>
          <w:tcPr>
            <w:tcW w:w="680" w:type="pct"/>
            <w:vAlign w:val="center"/>
          </w:tcPr>
          <w:p w14:paraId="06FDB79D">
            <w:pPr>
              <w:widowControl/>
              <w:jc w:val="center"/>
              <w:textAlignment w:val="center"/>
              <w:rPr>
                <w:szCs w:val="21"/>
              </w:rPr>
            </w:pPr>
            <w:r>
              <w:rPr>
                <w:rFonts w:hint="eastAsia"/>
                <w:szCs w:val="21"/>
              </w:rPr>
              <w:t>ND</w:t>
            </w:r>
          </w:p>
        </w:tc>
        <w:tc>
          <w:tcPr>
            <w:tcW w:w="447" w:type="pct"/>
            <w:vAlign w:val="center"/>
          </w:tcPr>
          <w:p w14:paraId="53EF50C1">
            <w:pPr>
              <w:spacing w:before="61" w:line="320" w:lineRule="exact"/>
              <w:jc w:val="center"/>
              <w:rPr>
                <w:rFonts w:eastAsiaTheme="minorEastAsia"/>
                <w:szCs w:val="21"/>
              </w:rPr>
            </w:pPr>
            <w:r>
              <w:rPr>
                <w:rFonts w:hint="eastAsia"/>
                <w:szCs w:val="21"/>
              </w:rPr>
              <w:t>ND</w:t>
            </w:r>
          </w:p>
        </w:tc>
        <w:tc>
          <w:tcPr>
            <w:tcW w:w="447" w:type="pct"/>
            <w:vAlign w:val="center"/>
          </w:tcPr>
          <w:p w14:paraId="4B12DC97">
            <w:pPr>
              <w:spacing w:before="61" w:line="320" w:lineRule="exact"/>
              <w:jc w:val="center"/>
              <w:rPr>
                <w:szCs w:val="21"/>
              </w:rPr>
            </w:pPr>
            <w:r>
              <w:rPr>
                <w:rFonts w:hint="eastAsia"/>
                <w:szCs w:val="21"/>
              </w:rPr>
              <w:t>ND</w:t>
            </w:r>
          </w:p>
        </w:tc>
        <w:tc>
          <w:tcPr>
            <w:tcW w:w="448" w:type="pct"/>
            <w:vAlign w:val="center"/>
          </w:tcPr>
          <w:p w14:paraId="1D3EF768">
            <w:pPr>
              <w:spacing w:before="61" w:line="320" w:lineRule="exact"/>
              <w:jc w:val="center"/>
              <w:rPr>
                <w:rFonts w:eastAsiaTheme="minorEastAsia"/>
                <w:szCs w:val="21"/>
              </w:rPr>
            </w:pPr>
            <w:r>
              <w:rPr>
                <w:rFonts w:hint="eastAsia"/>
                <w:szCs w:val="21"/>
              </w:rPr>
              <w:t>ND</w:t>
            </w:r>
          </w:p>
        </w:tc>
        <w:tc>
          <w:tcPr>
            <w:tcW w:w="448" w:type="pct"/>
            <w:vAlign w:val="center"/>
          </w:tcPr>
          <w:p w14:paraId="4B1A2C7E">
            <w:pPr>
              <w:spacing w:before="61" w:line="320" w:lineRule="exact"/>
              <w:jc w:val="center"/>
              <w:rPr>
                <w:rFonts w:eastAsiaTheme="minorEastAsia"/>
                <w:szCs w:val="21"/>
              </w:rPr>
            </w:pPr>
            <w:r>
              <w:rPr>
                <w:rFonts w:hint="eastAsia"/>
                <w:szCs w:val="21"/>
              </w:rPr>
              <w:t>ND</w:t>
            </w:r>
          </w:p>
        </w:tc>
        <w:tc>
          <w:tcPr>
            <w:tcW w:w="448" w:type="pct"/>
            <w:vAlign w:val="center"/>
          </w:tcPr>
          <w:p w14:paraId="663A64D1">
            <w:pPr>
              <w:spacing w:before="61" w:line="320" w:lineRule="exact"/>
              <w:jc w:val="center"/>
              <w:rPr>
                <w:rFonts w:eastAsiaTheme="minorEastAsia"/>
                <w:szCs w:val="21"/>
              </w:rPr>
            </w:pPr>
            <w:r>
              <w:rPr>
                <w:rFonts w:hint="eastAsia"/>
                <w:szCs w:val="21"/>
              </w:rPr>
              <w:t>ND</w:t>
            </w:r>
          </w:p>
        </w:tc>
        <w:tc>
          <w:tcPr>
            <w:tcW w:w="449" w:type="pct"/>
            <w:vAlign w:val="center"/>
          </w:tcPr>
          <w:p w14:paraId="4111C573">
            <w:pPr>
              <w:spacing w:before="61" w:line="320" w:lineRule="exact"/>
              <w:jc w:val="center"/>
              <w:rPr>
                <w:rFonts w:eastAsiaTheme="minorEastAsia"/>
                <w:szCs w:val="21"/>
              </w:rPr>
            </w:pPr>
            <w:r>
              <w:rPr>
                <w:rFonts w:hint="eastAsia"/>
                <w:szCs w:val="21"/>
              </w:rPr>
              <w:t>ND</w:t>
            </w:r>
          </w:p>
        </w:tc>
        <w:tc>
          <w:tcPr>
            <w:tcW w:w="446" w:type="pct"/>
            <w:vAlign w:val="center"/>
          </w:tcPr>
          <w:p w14:paraId="1AEA48DF">
            <w:pPr>
              <w:spacing w:before="61" w:line="320" w:lineRule="exact"/>
              <w:jc w:val="center"/>
              <w:rPr>
                <w:rFonts w:eastAsiaTheme="minorEastAsia"/>
                <w:szCs w:val="21"/>
              </w:rPr>
            </w:pPr>
            <w:r>
              <w:rPr>
                <w:rFonts w:eastAsiaTheme="minorEastAsia"/>
                <w:szCs w:val="21"/>
              </w:rPr>
              <w:t>5</w:t>
            </w:r>
          </w:p>
        </w:tc>
      </w:tr>
      <w:tr w14:paraId="56ADF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3C80DB8B">
            <w:pPr>
              <w:spacing w:line="320" w:lineRule="exact"/>
              <w:jc w:val="center"/>
              <w:rPr>
                <w:rFonts w:eastAsiaTheme="minorEastAsia"/>
                <w:szCs w:val="21"/>
              </w:rPr>
            </w:pPr>
            <w:r>
              <w:rPr>
                <w:rFonts w:eastAsiaTheme="minorEastAsia"/>
                <w:szCs w:val="21"/>
              </w:rPr>
              <w:t>1,1,1,2-四氯乙烷（mg/kg）</w:t>
            </w:r>
          </w:p>
        </w:tc>
        <w:tc>
          <w:tcPr>
            <w:tcW w:w="680" w:type="pct"/>
            <w:vAlign w:val="center"/>
          </w:tcPr>
          <w:p w14:paraId="128067DA">
            <w:pPr>
              <w:widowControl/>
              <w:jc w:val="center"/>
              <w:textAlignment w:val="center"/>
              <w:rPr>
                <w:szCs w:val="21"/>
              </w:rPr>
            </w:pPr>
            <w:r>
              <w:rPr>
                <w:rFonts w:hint="eastAsia"/>
                <w:szCs w:val="21"/>
              </w:rPr>
              <w:t>ND</w:t>
            </w:r>
          </w:p>
        </w:tc>
        <w:tc>
          <w:tcPr>
            <w:tcW w:w="447" w:type="pct"/>
            <w:vAlign w:val="center"/>
          </w:tcPr>
          <w:p w14:paraId="16D1FF6C">
            <w:pPr>
              <w:spacing w:before="63" w:line="320" w:lineRule="exact"/>
              <w:ind w:left="5"/>
              <w:jc w:val="center"/>
              <w:rPr>
                <w:rFonts w:eastAsiaTheme="minorEastAsia"/>
                <w:szCs w:val="21"/>
              </w:rPr>
            </w:pPr>
            <w:r>
              <w:rPr>
                <w:rFonts w:hint="eastAsia"/>
                <w:szCs w:val="21"/>
              </w:rPr>
              <w:t>ND</w:t>
            </w:r>
          </w:p>
        </w:tc>
        <w:tc>
          <w:tcPr>
            <w:tcW w:w="447" w:type="pct"/>
            <w:vAlign w:val="center"/>
          </w:tcPr>
          <w:p w14:paraId="21D06C31">
            <w:pPr>
              <w:spacing w:before="63" w:line="320" w:lineRule="exact"/>
              <w:ind w:left="5"/>
              <w:jc w:val="center"/>
              <w:rPr>
                <w:szCs w:val="21"/>
              </w:rPr>
            </w:pPr>
            <w:r>
              <w:rPr>
                <w:rFonts w:hint="eastAsia"/>
                <w:szCs w:val="21"/>
              </w:rPr>
              <w:t>ND</w:t>
            </w:r>
          </w:p>
        </w:tc>
        <w:tc>
          <w:tcPr>
            <w:tcW w:w="448" w:type="pct"/>
            <w:vAlign w:val="center"/>
          </w:tcPr>
          <w:p w14:paraId="6079E137">
            <w:pPr>
              <w:spacing w:before="63" w:line="320" w:lineRule="exact"/>
              <w:ind w:left="5"/>
              <w:jc w:val="center"/>
              <w:rPr>
                <w:rFonts w:eastAsiaTheme="minorEastAsia"/>
                <w:szCs w:val="21"/>
              </w:rPr>
            </w:pPr>
            <w:r>
              <w:rPr>
                <w:rFonts w:hint="eastAsia"/>
                <w:szCs w:val="21"/>
              </w:rPr>
              <w:t>ND</w:t>
            </w:r>
          </w:p>
        </w:tc>
        <w:tc>
          <w:tcPr>
            <w:tcW w:w="448" w:type="pct"/>
            <w:vAlign w:val="center"/>
          </w:tcPr>
          <w:p w14:paraId="2BA6CB77">
            <w:pPr>
              <w:spacing w:before="63" w:line="320" w:lineRule="exact"/>
              <w:ind w:left="5"/>
              <w:jc w:val="center"/>
              <w:rPr>
                <w:rFonts w:eastAsiaTheme="minorEastAsia"/>
                <w:szCs w:val="21"/>
              </w:rPr>
            </w:pPr>
            <w:r>
              <w:rPr>
                <w:rFonts w:hint="eastAsia"/>
                <w:szCs w:val="21"/>
              </w:rPr>
              <w:t>ND</w:t>
            </w:r>
          </w:p>
        </w:tc>
        <w:tc>
          <w:tcPr>
            <w:tcW w:w="448" w:type="pct"/>
            <w:vAlign w:val="center"/>
          </w:tcPr>
          <w:p w14:paraId="3D3385AB">
            <w:pPr>
              <w:spacing w:before="63" w:line="320" w:lineRule="exact"/>
              <w:ind w:left="5"/>
              <w:jc w:val="center"/>
              <w:rPr>
                <w:rFonts w:eastAsiaTheme="minorEastAsia"/>
                <w:szCs w:val="21"/>
              </w:rPr>
            </w:pPr>
            <w:r>
              <w:rPr>
                <w:rFonts w:hint="eastAsia"/>
                <w:szCs w:val="21"/>
              </w:rPr>
              <w:t>ND</w:t>
            </w:r>
          </w:p>
        </w:tc>
        <w:tc>
          <w:tcPr>
            <w:tcW w:w="449" w:type="pct"/>
            <w:vAlign w:val="center"/>
          </w:tcPr>
          <w:p w14:paraId="014CFCB1">
            <w:pPr>
              <w:spacing w:before="63" w:line="320" w:lineRule="exact"/>
              <w:ind w:left="5"/>
              <w:jc w:val="center"/>
              <w:rPr>
                <w:rFonts w:eastAsiaTheme="minorEastAsia"/>
                <w:szCs w:val="21"/>
              </w:rPr>
            </w:pPr>
            <w:r>
              <w:rPr>
                <w:rFonts w:hint="eastAsia"/>
                <w:szCs w:val="21"/>
              </w:rPr>
              <w:t>ND</w:t>
            </w:r>
          </w:p>
        </w:tc>
        <w:tc>
          <w:tcPr>
            <w:tcW w:w="446" w:type="pct"/>
            <w:vAlign w:val="center"/>
          </w:tcPr>
          <w:p w14:paraId="071F4092">
            <w:pPr>
              <w:spacing w:before="63" w:line="320" w:lineRule="exact"/>
              <w:ind w:left="5"/>
              <w:jc w:val="center"/>
              <w:rPr>
                <w:rFonts w:eastAsiaTheme="minorEastAsia"/>
                <w:szCs w:val="21"/>
              </w:rPr>
            </w:pPr>
            <w:r>
              <w:rPr>
                <w:rFonts w:eastAsiaTheme="minorEastAsia"/>
                <w:szCs w:val="21"/>
              </w:rPr>
              <w:t>10</w:t>
            </w:r>
          </w:p>
        </w:tc>
      </w:tr>
      <w:tr w14:paraId="67B28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AE514DD">
            <w:pPr>
              <w:spacing w:line="320" w:lineRule="exact"/>
              <w:jc w:val="center"/>
              <w:rPr>
                <w:rFonts w:eastAsiaTheme="minorEastAsia"/>
                <w:szCs w:val="21"/>
              </w:rPr>
            </w:pPr>
            <w:r>
              <w:rPr>
                <w:rFonts w:eastAsiaTheme="minorEastAsia"/>
                <w:szCs w:val="21"/>
              </w:rPr>
              <w:t>1,1,2,2-四氯乙烷（mg/kg）</w:t>
            </w:r>
          </w:p>
        </w:tc>
        <w:tc>
          <w:tcPr>
            <w:tcW w:w="680" w:type="pct"/>
            <w:vAlign w:val="center"/>
          </w:tcPr>
          <w:p w14:paraId="68689144">
            <w:pPr>
              <w:widowControl/>
              <w:jc w:val="center"/>
              <w:textAlignment w:val="center"/>
              <w:rPr>
                <w:szCs w:val="21"/>
              </w:rPr>
            </w:pPr>
            <w:r>
              <w:rPr>
                <w:rFonts w:hint="eastAsia"/>
                <w:szCs w:val="21"/>
              </w:rPr>
              <w:t>ND</w:t>
            </w:r>
          </w:p>
        </w:tc>
        <w:tc>
          <w:tcPr>
            <w:tcW w:w="447" w:type="pct"/>
            <w:vAlign w:val="center"/>
          </w:tcPr>
          <w:p w14:paraId="79521ECC">
            <w:pPr>
              <w:spacing w:before="61" w:line="320" w:lineRule="exact"/>
              <w:ind w:left="5"/>
              <w:jc w:val="center"/>
              <w:rPr>
                <w:rFonts w:eastAsiaTheme="minorEastAsia"/>
                <w:szCs w:val="21"/>
              </w:rPr>
            </w:pPr>
            <w:r>
              <w:rPr>
                <w:rFonts w:hint="eastAsia"/>
                <w:szCs w:val="21"/>
              </w:rPr>
              <w:t>ND</w:t>
            </w:r>
          </w:p>
        </w:tc>
        <w:tc>
          <w:tcPr>
            <w:tcW w:w="447" w:type="pct"/>
            <w:vAlign w:val="center"/>
          </w:tcPr>
          <w:p w14:paraId="516847A9">
            <w:pPr>
              <w:spacing w:before="61" w:line="320" w:lineRule="exact"/>
              <w:ind w:left="5"/>
              <w:jc w:val="center"/>
              <w:rPr>
                <w:szCs w:val="21"/>
              </w:rPr>
            </w:pPr>
            <w:r>
              <w:rPr>
                <w:rFonts w:hint="eastAsia"/>
                <w:szCs w:val="21"/>
              </w:rPr>
              <w:t>ND</w:t>
            </w:r>
          </w:p>
        </w:tc>
        <w:tc>
          <w:tcPr>
            <w:tcW w:w="448" w:type="pct"/>
            <w:vAlign w:val="center"/>
          </w:tcPr>
          <w:p w14:paraId="48895319">
            <w:pPr>
              <w:spacing w:before="61" w:line="320" w:lineRule="exact"/>
              <w:ind w:left="5"/>
              <w:jc w:val="center"/>
              <w:rPr>
                <w:rFonts w:eastAsiaTheme="minorEastAsia"/>
                <w:szCs w:val="21"/>
              </w:rPr>
            </w:pPr>
            <w:r>
              <w:rPr>
                <w:rFonts w:hint="eastAsia"/>
                <w:szCs w:val="21"/>
              </w:rPr>
              <w:t>ND</w:t>
            </w:r>
          </w:p>
        </w:tc>
        <w:tc>
          <w:tcPr>
            <w:tcW w:w="448" w:type="pct"/>
            <w:vAlign w:val="center"/>
          </w:tcPr>
          <w:p w14:paraId="6B14F1FB">
            <w:pPr>
              <w:spacing w:before="61" w:line="320" w:lineRule="exact"/>
              <w:ind w:left="5"/>
              <w:jc w:val="center"/>
              <w:rPr>
                <w:rFonts w:eastAsiaTheme="minorEastAsia"/>
                <w:szCs w:val="21"/>
              </w:rPr>
            </w:pPr>
            <w:r>
              <w:rPr>
                <w:rFonts w:hint="eastAsia"/>
                <w:szCs w:val="21"/>
              </w:rPr>
              <w:t>ND</w:t>
            </w:r>
          </w:p>
        </w:tc>
        <w:tc>
          <w:tcPr>
            <w:tcW w:w="448" w:type="pct"/>
            <w:vAlign w:val="center"/>
          </w:tcPr>
          <w:p w14:paraId="5B555E15">
            <w:pPr>
              <w:spacing w:before="61" w:line="320" w:lineRule="exact"/>
              <w:ind w:left="5"/>
              <w:jc w:val="center"/>
              <w:rPr>
                <w:rFonts w:eastAsiaTheme="minorEastAsia"/>
                <w:szCs w:val="21"/>
              </w:rPr>
            </w:pPr>
            <w:r>
              <w:rPr>
                <w:rFonts w:hint="eastAsia"/>
                <w:szCs w:val="21"/>
              </w:rPr>
              <w:t>ND</w:t>
            </w:r>
          </w:p>
        </w:tc>
        <w:tc>
          <w:tcPr>
            <w:tcW w:w="449" w:type="pct"/>
            <w:vAlign w:val="center"/>
          </w:tcPr>
          <w:p w14:paraId="6D9C061B">
            <w:pPr>
              <w:spacing w:before="61" w:line="320" w:lineRule="exact"/>
              <w:ind w:left="5"/>
              <w:jc w:val="center"/>
              <w:rPr>
                <w:rFonts w:eastAsiaTheme="minorEastAsia"/>
                <w:szCs w:val="21"/>
              </w:rPr>
            </w:pPr>
            <w:r>
              <w:rPr>
                <w:rFonts w:hint="eastAsia"/>
                <w:szCs w:val="21"/>
              </w:rPr>
              <w:t>ND</w:t>
            </w:r>
          </w:p>
        </w:tc>
        <w:tc>
          <w:tcPr>
            <w:tcW w:w="446" w:type="pct"/>
            <w:vAlign w:val="center"/>
          </w:tcPr>
          <w:p w14:paraId="7118C720">
            <w:pPr>
              <w:spacing w:before="61" w:line="320" w:lineRule="exact"/>
              <w:ind w:left="5"/>
              <w:jc w:val="center"/>
              <w:rPr>
                <w:rFonts w:eastAsiaTheme="minorEastAsia"/>
                <w:szCs w:val="21"/>
              </w:rPr>
            </w:pPr>
            <w:r>
              <w:rPr>
                <w:rFonts w:eastAsiaTheme="minorEastAsia"/>
                <w:szCs w:val="21"/>
              </w:rPr>
              <w:t>6.8</w:t>
            </w:r>
          </w:p>
        </w:tc>
      </w:tr>
      <w:tr w14:paraId="07FC2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64DA2180">
            <w:pPr>
              <w:spacing w:line="320" w:lineRule="exact"/>
              <w:jc w:val="center"/>
              <w:rPr>
                <w:rFonts w:eastAsiaTheme="minorEastAsia"/>
                <w:szCs w:val="21"/>
              </w:rPr>
            </w:pPr>
            <w:r>
              <w:rPr>
                <w:rFonts w:eastAsiaTheme="minorEastAsia"/>
                <w:szCs w:val="21"/>
              </w:rPr>
              <w:t>四氯乙烯（mg/kg）</w:t>
            </w:r>
          </w:p>
        </w:tc>
        <w:tc>
          <w:tcPr>
            <w:tcW w:w="680" w:type="pct"/>
            <w:vAlign w:val="center"/>
          </w:tcPr>
          <w:p w14:paraId="5A32E2AD">
            <w:pPr>
              <w:widowControl/>
              <w:jc w:val="center"/>
              <w:textAlignment w:val="center"/>
              <w:rPr>
                <w:szCs w:val="21"/>
              </w:rPr>
            </w:pPr>
            <w:r>
              <w:rPr>
                <w:rFonts w:hint="eastAsia"/>
                <w:szCs w:val="21"/>
              </w:rPr>
              <w:t>ND</w:t>
            </w:r>
          </w:p>
        </w:tc>
        <w:tc>
          <w:tcPr>
            <w:tcW w:w="447" w:type="pct"/>
            <w:vAlign w:val="center"/>
          </w:tcPr>
          <w:p w14:paraId="097D63B1">
            <w:pPr>
              <w:spacing w:before="61" w:line="320" w:lineRule="exact"/>
              <w:jc w:val="center"/>
              <w:rPr>
                <w:rFonts w:eastAsiaTheme="minorEastAsia"/>
                <w:szCs w:val="21"/>
              </w:rPr>
            </w:pPr>
            <w:r>
              <w:rPr>
                <w:rFonts w:hint="eastAsia"/>
                <w:szCs w:val="21"/>
              </w:rPr>
              <w:t>ND</w:t>
            </w:r>
          </w:p>
        </w:tc>
        <w:tc>
          <w:tcPr>
            <w:tcW w:w="447" w:type="pct"/>
            <w:vAlign w:val="center"/>
          </w:tcPr>
          <w:p w14:paraId="30C838AC">
            <w:pPr>
              <w:spacing w:before="61" w:line="320" w:lineRule="exact"/>
              <w:jc w:val="center"/>
              <w:rPr>
                <w:szCs w:val="21"/>
              </w:rPr>
            </w:pPr>
            <w:r>
              <w:rPr>
                <w:rFonts w:hint="eastAsia"/>
                <w:szCs w:val="21"/>
              </w:rPr>
              <w:t>ND</w:t>
            </w:r>
          </w:p>
        </w:tc>
        <w:tc>
          <w:tcPr>
            <w:tcW w:w="448" w:type="pct"/>
            <w:vAlign w:val="center"/>
          </w:tcPr>
          <w:p w14:paraId="38C910BE">
            <w:pPr>
              <w:spacing w:before="61" w:line="320" w:lineRule="exact"/>
              <w:jc w:val="center"/>
              <w:rPr>
                <w:rFonts w:eastAsiaTheme="minorEastAsia"/>
                <w:szCs w:val="21"/>
              </w:rPr>
            </w:pPr>
            <w:r>
              <w:rPr>
                <w:rFonts w:hint="eastAsia"/>
                <w:szCs w:val="21"/>
              </w:rPr>
              <w:t>ND</w:t>
            </w:r>
          </w:p>
        </w:tc>
        <w:tc>
          <w:tcPr>
            <w:tcW w:w="448" w:type="pct"/>
            <w:vAlign w:val="center"/>
          </w:tcPr>
          <w:p w14:paraId="3ECEEA4C">
            <w:pPr>
              <w:spacing w:before="61" w:line="320" w:lineRule="exact"/>
              <w:jc w:val="center"/>
              <w:rPr>
                <w:rFonts w:eastAsiaTheme="minorEastAsia"/>
                <w:szCs w:val="21"/>
              </w:rPr>
            </w:pPr>
            <w:r>
              <w:rPr>
                <w:rFonts w:hint="eastAsia"/>
                <w:szCs w:val="21"/>
              </w:rPr>
              <w:t>ND</w:t>
            </w:r>
          </w:p>
        </w:tc>
        <w:tc>
          <w:tcPr>
            <w:tcW w:w="448" w:type="pct"/>
            <w:vAlign w:val="center"/>
          </w:tcPr>
          <w:p w14:paraId="25BC96DA">
            <w:pPr>
              <w:spacing w:before="61" w:line="320" w:lineRule="exact"/>
              <w:jc w:val="center"/>
              <w:rPr>
                <w:rFonts w:eastAsiaTheme="minorEastAsia"/>
                <w:szCs w:val="21"/>
              </w:rPr>
            </w:pPr>
            <w:r>
              <w:rPr>
                <w:rFonts w:hint="eastAsia"/>
                <w:szCs w:val="21"/>
              </w:rPr>
              <w:t>ND</w:t>
            </w:r>
          </w:p>
        </w:tc>
        <w:tc>
          <w:tcPr>
            <w:tcW w:w="449" w:type="pct"/>
            <w:vAlign w:val="center"/>
          </w:tcPr>
          <w:p w14:paraId="29B61FF9">
            <w:pPr>
              <w:spacing w:before="61" w:line="320" w:lineRule="exact"/>
              <w:jc w:val="center"/>
              <w:rPr>
                <w:rFonts w:eastAsiaTheme="minorEastAsia"/>
                <w:szCs w:val="21"/>
              </w:rPr>
            </w:pPr>
            <w:r>
              <w:rPr>
                <w:rFonts w:hint="eastAsia"/>
                <w:szCs w:val="21"/>
              </w:rPr>
              <w:t>ND</w:t>
            </w:r>
          </w:p>
        </w:tc>
        <w:tc>
          <w:tcPr>
            <w:tcW w:w="446" w:type="pct"/>
            <w:vAlign w:val="center"/>
          </w:tcPr>
          <w:p w14:paraId="1CA44C26">
            <w:pPr>
              <w:spacing w:before="61" w:line="320" w:lineRule="exact"/>
              <w:jc w:val="center"/>
              <w:rPr>
                <w:rFonts w:eastAsiaTheme="minorEastAsia"/>
                <w:szCs w:val="21"/>
              </w:rPr>
            </w:pPr>
            <w:r>
              <w:rPr>
                <w:rFonts w:eastAsiaTheme="minorEastAsia"/>
                <w:szCs w:val="21"/>
              </w:rPr>
              <w:t>53</w:t>
            </w:r>
          </w:p>
        </w:tc>
      </w:tr>
      <w:tr w14:paraId="42512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E23D508">
            <w:pPr>
              <w:spacing w:line="320" w:lineRule="exact"/>
              <w:jc w:val="center"/>
              <w:rPr>
                <w:rFonts w:eastAsiaTheme="minorEastAsia"/>
                <w:szCs w:val="21"/>
              </w:rPr>
            </w:pPr>
            <w:r>
              <w:rPr>
                <w:rFonts w:eastAsiaTheme="minorEastAsia"/>
                <w:szCs w:val="21"/>
              </w:rPr>
              <w:t>1,1,1-三氯乙烷（mg/kg）</w:t>
            </w:r>
          </w:p>
        </w:tc>
        <w:tc>
          <w:tcPr>
            <w:tcW w:w="680" w:type="pct"/>
            <w:vAlign w:val="center"/>
          </w:tcPr>
          <w:p w14:paraId="2108F4C5">
            <w:pPr>
              <w:widowControl/>
              <w:jc w:val="center"/>
              <w:textAlignment w:val="center"/>
              <w:rPr>
                <w:szCs w:val="21"/>
              </w:rPr>
            </w:pPr>
            <w:r>
              <w:rPr>
                <w:rFonts w:hint="eastAsia"/>
                <w:szCs w:val="21"/>
              </w:rPr>
              <w:t>ND</w:t>
            </w:r>
          </w:p>
        </w:tc>
        <w:tc>
          <w:tcPr>
            <w:tcW w:w="447" w:type="pct"/>
            <w:vAlign w:val="center"/>
          </w:tcPr>
          <w:p w14:paraId="429C0523">
            <w:pPr>
              <w:spacing w:before="61" w:line="320" w:lineRule="exact"/>
              <w:jc w:val="center"/>
              <w:rPr>
                <w:rFonts w:eastAsiaTheme="minorEastAsia"/>
                <w:szCs w:val="21"/>
              </w:rPr>
            </w:pPr>
            <w:r>
              <w:rPr>
                <w:rFonts w:hint="eastAsia"/>
                <w:szCs w:val="21"/>
              </w:rPr>
              <w:t>ND</w:t>
            </w:r>
          </w:p>
        </w:tc>
        <w:tc>
          <w:tcPr>
            <w:tcW w:w="447" w:type="pct"/>
            <w:vAlign w:val="center"/>
          </w:tcPr>
          <w:p w14:paraId="09CA6225">
            <w:pPr>
              <w:spacing w:before="61" w:line="320" w:lineRule="exact"/>
              <w:jc w:val="center"/>
              <w:rPr>
                <w:szCs w:val="21"/>
              </w:rPr>
            </w:pPr>
            <w:r>
              <w:rPr>
                <w:rFonts w:hint="eastAsia"/>
                <w:szCs w:val="21"/>
              </w:rPr>
              <w:t>ND</w:t>
            </w:r>
          </w:p>
        </w:tc>
        <w:tc>
          <w:tcPr>
            <w:tcW w:w="448" w:type="pct"/>
            <w:vAlign w:val="center"/>
          </w:tcPr>
          <w:p w14:paraId="183A594F">
            <w:pPr>
              <w:spacing w:before="61" w:line="320" w:lineRule="exact"/>
              <w:jc w:val="center"/>
              <w:rPr>
                <w:rFonts w:eastAsiaTheme="minorEastAsia"/>
                <w:szCs w:val="21"/>
              </w:rPr>
            </w:pPr>
            <w:r>
              <w:rPr>
                <w:rFonts w:hint="eastAsia"/>
                <w:szCs w:val="21"/>
              </w:rPr>
              <w:t>ND</w:t>
            </w:r>
          </w:p>
        </w:tc>
        <w:tc>
          <w:tcPr>
            <w:tcW w:w="448" w:type="pct"/>
            <w:vAlign w:val="center"/>
          </w:tcPr>
          <w:p w14:paraId="748FD82C">
            <w:pPr>
              <w:spacing w:before="61" w:line="320" w:lineRule="exact"/>
              <w:jc w:val="center"/>
              <w:rPr>
                <w:rFonts w:eastAsiaTheme="minorEastAsia"/>
                <w:szCs w:val="21"/>
              </w:rPr>
            </w:pPr>
            <w:r>
              <w:rPr>
                <w:rFonts w:hint="eastAsia"/>
                <w:szCs w:val="21"/>
              </w:rPr>
              <w:t>ND</w:t>
            </w:r>
          </w:p>
        </w:tc>
        <w:tc>
          <w:tcPr>
            <w:tcW w:w="448" w:type="pct"/>
            <w:vAlign w:val="center"/>
          </w:tcPr>
          <w:p w14:paraId="5C1100EB">
            <w:pPr>
              <w:spacing w:before="61" w:line="320" w:lineRule="exact"/>
              <w:jc w:val="center"/>
              <w:rPr>
                <w:rFonts w:eastAsiaTheme="minorEastAsia"/>
                <w:szCs w:val="21"/>
              </w:rPr>
            </w:pPr>
            <w:r>
              <w:rPr>
                <w:rFonts w:hint="eastAsia"/>
                <w:szCs w:val="21"/>
              </w:rPr>
              <w:t>ND</w:t>
            </w:r>
          </w:p>
        </w:tc>
        <w:tc>
          <w:tcPr>
            <w:tcW w:w="449" w:type="pct"/>
            <w:vAlign w:val="center"/>
          </w:tcPr>
          <w:p w14:paraId="412C52C6">
            <w:pPr>
              <w:spacing w:before="61" w:line="320" w:lineRule="exact"/>
              <w:jc w:val="center"/>
              <w:rPr>
                <w:rFonts w:eastAsiaTheme="minorEastAsia"/>
                <w:szCs w:val="21"/>
              </w:rPr>
            </w:pPr>
            <w:r>
              <w:rPr>
                <w:rFonts w:hint="eastAsia"/>
                <w:szCs w:val="21"/>
              </w:rPr>
              <w:t>ND</w:t>
            </w:r>
          </w:p>
        </w:tc>
        <w:tc>
          <w:tcPr>
            <w:tcW w:w="446" w:type="pct"/>
            <w:vAlign w:val="center"/>
          </w:tcPr>
          <w:p w14:paraId="58998EF3">
            <w:pPr>
              <w:spacing w:before="61" w:line="320" w:lineRule="exact"/>
              <w:jc w:val="center"/>
              <w:rPr>
                <w:rFonts w:eastAsiaTheme="minorEastAsia"/>
                <w:szCs w:val="21"/>
              </w:rPr>
            </w:pPr>
            <w:r>
              <w:rPr>
                <w:rFonts w:eastAsiaTheme="minorEastAsia"/>
                <w:szCs w:val="21"/>
              </w:rPr>
              <w:t>840</w:t>
            </w:r>
          </w:p>
        </w:tc>
      </w:tr>
      <w:tr w14:paraId="32BC1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70AFBDD">
            <w:pPr>
              <w:spacing w:line="320" w:lineRule="exact"/>
              <w:jc w:val="center"/>
              <w:rPr>
                <w:rFonts w:eastAsiaTheme="minorEastAsia"/>
                <w:szCs w:val="21"/>
              </w:rPr>
            </w:pPr>
            <w:r>
              <w:rPr>
                <w:rFonts w:eastAsiaTheme="minorEastAsia"/>
                <w:szCs w:val="21"/>
              </w:rPr>
              <w:t>1,1,2-三氯乙烷（mg/kg）</w:t>
            </w:r>
          </w:p>
        </w:tc>
        <w:tc>
          <w:tcPr>
            <w:tcW w:w="680" w:type="pct"/>
            <w:vAlign w:val="center"/>
          </w:tcPr>
          <w:p w14:paraId="26581872">
            <w:pPr>
              <w:widowControl/>
              <w:jc w:val="center"/>
              <w:textAlignment w:val="center"/>
              <w:rPr>
                <w:szCs w:val="21"/>
              </w:rPr>
            </w:pPr>
            <w:r>
              <w:rPr>
                <w:rFonts w:hint="eastAsia"/>
                <w:szCs w:val="21"/>
              </w:rPr>
              <w:t>ND</w:t>
            </w:r>
          </w:p>
        </w:tc>
        <w:tc>
          <w:tcPr>
            <w:tcW w:w="447" w:type="pct"/>
            <w:vAlign w:val="center"/>
          </w:tcPr>
          <w:p w14:paraId="675D4CE4">
            <w:pPr>
              <w:spacing w:before="61" w:line="320" w:lineRule="exact"/>
              <w:ind w:left="5"/>
              <w:jc w:val="center"/>
              <w:rPr>
                <w:rFonts w:eastAsiaTheme="minorEastAsia"/>
                <w:szCs w:val="21"/>
              </w:rPr>
            </w:pPr>
            <w:r>
              <w:rPr>
                <w:rFonts w:hint="eastAsia"/>
                <w:szCs w:val="21"/>
              </w:rPr>
              <w:t>ND</w:t>
            </w:r>
          </w:p>
        </w:tc>
        <w:tc>
          <w:tcPr>
            <w:tcW w:w="447" w:type="pct"/>
            <w:vAlign w:val="center"/>
          </w:tcPr>
          <w:p w14:paraId="61D454E2">
            <w:pPr>
              <w:spacing w:before="61" w:line="320" w:lineRule="exact"/>
              <w:ind w:left="5"/>
              <w:jc w:val="center"/>
              <w:rPr>
                <w:szCs w:val="21"/>
              </w:rPr>
            </w:pPr>
            <w:r>
              <w:rPr>
                <w:rFonts w:hint="eastAsia"/>
                <w:szCs w:val="21"/>
              </w:rPr>
              <w:t>ND</w:t>
            </w:r>
          </w:p>
        </w:tc>
        <w:tc>
          <w:tcPr>
            <w:tcW w:w="448" w:type="pct"/>
            <w:vAlign w:val="center"/>
          </w:tcPr>
          <w:p w14:paraId="43DAEC06">
            <w:pPr>
              <w:spacing w:before="61" w:line="320" w:lineRule="exact"/>
              <w:ind w:left="5"/>
              <w:jc w:val="center"/>
              <w:rPr>
                <w:rFonts w:eastAsiaTheme="minorEastAsia"/>
                <w:szCs w:val="21"/>
              </w:rPr>
            </w:pPr>
            <w:r>
              <w:rPr>
                <w:rFonts w:hint="eastAsia"/>
                <w:szCs w:val="21"/>
              </w:rPr>
              <w:t>ND</w:t>
            </w:r>
          </w:p>
        </w:tc>
        <w:tc>
          <w:tcPr>
            <w:tcW w:w="448" w:type="pct"/>
            <w:vAlign w:val="center"/>
          </w:tcPr>
          <w:p w14:paraId="288EB058">
            <w:pPr>
              <w:spacing w:before="61" w:line="320" w:lineRule="exact"/>
              <w:ind w:left="5"/>
              <w:jc w:val="center"/>
              <w:rPr>
                <w:rFonts w:eastAsiaTheme="minorEastAsia"/>
                <w:szCs w:val="21"/>
              </w:rPr>
            </w:pPr>
            <w:r>
              <w:rPr>
                <w:rFonts w:hint="eastAsia"/>
                <w:szCs w:val="21"/>
              </w:rPr>
              <w:t>ND</w:t>
            </w:r>
          </w:p>
        </w:tc>
        <w:tc>
          <w:tcPr>
            <w:tcW w:w="448" w:type="pct"/>
            <w:vAlign w:val="center"/>
          </w:tcPr>
          <w:p w14:paraId="61EA344B">
            <w:pPr>
              <w:spacing w:before="61" w:line="320" w:lineRule="exact"/>
              <w:ind w:left="5"/>
              <w:jc w:val="center"/>
              <w:rPr>
                <w:rFonts w:eastAsiaTheme="minorEastAsia"/>
                <w:szCs w:val="21"/>
              </w:rPr>
            </w:pPr>
            <w:r>
              <w:rPr>
                <w:rFonts w:hint="eastAsia"/>
                <w:szCs w:val="21"/>
              </w:rPr>
              <w:t>ND</w:t>
            </w:r>
          </w:p>
        </w:tc>
        <w:tc>
          <w:tcPr>
            <w:tcW w:w="449" w:type="pct"/>
            <w:vAlign w:val="center"/>
          </w:tcPr>
          <w:p w14:paraId="0C336F7D">
            <w:pPr>
              <w:spacing w:before="61" w:line="320" w:lineRule="exact"/>
              <w:ind w:left="5"/>
              <w:jc w:val="center"/>
              <w:rPr>
                <w:rFonts w:eastAsiaTheme="minorEastAsia"/>
                <w:szCs w:val="21"/>
              </w:rPr>
            </w:pPr>
            <w:r>
              <w:rPr>
                <w:rFonts w:hint="eastAsia"/>
                <w:szCs w:val="21"/>
              </w:rPr>
              <w:t>ND</w:t>
            </w:r>
          </w:p>
        </w:tc>
        <w:tc>
          <w:tcPr>
            <w:tcW w:w="446" w:type="pct"/>
            <w:vAlign w:val="center"/>
          </w:tcPr>
          <w:p w14:paraId="660D658F">
            <w:pPr>
              <w:spacing w:before="61" w:line="320" w:lineRule="exact"/>
              <w:ind w:left="5"/>
              <w:jc w:val="center"/>
              <w:rPr>
                <w:rFonts w:eastAsiaTheme="minorEastAsia"/>
                <w:szCs w:val="21"/>
              </w:rPr>
            </w:pPr>
            <w:r>
              <w:rPr>
                <w:rFonts w:eastAsiaTheme="minorEastAsia"/>
                <w:szCs w:val="21"/>
              </w:rPr>
              <w:t>2.8</w:t>
            </w:r>
          </w:p>
        </w:tc>
      </w:tr>
      <w:tr w14:paraId="0CBF3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61946C87">
            <w:pPr>
              <w:spacing w:line="320" w:lineRule="exact"/>
              <w:jc w:val="center"/>
              <w:rPr>
                <w:rFonts w:eastAsiaTheme="minorEastAsia"/>
                <w:szCs w:val="21"/>
              </w:rPr>
            </w:pPr>
            <w:r>
              <w:rPr>
                <w:rFonts w:eastAsiaTheme="minorEastAsia"/>
                <w:szCs w:val="21"/>
              </w:rPr>
              <w:t>三氯乙烯（mg/kg）</w:t>
            </w:r>
          </w:p>
        </w:tc>
        <w:tc>
          <w:tcPr>
            <w:tcW w:w="680" w:type="pct"/>
            <w:vAlign w:val="center"/>
          </w:tcPr>
          <w:p w14:paraId="0A364953">
            <w:pPr>
              <w:widowControl/>
              <w:jc w:val="center"/>
              <w:rPr>
                <w:szCs w:val="21"/>
              </w:rPr>
            </w:pPr>
            <w:r>
              <w:rPr>
                <w:rFonts w:hint="eastAsia"/>
                <w:szCs w:val="21"/>
              </w:rPr>
              <w:t>ND</w:t>
            </w:r>
          </w:p>
        </w:tc>
        <w:tc>
          <w:tcPr>
            <w:tcW w:w="447" w:type="pct"/>
            <w:vAlign w:val="center"/>
          </w:tcPr>
          <w:p w14:paraId="48A91249">
            <w:pPr>
              <w:spacing w:before="63" w:line="320" w:lineRule="exact"/>
              <w:ind w:left="5"/>
              <w:jc w:val="center"/>
              <w:rPr>
                <w:rFonts w:eastAsiaTheme="minorEastAsia"/>
                <w:szCs w:val="21"/>
              </w:rPr>
            </w:pPr>
            <w:r>
              <w:rPr>
                <w:rFonts w:hint="eastAsia"/>
                <w:szCs w:val="21"/>
              </w:rPr>
              <w:t>ND</w:t>
            </w:r>
          </w:p>
        </w:tc>
        <w:tc>
          <w:tcPr>
            <w:tcW w:w="447" w:type="pct"/>
            <w:vAlign w:val="center"/>
          </w:tcPr>
          <w:p w14:paraId="4017351D">
            <w:pPr>
              <w:spacing w:before="63" w:line="320" w:lineRule="exact"/>
              <w:ind w:left="5"/>
              <w:jc w:val="center"/>
              <w:rPr>
                <w:szCs w:val="21"/>
              </w:rPr>
            </w:pPr>
            <w:r>
              <w:rPr>
                <w:rFonts w:hint="eastAsia"/>
                <w:szCs w:val="21"/>
              </w:rPr>
              <w:t>ND</w:t>
            </w:r>
          </w:p>
        </w:tc>
        <w:tc>
          <w:tcPr>
            <w:tcW w:w="448" w:type="pct"/>
            <w:vAlign w:val="center"/>
          </w:tcPr>
          <w:p w14:paraId="38860FFA">
            <w:pPr>
              <w:spacing w:before="63" w:line="320" w:lineRule="exact"/>
              <w:ind w:left="5"/>
              <w:jc w:val="center"/>
              <w:rPr>
                <w:rFonts w:eastAsiaTheme="minorEastAsia"/>
                <w:szCs w:val="21"/>
              </w:rPr>
            </w:pPr>
            <w:r>
              <w:rPr>
                <w:rFonts w:hint="eastAsia"/>
                <w:szCs w:val="21"/>
              </w:rPr>
              <w:t>ND</w:t>
            </w:r>
          </w:p>
        </w:tc>
        <w:tc>
          <w:tcPr>
            <w:tcW w:w="448" w:type="pct"/>
            <w:vAlign w:val="center"/>
          </w:tcPr>
          <w:p w14:paraId="35079B7B">
            <w:pPr>
              <w:spacing w:before="63" w:line="320" w:lineRule="exact"/>
              <w:ind w:left="5"/>
              <w:jc w:val="center"/>
              <w:rPr>
                <w:rFonts w:eastAsiaTheme="minorEastAsia"/>
                <w:szCs w:val="21"/>
              </w:rPr>
            </w:pPr>
            <w:r>
              <w:rPr>
                <w:rFonts w:hint="eastAsia"/>
                <w:szCs w:val="21"/>
              </w:rPr>
              <w:t>ND</w:t>
            </w:r>
          </w:p>
        </w:tc>
        <w:tc>
          <w:tcPr>
            <w:tcW w:w="448" w:type="pct"/>
            <w:vAlign w:val="center"/>
          </w:tcPr>
          <w:p w14:paraId="6D6E2434">
            <w:pPr>
              <w:spacing w:before="63" w:line="320" w:lineRule="exact"/>
              <w:ind w:left="5"/>
              <w:jc w:val="center"/>
              <w:rPr>
                <w:rFonts w:eastAsiaTheme="minorEastAsia"/>
                <w:szCs w:val="21"/>
              </w:rPr>
            </w:pPr>
            <w:r>
              <w:rPr>
                <w:rFonts w:hint="eastAsia"/>
                <w:szCs w:val="21"/>
              </w:rPr>
              <w:t>ND</w:t>
            </w:r>
          </w:p>
        </w:tc>
        <w:tc>
          <w:tcPr>
            <w:tcW w:w="449" w:type="pct"/>
            <w:vAlign w:val="center"/>
          </w:tcPr>
          <w:p w14:paraId="7264458A">
            <w:pPr>
              <w:spacing w:before="63" w:line="320" w:lineRule="exact"/>
              <w:ind w:left="5"/>
              <w:jc w:val="center"/>
              <w:rPr>
                <w:rFonts w:eastAsiaTheme="minorEastAsia"/>
                <w:szCs w:val="21"/>
              </w:rPr>
            </w:pPr>
            <w:r>
              <w:rPr>
                <w:rFonts w:hint="eastAsia"/>
                <w:szCs w:val="21"/>
              </w:rPr>
              <w:t>ND</w:t>
            </w:r>
          </w:p>
        </w:tc>
        <w:tc>
          <w:tcPr>
            <w:tcW w:w="446" w:type="pct"/>
            <w:vAlign w:val="center"/>
          </w:tcPr>
          <w:p w14:paraId="005798A4">
            <w:pPr>
              <w:spacing w:before="63" w:line="320" w:lineRule="exact"/>
              <w:ind w:left="5"/>
              <w:jc w:val="center"/>
              <w:rPr>
                <w:rFonts w:eastAsiaTheme="minorEastAsia"/>
                <w:szCs w:val="21"/>
              </w:rPr>
            </w:pPr>
            <w:r>
              <w:rPr>
                <w:rFonts w:eastAsiaTheme="minorEastAsia"/>
                <w:szCs w:val="21"/>
              </w:rPr>
              <w:t>2.8</w:t>
            </w:r>
          </w:p>
        </w:tc>
      </w:tr>
      <w:tr w14:paraId="05F207A7">
        <w:tblPrEx>
          <w:tblCellMar>
            <w:top w:w="0" w:type="dxa"/>
            <w:left w:w="108" w:type="dxa"/>
            <w:bottom w:w="0" w:type="dxa"/>
            <w:right w:w="108" w:type="dxa"/>
          </w:tblCellMar>
        </w:tblPrEx>
        <w:trPr>
          <w:trHeight w:val="369" w:hRule="atLeast"/>
          <w:jc w:val="center"/>
        </w:trPr>
        <w:tc>
          <w:tcPr>
            <w:tcW w:w="1187" w:type="pct"/>
            <w:vAlign w:val="center"/>
          </w:tcPr>
          <w:p w14:paraId="61D603BD">
            <w:pPr>
              <w:spacing w:line="320" w:lineRule="exact"/>
              <w:jc w:val="center"/>
              <w:rPr>
                <w:rFonts w:eastAsiaTheme="minorEastAsia"/>
                <w:szCs w:val="21"/>
              </w:rPr>
            </w:pPr>
            <w:r>
              <w:rPr>
                <w:rFonts w:eastAsiaTheme="minorEastAsia"/>
                <w:szCs w:val="21"/>
              </w:rPr>
              <w:t>1,2,3-三氯丙烷（mg/kg）</w:t>
            </w:r>
          </w:p>
        </w:tc>
        <w:tc>
          <w:tcPr>
            <w:tcW w:w="680" w:type="pct"/>
            <w:vAlign w:val="center"/>
          </w:tcPr>
          <w:p w14:paraId="28A2572C">
            <w:pPr>
              <w:widowControl/>
              <w:jc w:val="center"/>
              <w:rPr>
                <w:szCs w:val="21"/>
              </w:rPr>
            </w:pPr>
            <w:r>
              <w:rPr>
                <w:rFonts w:hint="eastAsia"/>
                <w:szCs w:val="21"/>
              </w:rPr>
              <w:t>ND</w:t>
            </w:r>
          </w:p>
        </w:tc>
        <w:tc>
          <w:tcPr>
            <w:tcW w:w="447" w:type="pct"/>
            <w:vAlign w:val="center"/>
          </w:tcPr>
          <w:p w14:paraId="18105160">
            <w:pPr>
              <w:spacing w:before="63" w:line="320" w:lineRule="exact"/>
              <w:ind w:left="5"/>
              <w:jc w:val="center"/>
              <w:rPr>
                <w:rFonts w:eastAsiaTheme="minorEastAsia"/>
                <w:szCs w:val="21"/>
              </w:rPr>
            </w:pPr>
            <w:r>
              <w:rPr>
                <w:rFonts w:hint="eastAsia"/>
                <w:szCs w:val="21"/>
              </w:rPr>
              <w:t>ND</w:t>
            </w:r>
          </w:p>
        </w:tc>
        <w:tc>
          <w:tcPr>
            <w:tcW w:w="447" w:type="pct"/>
            <w:vAlign w:val="center"/>
          </w:tcPr>
          <w:p w14:paraId="2FA2FA07">
            <w:pPr>
              <w:spacing w:before="63" w:line="320" w:lineRule="exact"/>
              <w:ind w:left="5"/>
              <w:jc w:val="center"/>
              <w:rPr>
                <w:szCs w:val="21"/>
              </w:rPr>
            </w:pPr>
            <w:r>
              <w:rPr>
                <w:rFonts w:hint="eastAsia"/>
                <w:szCs w:val="21"/>
              </w:rPr>
              <w:t>ND</w:t>
            </w:r>
          </w:p>
        </w:tc>
        <w:tc>
          <w:tcPr>
            <w:tcW w:w="448" w:type="pct"/>
            <w:vAlign w:val="center"/>
          </w:tcPr>
          <w:p w14:paraId="05C0490F">
            <w:pPr>
              <w:spacing w:before="63" w:line="320" w:lineRule="exact"/>
              <w:ind w:left="5"/>
              <w:jc w:val="center"/>
              <w:rPr>
                <w:rFonts w:eastAsiaTheme="minorEastAsia"/>
                <w:szCs w:val="21"/>
              </w:rPr>
            </w:pPr>
            <w:r>
              <w:rPr>
                <w:rFonts w:hint="eastAsia"/>
                <w:szCs w:val="21"/>
              </w:rPr>
              <w:t>ND</w:t>
            </w:r>
          </w:p>
        </w:tc>
        <w:tc>
          <w:tcPr>
            <w:tcW w:w="448" w:type="pct"/>
            <w:vAlign w:val="center"/>
          </w:tcPr>
          <w:p w14:paraId="6E565521">
            <w:pPr>
              <w:spacing w:before="63" w:line="320" w:lineRule="exact"/>
              <w:ind w:left="5"/>
              <w:jc w:val="center"/>
              <w:rPr>
                <w:rFonts w:eastAsiaTheme="minorEastAsia"/>
                <w:szCs w:val="21"/>
              </w:rPr>
            </w:pPr>
            <w:r>
              <w:rPr>
                <w:rFonts w:hint="eastAsia"/>
                <w:szCs w:val="21"/>
              </w:rPr>
              <w:t>ND</w:t>
            </w:r>
          </w:p>
        </w:tc>
        <w:tc>
          <w:tcPr>
            <w:tcW w:w="448" w:type="pct"/>
            <w:vAlign w:val="center"/>
          </w:tcPr>
          <w:p w14:paraId="7454D748">
            <w:pPr>
              <w:spacing w:before="63" w:line="320" w:lineRule="exact"/>
              <w:ind w:left="5"/>
              <w:jc w:val="center"/>
              <w:rPr>
                <w:rFonts w:eastAsiaTheme="minorEastAsia"/>
                <w:szCs w:val="21"/>
              </w:rPr>
            </w:pPr>
            <w:r>
              <w:rPr>
                <w:rFonts w:hint="eastAsia"/>
                <w:szCs w:val="21"/>
              </w:rPr>
              <w:t>ND</w:t>
            </w:r>
          </w:p>
        </w:tc>
        <w:tc>
          <w:tcPr>
            <w:tcW w:w="449" w:type="pct"/>
            <w:vAlign w:val="center"/>
          </w:tcPr>
          <w:p w14:paraId="0AEE6622">
            <w:pPr>
              <w:spacing w:before="63" w:line="320" w:lineRule="exact"/>
              <w:ind w:left="5"/>
              <w:jc w:val="center"/>
              <w:rPr>
                <w:rFonts w:eastAsiaTheme="minorEastAsia"/>
                <w:szCs w:val="21"/>
              </w:rPr>
            </w:pPr>
            <w:r>
              <w:rPr>
                <w:rFonts w:hint="eastAsia"/>
                <w:szCs w:val="21"/>
              </w:rPr>
              <w:t>ND</w:t>
            </w:r>
          </w:p>
        </w:tc>
        <w:tc>
          <w:tcPr>
            <w:tcW w:w="446" w:type="pct"/>
            <w:vAlign w:val="center"/>
          </w:tcPr>
          <w:p w14:paraId="66D0AB65">
            <w:pPr>
              <w:spacing w:before="63" w:line="320" w:lineRule="exact"/>
              <w:ind w:left="5"/>
              <w:jc w:val="center"/>
              <w:rPr>
                <w:rFonts w:eastAsiaTheme="minorEastAsia"/>
                <w:szCs w:val="21"/>
              </w:rPr>
            </w:pPr>
            <w:r>
              <w:rPr>
                <w:rFonts w:eastAsiaTheme="minorEastAsia"/>
                <w:szCs w:val="21"/>
              </w:rPr>
              <w:t>0.5</w:t>
            </w:r>
          </w:p>
        </w:tc>
      </w:tr>
      <w:tr w14:paraId="64D1F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2F814531">
            <w:pPr>
              <w:spacing w:line="320" w:lineRule="exact"/>
              <w:jc w:val="center"/>
              <w:rPr>
                <w:rFonts w:eastAsiaTheme="minorEastAsia"/>
                <w:szCs w:val="21"/>
              </w:rPr>
            </w:pPr>
            <w:r>
              <w:rPr>
                <w:rFonts w:eastAsiaTheme="minorEastAsia"/>
                <w:szCs w:val="21"/>
              </w:rPr>
              <w:t>苯（mg/kg）</w:t>
            </w:r>
          </w:p>
        </w:tc>
        <w:tc>
          <w:tcPr>
            <w:tcW w:w="680" w:type="pct"/>
            <w:vAlign w:val="center"/>
          </w:tcPr>
          <w:p w14:paraId="7C6D411D">
            <w:pPr>
              <w:widowControl/>
              <w:jc w:val="center"/>
              <w:rPr>
                <w:szCs w:val="21"/>
              </w:rPr>
            </w:pPr>
            <w:r>
              <w:rPr>
                <w:rFonts w:hint="eastAsia"/>
                <w:szCs w:val="21"/>
              </w:rPr>
              <w:t>ND</w:t>
            </w:r>
          </w:p>
        </w:tc>
        <w:tc>
          <w:tcPr>
            <w:tcW w:w="447" w:type="pct"/>
            <w:vAlign w:val="center"/>
          </w:tcPr>
          <w:p w14:paraId="3E963C9C">
            <w:pPr>
              <w:spacing w:before="63" w:line="320" w:lineRule="exact"/>
              <w:ind w:right="1"/>
              <w:jc w:val="center"/>
              <w:rPr>
                <w:rFonts w:eastAsiaTheme="minorEastAsia"/>
                <w:szCs w:val="21"/>
              </w:rPr>
            </w:pPr>
            <w:r>
              <w:rPr>
                <w:rFonts w:hint="eastAsia"/>
                <w:szCs w:val="21"/>
              </w:rPr>
              <w:t>ND</w:t>
            </w:r>
          </w:p>
        </w:tc>
        <w:tc>
          <w:tcPr>
            <w:tcW w:w="447" w:type="pct"/>
            <w:vAlign w:val="center"/>
          </w:tcPr>
          <w:p w14:paraId="425D64EC">
            <w:pPr>
              <w:spacing w:before="63" w:line="320" w:lineRule="exact"/>
              <w:ind w:right="1"/>
              <w:jc w:val="center"/>
              <w:rPr>
                <w:szCs w:val="21"/>
              </w:rPr>
            </w:pPr>
            <w:r>
              <w:rPr>
                <w:rFonts w:hint="eastAsia"/>
                <w:szCs w:val="21"/>
              </w:rPr>
              <w:t>ND</w:t>
            </w:r>
          </w:p>
        </w:tc>
        <w:tc>
          <w:tcPr>
            <w:tcW w:w="448" w:type="pct"/>
            <w:vAlign w:val="center"/>
          </w:tcPr>
          <w:p w14:paraId="02597CD3">
            <w:pPr>
              <w:spacing w:before="63" w:line="320" w:lineRule="exact"/>
              <w:ind w:right="1"/>
              <w:jc w:val="center"/>
              <w:rPr>
                <w:rFonts w:eastAsiaTheme="minorEastAsia"/>
                <w:szCs w:val="21"/>
              </w:rPr>
            </w:pPr>
            <w:r>
              <w:rPr>
                <w:rFonts w:hint="eastAsia"/>
                <w:szCs w:val="21"/>
              </w:rPr>
              <w:t>ND</w:t>
            </w:r>
          </w:p>
        </w:tc>
        <w:tc>
          <w:tcPr>
            <w:tcW w:w="448" w:type="pct"/>
            <w:vAlign w:val="center"/>
          </w:tcPr>
          <w:p w14:paraId="304E3C6F">
            <w:pPr>
              <w:spacing w:before="63" w:line="320" w:lineRule="exact"/>
              <w:ind w:right="1"/>
              <w:jc w:val="center"/>
              <w:rPr>
                <w:rFonts w:eastAsiaTheme="minorEastAsia"/>
                <w:szCs w:val="21"/>
              </w:rPr>
            </w:pPr>
            <w:r>
              <w:rPr>
                <w:rFonts w:hint="eastAsia"/>
                <w:szCs w:val="21"/>
              </w:rPr>
              <w:t>ND</w:t>
            </w:r>
          </w:p>
        </w:tc>
        <w:tc>
          <w:tcPr>
            <w:tcW w:w="448" w:type="pct"/>
            <w:vAlign w:val="center"/>
          </w:tcPr>
          <w:p w14:paraId="2C571327">
            <w:pPr>
              <w:spacing w:before="63" w:line="320" w:lineRule="exact"/>
              <w:ind w:right="1"/>
              <w:jc w:val="center"/>
              <w:rPr>
                <w:rFonts w:eastAsiaTheme="minorEastAsia"/>
                <w:szCs w:val="21"/>
              </w:rPr>
            </w:pPr>
            <w:r>
              <w:rPr>
                <w:rFonts w:hint="eastAsia"/>
                <w:szCs w:val="21"/>
              </w:rPr>
              <w:t>ND</w:t>
            </w:r>
          </w:p>
        </w:tc>
        <w:tc>
          <w:tcPr>
            <w:tcW w:w="449" w:type="pct"/>
            <w:vAlign w:val="center"/>
          </w:tcPr>
          <w:p w14:paraId="2BDC1E9C">
            <w:pPr>
              <w:spacing w:before="63" w:line="320" w:lineRule="exact"/>
              <w:ind w:right="1"/>
              <w:jc w:val="center"/>
              <w:rPr>
                <w:rFonts w:eastAsiaTheme="minorEastAsia"/>
                <w:szCs w:val="21"/>
              </w:rPr>
            </w:pPr>
            <w:r>
              <w:rPr>
                <w:rFonts w:hint="eastAsia"/>
                <w:szCs w:val="21"/>
              </w:rPr>
              <w:t>ND</w:t>
            </w:r>
          </w:p>
        </w:tc>
        <w:tc>
          <w:tcPr>
            <w:tcW w:w="446" w:type="pct"/>
            <w:vAlign w:val="center"/>
          </w:tcPr>
          <w:p w14:paraId="10A51AE5">
            <w:pPr>
              <w:spacing w:before="63" w:line="320" w:lineRule="exact"/>
              <w:ind w:right="1"/>
              <w:jc w:val="center"/>
              <w:rPr>
                <w:rFonts w:eastAsiaTheme="minorEastAsia"/>
                <w:szCs w:val="21"/>
              </w:rPr>
            </w:pPr>
            <w:r>
              <w:rPr>
                <w:rFonts w:eastAsiaTheme="minorEastAsia"/>
                <w:szCs w:val="21"/>
              </w:rPr>
              <w:t>4</w:t>
            </w:r>
          </w:p>
        </w:tc>
      </w:tr>
      <w:tr w14:paraId="3E7DD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430101E9">
            <w:pPr>
              <w:spacing w:line="320" w:lineRule="exact"/>
              <w:jc w:val="center"/>
              <w:rPr>
                <w:rFonts w:eastAsiaTheme="minorEastAsia"/>
                <w:szCs w:val="21"/>
              </w:rPr>
            </w:pPr>
            <w:r>
              <w:rPr>
                <w:rFonts w:eastAsiaTheme="minorEastAsia"/>
                <w:szCs w:val="21"/>
              </w:rPr>
              <w:t>氯苯（mg/kg）</w:t>
            </w:r>
          </w:p>
        </w:tc>
        <w:tc>
          <w:tcPr>
            <w:tcW w:w="680" w:type="pct"/>
            <w:vAlign w:val="center"/>
          </w:tcPr>
          <w:p w14:paraId="5B6134C3">
            <w:pPr>
              <w:widowControl/>
              <w:jc w:val="center"/>
              <w:rPr>
                <w:szCs w:val="21"/>
              </w:rPr>
            </w:pPr>
            <w:r>
              <w:rPr>
                <w:rFonts w:hint="eastAsia"/>
                <w:szCs w:val="21"/>
              </w:rPr>
              <w:t>ND</w:t>
            </w:r>
          </w:p>
        </w:tc>
        <w:tc>
          <w:tcPr>
            <w:tcW w:w="447" w:type="pct"/>
            <w:vAlign w:val="center"/>
          </w:tcPr>
          <w:p w14:paraId="7FC8F07C">
            <w:pPr>
              <w:spacing w:before="62" w:line="320" w:lineRule="exact"/>
              <w:ind w:left="5"/>
              <w:jc w:val="center"/>
              <w:rPr>
                <w:rFonts w:eastAsiaTheme="minorEastAsia"/>
                <w:szCs w:val="21"/>
              </w:rPr>
            </w:pPr>
            <w:r>
              <w:rPr>
                <w:rFonts w:hint="eastAsia"/>
                <w:szCs w:val="21"/>
              </w:rPr>
              <w:t>ND</w:t>
            </w:r>
          </w:p>
        </w:tc>
        <w:tc>
          <w:tcPr>
            <w:tcW w:w="447" w:type="pct"/>
            <w:vAlign w:val="center"/>
          </w:tcPr>
          <w:p w14:paraId="65CC355F">
            <w:pPr>
              <w:spacing w:before="62" w:line="320" w:lineRule="exact"/>
              <w:ind w:left="5"/>
              <w:jc w:val="center"/>
              <w:rPr>
                <w:szCs w:val="21"/>
              </w:rPr>
            </w:pPr>
            <w:r>
              <w:rPr>
                <w:rFonts w:hint="eastAsia"/>
                <w:szCs w:val="21"/>
              </w:rPr>
              <w:t>ND</w:t>
            </w:r>
          </w:p>
        </w:tc>
        <w:tc>
          <w:tcPr>
            <w:tcW w:w="448" w:type="pct"/>
            <w:vAlign w:val="center"/>
          </w:tcPr>
          <w:p w14:paraId="3F74AEB0">
            <w:pPr>
              <w:spacing w:before="62" w:line="320" w:lineRule="exact"/>
              <w:ind w:left="5"/>
              <w:jc w:val="center"/>
              <w:rPr>
                <w:rFonts w:eastAsiaTheme="minorEastAsia"/>
                <w:szCs w:val="21"/>
              </w:rPr>
            </w:pPr>
            <w:r>
              <w:rPr>
                <w:rFonts w:hint="eastAsia"/>
                <w:szCs w:val="21"/>
              </w:rPr>
              <w:t>ND</w:t>
            </w:r>
          </w:p>
        </w:tc>
        <w:tc>
          <w:tcPr>
            <w:tcW w:w="448" w:type="pct"/>
            <w:vAlign w:val="center"/>
          </w:tcPr>
          <w:p w14:paraId="61F5A8F6">
            <w:pPr>
              <w:spacing w:before="62" w:line="320" w:lineRule="exact"/>
              <w:ind w:left="5"/>
              <w:jc w:val="center"/>
              <w:rPr>
                <w:rFonts w:eastAsiaTheme="minorEastAsia"/>
                <w:szCs w:val="21"/>
              </w:rPr>
            </w:pPr>
            <w:r>
              <w:rPr>
                <w:rFonts w:hint="eastAsia"/>
                <w:szCs w:val="21"/>
              </w:rPr>
              <w:t>ND</w:t>
            </w:r>
          </w:p>
        </w:tc>
        <w:tc>
          <w:tcPr>
            <w:tcW w:w="448" w:type="pct"/>
            <w:vAlign w:val="center"/>
          </w:tcPr>
          <w:p w14:paraId="735AE7AF">
            <w:pPr>
              <w:spacing w:before="62" w:line="320" w:lineRule="exact"/>
              <w:ind w:left="5"/>
              <w:jc w:val="center"/>
              <w:rPr>
                <w:rFonts w:eastAsiaTheme="minorEastAsia"/>
                <w:szCs w:val="21"/>
              </w:rPr>
            </w:pPr>
            <w:r>
              <w:rPr>
                <w:rFonts w:hint="eastAsia"/>
                <w:szCs w:val="21"/>
              </w:rPr>
              <w:t>ND</w:t>
            </w:r>
          </w:p>
        </w:tc>
        <w:tc>
          <w:tcPr>
            <w:tcW w:w="449" w:type="pct"/>
            <w:vAlign w:val="center"/>
          </w:tcPr>
          <w:p w14:paraId="7F0C3F95">
            <w:pPr>
              <w:spacing w:before="62" w:line="320" w:lineRule="exact"/>
              <w:ind w:left="5"/>
              <w:jc w:val="center"/>
              <w:rPr>
                <w:rFonts w:eastAsiaTheme="minorEastAsia"/>
                <w:szCs w:val="21"/>
              </w:rPr>
            </w:pPr>
            <w:r>
              <w:rPr>
                <w:rFonts w:hint="eastAsia"/>
                <w:szCs w:val="21"/>
              </w:rPr>
              <w:t>ND</w:t>
            </w:r>
          </w:p>
        </w:tc>
        <w:tc>
          <w:tcPr>
            <w:tcW w:w="446" w:type="pct"/>
            <w:vAlign w:val="center"/>
          </w:tcPr>
          <w:p w14:paraId="2AD17C48">
            <w:pPr>
              <w:spacing w:before="62" w:line="320" w:lineRule="exact"/>
              <w:ind w:left="5"/>
              <w:jc w:val="center"/>
              <w:rPr>
                <w:rFonts w:eastAsiaTheme="minorEastAsia"/>
                <w:szCs w:val="21"/>
              </w:rPr>
            </w:pPr>
            <w:r>
              <w:rPr>
                <w:rFonts w:eastAsiaTheme="minorEastAsia"/>
                <w:szCs w:val="21"/>
              </w:rPr>
              <w:t>270</w:t>
            </w:r>
          </w:p>
        </w:tc>
      </w:tr>
      <w:tr w14:paraId="0AB62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739F2A0A">
            <w:pPr>
              <w:spacing w:line="320" w:lineRule="exact"/>
              <w:jc w:val="center"/>
              <w:rPr>
                <w:rFonts w:eastAsiaTheme="minorEastAsia"/>
                <w:szCs w:val="21"/>
              </w:rPr>
            </w:pPr>
            <w:r>
              <w:rPr>
                <w:rFonts w:eastAsiaTheme="minorEastAsia"/>
                <w:szCs w:val="21"/>
              </w:rPr>
              <w:t>1,2-二氯苯（mg/kg）</w:t>
            </w:r>
          </w:p>
        </w:tc>
        <w:tc>
          <w:tcPr>
            <w:tcW w:w="680" w:type="pct"/>
            <w:vAlign w:val="center"/>
          </w:tcPr>
          <w:p w14:paraId="422B297E">
            <w:pPr>
              <w:widowControl/>
              <w:jc w:val="center"/>
              <w:rPr>
                <w:szCs w:val="21"/>
              </w:rPr>
            </w:pPr>
            <w:r>
              <w:rPr>
                <w:rFonts w:hint="eastAsia"/>
                <w:szCs w:val="21"/>
              </w:rPr>
              <w:t>ND</w:t>
            </w:r>
          </w:p>
        </w:tc>
        <w:tc>
          <w:tcPr>
            <w:tcW w:w="447" w:type="pct"/>
            <w:vAlign w:val="center"/>
          </w:tcPr>
          <w:p w14:paraId="10423816">
            <w:pPr>
              <w:spacing w:before="63" w:line="320" w:lineRule="exact"/>
              <w:ind w:left="5"/>
              <w:jc w:val="center"/>
              <w:rPr>
                <w:rFonts w:eastAsiaTheme="minorEastAsia"/>
                <w:szCs w:val="21"/>
              </w:rPr>
            </w:pPr>
            <w:r>
              <w:rPr>
                <w:rFonts w:hint="eastAsia"/>
                <w:szCs w:val="21"/>
              </w:rPr>
              <w:t>ND</w:t>
            </w:r>
          </w:p>
        </w:tc>
        <w:tc>
          <w:tcPr>
            <w:tcW w:w="447" w:type="pct"/>
            <w:vAlign w:val="center"/>
          </w:tcPr>
          <w:p w14:paraId="67D6C86A">
            <w:pPr>
              <w:spacing w:before="63" w:line="320" w:lineRule="exact"/>
              <w:ind w:left="5"/>
              <w:jc w:val="center"/>
              <w:rPr>
                <w:szCs w:val="21"/>
              </w:rPr>
            </w:pPr>
            <w:r>
              <w:rPr>
                <w:rFonts w:hint="eastAsia"/>
                <w:szCs w:val="21"/>
              </w:rPr>
              <w:t>ND</w:t>
            </w:r>
          </w:p>
        </w:tc>
        <w:tc>
          <w:tcPr>
            <w:tcW w:w="448" w:type="pct"/>
            <w:vAlign w:val="center"/>
          </w:tcPr>
          <w:p w14:paraId="1CEADF89">
            <w:pPr>
              <w:spacing w:before="63" w:line="320" w:lineRule="exact"/>
              <w:ind w:left="5"/>
              <w:jc w:val="center"/>
              <w:rPr>
                <w:rFonts w:eastAsiaTheme="minorEastAsia"/>
                <w:szCs w:val="21"/>
              </w:rPr>
            </w:pPr>
            <w:r>
              <w:rPr>
                <w:rFonts w:hint="eastAsia"/>
                <w:szCs w:val="21"/>
              </w:rPr>
              <w:t>ND</w:t>
            </w:r>
          </w:p>
        </w:tc>
        <w:tc>
          <w:tcPr>
            <w:tcW w:w="448" w:type="pct"/>
            <w:vAlign w:val="center"/>
          </w:tcPr>
          <w:p w14:paraId="4A31A99F">
            <w:pPr>
              <w:spacing w:before="63" w:line="320" w:lineRule="exact"/>
              <w:ind w:left="5"/>
              <w:jc w:val="center"/>
              <w:rPr>
                <w:rFonts w:eastAsiaTheme="minorEastAsia"/>
                <w:szCs w:val="21"/>
              </w:rPr>
            </w:pPr>
            <w:r>
              <w:rPr>
                <w:rFonts w:hint="eastAsia"/>
                <w:szCs w:val="21"/>
              </w:rPr>
              <w:t>ND</w:t>
            </w:r>
          </w:p>
        </w:tc>
        <w:tc>
          <w:tcPr>
            <w:tcW w:w="448" w:type="pct"/>
            <w:vAlign w:val="center"/>
          </w:tcPr>
          <w:p w14:paraId="2814C2D5">
            <w:pPr>
              <w:spacing w:before="63" w:line="320" w:lineRule="exact"/>
              <w:ind w:left="5"/>
              <w:jc w:val="center"/>
              <w:rPr>
                <w:rFonts w:eastAsiaTheme="minorEastAsia"/>
                <w:szCs w:val="21"/>
              </w:rPr>
            </w:pPr>
            <w:r>
              <w:rPr>
                <w:rFonts w:hint="eastAsia"/>
                <w:szCs w:val="21"/>
              </w:rPr>
              <w:t>ND</w:t>
            </w:r>
          </w:p>
        </w:tc>
        <w:tc>
          <w:tcPr>
            <w:tcW w:w="449" w:type="pct"/>
            <w:vAlign w:val="center"/>
          </w:tcPr>
          <w:p w14:paraId="047672A1">
            <w:pPr>
              <w:spacing w:before="63" w:line="320" w:lineRule="exact"/>
              <w:ind w:left="5"/>
              <w:jc w:val="center"/>
              <w:rPr>
                <w:rFonts w:eastAsiaTheme="minorEastAsia"/>
                <w:szCs w:val="21"/>
              </w:rPr>
            </w:pPr>
            <w:r>
              <w:rPr>
                <w:rFonts w:hint="eastAsia"/>
                <w:szCs w:val="21"/>
              </w:rPr>
              <w:t>ND</w:t>
            </w:r>
          </w:p>
        </w:tc>
        <w:tc>
          <w:tcPr>
            <w:tcW w:w="446" w:type="pct"/>
            <w:vAlign w:val="center"/>
          </w:tcPr>
          <w:p w14:paraId="35E5A62A">
            <w:pPr>
              <w:spacing w:before="63" w:line="320" w:lineRule="exact"/>
              <w:ind w:left="5"/>
              <w:jc w:val="center"/>
              <w:rPr>
                <w:rFonts w:eastAsiaTheme="minorEastAsia"/>
                <w:szCs w:val="21"/>
              </w:rPr>
            </w:pPr>
            <w:r>
              <w:rPr>
                <w:rFonts w:eastAsiaTheme="minorEastAsia"/>
                <w:szCs w:val="21"/>
              </w:rPr>
              <w:t>560</w:t>
            </w:r>
          </w:p>
        </w:tc>
      </w:tr>
      <w:tr w14:paraId="29750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63A7DA7">
            <w:pPr>
              <w:spacing w:line="320" w:lineRule="exact"/>
              <w:jc w:val="center"/>
              <w:rPr>
                <w:rFonts w:eastAsiaTheme="minorEastAsia"/>
                <w:szCs w:val="21"/>
              </w:rPr>
            </w:pPr>
            <w:r>
              <w:rPr>
                <w:rFonts w:eastAsiaTheme="minorEastAsia"/>
                <w:szCs w:val="21"/>
              </w:rPr>
              <w:t>1,4-二氯苯（mg/kg）</w:t>
            </w:r>
          </w:p>
        </w:tc>
        <w:tc>
          <w:tcPr>
            <w:tcW w:w="680" w:type="pct"/>
            <w:vAlign w:val="center"/>
          </w:tcPr>
          <w:p w14:paraId="41321C03">
            <w:pPr>
              <w:widowControl/>
              <w:jc w:val="center"/>
              <w:rPr>
                <w:szCs w:val="21"/>
              </w:rPr>
            </w:pPr>
            <w:r>
              <w:rPr>
                <w:rFonts w:hint="eastAsia"/>
                <w:szCs w:val="21"/>
              </w:rPr>
              <w:t>ND</w:t>
            </w:r>
          </w:p>
        </w:tc>
        <w:tc>
          <w:tcPr>
            <w:tcW w:w="447" w:type="pct"/>
            <w:vAlign w:val="center"/>
          </w:tcPr>
          <w:p w14:paraId="7E299FE7">
            <w:pPr>
              <w:spacing w:before="61" w:line="320" w:lineRule="exact"/>
              <w:jc w:val="center"/>
              <w:rPr>
                <w:rFonts w:eastAsiaTheme="minorEastAsia"/>
                <w:szCs w:val="21"/>
              </w:rPr>
            </w:pPr>
            <w:r>
              <w:rPr>
                <w:rFonts w:hint="eastAsia"/>
                <w:szCs w:val="21"/>
              </w:rPr>
              <w:t>ND</w:t>
            </w:r>
          </w:p>
        </w:tc>
        <w:tc>
          <w:tcPr>
            <w:tcW w:w="447" w:type="pct"/>
            <w:vAlign w:val="center"/>
          </w:tcPr>
          <w:p w14:paraId="19BFEF34">
            <w:pPr>
              <w:spacing w:before="61" w:line="320" w:lineRule="exact"/>
              <w:jc w:val="center"/>
              <w:rPr>
                <w:szCs w:val="21"/>
              </w:rPr>
            </w:pPr>
            <w:r>
              <w:rPr>
                <w:rFonts w:hint="eastAsia"/>
                <w:szCs w:val="21"/>
              </w:rPr>
              <w:t>ND</w:t>
            </w:r>
          </w:p>
        </w:tc>
        <w:tc>
          <w:tcPr>
            <w:tcW w:w="448" w:type="pct"/>
            <w:vAlign w:val="center"/>
          </w:tcPr>
          <w:p w14:paraId="22104147">
            <w:pPr>
              <w:spacing w:before="61" w:line="320" w:lineRule="exact"/>
              <w:jc w:val="center"/>
              <w:rPr>
                <w:rFonts w:eastAsiaTheme="minorEastAsia"/>
                <w:szCs w:val="21"/>
              </w:rPr>
            </w:pPr>
            <w:r>
              <w:rPr>
                <w:rFonts w:hint="eastAsia"/>
                <w:szCs w:val="21"/>
              </w:rPr>
              <w:t>ND</w:t>
            </w:r>
          </w:p>
        </w:tc>
        <w:tc>
          <w:tcPr>
            <w:tcW w:w="448" w:type="pct"/>
            <w:vAlign w:val="center"/>
          </w:tcPr>
          <w:p w14:paraId="7188ACF0">
            <w:pPr>
              <w:spacing w:before="61" w:line="320" w:lineRule="exact"/>
              <w:jc w:val="center"/>
              <w:rPr>
                <w:rFonts w:eastAsiaTheme="minorEastAsia"/>
                <w:szCs w:val="21"/>
              </w:rPr>
            </w:pPr>
            <w:r>
              <w:rPr>
                <w:rFonts w:hint="eastAsia"/>
                <w:szCs w:val="21"/>
              </w:rPr>
              <w:t>ND</w:t>
            </w:r>
          </w:p>
        </w:tc>
        <w:tc>
          <w:tcPr>
            <w:tcW w:w="448" w:type="pct"/>
            <w:vAlign w:val="center"/>
          </w:tcPr>
          <w:p w14:paraId="7FEFAA09">
            <w:pPr>
              <w:spacing w:before="61" w:line="320" w:lineRule="exact"/>
              <w:jc w:val="center"/>
              <w:rPr>
                <w:rFonts w:eastAsiaTheme="minorEastAsia"/>
                <w:szCs w:val="21"/>
              </w:rPr>
            </w:pPr>
            <w:r>
              <w:rPr>
                <w:rFonts w:hint="eastAsia"/>
                <w:szCs w:val="21"/>
              </w:rPr>
              <w:t>ND</w:t>
            </w:r>
          </w:p>
        </w:tc>
        <w:tc>
          <w:tcPr>
            <w:tcW w:w="449" w:type="pct"/>
            <w:vAlign w:val="center"/>
          </w:tcPr>
          <w:p w14:paraId="24B41480">
            <w:pPr>
              <w:spacing w:before="61" w:line="320" w:lineRule="exact"/>
              <w:jc w:val="center"/>
              <w:rPr>
                <w:rFonts w:eastAsiaTheme="minorEastAsia"/>
                <w:szCs w:val="21"/>
              </w:rPr>
            </w:pPr>
            <w:r>
              <w:rPr>
                <w:rFonts w:hint="eastAsia"/>
                <w:szCs w:val="21"/>
              </w:rPr>
              <w:t>ND</w:t>
            </w:r>
          </w:p>
        </w:tc>
        <w:tc>
          <w:tcPr>
            <w:tcW w:w="446" w:type="pct"/>
            <w:vAlign w:val="center"/>
          </w:tcPr>
          <w:p w14:paraId="2503D7A7">
            <w:pPr>
              <w:spacing w:before="61" w:line="320" w:lineRule="exact"/>
              <w:jc w:val="center"/>
              <w:rPr>
                <w:rFonts w:eastAsiaTheme="minorEastAsia"/>
                <w:szCs w:val="21"/>
              </w:rPr>
            </w:pPr>
            <w:r>
              <w:rPr>
                <w:rFonts w:eastAsiaTheme="minorEastAsia"/>
                <w:szCs w:val="21"/>
              </w:rPr>
              <w:t>20</w:t>
            </w:r>
          </w:p>
        </w:tc>
      </w:tr>
      <w:tr w14:paraId="5E733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35FDA0B">
            <w:pPr>
              <w:spacing w:line="320" w:lineRule="exact"/>
              <w:jc w:val="center"/>
              <w:rPr>
                <w:rFonts w:eastAsiaTheme="minorEastAsia"/>
                <w:szCs w:val="21"/>
              </w:rPr>
            </w:pPr>
            <w:r>
              <w:rPr>
                <w:rFonts w:eastAsiaTheme="minorEastAsia"/>
                <w:szCs w:val="21"/>
              </w:rPr>
              <w:t>乙苯（mg/kg）</w:t>
            </w:r>
          </w:p>
        </w:tc>
        <w:tc>
          <w:tcPr>
            <w:tcW w:w="680" w:type="pct"/>
            <w:vAlign w:val="center"/>
          </w:tcPr>
          <w:p w14:paraId="000ED70C">
            <w:pPr>
              <w:widowControl/>
              <w:jc w:val="center"/>
              <w:rPr>
                <w:szCs w:val="21"/>
              </w:rPr>
            </w:pPr>
            <w:r>
              <w:rPr>
                <w:rFonts w:hint="eastAsia"/>
                <w:szCs w:val="21"/>
              </w:rPr>
              <w:t>ND</w:t>
            </w:r>
          </w:p>
        </w:tc>
        <w:tc>
          <w:tcPr>
            <w:tcW w:w="447" w:type="pct"/>
            <w:vAlign w:val="center"/>
          </w:tcPr>
          <w:p w14:paraId="3F76AF97">
            <w:pPr>
              <w:spacing w:before="61" w:line="320" w:lineRule="exact"/>
              <w:jc w:val="center"/>
              <w:rPr>
                <w:rFonts w:eastAsiaTheme="minorEastAsia"/>
                <w:szCs w:val="21"/>
              </w:rPr>
            </w:pPr>
            <w:r>
              <w:rPr>
                <w:rFonts w:hint="eastAsia"/>
                <w:szCs w:val="21"/>
              </w:rPr>
              <w:t>ND</w:t>
            </w:r>
          </w:p>
        </w:tc>
        <w:tc>
          <w:tcPr>
            <w:tcW w:w="447" w:type="pct"/>
            <w:vAlign w:val="center"/>
          </w:tcPr>
          <w:p w14:paraId="3949ECB7">
            <w:pPr>
              <w:spacing w:before="61" w:line="320" w:lineRule="exact"/>
              <w:jc w:val="center"/>
              <w:rPr>
                <w:szCs w:val="21"/>
              </w:rPr>
            </w:pPr>
            <w:r>
              <w:rPr>
                <w:rFonts w:hint="eastAsia"/>
                <w:szCs w:val="21"/>
              </w:rPr>
              <w:t>ND</w:t>
            </w:r>
          </w:p>
        </w:tc>
        <w:tc>
          <w:tcPr>
            <w:tcW w:w="448" w:type="pct"/>
            <w:vAlign w:val="center"/>
          </w:tcPr>
          <w:p w14:paraId="09531531">
            <w:pPr>
              <w:spacing w:before="61" w:line="320" w:lineRule="exact"/>
              <w:jc w:val="center"/>
              <w:rPr>
                <w:rFonts w:eastAsiaTheme="minorEastAsia"/>
                <w:szCs w:val="21"/>
              </w:rPr>
            </w:pPr>
            <w:r>
              <w:rPr>
                <w:rFonts w:hint="eastAsia"/>
                <w:szCs w:val="21"/>
              </w:rPr>
              <w:t>ND</w:t>
            </w:r>
          </w:p>
        </w:tc>
        <w:tc>
          <w:tcPr>
            <w:tcW w:w="448" w:type="pct"/>
            <w:vAlign w:val="center"/>
          </w:tcPr>
          <w:p w14:paraId="2A976240">
            <w:pPr>
              <w:spacing w:before="61" w:line="320" w:lineRule="exact"/>
              <w:jc w:val="center"/>
              <w:rPr>
                <w:rFonts w:eastAsiaTheme="minorEastAsia"/>
                <w:szCs w:val="21"/>
              </w:rPr>
            </w:pPr>
            <w:r>
              <w:rPr>
                <w:rFonts w:hint="eastAsia"/>
                <w:szCs w:val="21"/>
              </w:rPr>
              <w:t>ND</w:t>
            </w:r>
          </w:p>
        </w:tc>
        <w:tc>
          <w:tcPr>
            <w:tcW w:w="448" w:type="pct"/>
            <w:vAlign w:val="center"/>
          </w:tcPr>
          <w:p w14:paraId="3B98F168">
            <w:pPr>
              <w:spacing w:before="61" w:line="320" w:lineRule="exact"/>
              <w:jc w:val="center"/>
              <w:rPr>
                <w:rFonts w:eastAsiaTheme="minorEastAsia"/>
                <w:szCs w:val="21"/>
              </w:rPr>
            </w:pPr>
            <w:r>
              <w:rPr>
                <w:rFonts w:hint="eastAsia"/>
                <w:szCs w:val="21"/>
              </w:rPr>
              <w:t>ND</w:t>
            </w:r>
          </w:p>
        </w:tc>
        <w:tc>
          <w:tcPr>
            <w:tcW w:w="449" w:type="pct"/>
            <w:vAlign w:val="center"/>
          </w:tcPr>
          <w:p w14:paraId="730E7F3E">
            <w:pPr>
              <w:spacing w:before="61" w:line="320" w:lineRule="exact"/>
              <w:jc w:val="center"/>
              <w:rPr>
                <w:rFonts w:eastAsiaTheme="minorEastAsia"/>
                <w:szCs w:val="21"/>
              </w:rPr>
            </w:pPr>
            <w:r>
              <w:rPr>
                <w:rFonts w:hint="eastAsia"/>
                <w:szCs w:val="21"/>
              </w:rPr>
              <w:t>ND</w:t>
            </w:r>
          </w:p>
        </w:tc>
        <w:tc>
          <w:tcPr>
            <w:tcW w:w="446" w:type="pct"/>
            <w:vAlign w:val="center"/>
          </w:tcPr>
          <w:p w14:paraId="4CCA7A6A">
            <w:pPr>
              <w:spacing w:before="61" w:line="320" w:lineRule="exact"/>
              <w:jc w:val="center"/>
              <w:rPr>
                <w:rFonts w:eastAsiaTheme="minorEastAsia"/>
                <w:szCs w:val="21"/>
              </w:rPr>
            </w:pPr>
            <w:r>
              <w:rPr>
                <w:rFonts w:eastAsiaTheme="minorEastAsia"/>
                <w:szCs w:val="21"/>
              </w:rPr>
              <w:t>28</w:t>
            </w:r>
          </w:p>
        </w:tc>
      </w:tr>
      <w:tr w14:paraId="71526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06AEE46C">
            <w:pPr>
              <w:spacing w:line="320" w:lineRule="exact"/>
              <w:jc w:val="center"/>
              <w:rPr>
                <w:rFonts w:eastAsiaTheme="minorEastAsia"/>
                <w:szCs w:val="21"/>
              </w:rPr>
            </w:pPr>
            <w:r>
              <w:rPr>
                <w:rFonts w:eastAsiaTheme="minorEastAsia"/>
                <w:szCs w:val="21"/>
              </w:rPr>
              <w:t>苯乙烯（mg/kg）</w:t>
            </w:r>
          </w:p>
        </w:tc>
        <w:tc>
          <w:tcPr>
            <w:tcW w:w="680" w:type="pct"/>
            <w:vAlign w:val="center"/>
          </w:tcPr>
          <w:p w14:paraId="278B154D">
            <w:pPr>
              <w:widowControl/>
              <w:jc w:val="center"/>
              <w:rPr>
                <w:szCs w:val="21"/>
              </w:rPr>
            </w:pPr>
            <w:r>
              <w:rPr>
                <w:rFonts w:hint="eastAsia"/>
                <w:szCs w:val="21"/>
              </w:rPr>
              <w:t>ND</w:t>
            </w:r>
          </w:p>
        </w:tc>
        <w:tc>
          <w:tcPr>
            <w:tcW w:w="447" w:type="pct"/>
            <w:vAlign w:val="center"/>
          </w:tcPr>
          <w:p w14:paraId="2A3AD400">
            <w:pPr>
              <w:spacing w:before="63" w:line="320" w:lineRule="exact"/>
              <w:ind w:left="5"/>
              <w:jc w:val="center"/>
              <w:rPr>
                <w:rFonts w:eastAsiaTheme="minorEastAsia"/>
                <w:szCs w:val="21"/>
              </w:rPr>
            </w:pPr>
            <w:r>
              <w:rPr>
                <w:rFonts w:hint="eastAsia"/>
                <w:szCs w:val="21"/>
              </w:rPr>
              <w:t>ND</w:t>
            </w:r>
          </w:p>
        </w:tc>
        <w:tc>
          <w:tcPr>
            <w:tcW w:w="447" w:type="pct"/>
            <w:vAlign w:val="center"/>
          </w:tcPr>
          <w:p w14:paraId="6FE1FE99">
            <w:pPr>
              <w:spacing w:before="63" w:line="320" w:lineRule="exact"/>
              <w:ind w:left="5"/>
              <w:jc w:val="center"/>
              <w:rPr>
                <w:szCs w:val="21"/>
              </w:rPr>
            </w:pPr>
            <w:r>
              <w:rPr>
                <w:rFonts w:hint="eastAsia"/>
                <w:szCs w:val="21"/>
              </w:rPr>
              <w:t>ND</w:t>
            </w:r>
          </w:p>
        </w:tc>
        <w:tc>
          <w:tcPr>
            <w:tcW w:w="448" w:type="pct"/>
            <w:vAlign w:val="center"/>
          </w:tcPr>
          <w:p w14:paraId="02FF4A8B">
            <w:pPr>
              <w:spacing w:before="63" w:line="320" w:lineRule="exact"/>
              <w:ind w:left="5"/>
              <w:jc w:val="center"/>
              <w:rPr>
                <w:rFonts w:eastAsiaTheme="minorEastAsia"/>
                <w:szCs w:val="21"/>
              </w:rPr>
            </w:pPr>
            <w:r>
              <w:rPr>
                <w:rFonts w:hint="eastAsia"/>
                <w:szCs w:val="21"/>
              </w:rPr>
              <w:t>ND</w:t>
            </w:r>
          </w:p>
        </w:tc>
        <w:tc>
          <w:tcPr>
            <w:tcW w:w="448" w:type="pct"/>
            <w:vAlign w:val="center"/>
          </w:tcPr>
          <w:p w14:paraId="1CC9890D">
            <w:pPr>
              <w:spacing w:before="63" w:line="320" w:lineRule="exact"/>
              <w:ind w:left="5"/>
              <w:jc w:val="center"/>
              <w:rPr>
                <w:rFonts w:eastAsiaTheme="minorEastAsia"/>
                <w:szCs w:val="21"/>
              </w:rPr>
            </w:pPr>
            <w:r>
              <w:rPr>
                <w:rFonts w:hint="eastAsia"/>
                <w:szCs w:val="21"/>
              </w:rPr>
              <w:t>ND</w:t>
            </w:r>
          </w:p>
        </w:tc>
        <w:tc>
          <w:tcPr>
            <w:tcW w:w="448" w:type="pct"/>
            <w:vAlign w:val="center"/>
          </w:tcPr>
          <w:p w14:paraId="430FC331">
            <w:pPr>
              <w:spacing w:before="63" w:line="320" w:lineRule="exact"/>
              <w:ind w:left="5"/>
              <w:jc w:val="center"/>
              <w:rPr>
                <w:rFonts w:eastAsiaTheme="minorEastAsia"/>
                <w:szCs w:val="21"/>
              </w:rPr>
            </w:pPr>
            <w:r>
              <w:rPr>
                <w:rFonts w:hint="eastAsia"/>
                <w:szCs w:val="21"/>
              </w:rPr>
              <w:t>ND</w:t>
            </w:r>
          </w:p>
        </w:tc>
        <w:tc>
          <w:tcPr>
            <w:tcW w:w="449" w:type="pct"/>
            <w:vAlign w:val="center"/>
          </w:tcPr>
          <w:p w14:paraId="31434EB6">
            <w:pPr>
              <w:spacing w:before="63" w:line="320" w:lineRule="exact"/>
              <w:ind w:left="5"/>
              <w:jc w:val="center"/>
              <w:rPr>
                <w:rFonts w:eastAsiaTheme="minorEastAsia"/>
                <w:szCs w:val="21"/>
              </w:rPr>
            </w:pPr>
            <w:r>
              <w:rPr>
                <w:rFonts w:hint="eastAsia"/>
                <w:szCs w:val="21"/>
              </w:rPr>
              <w:t>ND</w:t>
            </w:r>
          </w:p>
        </w:tc>
        <w:tc>
          <w:tcPr>
            <w:tcW w:w="446" w:type="pct"/>
            <w:vAlign w:val="center"/>
          </w:tcPr>
          <w:p w14:paraId="762E124F">
            <w:pPr>
              <w:spacing w:before="63" w:line="320" w:lineRule="exact"/>
              <w:ind w:left="5"/>
              <w:jc w:val="center"/>
              <w:rPr>
                <w:rFonts w:eastAsiaTheme="minorEastAsia"/>
                <w:szCs w:val="21"/>
              </w:rPr>
            </w:pPr>
            <w:r>
              <w:rPr>
                <w:rFonts w:eastAsiaTheme="minorEastAsia"/>
                <w:szCs w:val="21"/>
              </w:rPr>
              <w:t>1290</w:t>
            </w:r>
          </w:p>
        </w:tc>
      </w:tr>
      <w:tr w14:paraId="2359C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61D1F2D7">
            <w:pPr>
              <w:spacing w:line="320" w:lineRule="exact"/>
              <w:jc w:val="center"/>
              <w:rPr>
                <w:rFonts w:eastAsiaTheme="minorEastAsia"/>
                <w:szCs w:val="21"/>
              </w:rPr>
            </w:pPr>
            <w:r>
              <w:rPr>
                <w:rFonts w:eastAsiaTheme="minorEastAsia"/>
                <w:szCs w:val="21"/>
              </w:rPr>
              <w:t>甲苯（mg/kg）</w:t>
            </w:r>
          </w:p>
        </w:tc>
        <w:tc>
          <w:tcPr>
            <w:tcW w:w="680" w:type="pct"/>
            <w:vAlign w:val="center"/>
          </w:tcPr>
          <w:p w14:paraId="0A91FC0E">
            <w:pPr>
              <w:widowControl/>
              <w:jc w:val="center"/>
              <w:rPr>
                <w:szCs w:val="21"/>
              </w:rPr>
            </w:pPr>
            <w:r>
              <w:rPr>
                <w:rFonts w:hint="eastAsia"/>
                <w:szCs w:val="21"/>
              </w:rPr>
              <w:t>ND</w:t>
            </w:r>
          </w:p>
        </w:tc>
        <w:tc>
          <w:tcPr>
            <w:tcW w:w="447" w:type="pct"/>
            <w:vAlign w:val="center"/>
          </w:tcPr>
          <w:p w14:paraId="5C5D1F20">
            <w:pPr>
              <w:spacing w:before="61" w:line="320" w:lineRule="exact"/>
              <w:jc w:val="center"/>
              <w:rPr>
                <w:rFonts w:eastAsiaTheme="minorEastAsia"/>
                <w:szCs w:val="21"/>
              </w:rPr>
            </w:pPr>
            <w:r>
              <w:rPr>
                <w:rFonts w:hint="eastAsia"/>
                <w:szCs w:val="21"/>
              </w:rPr>
              <w:t>ND</w:t>
            </w:r>
          </w:p>
        </w:tc>
        <w:tc>
          <w:tcPr>
            <w:tcW w:w="447" w:type="pct"/>
            <w:vAlign w:val="center"/>
          </w:tcPr>
          <w:p w14:paraId="242BFC86">
            <w:pPr>
              <w:spacing w:before="61" w:line="320" w:lineRule="exact"/>
              <w:jc w:val="center"/>
              <w:rPr>
                <w:szCs w:val="21"/>
              </w:rPr>
            </w:pPr>
            <w:r>
              <w:rPr>
                <w:rFonts w:hint="eastAsia"/>
                <w:szCs w:val="21"/>
              </w:rPr>
              <w:t>ND</w:t>
            </w:r>
          </w:p>
        </w:tc>
        <w:tc>
          <w:tcPr>
            <w:tcW w:w="448" w:type="pct"/>
            <w:vAlign w:val="center"/>
          </w:tcPr>
          <w:p w14:paraId="12EBCBDB">
            <w:pPr>
              <w:spacing w:before="61" w:line="320" w:lineRule="exact"/>
              <w:jc w:val="center"/>
              <w:rPr>
                <w:rFonts w:eastAsiaTheme="minorEastAsia"/>
                <w:szCs w:val="21"/>
              </w:rPr>
            </w:pPr>
            <w:r>
              <w:rPr>
                <w:rFonts w:hint="eastAsia"/>
                <w:szCs w:val="21"/>
              </w:rPr>
              <w:t>ND</w:t>
            </w:r>
          </w:p>
        </w:tc>
        <w:tc>
          <w:tcPr>
            <w:tcW w:w="448" w:type="pct"/>
            <w:vAlign w:val="center"/>
          </w:tcPr>
          <w:p w14:paraId="7711D167">
            <w:pPr>
              <w:spacing w:before="61" w:line="320" w:lineRule="exact"/>
              <w:jc w:val="center"/>
              <w:rPr>
                <w:rFonts w:eastAsiaTheme="minorEastAsia"/>
                <w:szCs w:val="21"/>
              </w:rPr>
            </w:pPr>
            <w:r>
              <w:rPr>
                <w:rFonts w:hint="eastAsia"/>
                <w:szCs w:val="21"/>
              </w:rPr>
              <w:t>ND</w:t>
            </w:r>
          </w:p>
        </w:tc>
        <w:tc>
          <w:tcPr>
            <w:tcW w:w="448" w:type="pct"/>
            <w:vAlign w:val="center"/>
          </w:tcPr>
          <w:p w14:paraId="14F557EF">
            <w:pPr>
              <w:spacing w:before="61" w:line="320" w:lineRule="exact"/>
              <w:jc w:val="center"/>
              <w:rPr>
                <w:rFonts w:eastAsiaTheme="minorEastAsia"/>
                <w:szCs w:val="21"/>
              </w:rPr>
            </w:pPr>
            <w:r>
              <w:rPr>
                <w:rFonts w:hint="eastAsia"/>
                <w:szCs w:val="21"/>
              </w:rPr>
              <w:t>ND</w:t>
            </w:r>
          </w:p>
        </w:tc>
        <w:tc>
          <w:tcPr>
            <w:tcW w:w="449" w:type="pct"/>
            <w:vAlign w:val="center"/>
          </w:tcPr>
          <w:p w14:paraId="17202562">
            <w:pPr>
              <w:spacing w:before="61" w:line="320" w:lineRule="exact"/>
              <w:jc w:val="center"/>
              <w:rPr>
                <w:rFonts w:eastAsiaTheme="minorEastAsia"/>
                <w:szCs w:val="21"/>
              </w:rPr>
            </w:pPr>
            <w:r>
              <w:rPr>
                <w:rFonts w:hint="eastAsia"/>
                <w:szCs w:val="21"/>
              </w:rPr>
              <w:t>ND</w:t>
            </w:r>
          </w:p>
        </w:tc>
        <w:tc>
          <w:tcPr>
            <w:tcW w:w="446" w:type="pct"/>
            <w:vAlign w:val="center"/>
          </w:tcPr>
          <w:p w14:paraId="03E7091A">
            <w:pPr>
              <w:spacing w:before="61" w:line="320" w:lineRule="exact"/>
              <w:jc w:val="center"/>
              <w:rPr>
                <w:rFonts w:eastAsiaTheme="minorEastAsia"/>
                <w:szCs w:val="21"/>
              </w:rPr>
            </w:pPr>
            <w:r>
              <w:rPr>
                <w:rFonts w:eastAsiaTheme="minorEastAsia"/>
                <w:szCs w:val="21"/>
              </w:rPr>
              <w:t>1200</w:t>
            </w:r>
          </w:p>
        </w:tc>
      </w:tr>
      <w:tr w14:paraId="67E69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1B1E25E0">
            <w:pPr>
              <w:spacing w:line="320" w:lineRule="exact"/>
              <w:jc w:val="center"/>
              <w:rPr>
                <w:rFonts w:eastAsiaTheme="minorEastAsia"/>
                <w:szCs w:val="21"/>
              </w:rPr>
            </w:pPr>
            <w:r>
              <w:rPr>
                <w:rFonts w:eastAsiaTheme="minorEastAsia"/>
                <w:szCs w:val="21"/>
              </w:rPr>
              <w:t>间二甲苯+对二甲苯（mg/kg）</w:t>
            </w:r>
          </w:p>
        </w:tc>
        <w:tc>
          <w:tcPr>
            <w:tcW w:w="680" w:type="pct"/>
            <w:vAlign w:val="center"/>
          </w:tcPr>
          <w:p w14:paraId="4E64724A">
            <w:pPr>
              <w:widowControl/>
              <w:jc w:val="center"/>
              <w:rPr>
                <w:szCs w:val="21"/>
              </w:rPr>
            </w:pPr>
            <w:r>
              <w:rPr>
                <w:rFonts w:hint="eastAsia"/>
                <w:szCs w:val="21"/>
              </w:rPr>
              <w:t>ND</w:t>
            </w:r>
          </w:p>
        </w:tc>
        <w:tc>
          <w:tcPr>
            <w:tcW w:w="447" w:type="pct"/>
            <w:vAlign w:val="center"/>
          </w:tcPr>
          <w:p w14:paraId="3EDE8FD7">
            <w:pPr>
              <w:spacing w:before="61" w:line="320" w:lineRule="exact"/>
              <w:jc w:val="center"/>
              <w:rPr>
                <w:rFonts w:eastAsiaTheme="minorEastAsia"/>
                <w:szCs w:val="21"/>
              </w:rPr>
            </w:pPr>
            <w:r>
              <w:rPr>
                <w:rFonts w:hint="eastAsia"/>
                <w:szCs w:val="21"/>
              </w:rPr>
              <w:t>ND</w:t>
            </w:r>
          </w:p>
        </w:tc>
        <w:tc>
          <w:tcPr>
            <w:tcW w:w="447" w:type="pct"/>
            <w:vAlign w:val="center"/>
          </w:tcPr>
          <w:p w14:paraId="4F1D5AC1">
            <w:pPr>
              <w:spacing w:before="61" w:line="320" w:lineRule="exact"/>
              <w:jc w:val="center"/>
              <w:rPr>
                <w:szCs w:val="21"/>
              </w:rPr>
            </w:pPr>
            <w:r>
              <w:rPr>
                <w:rFonts w:hint="eastAsia"/>
                <w:szCs w:val="21"/>
              </w:rPr>
              <w:t>ND</w:t>
            </w:r>
          </w:p>
        </w:tc>
        <w:tc>
          <w:tcPr>
            <w:tcW w:w="448" w:type="pct"/>
            <w:vAlign w:val="center"/>
          </w:tcPr>
          <w:p w14:paraId="596C90D2">
            <w:pPr>
              <w:spacing w:before="61" w:line="320" w:lineRule="exact"/>
              <w:jc w:val="center"/>
              <w:rPr>
                <w:rFonts w:eastAsiaTheme="minorEastAsia"/>
                <w:szCs w:val="21"/>
              </w:rPr>
            </w:pPr>
            <w:r>
              <w:rPr>
                <w:rFonts w:hint="eastAsia"/>
                <w:szCs w:val="21"/>
              </w:rPr>
              <w:t>ND</w:t>
            </w:r>
          </w:p>
        </w:tc>
        <w:tc>
          <w:tcPr>
            <w:tcW w:w="448" w:type="pct"/>
            <w:vAlign w:val="center"/>
          </w:tcPr>
          <w:p w14:paraId="19CEF950">
            <w:pPr>
              <w:spacing w:before="61" w:line="320" w:lineRule="exact"/>
              <w:jc w:val="center"/>
              <w:rPr>
                <w:rFonts w:eastAsiaTheme="minorEastAsia"/>
                <w:szCs w:val="21"/>
              </w:rPr>
            </w:pPr>
            <w:r>
              <w:rPr>
                <w:rFonts w:hint="eastAsia"/>
                <w:szCs w:val="21"/>
              </w:rPr>
              <w:t>ND</w:t>
            </w:r>
          </w:p>
        </w:tc>
        <w:tc>
          <w:tcPr>
            <w:tcW w:w="448" w:type="pct"/>
            <w:vAlign w:val="center"/>
          </w:tcPr>
          <w:p w14:paraId="0A20B68B">
            <w:pPr>
              <w:spacing w:before="61" w:line="320" w:lineRule="exact"/>
              <w:jc w:val="center"/>
              <w:rPr>
                <w:rFonts w:eastAsiaTheme="minorEastAsia"/>
                <w:szCs w:val="21"/>
              </w:rPr>
            </w:pPr>
            <w:r>
              <w:rPr>
                <w:rFonts w:hint="eastAsia"/>
                <w:szCs w:val="21"/>
              </w:rPr>
              <w:t>ND</w:t>
            </w:r>
          </w:p>
        </w:tc>
        <w:tc>
          <w:tcPr>
            <w:tcW w:w="449" w:type="pct"/>
            <w:vAlign w:val="center"/>
          </w:tcPr>
          <w:p w14:paraId="1E48CE85">
            <w:pPr>
              <w:spacing w:before="61" w:line="320" w:lineRule="exact"/>
              <w:jc w:val="center"/>
              <w:rPr>
                <w:rFonts w:eastAsiaTheme="minorEastAsia"/>
                <w:szCs w:val="21"/>
              </w:rPr>
            </w:pPr>
            <w:r>
              <w:rPr>
                <w:rFonts w:hint="eastAsia"/>
                <w:szCs w:val="21"/>
              </w:rPr>
              <w:t>ND</w:t>
            </w:r>
          </w:p>
        </w:tc>
        <w:tc>
          <w:tcPr>
            <w:tcW w:w="446" w:type="pct"/>
            <w:vAlign w:val="center"/>
          </w:tcPr>
          <w:p w14:paraId="3A2F2ADC">
            <w:pPr>
              <w:spacing w:before="61" w:line="320" w:lineRule="exact"/>
              <w:jc w:val="center"/>
              <w:rPr>
                <w:rFonts w:eastAsiaTheme="minorEastAsia"/>
                <w:szCs w:val="21"/>
              </w:rPr>
            </w:pPr>
            <w:r>
              <w:rPr>
                <w:rFonts w:eastAsiaTheme="minorEastAsia"/>
                <w:szCs w:val="21"/>
              </w:rPr>
              <w:t>570</w:t>
            </w:r>
          </w:p>
        </w:tc>
      </w:tr>
      <w:tr w14:paraId="7A7D8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65EA4F4E">
            <w:pPr>
              <w:spacing w:line="320" w:lineRule="exact"/>
              <w:jc w:val="center"/>
              <w:rPr>
                <w:rFonts w:eastAsiaTheme="minorEastAsia"/>
                <w:szCs w:val="21"/>
              </w:rPr>
            </w:pPr>
            <w:r>
              <w:rPr>
                <w:rFonts w:eastAsiaTheme="minorEastAsia"/>
                <w:szCs w:val="21"/>
              </w:rPr>
              <w:t>邻二甲苯（mg/kg）</w:t>
            </w:r>
          </w:p>
        </w:tc>
        <w:tc>
          <w:tcPr>
            <w:tcW w:w="680" w:type="pct"/>
            <w:vAlign w:val="center"/>
          </w:tcPr>
          <w:p w14:paraId="5C3E08EA">
            <w:pPr>
              <w:widowControl/>
              <w:jc w:val="center"/>
              <w:rPr>
                <w:szCs w:val="21"/>
              </w:rPr>
            </w:pPr>
            <w:r>
              <w:rPr>
                <w:rFonts w:hint="eastAsia"/>
                <w:szCs w:val="21"/>
              </w:rPr>
              <w:t>ND</w:t>
            </w:r>
          </w:p>
        </w:tc>
        <w:tc>
          <w:tcPr>
            <w:tcW w:w="447" w:type="pct"/>
            <w:vAlign w:val="center"/>
          </w:tcPr>
          <w:p w14:paraId="608A2116">
            <w:pPr>
              <w:spacing w:before="63" w:line="320" w:lineRule="exact"/>
              <w:ind w:left="5"/>
              <w:jc w:val="center"/>
              <w:rPr>
                <w:rFonts w:eastAsiaTheme="minorEastAsia"/>
                <w:szCs w:val="21"/>
              </w:rPr>
            </w:pPr>
            <w:r>
              <w:rPr>
                <w:rFonts w:hint="eastAsia"/>
                <w:szCs w:val="21"/>
              </w:rPr>
              <w:t>ND</w:t>
            </w:r>
          </w:p>
        </w:tc>
        <w:tc>
          <w:tcPr>
            <w:tcW w:w="447" w:type="pct"/>
            <w:vAlign w:val="center"/>
          </w:tcPr>
          <w:p w14:paraId="718D08F7">
            <w:pPr>
              <w:spacing w:before="63" w:line="320" w:lineRule="exact"/>
              <w:ind w:left="5"/>
              <w:jc w:val="center"/>
              <w:rPr>
                <w:szCs w:val="21"/>
              </w:rPr>
            </w:pPr>
            <w:r>
              <w:rPr>
                <w:rFonts w:hint="eastAsia"/>
                <w:szCs w:val="21"/>
              </w:rPr>
              <w:t>ND</w:t>
            </w:r>
          </w:p>
        </w:tc>
        <w:tc>
          <w:tcPr>
            <w:tcW w:w="448" w:type="pct"/>
            <w:vAlign w:val="center"/>
          </w:tcPr>
          <w:p w14:paraId="34AF6DF5">
            <w:pPr>
              <w:spacing w:before="63" w:line="320" w:lineRule="exact"/>
              <w:ind w:left="5"/>
              <w:jc w:val="center"/>
              <w:rPr>
                <w:rFonts w:eastAsiaTheme="minorEastAsia"/>
                <w:szCs w:val="21"/>
              </w:rPr>
            </w:pPr>
            <w:r>
              <w:rPr>
                <w:rFonts w:hint="eastAsia"/>
                <w:szCs w:val="21"/>
              </w:rPr>
              <w:t>ND</w:t>
            </w:r>
          </w:p>
        </w:tc>
        <w:tc>
          <w:tcPr>
            <w:tcW w:w="448" w:type="pct"/>
            <w:vAlign w:val="center"/>
          </w:tcPr>
          <w:p w14:paraId="113A60D4">
            <w:pPr>
              <w:spacing w:before="63" w:line="320" w:lineRule="exact"/>
              <w:ind w:left="5"/>
              <w:jc w:val="center"/>
              <w:rPr>
                <w:rFonts w:eastAsiaTheme="minorEastAsia"/>
                <w:szCs w:val="21"/>
              </w:rPr>
            </w:pPr>
            <w:r>
              <w:rPr>
                <w:rFonts w:hint="eastAsia"/>
                <w:szCs w:val="21"/>
              </w:rPr>
              <w:t>ND</w:t>
            </w:r>
          </w:p>
        </w:tc>
        <w:tc>
          <w:tcPr>
            <w:tcW w:w="448" w:type="pct"/>
            <w:vAlign w:val="center"/>
          </w:tcPr>
          <w:p w14:paraId="1B8FD771">
            <w:pPr>
              <w:spacing w:before="63" w:line="320" w:lineRule="exact"/>
              <w:ind w:left="5"/>
              <w:jc w:val="center"/>
              <w:rPr>
                <w:rFonts w:eastAsiaTheme="minorEastAsia"/>
                <w:szCs w:val="21"/>
              </w:rPr>
            </w:pPr>
            <w:r>
              <w:rPr>
                <w:rFonts w:hint="eastAsia"/>
                <w:szCs w:val="21"/>
              </w:rPr>
              <w:t>ND</w:t>
            </w:r>
          </w:p>
        </w:tc>
        <w:tc>
          <w:tcPr>
            <w:tcW w:w="449" w:type="pct"/>
            <w:vAlign w:val="center"/>
          </w:tcPr>
          <w:p w14:paraId="65548949">
            <w:pPr>
              <w:spacing w:before="63" w:line="320" w:lineRule="exact"/>
              <w:ind w:left="5"/>
              <w:jc w:val="center"/>
              <w:rPr>
                <w:rFonts w:eastAsiaTheme="minorEastAsia"/>
                <w:szCs w:val="21"/>
              </w:rPr>
            </w:pPr>
            <w:r>
              <w:rPr>
                <w:rFonts w:hint="eastAsia"/>
                <w:szCs w:val="21"/>
              </w:rPr>
              <w:t>ND</w:t>
            </w:r>
          </w:p>
        </w:tc>
        <w:tc>
          <w:tcPr>
            <w:tcW w:w="446" w:type="pct"/>
            <w:vAlign w:val="center"/>
          </w:tcPr>
          <w:p w14:paraId="12872260">
            <w:pPr>
              <w:spacing w:before="63" w:line="320" w:lineRule="exact"/>
              <w:ind w:left="5"/>
              <w:jc w:val="center"/>
              <w:rPr>
                <w:rFonts w:eastAsiaTheme="minorEastAsia"/>
                <w:szCs w:val="21"/>
              </w:rPr>
            </w:pPr>
            <w:r>
              <w:rPr>
                <w:rFonts w:eastAsiaTheme="minorEastAsia"/>
                <w:szCs w:val="21"/>
              </w:rPr>
              <w:t>640</w:t>
            </w:r>
          </w:p>
        </w:tc>
      </w:tr>
      <w:tr w14:paraId="71812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537909B6">
            <w:pPr>
              <w:spacing w:line="320" w:lineRule="exact"/>
              <w:jc w:val="center"/>
              <w:rPr>
                <w:rFonts w:eastAsiaTheme="minorEastAsia"/>
                <w:szCs w:val="21"/>
              </w:rPr>
            </w:pPr>
            <w:r>
              <w:rPr>
                <w:rFonts w:eastAsiaTheme="minorEastAsia"/>
                <w:szCs w:val="21"/>
              </w:rPr>
              <w:t>氯乙烯（mg/kg）</w:t>
            </w:r>
          </w:p>
        </w:tc>
        <w:tc>
          <w:tcPr>
            <w:tcW w:w="680" w:type="pct"/>
            <w:vAlign w:val="center"/>
          </w:tcPr>
          <w:p w14:paraId="6F0A263A">
            <w:pPr>
              <w:widowControl/>
              <w:jc w:val="center"/>
              <w:rPr>
                <w:kern w:val="0"/>
                <w:szCs w:val="21"/>
                <w:lang w:bidi="ar"/>
              </w:rPr>
            </w:pPr>
            <w:r>
              <w:rPr>
                <w:rFonts w:hint="eastAsia"/>
                <w:szCs w:val="21"/>
              </w:rPr>
              <w:t>ND</w:t>
            </w:r>
          </w:p>
        </w:tc>
        <w:tc>
          <w:tcPr>
            <w:tcW w:w="447" w:type="pct"/>
            <w:vAlign w:val="center"/>
          </w:tcPr>
          <w:p w14:paraId="0EBE9A2F">
            <w:pPr>
              <w:spacing w:before="61" w:line="320" w:lineRule="exact"/>
              <w:ind w:left="5"/>
              <w:jc w:val="center"/>
              <w:rPr>
                <w:rFonts w:eastAsiaTheme="minorEastAsia"/>
                <w:szCs w:val="21"/>
              </w:rPr>
            </w:pPr>
            <w:r>
              <w:rPr>
                <w:rFonts w:hint="eastAsia"/>
                <w:szCs w:val="21"/>
              </w:rPr>
              <w:t>ND</w:t>
            </w:r>
          </w:p>
        </w:tc>
        <w:tc>
          <w:tcPr>
            <w:tcW w:w="447" w:type="pct"/>
            <w:vAlign w:val="center"/>
          </w:tcPr>
          <w:p w14:paraId="561D5416">
            <w:pPr>
              <w:spacing w:before="61" w:line="320" w:lineRule="exact"/>
              <w:ind w:left="5"/>
              <w:jc w:val="center"/>
              <w:rPr>
                <w:szCs w:val="21"/>
              </w:rPr>
            </w:pPr>
            <w:r>
              <w:rPr>
                <w:rFonts w:hint="eastAsia"/>
                <w:szCs w:val="21"/>
              </w:rPr>
              <w:t>ND</w:t>
            </w:r>
          </w:p>
        </w:tc>
        <w:tc>
          <w:tcPr>
            <w:tcW w:w="448" w:type="pct"/>
            <w:vAlign w:val="center"/>
          </w:tcPr>
          <w:p w14:paraId="1E416A0C">
            <w:pPr>
              <w:spacing w:before="61" w:line="320" w:lineRule="exact"/>
              <w:ind w:left="5"/>
              <w:jc w:val="center"/>
              <w:rPr>
                <w:rFonts w:eastAsiaTheme="minorEastAsia"/>
                <w:szCs w:val="21"/>
              </w:rPr>
            </w:pPr>
            <w:r>
              <w:rPr>
                <w:rFonts w:hint="eastAsia"/>
                <w:szCs w:val="21"/>
              </w:rPr>
              <w:t>ND</w:t>
            </w:r>
          </w:p>
        </w:tc>
        <w:tc>
          <w:tcPr>
            <w:tcW w:w="448" w:type="pct"/>
            <w:vAlign w:val="center"/>
          </w:tcPr>
          <w:p w14:paraId="02F5C577">
            <w:pPr>
              <w:spacing w:before="61" w:line="320" w:lineRule="exact"/>
              <w:ind w:left="5"/>
              <w:jc w:val="center"/>
              <w:rPr>
                <w:rFonts w:eastAsiaTheme="minorEastAsia"/>
                <w:szCs w:val="21"/>
              </w:rPr>
            </w:pPr>
            <w:r>
              <w:rPr>
                <w:rFonts w:hint="eastAsia"/>
                <w:szCs w:val="21"/>
              </w:rPr>
              <w:t>ND</w:t>
            </w:r>
          </w:p>
        </w:tc>
        <w:tc>
          <w:tcPr>
            <w:tcW w:w="448" w:type="pct"/>
            <w:vAlign w:val="center"/>
          </w:tcPr>
          <w:p w14:paraId="3814B14A">
            <w:pPr>
              <w:spacing w:before="61" w:line="320" w:lineRule="exact"/>
              <w:ind w:left="5"/>
              <w:jc w:val="center"/>
              <w:rPr>
                <w:rFonts w:eastAsiaTheme="minorEastAsia"/>
                <w:szCs w:val="21"/>
              </w:rPr>
            </w:pPr>
            <w:r>
              <w:rPr>
                <w:rFonts w:hint="eastAsia"/>
                <w:szCs w:val="21"/>
              </w:rPr>
              <w:t>ND</w:t>
            </w:r>
          </w:p>
        </w:tc>
        <w:tc>
          <w:tcPr>
            <w:tcW w:w="449" w:type="pct"/>
            <w:vAlign w:val="center"/>
          </w:tcPr>
          <w:p w14:paraId="7BE135E7">
            <w:pPr>
              <w:spacing w:before="61" w:line="320" w:lineRule="exact"/>
              <w:ind w:left="5"/>
              <w:jc w:val="center"/>
              <w:rPr>
                <w:rFonts w:eastAsiaTheme="minorEastAsia"/>
                <w:szCs w:val="21"/>
              </w:rPr>
            </w:pPr>
            <w:r>
              <w:rPr>
                <w:rFonts w:hint="eastAsia"/>
                <w:szCs w:val="21"/>
              </w:rPr>
              <w:t>ND</w:t>
            </w:r>
          </w:p>
        </w:tc>
        <w:tc>
          <w:tcPr>
            <w:tcW w:w="446" w:type="pct"/>
            <w:vAlign w:val="center"/>
          </w:tcPr>
          <w:p w14:paraId="77D78BEA">
            <w:pPr>
              <w:spacing w:before="61" w:line="320" w:lineRule="exact"/>
              <w:ind w:left="5"/>
              <w:jc w:val="center"/>
              <w:rPr>
                <w:rFonts w:eastAsiaTheme="minorEastAsia"/>
                <w:szCs w:val="21"/>
              </w:rPr>
            </w:pPr>
            <w:r>
              <w:rPr>
                <w:rFonts w:eastAsiaTheme="minorEastAsia"/>
                <w:szCs w:val="21"/>
              </w:rPr>
              <w:t>0.43</w:t>
            </w:r>
          </w:p>
        </w:tc>
      </w:tr>
      <w:tr w14:paraId="4EBAB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87" w:type="pct"/>
            <w:vAlign w:val="center"/>
          </w:tcPr>
          <w:p w14:paraId="3F8FA2FD">
            <w:pPr>
              <w:spacing w:line="320" w:lineRule="exact"/>
              <w:jc w:val="center"/>
              <w:rPr>
                <w:rFonts w:eastAsiaTheme="minorEastAsia"/>
                <w:szCs w:val="21"/>
              </w:rPr>
            </w:pPr>
            <w:r>
              <w:rPr>
                <w:rFonts w:eastAsiaTheme="minorEastAsia"/>
                <w:szCs w:val="21"/>
              </w:rPr>
              <w:t>备注</w:t>
            </w:r>
          </w:p>
        </w:tc>
        <w:tc>
          <w:tcPr>
            <w:tcW w:w="3813" w:type="pct"/>
            <w:gridSpan w:val="8"/>
            <w:vAlign w:val="center"/>
          </w:tcPr>
          <w:p w14:paraId="54F4C164">
            <w:pPr>
              <w:spacing w:before="61" w:line="320" w:lineRule="exact"/>
              <w:rPr>
                <w:rFonts w:eastAsiaTheme="minorEastAsia"/>
                <w:szCs w:val="21"/>
              </w:rPr>
            </w:pPr>
            <w:r>
              <w:rPr>
                <w:rFonts w:hint="eastAsia" w:eastAsiaTheme="minorEastAsia"/>
                <w:szCs w:val="21"/>
              </w:rPr>
              <w:t>“ND”表示未检出。</w:t>
            </w:r>
          </w:p>
        </w:tc>
      </w:tr>
      <w:bookmarkEnd w:id="116"/>
    </w:tbl>
    <w:p w14:paraId="2F1C215A">
      <w:pPr>
        <w:pStyle w:val="3393"/>
      </w:pPr>
    </w:p>
    <w:p w14:paraId="27E8AB0C">
      <w:pPr>
        <w:pStyle w:val="3393"/>
      </w:pPr>
    </w:p>
    <w:p w14:paraId="5CF02402">
      <w:pPr>
        <w:spacing w:line="360" w:lineRule="auto"/>
        <w:ind w:firstLine="422"/>
        <w:jc w:val="center"/>
        <w:rPr>
          <w:rFonts w:eastAsiaTheme="minorEastAsia"/>
          <w:b/>
          <w:szCs w:val="21"/>
        </w:rPr>
        <w:sectPr>
          <w:footerReference r:id="rId8" w:type="default"/>
          <w:pgSz w:w="11906" w:h="16838"/>
          <w:pgMar w:top="1560" w:right="1797" w:bottom="1560" w:left="1797" w:header="851" w:footer="861" w:gutter="0"/>
          <w:cols w:space="425" w:num="1"/>
          <w:docGrid w:type="lines" w:linePitch="312" w:charSpace="0"/>
        </w:sectPr>
      </w:pPr>
    </w:p>
    <w:p w14:paraId="59BDECC1">
      <w:pPr>
        <w:spacing w:line="360" w:lineRule="auto"/>
        <w:ind w:firstLine="422"/>
        <w:jc w:val="center"/>
        <w:rPr>
          <w:rFonts w:eastAsiaTheme="minorEastAsia"/>
          <w:b/>
          <w:bCs/>
          <w:kern w:val="0"/>
          <w:szCs w:val="21"/>
        </w:rPr>
      </w:pPr>
      <w:r>
        <w:rPr>
          <w:rFonts w:eastAsiaTheme="minorEastAsia"/>
          <w:b/>
          <w:szCs w:val="21"/>
        </w:rPr>
        <w:t>表</w:t>
      </w:r>
      <w:r>
        <w:rPr>
          <w:rFonts w:hint="eastAsia" w:eastAsiaTheme="minorEastAsia"/>
          <w:b/>
          <w:szCs w:val="21"/>
        </w:rPr>
        <w:t>3.3</w:t>
      </w:r>
      <w:r>
        <w:rPr>
          <w:rFonts w:eastAsiaTheme="minorEastAsia"/>
          <w:b/>
          <w:szCs w:val="21"/>
        </w:rPr>
        <w:t>.4-</w:t>
      </w:r>
      <w:r>
        <w:rPr>
          <w:rFonts w:hint="eastAsia" w:eastAsiaTheme="minorEastAsia"/>
          <w:b/>
          <w:szCs w:val="21"/>
        </w:rPr>
        <w:t>3</w:t>
      </w:r>
      <w:r>
        <w:rPr>
          <w:rFonts w:eastAsiaTheme="minorEastAsia"/>
          <w:b/>
          <w:bCs/>
          <w:kern w:val="0"/>
          <w:szCs w:val="21"/>
        </w:rPr>
        <w:t xml:space="preserve"> </w:t>
      </w:r>
      <w:r>
        <w:rPr>
          <w:rFonts w:hint="eastAsia" w:eastAsiaTheme="minorEastAsia"/>
          <w:b/>
          <w:bCs/>
          <w:kern w:val="0"/>
          <w:szCs w:val="21"/>
        </w:rPr>
        <w:t xml:space="preserve">  万和</w:t>
      </w:r>
      <w:r>
        <w:rPr>
          <w:rFonts w:eastAsiaTheme="minorEastAsia"/>
          <w:b/>
          <w:bCs/>
          <w:kern w:val="0"/>
          <w:szCs w:val="21"/>
        </w:rPr>
        <w:t>石材产业区域土壤环境质量建设用地监测结果表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4"/>
        <w:gridCol w:w="1087"/>
        <w:gridCol w:w="1084"/>
        <w:gridCol w:w="967"/>
        <w:gridCol w:w="962"/>
        <w:gridCol w:w="839"/>
        <w:gridCol w:w="839"/>
        <w:gridCol w:w="836"/>
        <w:gridCol w:w="836"/>
        <w:gridCol w:w="842"/>
        <w:gridCol w:w="828"/>
        <w:gridCol w:w="850"/>
        <w:gridCol w:w="1031"/>
        <w:gridCol w:w="1031"/>
      </w:tblGrid>
      <w:tr w14:paraId="1A8B2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tcBorders>
              <w:tl2br w:val="single" w:color="auto" w:sz="4" w:space="0"/>
            </w:tcBorders>
            <w:vAlign w:val="center"/>
          </w:tcPr>
          <w:p w14:paraId="6724C72B">
            <w:pPr>
              <w:spacing w:line="320" w:lineRule="exact"/>
              <w:jc w:val="center"/>
              <w:rPr>
                <w:rFonts w:eastAsiaTheme="minorEastAsia"/>
                <w:szCs w:val="21"/>
              </w:rPr>
            </w:pPr>
            <w:r>
              <w:rPr>
                <w:rFonts w:hint="eastAsia" w:eastAsiaTheme="minorEastAsia"/>
                <w:szCs w:val="21"/>
              </w:rPr>
              <w:t xml:space="preserve">               </w:t>
            </w:r>
            <w:r>
              <w:rPr>
                <w:rFonts w:eastAsiaTheme="minorEastAsia"/>
                <w:szCs w:val="21"/>
              </w:rPr>
              <w:t>监测点位</w:t>
            </w:r>
          </w:p>
          <w:p w14:paraId="0B90E87F">
            <w:pPr>
              <w:autoSpaceDE w:val="0"/>
              <w:autoSpaceDN w:val="0"/>
              <w:adjustRightInd w:val="0"/>
              <w:spacing w:after="120" w:line="320" w:lineRule="exact"/>
              <w:rPr>
                <w:rFonts w:eastAsiaTheme="minorEastAsia"/>
                <w:szCs w:val="21"/>
              </w:rPr>
            </w:pPr>
            <w:r>
              <w:rPr>
                <w:rFonts w:eastAsiaTheme="minorEastAsia"/>
                <w:szCs w:val="21"/>
              </w:rPr>
              <w:t>监测项目</w:t>
            </w:r>
          </w:p>
        </w:tc>
        <w:tc>
          <w:tcPr>
            <w:tcW w:w="390" w:type="pct"/>
            <w:vAlign w:val="center"/>
          </w:tcPr>
          <w:p w14:paraId="39822FCA">
            <w:pPr>
              <w:spacing w:line="320" w:lineRule="exact"/>
              <w:jc w:val="center"/>
              <w:rPr>
                <w:rFonts w:eastAsiaTheme="minorEastAsia"/>
                <w:szCs w:val="21"/>
              </w:rPr>
            </w:pPr>
            <w:r>
              <w:rPr>
                <w:rFonts w:eastAsiaTheme="minorEastAsia"/>
                <w:szCs w:val="21"/>
              </w:rPr>
              <w:t>T</w:t>
            </w:r>
            <w:r>
              <w:rPr>
                <w:rFonts w:hint="eastAsia" w:eastAsiaTheme="minorEastAsia"/>
                <w:szCs w:val="21"/>
              </w:rPr>
              <w:t>1</w:t>
            </w:r>
          </w:p>
        </w:tc>
        <w:tc>
          <w:tcPr>
            <w:tcW w:w="389" w:type="pct"/>
            <w:vAlign w:val="center"/>
          </w:tcPr>
          <w:p w14:paraId="1D40BA92">
            <w:pPr>
              <w:spacing w:line="320" w:lineRule="exact"/>
              <w:jc w:val="center"/>
              <w:rPr>
                <w:rFonts w:eastAsiaTheme="minorEastAsia"/>
                <w:szCs w:val="21"/>
              </w:rPr>
            </w:pPr>
            <w:r>
              <w:rPr>
                <w:rFonts w:eastAsiaTheme="minorEastAsia"/>
                <w:szCs w:val="21"/>
              </w:rPr>
              <w:t>T</w:t>
            </w:r>
            <w:r>
              <w:rPr>
                <w:rFonts w:hint="eastAsia" w:eastAsiaTheme="minorEastAsia"/>
                <w:szCs w:val="21"/>
              </w:rPr>
              <w:t>2</w:t>
            </w:r>
          </w:p>
        </w:tc>
        <w:tc>
          <w:tcPr>
            <w:tcW w:w="347" w:type="pct"/>
            <w:vAlign w:val="center"/>
          </w:tcPr>
          <w:p w14:paraId="4D805070">
            <w:pPr>
              <w:spacing w:line="320" w:lineRule="exact"/>
              <w:jc w:val="center"/>
              <w:rPr>
                <w:rFonts w:eastAsiaTheme="minorEastAsia"/>
                <w:szCs w:val="21"/>
              </w:rPr>
            </w:pPr>
            <w:r>
              <w:rPr>
                <w:rFonts w:hint="eastAsia" w:eastAsiaTheme="minorEastAsia"/>
                <w:szCs w:val="21"/>
              </w:rPr>
              <w:t>T3</w:t>
            </w:r>
          </w:p>
        </w:tc>
        <w:tc>
          <w:tcPr>
            <w:tcW w:w="345" w:type="pct"/>
            <w:vAlign w:val="center"/>
          </w:tcPr>
          <w:p w14:paraId="2DCF7502">
            <w:pPr>
              <w:spacing w:line="320" w:lineRule="exact"/>
              <w:jc w:val="center"/>
              <w:rPr>
                <w:rFonts w:eastAsiaTheme="minorEastAsia"/>
                <w:szCs w:val="21"/>
              </w:rPr>
            </w:pPr>
            <w:r>
              <w:rPr>
                <w:rFonts w:eastAsiaTheme="minorEastAsia"/>
                <w:szCs w:val="21"/>
              </w:rPr>
              <w:t>T</w:t>
            </w:r>
            <w:r>
              <w:rPr>
                <w:rFonts w:hint="eastAsia" w:eastAsiaTheme="minorEastAsia"/>
                <w:szCs w:val="21"/>
              </w:rPr>
              <w:t>4</w:t>
            </w:r>
          </w:p>
        </w:tc>
        <w:tc>
          <w:tcPr>
            <w:tcW w:w="301" w:type="pct"/>
            <w:vAlign w:val="center"/>
          </w:tcPr>
          <w:p w14:paraId="5467290A">
            <w:pPr>
              <w:spacing w:line="320" w:lineRule="exact"/>
              <w:jc w:val="center"/>
              <w:rPr>
                <w:rFonts w:eastAsiaTheme="minorEastAsia"/>
                <w:szCs w:val="21"/>
              </w:rPr>
            </w:pPr>
            <w:r>
              <w:rPr>
                <w:rFonts w:eastAsiaTheme="minorEastAsia"/>
                <w:szCs w:val="21"/>
              </w:rPr>
              <w:t>T</w:t>
            </w:r>
            <w:r>
              <w:rPr>
                <w:rFonts w:hint="eastAsia" w:eastAsiaTheme="minorEastAsia"/>
                <w:szCs w:val="21"/>
              </w:rPr>
              <w:t>5</w:t>
            </w:r>
          </w:p>
        </w:tc>
        <w:tc>
          <w:tcPr>
            <w:tcW w:w="301" w:type="pct"/>
            <w:vAlign w:val="center"/>
          </w:tcPr>
          <w:p w14:paraId="7C911C18">
            <w:pPr>
              <w:spacing w:line="320" w:lineRule="exact"/>
              <w:jc w:val="center"/>
              <w:rPr>
                <w:rFonts w:eastAsiaTheme="minorEastAsia"/>
                <w:szCs w:val="21"/>
              </w:rPr>
            </w:pPr>
            <w:r>
              <w:rPr>
                <w:rFonts w:eastAsiaTheme="minorEastAsia"/>
                <w:szCs w:val="21"/>
              </w:rPr>
              <w:t>T</w:t>
            </w:r>
            <w:r>
              <w:rPr>
                <w:rFonts w:hint="eastAsia" w:eastAsiaTheme="minorEastAsia"/>
                <w:szCs w:val="21"/>
              </w:rPr>
              <w:t>6</w:t>
            </w:r>
          </w:p>
        </w:tc>
        <w:tc>
          <w:tcPr>
            <w:tcW w:w="300" w:type="pct"/>
            <w:vAlign w:val="center"/>
          </w:tcPr>
          <w:p w14:paraId="7B895AFB">
            <w:pPr>
              <w:spacing w:line="320" w:lineRule="exact"/>
              <w:jc w:val="center"/>
              <w:rPr>
                <w:rFonts w:eastAsiaTheme="minorEastAsia"/>
                <w:szCs w:val="21"/>
              </w:rPr>
            </w:pPr>
            <w:r>
              <w:rPr>
                <w:rFonts w:hint="eastAsia" w:eastAsiaTheme="minorEastAsia"/>
                <w:szCs w:val="21"/>
              </w:rPr>
              <w:t>T7</w:t>
            </w:r>
          </w:p>
        </w:tc>
        <w:tc>
          <w:tcPr>
            <w:tcW w:w="300" w:type="pct"/>
            <w:vAlign w:val="center"/>
          </w:tcPr>
          <w:p w14:paraId="65A71562">
            <w:pPr>
              <w:spacing w:line="320" w:lineRule="exact"/>
              <w:jc w:val="center"/>
              <w:rPr>
                <w:rFonts w:eastAsiaTheme="minorEastAsia"/>
                <w:szCs w:val="21"/>
              </w:rPr>
            </w:pPr>
            <w:r>
              <w:rPr>
                <w:rFonts w:hint="eastAsia" w:eastAsiaTheme="minorEastAsia"/>
                <w:szCs w:val="21"/>
              </w:rPr>
              <w:t>T8</w:t>
            </w:r>
          </w:p>
        </w:tc>
        <w:tc>
          <w:tcPr>
            <w:tcW w:w="302" w:type="pct"/>
            <w:vAlign w:val="center"/>
          </w:tcPr>
          <w:p w14:paraId="322BC3A3">
            <w:pPr>
              <w:spacing w:line="320" w:lineRule="exact"/>
              <w:jc w:val="center"/>
              <w:rPr>
                <w:rFonts w:eastAsiaTheme="minorEastAsia"/>
                <w:szCs w:val="21"/>
              </w:rPr>
            </w:pPr>
            <w:r>
              <w:rPr>
                <w:rFonts w:hint="eastAsia" w:eastAsiaTheme="minorEastAsia"/>
                <w:szCs w:val="21"/>
              </w:rPr>
              <w:t>T9</w:t>
            </w:r>
          </w:p>
        </w:tc>
        <w:tc>
          <w:tcPr>
            <w:tcW w:w="297" w:type="pct"/>
            <w:vAlign w:val="center"/>
          </w:tcPr>
          <w:p w14:paraId="0F0AC0B2">
            <w:pPr>
              <w:spacing w:line="320" w:lineRule="exact"/>
              <w:jc w:val="center"/>
              <w:rPr>
                <w:rFonts w:eastAsiaTheme="minorEastAsia"/>
                <w:szCs w:val="21"/>
              </w:rPr>
            </w:pPr>
            <w:r>
              <w:rPr>
                <w:rFonts w:hint="eastAsia" w:eastAsiaTheme="minorEastAsia"/>
                <w:szCs w:val="21"/>
              </w:rPr>
              <w:t>T10</w:t>
            </w:r>
          </w:p>
        </w:tc>
        <w:tc>
          <w:tcPr>
            <w:tcW w:w="305" w:type="pct"/>
            <w:vAlign w:val="center"/>
          </w:tcPr>
          <w:p w14:paraId="4795333C">
            <w:pPr>
              <w:spacing w:line="320" w:lineRule="exact"/>
              <w:jc w:val="center"/>
              <w:rPr>
                <w:rFonts w:eastAsiaTheme="minorEastAsia"/>
                <w:szCs w:val="21"/>
              </w:rPr>
            </w:pPr>
            <w:r>
              <w:rPr>
                <w:rFonts w:hint="eastAsia" w:eastAsiaTheme="minorEastAsia"/>
                <w:szCs w:val="21"/>
              </w:rPr>
              <w:t>T11</w:t>
            </w:r>
          </w:p>
        </w:tc>
        <w:tc>
          <w:tcPr>
            <w:tcW w:w="370" w:type="pct"/>
            <w:vAlign w:val="center"/>
          </w:tcPr>
          <w:p w14:paraId="4FC726B9">
            <w:pPr>
              <w:spacing w:line="320" w:lineRule="exact"/>
              <w:jc w:val="center"/>
              <w:rPr>
                <w:rFonts w:eastAsiaTheme="minorEastAsia"/>
                <w:szCs w:val="21"/>
              </w:rPr>
            </w:pPr>
            <w:r>
              <w:rPr>
                <w:rFonts w:hint="eastAsia" w:eastAsiaTheme="minorEastAsia"/>
                <w:szCs w:val="21"/>
              </w:rPr>
              <w:t>T12</w:t>
            </w:r>
          </w:p>
        </w:tc>
        <w:tc>
          <w:tcPr>
            <w:tcW w:w="370" w:type="pct"/>
            <w:vAlign w:val="center"/>
          </w:tcPr>
          <w:p w14:paraId="565FBB3E">
            <w:pPr>
              <w:spacing w:line="320" w:lineRule="exact"/>
              <w:jc w:val="center"/>
              <w:rPr>
                <w:rFonts w:eastAsiaTheme="minorEastAsia"/>
                <w:szCs w:val="21"/>
              </w:rPr>
            </w:pPr>
            <w:r>
              <w:rPr>
                <w:rFonts w:eastAsiaTheme="minorEastAsia"/>
                <w:szCs w:val="21"/>
              </w:rPr>
              <w:t>标准限值</w:t>
            </w:r>
          </w:p>
        </w:tc>
      </w:tr>
      <w:tr w14:paraId="673BD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BFEE2D4">
            <w:pPr>
              <w:spacing w:line="320" w:lineRule="exact"/>
              <w:jc w:val="center"/>
              <w:rPr>
                <w:rFonts w:eastAsiaTheme="minorEastAsia"/>
                <w:szCs w:val="21"/>
              </w:rPr>
            </w:pPr>
            <w:r>
              <w:rPr>
                <w:rFonts w:eastAsiaTheme="minorEastAsia"/>
                <w:szCs w:val="21"/>
              </w:rPr>
              <w:t>pH值</w:t>
            </w:r>
          </w:p>
        </w:tc>
        <w:tc>
          <w:tcPr>
            <w:tcW w:w="390" w:type="pct"/>
            <w:vAlign w:val="center"/>
          </w:tcPr>
          <w:p w14:paraId="52509C5A">
            <w:pPr>
              <w:widowControl/>
              <w:jc w:val="center"/>
              <w:textAlignment w:val="center"/>
              <w:rPr>
                <w:szCs w:val="21"/>
              </w:rPr>
            </w:pPr>
            <w:r>
              <w:rPr>
                <w:rFonts w:hint="eastAsia"/>
                <w:szCs w:val="21"/>
              </w:rPr>
              <w:t>7.8</w:t>
            </w:r>
          </w:p>
        </w:tc>
        <w:tc>
          <w:tcPr>
            <w:tcW w:w="389" w:type="pct"/>
            <w:vAlign w:val="center"/>
          </w:tcPr>
          <w:p w14:paraId="09ACE62E">
            <w:pPr>
              <w:spacing w:line="320" w:lineRule="exact"/>
              <w:jc w:val="center"/>
              <w:rPr>
                <w:rFonts w:eastAsiaTheme="minorEastAsia"/>
                <w:szCs w:val="21"/>
              </w:rPr>
            </w:pPr>
            <w:r>
              <w:rPr>
                <w:rFonts w:hint="eastAsia" w:eastAsiaTheme="minorEastAsia"/>
                <w:szCs w:val="21"/>
              </w:rPr>
              <w:t>8.0</w:t>
            </w:r>
          </w:p>
        </w:tc>
        <w:tc>
          <w:tcPr>
            <w:tcW w:w="347" w:type="pct"/>
            <w:vAlign w:val="center"/>
          </w:tcPr>
          <w:p w14:paraId="260EF99D">
            <w:pPr>
              <w:spacing w:line="320" w:lineRule="exact"/>
              <w:jc w:val="center"/>
              <w:rPr>
                <w:rFonts w:eastAsiaTheme="minorEastAsia"/>
                <w:szCs w:val="21"/>
              </w:rPr>
            </w:pPr>
            <w:r>
              <w:rPr>
                <w:rFonts w:hint="eastAsia" w:eastAsiaTheme="minorEastAsia"/>
                <w:szCs w:val="21"/>
              </w:rPr>
              <w:t>8.1</w:t>
            </w:r>
          </w:p>
        </w:tc>
        <w:tc>
          <w:tcPr>
            <w:tcW w:w="345" w:type="pct"/>
            <w:vAlign w:val="center"/>
          </w:tcPr>
          <w:p w14:paraId="10C6FED0">
            <w:pPr>
              <w:spacing w:line="320" w:lineRule="exact"/>
              <w:jc w:val="center"/>
              <w:rPr>
                <w:rFonts w:eastAsiaTheme="minorEastAsia"/>
                <w:szCs w:val="21"/>
              </w:rPr>
            </w:pPr>
            <w:r>
              <w:rPr>
                <w:rFonts w:hint="eastAsia" w:eastAsiaTheme="minorEastAsia"/>
                <w:szCs w:val="21"/>
              </w:rPr>
              <w:t>7.9</w:t>
            </w:r>
          </w:p>
        </w:tc>
        <w:tc>
          <w:tcPr>
            <w:tcW w:w="301" w:type="pct"/>
            <w:vAlign w:val="center"/>
          </w:tcPr>
          <w:p w14:paraId="0696C65F">
            <w:pPr>
              <w:spacing w:line="320" w:lineRule="exact"/>
              <w:jc w:val="center"/>
              <w:rPr>
                <w:rFonts w:eastAsiaTheme="minorEastAsia"/>
                <w:szCs w:val="21"/>
              </w:rPr>
            </w:pPr>
            <w:r>
              <w:rPr>
                <w:rFonts w:hint="eastAsia" w:eastAsiaTheme="minorEastAsia"/>
                <w:szCs w:val="21"/>
              </w:rPr>
              <w:t>8.4</w:t>
            </w:r>
          </w:p>
        </w:tc>
        <w:tc>
          <w:tcPr>
            <w:tcW w:w="301" w:type="pct"/>
            <w:vAlign w:val="center"/>
          </w:tcPr>
          <w:p w14:paraId="0AF4A906">
            <w:pPr>
              <w:spacing w:line="320" w:lineRule="exact"/>
              <w:jc w:val="center"/>
              <w:rPr>
                <w:rFonts w:eastAsiaTheme="minorEastAsia"/>
                <w:szCs w:val="21"/>
              </w:rPr>
            </w:pPr>
            <w:r>
              <w:rPr>
                <w:rFonts w:hint="eastAsia" w:eastAsiaTheme="minorEastAsia"/>
                <w:szCs w:val="21"/>
              </w:rPr>
              <w:t>8.2</w:t>
            </w:r>
          </w:p>
        </w:tc>
        <w:tc>
          <w:tcPr>
            <w:tcW w:w="300" w:type="pct"/>
            <w:vAlign w:val="center"/>
          </w:tcPr>
          <w:p w14:paraId="2E0776EF">
            <w:pPr>
              <w:spacing w:line="320" w:lineRule="exact"/>
              <w:jc w:val="center"/>
              <w:rPr>
                <w:rFonts w:eastAsiaTheme="minorEastAsia"/>
                <w:szCs w:val="21"/>
              </w:rPr>
            </w:pPr>
            <w:r>
              <w:rPr>
                <w:rFonts w:hint="eastAsia" w:eastAsiaTheme="minorEastAsia"/>
                <w:szCs w:val="21"/>
              </w:rPr>
              <w:t>8.0</w:t>
            </w:r>
          </w:p>
        </w:tc>
        <w:tc>
          <w:tcPr>
            <w:tcW w:w="300" w:type="pct"/>
            <w:vAlign w:val="center"/>
          </w:tcPr>
          <w:p w14:paraId="77695409">
            <w:pPr>
              <w:spacing w:line="320" w:lineRule="exact"/>
              <w:jc w:val="center"/>
              <w:rPr>
                <w:rFonts w:eastAsiaTheme="minorEastAsia"/>
                <w:szCs w:val="21"/>
              </w:rPr>
            </w:pPr>
            <w:r>
              <w:rPr>
                <w:rFonts w:hint="eastAsia" w:eastAsiaTheme="minorEastAsia"/>
                <w:szCs w:val="21"/>
              </w:rPr>
              <w:t>7.9</w:t>
            </w:r>
          </w:p>
        </w:tc>
        <w:tc>
          <w:tcPr>
            <w:tcW w:w="302" w:type="pct"/>
            <w:vAlign w:val="center"/>
          </w:tcPr>
          <w:p w14:paraId="147B54E3">
            <w:pPr>
              <w:spacing w:line="320" w:lineRule="exact"/>
              <w:jc w:val="center"/>
              <w:rPr>
                <w:rFonts w:eastAsiaTheme="minorEastAsia"/>
                <w:szCs w:val="21"/>
              </w:rPr>
            </w:pPr>
            <w:r>
              <w:rPr>
                <w:rFonts w:hint="eastAsia" w:eastAsiaTheme="minorEastAsia"/>
                <w:szCs w:val="21"/>
              </w:rPr>
              <w:t>8.4</w:t>
            </w:r>
          </w:p>
        </w:tc>
        <w:tc>
          <w:tcPr>
            <w:tcW w:w="297" w:type="pct"/>
            <w:vAlign w:val="center"/>
          </w:tcPr>
          <w:p w14:paraId="19D23FE4">
            <w:pPr>
              <w:spacing w:line="320" w:lineRule="exact"/>
              <w:jc w:val="center"/>
              <w:rPr>
                <w:rFonts w:eastAsiaTheme="minorEastAsia"/>
                <w:szCs w:val="21"/>
              </w:rPr>
            </w:pPr>
            <w:r>
              <w:rPr>
                <w:rFonts w:hint="eastAsia" w:eastAsiaTheme="minorEastAsia"/>
                <w:szCs w:val="21"/>
              </w:rPr>
              <w:t>8.6</w:t>
            </w:r>
          </w:p>
        </w:tc>
        <w:tc>
          <w:tcPr>
            <w:tcW w:w="305" w:type="pct"/>
            <w:vAlign w:val="center"/>
          </w:tcPr>
          <w:p w14:paraId="4DAF2AC5">
            <w:pPr>
              <w:spacing w:line="320" w:lineRule="exact"/>
              <w:jc w:val="center"/>
              <w:rPr>
                <w:rFonts w:eastAsiaTheme="minorEastAsia"/>
                <w:szCs w:val="21"/>
              </w:rPr>
            </w:pPr>
            <w:r>
              <w:rPr>
                <w:rFonts w:hint="eastAsia" w:eastAsiaTheme="minorEastAsia"/>
                <w:szCs w:val="21"/>
              </w:rPr>
              <w:t>8.2</w:t>
            </w:r>
          </w:p>
        </w:tc>
        <w:tc>
          <w:tcPr>
            <w:tcW w:w="370" w:type="pct"/>
            <w:vAlign w:val="center"/>
          </w:tcPr>
          <w:p w14:paraId="49F3E85A">
            <w:pPr>
              <w:spacing w:line="320" w:lineRule="exact"/>
              <w:jc w:val="center"/>
              <w:rPr>
                <w:rFonts w:eastAsiaTheme="minorEastAsia"/>
                <w:szCs w:val="21"/>
              </w:rPr>
            </w:pPr>
            <w:r>
              <w:rPr>
                <w:rFonts w:hint="eastAsia" w:eastAsiaTheme="minorEastAsia"/>
                <w:szCs w:val="21"/>
              </w:rPr>
              <w:t>8.3</w:t>
            </w:r>
          </w:p>
        </w:tc>
        <w:tc>
          <w:tcPr>
            <w:tcW w:w="370" w:type="pct"/>
            <w:vAlign w:val="center"/>
          </w:tcPr>
          <w:p w14:paraId="49162D0C">
            <w:pPr>
              <w:spacing w:line="320" w:lineRule="exact"/>
              <w:jc w:val="center"/>
              <w:rPr>
                <w:rFonts w:eastAsiaTheme="minorEastAsia"/>
                <w:szCs w:val="21"/>
              </w:rPr>
            </w:pPr>
            <w:r>
              <w:rPr>
                <w:rFonts w:hint="eastAsia" w:eastAsiaTheme="minorEastAsia"/>
                <w:szCs w:val="21"/>
              </w:rPr>
              <w:t>/</w:t>
            </w:r>
          </w:p>
        </w:tc>
      </w:tr>
      <w:tr w14:paraId="0F81E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E168E85">
            <w:pPr>
              <w:spacing w:line="320" w:lineRule="exact"/>
              <w:jc w:val="center"/>
              <w:rPr>
                <w:rFonts w:eastAsiaTheme="minorEastAsia"/>
                <w:szCs w:val="21"/>
              </w:rPr>
            </w:pPr>
            <w:r>
              <w:rPr>
                <w:rFonts w:eastAsiaTheme="minorEastAsia"/>
                <w:szCs w:val="21"/>
              </w:rPr>
              <w:t>石油烃（mg/kg）</w:t>
            </w:r>
          </w:p>
        </w:tc>
        <w:tc>
          <w:tcPr>
            <w:tcW w:w="390" w:type="pct"/>
            <w:vAlign w:val="center"/>
          </w:tcPr>
          <w:p w14:paraId="689849E2">
            <w:pPr>
              <w:widowControl/>
              <w:jc w:val="center"/>
              <w:textAlignment w:val="center"/>
              <w:rPr>
                <w:szCs w:val="21"/>
              </w:rPr>
            </w:pPr>
            <w:r>
              <w:rPr>
                <w:rFonts w:hint="eastAsia"/>
                <w:szCs w:val="21"/>
              </w:rPr>
              <w:t>9</w:t>
            </w:r>
          </w:p>
        </w:tc>
        <w:tc>
          <w:tcPr>
            <w:tcW w:w="389" w:type="pct"/>
            <w:vAlign w:val="center"/>
          </w:tcPr>
          <w:p w14:paraId="577FCB38">
            <w:pPr>
              <w:spacing w:line="320" w:lineRule="exact"/>
              <w:jc w:val="center"/>
              <w:rPr>
                <w:rFonts w:eastAsiaTheme="minorEastAsia"/>
                <w:szCs w:val="21"/>
              </w:rPr>
            </w:pPr>
            <w:r>
              <w:rPr>
                <w:rFonts w:hint="eastAsia"/>
                <w:szCs w:val="21"/>
              </w:rPr>
              <w:t>8</w:t>
            </w:r>
          </w:p>
        </w:tc>
        <w:tc>
          <w:tcPr>
            <w:tcW w:w="347" w:type="pct"/>
            <w:vAlign w:val="center"/>
          </w:tcPr>
          <w:p w14:paraId="0C753F6E">
            <w:pPr>
              <w:spacing w:line="320" w:lineRule="exact"/>
              <w:jc w:val="center"/>
              <w:rPr>
                <w:szCs w:val="21"/>
              </w:rPr>
            </w:pPr>
            <w:r>
              <w:rPr>
                <w:rFonts w:hint="eastAsia"/>
                <w:szCs w:val="21"/>
              </w:rPr>
              <w:t>7</w:t>
            </w:r>
          </w:p>
        </w:tc>
        <w:tc>
          <w:tcPr>
            <w:tcW w:w="345" w:type="pct"/>
            <w:vAlign w:val="center"/>
          </w:tcPr>
          <w:p w14:paraId="310D06F5">
            <w:pPr>
              <w:spacing w:line="320" w:lineRule="exact"/>
              <w:jc w:val="center"/>
              <w:rPr>
                <w:rFonts w:eastAsiaTheme="minorEastAsia"/>
                <w:szCs w:val="21"/>
              </w:rPr>
            </w:pPr>
            <w:r>
              <w:rPr>
                <w:rFonts w:hint="eastAsia"/>
                <w:szCs w:val="21"/>
              </w:rPr>
              <w:t>ND</w:t>
            </w:r>
          </w:p>
        </w:tc>
        <w:tc>
          <w:tcPr>
            <w:tcW w:w="301" w:type="pct"/>
            <w:vAlign w:val="center"/>
          </w:tcPr>
          <w:p w14:paraId="3E5D94AC">
            <w:pPr>
              <w:spacing w:line="320" w:lineRule="exact"/>
              <w:jc w:val="center"/>
              <w:rPr>
                <w:rFonts w:eastAsiaTheme="minorEastAsia"/>
                <w:szCs w:val="21"/>
              </w:rPr>
            </w:pPr>
            <w:r>
              <w:rPr>
                <w:rFonts w:hint="eastAsia"/>
                <w:szCs w:val="21"/>
              </w:rPr>
              <w:t>8</w:t>
            </w:r>
          </w:p>
        </w:tc>
        <w:tc>
          <w:tcPr>
            <w:tcW w:w="301" w:type="pct"/>
            <w:vAlign w:val="center"/>
          </w:tcPr>
          <w:p w14:paraId="50A85F2D">
            <w:pPr>
              <w:spacing w:line="320" w:lineRule="exact"/>
              <w:jc w:val="center"/>
              <w:rPr>
                <w:rFonts w:eastAsiaTheme="minorEastAsia"/>
                <w:szCs w:val="21"/>
              </w:rPr>
            </w:pPr>
            <w:r>
              <w:rPr>
                <w:rFonts w:hint="eastAsia"/>
                <w:szCs w:val="21"/>
              </w:rPr>
              <w:t>6</w:t>
            </w:r>
          </w:p>
        </w:tc>
        <w:tc>
          <w:tcPr>
            <w:tcW w:w="300" w:type="pct"/>
            <w:vAlign w:val="center"/>
          </w:tcPr>
          <w:p w14:paraId="7F221764">
            <w:pPr>
              <w:spacing w:line="320" w:lineRule="exact"/>
              <w:jc w:val="center"/>
              <w:rPr>
                <w:rFonts w:eastAsiaTheme="minorEastAsia"/>
                <w:szCs w:val="21"/>
              </w:rPr>
            </w:pPr>
            <w:r>
              <w:rPr>
                <w:rFonts w:hint="eastAsia"/>
                <w:szCs w:val="21"/>
              </w:rPr>
              <w:t>6</w:t>
            </w:r>
          </w:p>
        </w:tc>
        <w:tc>
          <w:tcPr>
            <w:tcW w:w="300" w:type="pct"/>
            <w:vAlign w:val="center"/>
          </w:tcPr>
          <w:p w14:paraId="2018E7AC">
            <w:pPr>
              <w:spacing w:line="320" w:lineRule="exact"/>
              <w:jc w:val="center"/>
              <w:rPr>
                <w:rFonts w:eastAsiaTheme="minorEastAsia"/>
                <w:szCs w:val="21"/>
              </w:rPr>
            </w:pPr>
            <w:r>
              <w:rPr>
                <w:rFonts w:hint="eastAsia"/>
                <w:szCs w:val="21"/>
              </w:rPr>
              <w:t>ND</w:t>
            </w:r>
          </w:p>
        </w:tc>
        <w:tc>
          <w:tcPr>
            <w:tcW w:w="302" w:type="pct"/>
            <w:vAlign w:val="center"/>
          </w:tcPr>
          <w:p w14:paraId="32DE1AD9">
            <w:pPr>
              <w:spacing w:line="320" w:lineRule="exact"/>
              <w:jc w:val="center"/>
              <w:rPr>
                <w:rFonts w:eastAsiaTheme="minorEastAsia"/>
                <w:szCs w:val="21"/>
              </w:rPr>
            </w:pPr>
            <w:r>
              <w:rPr>
                <w:rFonts w:hint="eastAsia"/>
                <w:szCs w:val="21"/>
              </w:rPr>
              <w:t>6</w:t>
            </w:r>
          </w:p>
        </w:tc>
        <w:tc>
          <w:tcPr>
            <w:tcW w:w="297" w:type="pct"/>
            <w:vAlign w:val="center"/>
          </w:tcPr>
          <w:p w14:paraId="498D576E">
            <w:pPr>
              <w:spacing w:line="320" w:lineRule="exact"/>
              <w:jc w:val="center"/>
              <w:rPr>
                <w:rFonts w:eastAsiaTheme="minorEastAsia"/>
                <w:szCs w:val="21"/>
              </w:rPr>
            </w:pPr>
            <w:r>
              <w:rPr>
                <w:rFonts w:hint="eastAsia"/>
                <w:szCs w:val="21"/>
              </w:rPr>
              <w:t>9</w:t>
            </w:r>
          </w:p>
        </w:tc>
        <w:tc>
          <w:tcPr>
            <w:tcW w:w="305" w:type="pct"/>
            <w:vAlign w:val="center"/>
          </w:tcPr>
          <w:p w14:paraId="2275C974">
            <w:pPr>
              <w:spacing w:line="320" w:lineRule="exact"/>
              <w:jc w:val="center"/>
              <w:rPr>
                <w:rFonts w:eastAsiaTheme="minorEastAsia"/>
                <w:szCs w:val="21"/>
              </w:rPr>
            </w:pPr>
            <w:r>
              <w:rPr>
                <w:rFonts w:hint="eastAsia"/>
                <w:szCs w:val="21"/>
              </w:rPr>
              <w:t>11</w:t>
            </w:r>
          </w:p>
        </w:tc>
        <w:tc>
          <w:tcPr>
            <w:tcW w:w="370" w:type="pct"/>
            <w:vAlign w:val="center"/>
          </w:tcPr>
          <w:p w14:paraId="3068A4D4">
            <w:pPr>
              <w:spacing w:line="320" w:lineRule="exact"/>
              <w:jc w:val="center"/>
              <w:rPr>
                <w:rFonts w:eastAsiaTheme="minorEastAsia"/>
                <w:szCs w:val="21"/>
              </w:rPr>
            </w:pPr>
            <w:r>
              <w:rPr>
                <w:rFonts w:hint="eastAsia"/>
                <w:szCs w:val="21"/>
              </w:rPr>
              <w:t>6</w:t>
            </w:r>
          </w:p>
        </w:tc>
        <w:tc>
          <w:tcPr>
            <w:tcW w:w="370" w:type="pct"/>
            <w:vAlign w:val="center"/>
          </w:tcPr>
          <w:p w14:paraId="6679BBA7">
            <w:pPr>
              <w:spacing w:line="320" w:lineRule="exact"/>
              <w:jc w:val="center"/>
              <w:rPr>
                <w:rFonts w:eastAsiaTheme="minorEastAsia"/>
                <w:szCs w:val="21"/>
              </w:rPr>
            </w:pPr>
            <w:r>
              <w:rPr>
                <w:rFonts w:hint="eastAsia" w:eastAsiaTheme="minorEastAsia"/>
                <w:szCs w:val="21"/>
              </w:rPr>
              <w:t>4500</w:t>
            </w:r>
          </w:p>
        </w:tc>
      </w:tr>
      <w:tr w14:paraId="6F122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77F825C">
            <w:pPr>
              <w:spacing w:line="320" w:lineRule="exact"/>
              <w:jc w:val="center"/>
              <w:rPr>
                <w:rFonts w:eastAsiaTheme="minorEastAsia"/>
                <w:szCs w:val="21"/>
              </w:rPr>
            </w:pPr>
            <w:r>
              <w:rPr>
                <w:rFonts w:eastAsiaTheme="minorEastAsia"/>
                <w:szCs w:val="21"/>
              </w:rPr>
              <w:t>砷（mg/kg）</w:t>
            </w:r>
          </w:p>
        </w:tc>
        <w:tc>
          <w:tcPr>
            <w:tcW w:w="390" w:type="pct"/>
            <w:vAlign w:val="center"/>
          </w:tcPr>
          <w:p w14:paraId="741786F8">
            <w:pPr>
              <w:widowControl/>
              <w:jc w:val="center"/>
              <w:textAlignment w:val="center"/>
              <w:rPr>
                <w:szCs w:val="21"/>
              </w:rPr>
            </w:pPr>
            <w:r>
              <w:rPr>
                <w:rFonts w:hint="eastAsia"/>
                <w:szCs w:val="21"/>
              </w:rPr>
              <w:t>8.35</w:t>
            </w:r>
          </w:p>
        </w:tc>
        <w:tc>
          <w:tcPr>
            <w:tcW w:w="389" w:type="pct"/>
            <w:vAlign w:val="center"/>
          </w:tcPr>
          <w:p w14:paraId="38D0FE03">
            <w:pPr>
              <w:spacing w:line="320" w:lineRule="exact"/>
              <w:jc w:val="center"/>
              <w:rPr>
                <w:rFonts w:eastAsiaTheme="minorEastAsia"/>
                <w:szCs w:val="21"/>
              </w:rPr>
            </w:pPr>
            <w:r>
              <w:rPr>
                <w:rFonts w:hint="eastAsia" w:eastAsiaTheme="minorEastAsia"/>
                <w:szCs w:val="21"/>
              </w:rPr>
              <w:t>6.28</w:t>
            </w:r>
          </w:p>
        </w:tc>
        <w:tc>
          <w:tcPr>
            <w:tcW w:w="347" w:type="pct"/>
            <w:vAlign w:val="center"/>
          </w:tcPr>
          <w:p w14:paraId="3553239F">
            <w:pPr>
              <w:spacing w:line="320" w:lineRule="exact"/>
              <w:jc w:val="center"/>
              <w:rPr>
                <w:rFonts w:eastAsiaTheme="minorEastAsia"/>
                <w:szCs w:val="21"/>
              </w:rPr>
            </w:pPr>
            <w:r>
              <w:rPr>
                <w:rFonts w:hint="eastAsia" w:eastAsiaTheme="minorEastAsia"/>
                <w:szCs w:val="21"/>
              </w:rPr>
              <w:t>6.68</w:t>
            </w:r>
          </w:p>
        </w:tc>
        <w:tc>
          <w:tcPr>
            <w:tcW w:w="345" w:type="pct"/>
            <w:vAlign w:val="center"/>
          </w:tcPr>
          <w:p w14:paraId="2734B6DB">
            <w:pPr>
              <w:spacing w:line="320" w:lineRule="exact"/>
              <w:jc w:val="center"/>
              <w:rPr>
                <w:rFonts w:eastAsiaTheme="minorEastAsia"/>
                <w:szCs w:val="21"/>
              </w:rPr>
            </w:pPr>
            <w:r>
              <w:rPr>
                <w:rFonts w:hint="eastAsia" w:eastAsiaTheme="minorEastAsia"/>
                <w:szCs w:val="21"/>
              </w:rPr>
              <w:t>7.68</w:t>
            </w:r>
          </w:p>
        </w:tc>
        <w:tc>
          <w:tcPr>
            <w:tcW w:w="301" w:type="pct"/>
            <w:vAlign w:val="center"/>
          </w:tcPr>
          <w:p w14:paraId="47E7A397">
            <w:pPr>
              <w:spacing w:line="320" w:lineRule="exact"/>
              <w:jc w:val="center"/>
              <w:rPr>
                <w:rFonts w:eastAsiaTheme="minorEastAsia"/>
                <w:szCs w:val="21"/>
              </w:rPr>
            </w:pPr>
            <w:r>
              <w:rPr>
                <w:rFonts w:hint="eastAsia" w:eastAsiaTheme="minorEastAsia"/>
                <w:szCs w:val="21"/>
              </w:rPr>
              <w:t>7.62</w:t>
            </w:r>
          </w:p>
        </w:tc>
        <w:tc>
          <w:tcPr>
            <w:tcW w:w="301" w:type="pct"/>
            <w:vAlign w:val="center"/>
          </w:tcPr>
          <w:p w14:paraId="5AB8B1DF">
            <w:pPr>
              <w:spacing w:line="320" w:lineRule="exact"/>
              <w:jc w:val="center"/>
              <w:rPr>
                <w:rFonts w:eastAsiaTheme="minorEastAsia"/>
                <w:szCs w:val="21"/>
              </w:rPr>
            </w:pPr>
            <w:r>
              <w:rPr>
                <w:rFonts w:hint="eastAsia" w:eastAsiaTheme="minorEastAsia"/>
                <w:szCs w:val="21"/>
              </w:rPr>
              <w:t>7.32</w:t>
            </w:r>
          </w:p>
        </w:tc>
        <w:tc>
          <w:tcPr>
            <w:tcW w:w="300" w:type="pct"/>
            <w:vAlign w:val="center"/>
          </w:tcPr>
          <w:p w14:paraId="27440C9B">
            <w:pPr>
              <w:spacing w:line="320" w:lineRule="exact"/>
              <w:jc w:val="center"/>
              <w:rPr>
                <w:rFonts w:eastAsiaTheme="minorEastAsia"/>
                <w:szCs w:val="21"/>
              </w:rPr>
            </w:pPr>
            <w:r>
              <w:rPr>
                <w:rFonts w:hint="eastAsia" w:eastAsiaTheme="minorEastAsia"/>
                <w:szCs w:val="21"/>
              </w:rPr>
              <w:t>7.57</w:t>
            </w:r>
          </w:p>
        </w:tc>
        <w:tc>
          <w:tcPr>
            <w:tcW w:w="300" w:type="pct"/>
            <w:vAlign w:val="center"/>
          </w:tcPr>
          <w:p w14:paraId="4ABD1B81">
            <w:pPr>
              <w:spacing w:line="320" w:lineRule="exact"/>
              <w:jc w:val="center"/>
              <w:rPr>
                <w:rFonts w:eastAsiaTheme="minorEastAsia"/>
                <w:szCs w:val="21"/>
              </w:rPr>
            </w:pPr>
            <w:r>
              <w:rPr>
                <w:rFonts w:hint="eastAsia" w:eastAsiaTheme="minorEastAsia"/>
                <w:szCs w:val="21"/>
              </w:rPr>
              <w:t>8.00</w:t>
            </w:r>
          </w:p>
        </w:tc>
        <w:tc>
          <w:tcPr>
            <w:tcW w:w="302" w:type="pct"/>
            <w:vAlign w:val="center"/>
          </w:tcPr>
          <w:p w14:paraId="2C1FBCC2">
            <w:pPr>
              <w:spacing w:line="320" w:lineRule="exact"/>
              <w:jc w:val="center"/>
              <w:rPr>
                <w:rFonts w:eastAsiaTheme="minorEastAsia"/>
                <w:szCs w:val="21"/>
              </w:rPr>
            </w:pPr>
            <w:r>
              <w:rPr>
                <w:rFonts w:hint="eastAsia" w:eastAsiaTheme="minorEastAsia"/>
                <w:szCs w:val="21"/>
              </w:rPr>
              <w:t>7.67</w:t>
            </w:r>
          </w:p>
        </w:tc>
        <w:tc>
          <w:tcPr>
            <w:tcW w:w="297" w:type="pct"/>
            <w:vAlign w:val="center"/>
          </w:tcPr>
          <w:p w14:paraId="70FB6713">
            <w:pPr>
              <w:spacing w:line="320" w:lineRule="exact"/>
              <w:jc w:val="center"/>
              <w:rPr>
                <w:rFonts w:eastAsiaTheme="minorEastAsia"/>
                <w:szCs w:val="21"/>
              </w:rPr>
            </w:pPr>
            <w:r>
              <w:rPr>
                <w:rFonts w:hint="eastAsia" w:eastAsiaTheme="minorEastAsia"/>
                <w:szCs w:val="21"/>
              </w:rPr>
              <w:t>6.62</w:t>
            </w:r>
          </w:p>
        </w:tc>
        <w:tc>
          <w:tcPr>
            <w:tcW w:w="305" w:type="pct"/>
            <w:vAlign w:val="center"/>
          </w:tcPr>
          <w:p w14:paraId="0A5C4226">
            <w:pPr>
              <w:spacing w:line="320" w:lineRule="exact"/>
              <w:jc w:val="center"/>
              <w:rPr>
                <w:rFonts w:eastAsiaTheme="minorEastAsia"/>
                <w:szCs w:val="21"/>
              </w:rPr>
            </w:pPr>
            <w:r>
              <w:rPr>
                <w:rFonts w:hint="eastAsia" w:eastAsiaTheme="minorEastAsia"/>
                <w:szCs w:val="21"/>
              </w:rPr>
              <w:t>5.83</w:t>
            </w:r>
          </w:p>
        </w:tc>
        <w:tc>
          <w:tcPr>
            <w:tcW w:w="370" w:type="pct"/>
            <w:vAlign w:val="center"/>
          </w:tcPr>
          <w:p w14:paraId="2F67A909">
            <w:pPr>
              <w:spacing w:line="320" w:lineRule="exact"/>
              <w:jc w:val="center"/>
              <w:rPr>
                <w:rFonts w:eastAsiaTheme="minorEastAsia"/>
                <w:szCs w:val="21"/>
              </w:rPr>
            </w:pPr>
            <w:r>
              <w:rPr>
                <w:rFonts w:hint="eastAsia" w:eastAsiaTheme="minorEastAsia"/>
                <w:szCs w:val="21"/>
              </w:rPr>
              <w:t>6.61</w:t>
            </w:r>
          </w:p>
        </w:tc>
        <w:tc>
          <w:tcPr>
            <w:tcW w:w="370" w:type="pct"/>
            <w:vAlign w:val="center"/>
          </w:tcPr>
          <w:p w14:paraId="3F7DAD0A">
            <w:pPr>
              <w:spacing w:line="320" w:lineRule="exact"/>
              <w:jc w:val="center"/>
              <w:rPr>
                <w:rFonts w:eastAsiaTheme="minorEastAsia"/>
                <w:szCs w:val="21"/>
              </w:rPr>
            </w:pPr>
            <w:r>
              <w:rPr>
                <w:rFonts w:eastAsiaTheme="minorEastAsia"/>
                <w:szCs w:val="21"/>
              </w:rPr>
              <w:t>60</w:t>
            </w:r>
          </w:p>
        </w:tc>
      </w:tr>
      <w:tr w14:paraId="6A315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7216041C">
            <w:pPr>
              <w:spacing w:line="320" w:lineRule="exact"/>
              <w:jc w:val="center"/>
              <w:rPr>
                <w:rFonts w:eastAsiaTheme="minorEastAsia"/>
                <w:szCs w:val="21"/>
              </w:rPr>
            </w:pPr>
            <w:r>
              <w:rPr>
                <w:rFonts w:eastAsiaTheme="minorEastAsia"/>
                <w:szCs w:val="21"/>
              </w:rPr>
              <w:t>镉（mg/kg）</w:t>
            </w:r>
          </w:p>
        </w:tc>
        <w:tc>
          <w:tcPr>
            <w:tcW w:w="390" w:type="pct"/>
            <w:vAlign w:val="center"/>
          </w:tcPr>
          <w:p w14:paraId="0D6BF1C9">
            <w:pPr>
              <w:widowControl/>
              <w:jc w:val="center"/>
              <w:textAlignment w:val="center"/>
              <w:rPr>
                <w:szCs w:val="21"/>
              </w:rPr>
            </w:pPr>
            <w:r>
              <w:rPr>
                <w:rFonts w:hint="eastAsia"/>
                <w:szCs w:val="21"/>
              </w:rPr>
              <w:t>0.07</w:t>
            </w:r>
          </w:p>
        </w:tc>
        <w:tc>
          <w:tcPr>
            <w:tcW w:w="389" w:type="pct"/>
            <w:vAlign w:val="center"/>
          </w:tcPr>
          <w:p w14:paraId="4FD2176B">
            <w:pPr>
              <w:spacing w:line="320" w:lineRule="exact"/>
              <w:jc w:val="center"/>
              <w:rPr>
                <w:rFonts w:eastAsiaTheme="minorEastAsia"/>
                <w:szCs w:val="21"/>
              </w:rPr>
            </w:pPr>
            <w:r>
              <w:rPr>
                <w:rFonts w:hint="eastAsia" w:eastAsiaTheme="minorEastAsia"/>
                <w:szCs w:val="21"/>
              </w:rPr>
              <w:t>0.10</w:t>
            </w:r>
          </w:p>
        </w:tc>
        <w:tc>
          <w:tcPr>
            <w:tcW w:w="347" w:type="pct"/>
            <w:vAlign w:val="center"/>
          </w:tcPr>
          <w:p w14:paraId="06A83734">
            <w:pPr>
              <w:spacing w:line="320" w:lineRule="exact"/>
              <w:jc w:val="center"/>
              <w:rPr>
                <w:rFonts w:eastAsiaTheme="minorEastAsia"/>
                <w:szCs w:val="21"/>
              </w:rPr>
            </w:pPr>
            <w:r>
              <w:rPr>
                <w:rFonts w:hint="eastAsia" w:eastAsiaTheme="minorEastAsia"/>
                <w:szCs w:val="21"/>
              </w:rPr>
              <w:t>0.10</w:t>
            </w:r>
          </w:p>
        </w:tc>
        <w:tc>
          <w:tcPr>
            <w:tcW w:w="345" w:type="pct"/>
            <w:vAlign w:val="center"/>
          </w:tcPr>
          <w:p w14:paraId="66D63BDC">
            <w:pPr>
              <w:spacing w:line="320" w:lineRule="exact"/>
              <w:jc w:val="center"/>
              <w:rPr>
                <w:rFonts w:eastAsiaTheme="minorEastAsia"/>
                <w:szCs w:val="21"/>
              </w:rPr>
            </w:pPr>
            <w:r>
              <w:rPr>
                <w:rFonts w:hint="eastAsia" w:eastAsiaTheme="minorEastAsia"/>
                <w:szCs w:val="21"/>
              </w:rPr>
              <w:t>0.13</w:t>
            </w:r>
          </w:p>
        </w:tc>
        <w:tc>
          <w:tcPr>
            <w:tcW w:w="301" w:type="pct"/>
            <w:vAlign w:val="center"/>
          </w:tcPr>
          <w:p w14:paraId="53CCFBBD">
            <w:pPr>
              <w:spacing w:line="320" w:lineRule="exact"/>
              <w:jc w:val="center"/>
              <w:rPr>
                <w:rFonts w:eastAsiaTheme="minorEastAsia"/>
                <w:szCs w:val="21"/>
              </w:rPr>
            </w:pPr>
            <w:r>
              <w:rPr>
                <w:rFonts w:hint="eastAsia" w:eastAsiaTheme="minorEastAsia"/>
                <w:szCs w:val="21"/>
              </w:rPr>
              <w:t>0.10</w:t>
            </w:r>
          </w:p>
        </w:tc>
        <w:tc>
          <w:tcPr>
            <w:tcW w:w="301" w:type="pct"/>
            <w:vAlign w:val="center"/>
          </w:tcPr>
          <w:p w14:paraId="12CCA5E1">
            <w:pPr>
              <w:spacing w:line="320" w:lineRule="exact"/>
              <w:jc w:val="center"/>
              <w:rPr>
                <w:rFonts w:eastAsiaTheme="minorEastAsia"/>
                <w:szCs w:val="21"/>
              </w:rPr>
            </w:pPr>
            <w:r>
              <w:rPr>
                <w:rFonts w:hint="eastAsia" w:eastAsiaTheme="minorEastAsia"/>
                <w:szCs w:val="21"/>
              </w:rPr>
              <w:t>0.07</w:t>
            </w:r>
          </w:p>
        </w:tc>
        <w:tc>
          <w:tcPr>
            <w:tcW w:w="300" w:type="pct"/>
            <w:vAlign w:val="center"/>
          </w:tcPr>
          <w:p w14:paraId="5ACF4DA0">
            <w:pPr>
              <w:spacing w:line="320" w:lineRule="exact"/>
              <w:jc w:val="center"/>
              <w:rPr>
                <w:rFonts w:eastAsiaTheme="minorEastAsia"/>
                <w:szCs w:val="21"/>
              </w:rPr>
            </w:pPr>
            <w:r>
              <w:rPr>
                <w:rFonts w:hint="eastAsia" w:eastAsiaTheme="minorEastAsia"/>
                <w:szCs w:val="21"/>
              </w:rPr>
              <w:t>0.10</w:t>
            </w:r>
          </w:p>
        </w:tc>
        <w:tc>
          <w:tcPr>
            <w:tcW w:w="300" w:type="pct"/>
            <w:vAlign w:val="center"/>
          </w:tcPr>
          <w:p w14:paraId="3C0C3F0C">
            <w:pPr>
              <w:spacing w:line="320" w:lineRule="exact"/>
              <w:jc w:val="center"/>
              <w:rPr>
                <w:rFonts w:eastAsiaTheme="minorEastAsia"/>
                <w:szCs w:val="21"/>
              </w:rPr>
            </w:pPr>
            <w:r>
              <w:rPr>
                <w:rFonts w:hint="eastAsia" w:eastAsiaTheme="minorEastAsia"/>
                <w:szCs w:val="21"/>
              </w:rPr>
              <w:t>0.11</w:t>
            </w:r>
          </w:p>
        </w:tc>
        <w:tc>
          <w:tcPr>
            <w:tcW w:w="302" w:type="pct"/>
            <w:vAlign w:val="center"/>
          </w:tcPr>
          <w:p w14:paraId="00A4DEBA">
            <w:pPr>
              <w:spacing w:line="320" w:lineRule="exact"/>
              <w:jc w:val="center"/>
              <w:rPr>
                <w:rFonts w:eastAsiaTheme="minorEastAsia"/>
                <w:szCs w:val="21"/>
              </w:rPr>
            </w:pPr>
            <w:r>
              <w:rPr>
                <w:rFonts w:hint="eastAsia" w:eastAsiaTheme="minorEastAsia"/>
                <w:szCs w:val="21"/>
              </w:rPr>
              <w:t>0.15</w:t>
            </w:r>
          </w:p>
        </w:tc>
        <w:tc>
          <w:tcPr>
            <w:tcW w:w="297" w:type="pct"/>
            <w:vAlign w:val="center"/>
          </w:tcPr>
          <w:p w14:paraId="58897CF2">
            <w:pPr>
              <w:spacing w:line="320" w:lineRule="exact"/>
              <w:jc w:val="center"/>
              <w:rPr>
                <w:rFonts w:eastAsiaTheme="minorEastAsia"/>
                <w:szCs w:val="21"/>
              </w:rPr>
            </w:pPr>
            <w:r>
              <w:rPr>
                <w:rFonts w:hint="eastAsia" w:eastAsiaTheme="minorEastAsia"/>
                <w:szCs w:val="21"/>
              </w:rPr>
              <w:t>0.10</w:t>
            </w:r>
          </w:p>
        </w:tc>
        <w:tc>
          <w:tcPr>
            <w:tcW w:w="305" w:type="pct"/>
            <w:vAlign w:val="center"/>
          </w:tcPr>
          <w:p w14:paraId="351F5D5B">
            <w:pPr>
              <w:spacing w:line="320" w:lineRule="exact"/>
              <w:jc w:val="center"/>
              <w:rPr>
                <w:rFonts w:eastAsiaTheme="minorEastAsia"/>
                <w:szCs w:val="21"/>
              </w:rPr>
            </w:pPr>
            <w:r>
              <w:rPr>
                <w:rFonts w:hint="eastAsia" w:eastAsiaTheme="minorEastAsia"/>
                <w:szCs w:val="21"/>
              </w:rPr>
              <w:t>0.15</w:t>
            </w:r>
          </w:p>
        </w:tc>
        <w:tc>
          <w:tcPr>
            <w:tcW w:w="370" w:type="pct"/>
            <w:vAlign w:val="center"/>
          </w:tcPr>
          <w:p w14:paraId="2449FFDD">
            <w:pPr>
              <w:spacing w:line="320" w:lineRule="exact"/>
              <w:jc w:val="center"/>
              <w:rPr>
                <w:rFonts w:eastAsiaTheme="minorEastAsia"/>
                <w:szCs w:val="21"/>
              </w:rPr>
            </w:pPr>
            <w:r>
              <w:rPr>
                <w:rFonts w:hint="eastAsia" w:eastAsiaTheme="minorEastAsia"/>
                <w:szCs w:val="21"/>
              </w:rPr>
              <w:t>0.11</w:t>
            </w:r>
          </w:p>
        </w:tc>
        <w:tc>
          <w:tcPr>
            <w:tcW w:w="370" w:type="pct"/>
            <w:vAlign w:val="center"/>
          </w:tcPr>
          <w:p w14:paraId="4C5945E4">
            <w:pPr>
              <w:spacing w:line="320" w:lineRule="exact"/>
              <w:jc w:val="center"/>
              <w:rPr>
                <w:rFonts w:eastAsiaTheme="minorEastAsia"/>
                <w:szCs w:val="21"/>
              </w:rPr>
            </w:pPr>
            <w:r>
              <w:rPr>
                <w:rFonts w:eastAsiaTheme="minorEastAsia"/>
                <w:szCs w:val="21"/>
              </w:rPr>
              <w:t>65</w:t>
            </w:r>
          </w:p>
        </w:tc>
      </w:tr>
      <w:tr w14:paraId="75C4B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C95C4E8">
            <w:pPr>
              <w:spacing w:line="320" w:lineRule="exact"/>
              <w:jc w:val="center"/>
              <w:rPr>
                <w:rFonts w:eastAsiaTheme="minorEastAsia"/>
                <w:szCs w:val="21"/>
              </w:rPr>
            </w:pPr>
            <w:r>
              <w:rPr>
                <w:rFonts w:eastAsiaTheme="minorEastAsia"/>
                <w:szCs w:val="21"/>
              </w:rPr>
              <w:t>六价铬（mg/kg）</w:t>
            </w:r>
          </w:p>
        </w:tc>
        <w:tc>
          <w:tcPr>
            <w:tcW w:w="390" w:type="pct"/>
            <w:vAlign w:val="center"/>
          </w:tcPr>
          <w:p w14:paraId="0D519C7C">
            <w:pPr>
              <w:widowControl/>
              <w:jc w:val="center"/>
              <w:textAlignment w:val="center"/>
              <w:rPr>
                <w:szCs w:val="21"/>
              </w:rPr>
            </w:pPr>
            <w:r>
              <w:rPr>
                <w:rFonts w:hint="eastAsia"/>
                <w:szCs w:val="21"/>
              </w:rPr>
              <w:t>ND</w:t>
            </w:r>
          </w:p>
        </w:tc>
        <w:tc>
          <w:tcPr>
            <w:tcW w:w="389" w:type="pct"/>
            <w:vAlign w:val="center"/>
          </w:tcPr>
          <w:p w14:paraId="4EB87949">
            <w:pPr>
              <w:spacing w:line="320" w:lineRule="exact"/>
              <w:jc w:val="center"/>
              <w:rPr>
                <w:rFonts w:eastAsiaTheme="minorEastAsia"/>
                <w:szCs w:val="21"/>
              </w:rPr>
            </w:pPr>
            <w:r>
              <w:rPr>
                <w:rFonts w:hint="eastAsia"/>
                <w:szCs w:val="21"/>
              </w:rPr>
              <w:t>ND</w:t>
            </w:r>
          </w:p>
        </w:tc>
        <w:tc>
          <w:tcPr>
            <w:tcW w:w="347" w:type="pct"/>
            <w:vAlign w:val="center"/>
          </w:tcPr>
          <w:p w14:paraId="34CFA3FE">
            <w:pPr>
              <w:spacing w:line="320" w:lineRule="exact"/>
              <w:jc w:val="center"/>
              <w:rPr>
                <w:szCs w:val="21"/>
              </w:rPr>
            </w:pPr>
            <w:r>
              <w:rPr>
                <w:rFonts w:hint="eastAsia"/>
                <w:szCs w:val="21"/>
              </w:rPr>
              <w:t>ND</w:t>
            </w:r>
          </w:p>
        </w:tc>
        <w:tc>
          <w:tcPr>
            <w:tcW w:w="345" w:type="pct"/>
            <w:vAlign w:val="center"/>
          </w:tcPr>
          <w:p w14:paraId="3179BCF2">
            <w:pPr>
              <w:spacing w:line="320" w:lineRule="exact"/>
              <w:jc w:val="center"/>
              <w:rPr>
                <w:rFonts w:eastAsiaTheme="minorEastAsia"/>
                <w:szCs w:val="21"/>
              </w:rPr>
            </w:pPr>
            <w:r>
              <w:rPr>
                <w:rFonts w:hint="eastAsia"/>
                <w:szCs w:val="21"/>
              </w:rPr>
              <w:t>ND</w:t>
            </w:r>
          </w:p>
        </w:tc>
        <w:tc>
          <w:tcPr>
            <w:tcW w:w="301" w:type="pct"/>
            <w:vAlign w:val="center"/>
          </w:tcPr>
          <w:p w14:paraId="5350158E">
            <w:pPr>
              <w:spacing w:line="320" w:lineRule="exact"/>
              <w:jc w:val="center"/>
              <w:rPr>
                <w:rFonts w:eastAsiaTheme="minorEastAsia"/>
                <w:szCs w:val="21"/>
              </w:rPr>
            </w:pPr>
            <w:r>
              <w:rPr>
                <w:rFonts w:hint="eastAsia"/>
                <w:szCs w:val="21"/>
              </w:rPr>
              <w:t>ND</w:t>
            </w:r>
          </w:p>
        </w:tc>
        <w:tc>
          <w:tcPr>
            <w:tcW w:w="301" w:type="pct"/>
            <w:vAlign w:val="center"/>
          </w:tcPr>
          <w:p w14:paraId="56B0EFB4">
            <w:pPr>
              <w:spacing w:line="320" w:lineRule="exact"/>
              <w:jc w:val="center"/>
              <w:rPr>
                <w:rFonts w:eastAsiaTheme="minorEastAsia"/>
                <w:szCs w:val="21"/>
              </w:rPr>
            </w:pPr>
            <w:r>
              <w:rPr>
                <w:rFonts w:hint="eastAsia"/>
                <w:szCs w:val="21"/>
              </w:rPr>
              <w:t>ND</w:t>
            </w:r>
          </w:p>
        </w:tc>
        <w:tc>
          <w:tcPr>
            <w:tcW w:w="300" w:type="pct"/>
            <w:vAlign w:val="center"/>
          </w:tcPr>
          <w:p w14:paraId="4D8B5496">
            <w:pPr>
              <w:spacing w:line="320" w:lineRule="exact"/>
              <w:jc w:val="center"/>
              <w:rPr>
                <w:rFonts w:eastAsiaTheme="minorEastAsia"/>
                <w:szCs w:val="21"/>
              </w:rPr>
            </w:pPr>
            <w:r>
              <w:rPr>
                <w:rFonts w:hint="eastAsia"/>
                <w:szCs w:val="21"/>
              </w:rPr>
              <w:t>ND</w:t>
            </w:r>
          </w:p>
        </w:tc>
        <w:tc>
          <w:tcPr>
            <w:tcW w:w="300" w:type="pct"/>
            <w:vAlign w:val="center"/>
          </w:tcPr>
          <w:p w14:paraId="30B59C86">
            <w:pPr>
              <w:spacing w:line="320" w:lineRule="exact"/>
              <w:jc w:val="center"/>
              <w:rPr>
                <w:rFonts w:eastAsiaTheme="minorEastAsia"/>
                <w:szCs w:val="21"/>
              </w:rPr>
            </w:pPr>
            <w:r>
              <w:rPr>
                <w:rFonts w:hint="eastAsia"/>
                <w:szCs w:val="21"/>
              </w:rPr>
              <w:t>ND</w:t>
            </w:r>
          </w:p>
        </w:tc>
        <w:tc>
          <w:tcPr>
            <w:tcW w:w="302" w:type="pct"/>
            <w:vAlign w:val="center"/>
          </w:tcPr>
          <w:p w14:paraId="163CC7E8">
            <w:pPr>
              <w:spacing w:line="320" w:lineRule="exact"/>
              <w:jc w:val="center"/>
              <w:rPr>
                <w:rFonts w:eastAsiaTheme="minorEastAsia"/>
                <w:szCs w:val="21"/>
              </w:rPr>
            </w:pPr>
            <w:r>
              <w:rPr>
                <w:rFonts w:hint="eastAsia"/>
                <w:szCs w:val="21"/>
              </w:rPr>
              <w:t>ND</w:t>
            </w:r>
          </w:p>
        </w:tc>
        <w:tc>
          <w:tcPr>
            <w:tcW w:w="297" w:type="pct"/>
            <w:vAlign w:val="center"/>
          </w:tcPr>
          <w:p w14:paraId="3509548D">
            <w:pPr>
              <w:spacing w:line="320" w:lineRule="exact"/>
              <w:jc w:val="center"/>
              <w:rPr>
                <w:rFonts w:eastAsiaTheme="minorEastAsia"/>
                <w:szCs w:val="21"/>
              </w:rPr>
            </w:pPr>
            <w:r>
              <w:rPr>
                <w:rFonts w:hint="eastAsia"/>
                <w:szCs w:val="21"/>
              </w:rPr>
              <w:t>ND</w:t>
            </w:r>
          </w:p>
        </w:tc>
        <w:tc>
          <w:tcPr>
            <w:tcW w:w="305" w:type="pct"/>
            <w:vAlign w:val="center"/>
          </w:tcPr>
          <w:p w14:paraId="746988DA">
            <w:pPr>
              <w:spacing w:line="320" w:lineRule="exact"/>
              <w:jc w:val="center"/>
              <w:rPr>
                <w:rFonts w:eastAsiaTheme="minorEastAsia"/>
                <w:szCs w:val="21"/>
              </w:rPr>
            </w:pPr>
            <w:r>
              <w:rPr>
                <w:rFonts w:hint="eastAsia"/>
                <w:szCs w:val="21"/>
              </w:rPr>
              <w:t>ND</w:t>
            </w:r>
          </w:p>
        </w:tc>
        <w:tc>
          <w:tcPr>
            <w:tcW w:w="370" w:type="pct"/>
            <w:vAlign w:val="center"/>
          </w:tcPr>
          <w:p w14:paraId="3C9B42C7">
            <w:pPr>
              <w:spacing w:line="320" w:lineRule="exact"/>
              <w:jc w:val="center"/>
              <w:rPr>
                <w:rFonts w:eastAsiaTheme="minorEastAsia"/>
                <w:szCs w:val="21"/>
              </w:rPr>
            </w:pPr>
            <w:r>
              <w:rPr>
                <w:rFonts w:hint="eastAsia"/>
                <w:szCs w:val="21"/>
              </w:rPr>
              <w:t>ND</w:t>
            </w:r>
          </w:p>
        </w:tc>
        <w:tc>
          <w:tcPr>
            <w:tcW w:w="370" w:type="pct"/>
            <w:vAlign w:val="center"/>
          </w:tcPr>
          <w:p w14:paraId="0F423E4D">
            <w:pPr>
              <w:spacing w:line="320" w:lineRule="exact"/>
              <w:jc w:val="center"/>
              <w:rPr>
                <w:rFonts w:eastAsiaTheme="minorEastAsia"/>
                <w:szCs w:val="21"/>
              </w:rPr>
            </w:pPr>
            <w:r>
              <w:rPr>
                <w:rFonts w:eastAsiaTheme="minorEastAsia"/>
                <w:szCs w:val="21"/>
              </w:rPr>
              <w:t>5.7</w:t>
            </w:r>
          </w:p>
        </w:tc>
      </w:tr>
      <w:tr w14:paraId="48456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32EE2A93">
            <w:pPr>
              <w:spacing w:line="320" w:lineRule="exact"/>
              <w:jc w:val="center"/>
              <w:rPr>
                <w:rFonts w:eastAsiaTheme="minorEastAsia"/>
                <w:szCs w:val="21"/>
              </w:rPr>
            </w:pPr>
            <w:r>
              <w:rPr>
                <w:rFonts w:eastAsiaTheme="minorEastAsia"/>
                <w:szCs w:val="21"/>
              </w:rPr>
              <w:t>铜（mg/kg）</w:t>
            </w:r>
          </w:p>
        </w:tc>
        <w:tc>
          <w:tcPr>
            <w:tcW w:w="390" w:type="pct"/>
            <w:vAlign w:val="center"/>
          </w:tcPr>
          <w:p w14:paraId="1759E181">
            <w:pPr>
              <w:widowControl/>
              <w:jc w:val="center"/>
              <w:textAlignment w:val="center"/>
              <w:rPr>
                <w:szCs w:val="21"/>
              </w:rPr>
            </w:pPr>
            <w:r>
              <w:rPr>
                <w:rFonts w:hint="eastAsia"/>
                <w:szCs w:val="21"/>
              </w:rPr>
              <w:t>41</w:t>
            </w:r>
          </w:p>
        </w:tc>
        <w:tc>
          <w:tcPr>
            <w:tcW w:w="389" w:type="pct"/>
            <w:vAlign w:val="center"/>
          </w:tcPr>
          <w:p w14:paraId="1C0E8DAC">
            <w:pPr>
              <w:spacing w:line="320" w:lineRule="exact"/>
              <w:jc w:val="center"/>
              <w:rPr>
                <w:rFonts w:eastAsiaTheme="minorEastAsia"/>
                <w:szCs w:val="21"/>
              </w:rPr>
            </w:pPr>
            <w:r>
              <w:rPr>
                <w:rFonts w:hint="eastAsia" w:eastAsiaTheme="minorEastAsia"/>
                <w:szCs w:val="21"/>
              </w:rPr>
              <w:t>51</w:t>
            </w:r>
          </w:p>
        </w:tc>
        <w:tc>
          <w:tcPr>
            <w:tcW w:w="347" w:type="pct"/>
            <w:vAlign w:val="center"/>
          </w:tcPr>
          <w:p w14:paraId="6D34A2D0">
            <w:pPr>
              <w:spacing w:line="320" w:lineRule="exact"/>
              <w:jc w:val="center"/>
              <w:rPr>
                <w:rFonts w:eastAsiaTheme="minorEastAsia"/>
                <w:szCs w:val="21"/>
              </w:rPr>
            </w:pPr>
            <w:r>
              <w:rPr>
                <w:rFonts w:hint="eastAsia" w:eastAsiaTheme="minorEastAsia"/>
                <w:szCs w:val="21"/>
              </w:rPr>
              <w:t>41</w:t>
            </w:r>
          </w:p>
        </w:tc>
        <w:tc>
          <w:tcPr>
            <w:tcW w:w="345" w:type="pct"/>
            <w:vAlign w:val="center"/>
          </w:tcPr>
          <w:p w14:paraId="03E7E0D3">
            <w:pPr>
              <w:spacing w:line="320" w:lineRule="exact"/>
              <w:jc w:val="center"/>
              <w:rPr>
                <w:rFonts w:eastAsiaTheme="minorEastAsia"/>
                <w:szCs w:val="21"/>
              </w:rPr>
            </w:pPr>
            <w:r>
              <w:rPr>
                <w:rFonts w:hint="eastAsia" w:eastAsiaTheme="minorEastAsia"/>
                <w:szCs w:val="21"/>
              </w:rPr>
              <w:t>37</w:t>
            </w:r>
          </w:p>
        </w:tc>
        <w:tc>
          <w:tcPr>
            <w:tcW w:w="301" w:type="pct"/>
            <w:vAlign w:val="center"/>
          </w:tcPr>
          <w:p w14:paraId="27A27368">
            <w:pPr>
              <w:spacing w:line="320" w:lineRule="exact"/>
              <w:jc w:val="center"/>
              <w:rPr>
                <w:rFonts w:eastAsiaTheme="minorEastAsia"/>
                <w:szCs w:val="21"/>
              </w:rPr>
            </w:pPr>
            <w:r>
              <w:rPr>
                <w:rFonts w:hint="eastAsia" w:eastAsiaTheme="minorEastAsia"/>
                <w:szCs w:val="21"/>
              </w:rPr>
              <w:t>32</w:t>
            </w:r>
          </w:p>
        </w:tc>
        <w:tc>
          <w:tcPr>
            <w:tcW w:w="301" w:type="pct"/>
            <w:vAlign w:val="center"/>
          </w:tcPr>
          <w:p w14:paraId="554C1BA3">
            <w:pPr>
              <w:spacing w:line="320" w:lineRule="exact"/>
              <w:jc w:val="center"/>
              <w:rPr>
                <w:rFonts w:eastAsiaTheme="minorEastAsia"/>
                <w:szCs w:val="21"/>
              </w:rPr>
            </w:pPr>
            <w:r>
              <w:rPr>
                <w:rFonts w:hint="eastAsia" w:eastAsiaTheme="minorEastAsia"/>
                <w:szCs w:val="21"/>
              </w:rPr>
              <w:t>39</w:t>
            </w:r>
          </w:p>
        </w:tc>
        <w:tc>
          <w:tcPr>
            <w:tcW w:w="300" w:type="pct"/>
            <w:vAlign w:val="center"/>
          </w:tcPr>
          <w:p w14:paraId="44A940F4">
            <w:pPr>
              <w:spacing w:line="320" w:lineRule="exact"/>
              <w:jc w:val="center"/>
              <w:rPr>
                <w:rFonts w:eastAsiaTheme="minorEastAsia"/>
                <w:szCs w:val="21"/>
              </w:rPr>
            </w:pPr>
            <w:r>
              <w:rPr>
                <w:rFonts w:hint="eastAsia" w:eastAsiaTheme="minorEastAsia"/>
                <w:szCs w:val="21"/>
              </w:rPr>
              <w:t>35</w:t>
            </w:r>
          </w:p>
        </w:tc>
        <w:tc>
          <w:tcPr>
            <w:tcW w:w="300" w:type="pct"/>
            <w:vAlign w:val="center"/>
          </w:tcPr>
          <w:p w14:paraId="21AA2E74">
            <w:pPr>
              <w:spacing w:line="320" w:lineRule="exact"/>
              <w:jc w:val="center"/>
              <w:rPr>
                <w:rFonts w:eastAsiaTheme="minorEastAsia"/>
                <w:szCs w:val="21"/>
              </w:rPr>
            </w:pPr>
            <w:r>
              <w:rPr>
                <w:rFonts w:hint="eastAsia" w:eastAsiaTheme="minorEastAsia"/>
                <w:szCs w:val="21"/>
              </w:rPr>
              <w:t>34</w:t>
            </w:r>
          </w:p>
        </w:tc>
        <w:tc>
          <w:tcPr>
            <w:tcW w:w="302" w:type="pct"/>
            <w:vAlign w:val="center"/>
          </w:tcPr>
          <w:p w14:paraId="3051021C">
            <w:pPr>
              <w:spacing w:line="320" w:lineRule="exact"/>
              <w:jc w:val="center"/>
              <w:rPr>
                <w:rFonts w:eastAsiaTheme="minorEastAsia"/>
                <w:szCs w:val="21"/>
              </w:rPr>
            </w:pPr>
            <w:r>
              <w:rPr>
                <w:rFonts w:hint="eastAsia" w:eastAsiaTheme="minorEastAsia"/>
                <w:szCs w:val="21"/>
              </w:rPr>
              <w:t>25</w:t>
            </w:r>
          </w:p>
        </w:tc>
        <w:tc>
          <w:tcPr>
            <w:tcW w:w="297" w:type="pct"/>
            <w:vAlign w:val="center"/>
          </w:tcPr>
          <w:p w14:paraId="4038CA57">
            <w:pPr>
              <w:spacing w:line="320" w:lineRule="exact"/>
              <w:jc w:val="center"/>
              <w:rPr>
                <w:rFonts w:eastAsiaTheme="minorEastAsia"/>
                <w:szCs w:val="21"/>
              </w:rPr>
            </w:pPr>
            <w:r>
              <w:rPr>
                <w:rFonts w:hint="eastAsia" w:eastAsiaTheme="minorEastAsia"/>
                <w:szCs w:val="21"/>
              </w:rPr>
              <w:t>23</w:t>
            </w:r>
          </w:p>
        </w:tc>
        <w:tc>
          <w:tcPr>
            <w:tcW w:w="305" w:type="pct"/>
            <w:vAlign w:val="center"/>
          </w:tcPr>
          <w:p w14:paraId="0684BC60">
            <w:pPr>
              <w:spacing w:line="320" w:lineRule="exact"/>
              <w:jc w:val="center"/>
              <w:rPr>
                <w:rFonts w:eastAsiaTheme="minorEastAsia"/>
                <w:szCs w:val="21"/>
              </w:rPr>
            </w:pPr>
            <w:r>
              <w:rPr>
                <w:rFonts w:hint="eastAsia" w:eastAsiaTheme="minorEastAsia"/>
                <w:szCs w:val="21"/>
              </w:rPr>
              <w:t>43</w:t>
            </w:r>
          </w:p>
        </w:tc>
        <w:tc>
          <w:tcPr>
            <w:tcW w:w="370" w:type="pct"/>
            <w:vAlign w:val="center"/>
          </w:tcPr>
          <w:p w14:paraId="1AC5B8C4">
            <w:pPr>
              <w:spacing w:line="320" w:lineRule="exact"/>
              <w:jc w:val="center"/>
              <w:rPr>
                <w:rFonts w:eastAsiaTheme="minorEastAsia"/>
                <w:szCs w:val="21"/>
              </w:rPr>
            </w:pPr>
            <w:r>
              <w:rPr>
                <w:rFonts w:hint="eastAsia" w:eastAsiaTheme="minorEastAsia"/>
                <w:szCs w:val="21"/>
              </w:rPr>
              <w:t>36</w:t>
            </w:r>
          </w:p>
        </w:tc>
        <w:tc>
          <w:tcPr>
            <w:tcW w:w="370" w:type="pct"/>
            <w:vAlign w:val="center"/>
          </w:tcPr>
          <w:p w14:paraId="5A6016BD">
            <w:pPr>
              <w:spacing w:line="320" w:lineRule="exact"/>
              <w:jc w:val="center"/>
              <w:rPr>
                <w:rFonts w:eastAsiaTheme="minorEastAsia"/>
                <w:szCs w:val="21"/>
              </w:rPr>
            </w:pPr>
            <w:r>
              <w:rPr>
                <w:rFonts w:eastAsiaTheme="minorEastAsia"/>
                <w:szCs w:val="21"/>
              </w:rPr>
              <w:t>18000</w:t>
            </w:r>
          </w:p>
        </w:tc>
      </w:tr>
      <w:tr w14:paraId="1E1D8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1B01842">
            <w:pPr>
              <w:spacing w:line="320" w:lineRule="exact"/>
              <w:jc w:val="center"/>
              <w:rPr>
                <w:rFonts w:eastAsiaTheme="minorEastAsia"/>
                <w:szCs w:val="21"/>
              </w:rPr>
            </w:pPr>
            <w:r>
              <w:rPr>
                <w:rFonts w:eastAsiaTheme="minorEastAsia"/>
                <w:szCs w:val="21"/>
              </w:rPr>
              <w:t>铅（mg/kg）</w:t>
            </w:r>
          </w:p>
        </w:tc>
        <w:tc>
          <w:tcPr>
            <w:tcW w:w="390" w:type="pct"/>
            <w:vAlign w:val="center"/>
          </w:tcPr>
          <w:p w14:paraId="41C77CE0">
            <w:pPr>
              <w:widowControl/>
              <w:jc w:val="center"/>
              <w:textAlignment w:val="center"/>
              <w:rPr>
                <w:szCs w:val="21"/>
              </w:rPr>
            </w:pPr>
            <w:r>
              <w:rPr>
                <w:rFonts w:hint="eastAsia"/>
                <w:szCs w:val="21"/>
              </w:rPr>
              <w:t>32</w:t>
            </w:r>
          </w:p>
        </w:tc>
        <w:tc>
          <w:tcPr>
            <w:tcW w:w="389" w:type="pct"/>
            <w:vAlign w:val="center"/>
          </w:tcPr>
          <w:p w14:paraId="26B24D7E">
            <w:pPr>
              <w:spacing w:line="320" w:lineRule="exact"/>
              <w:jc w:val="center"/>
              <w:rPr>
                <w:rFonts w:eastAsiaTheme="minorEastAsia"/>
                <w:szCs w:val="21"/>
              </w:rPr>
            </w:pPr>
            <w:r>
              <w:rPr>
                <w:rFonts w:hint="eastAsia" w:eastAsiaTheme="minorEastAsia"/>
                <w:szCs w:val="21"/>
              </w:rPr>
              <w:t>36</w:t>
            </w:r>
          </w:p>
        </w:tc>
        <w:tc>
          <w:tcPr>
            <w:tcW w:w="347" w:type="pct"/>
            <w:vAlign w:val="center"/>
          </w:tcPr>
          <w:p w14:paraId="2E31E765">
            <w:pPr>
              <w:spacing w:line="320" w:lineRule="exact"/>
              <w:jc w:val="center"/>
              <w:rPr>
                <w:rFonts w:eastAsiaTheme="minorEastAsia"/>
                <w:szCs w:val="21"/>
              </w:rPr>
            </w:pPr>
            <w:r>
              <w:rPr>
                <w:rFonts w:hint="eastAsia" w:eastAsiaTheme="minorEastAsia"/>
                <w:szCs w:val="21"/>
              </w:rPr>
              <w:t>38</w:t>
            </w:r>
          </w:p>
        </w:tc>
        <w:tc>
          <w:tcPr>
            <w:tcW w:w="345" w:type="pct"/>
            <w:vAlign w:val="center"/>
          </w:tcPr>
          <w:p w14:paraId="30B5E78B">
            <w:pPr>
              <w:spacing w:line="320" w:lineRule="exact"/>
              <w:jc w:val="center"/>
              <w:rPr>
                <w:rFonts w:eastAsiaTheme="minorEastAsia"/>
                <w:szCs w:val="21"/>
              </w:rPr>
            </w:pPr>
            <w:r>
              <w:rPr>
                <w:rFonts w:hint="eastAsia" w:eastAsiaTheme="minorEastAsia"/>
                <w:szCs w:val="21"/>
              </w:rPr>
              <w:t>32</w:t>
            </w:r>
          </w:p>
        </w:tc>
        <w:tc>
          <w:tcPr>
            <w:tcW w:w="301" w:type="pct"/>
            <w:vAlign w:val="center"/>
          </w:tcPr>
          <w:p w14:paraId="1CECF402">
            <w:pPr>
              <w:spacing w:line="320" w:lineRule="exact"/>
              <w:jc w:val="center"/>
              <w:rPr>
                <w:rFonts w:eastAsiaTheme="minorEastAsia"/>
                <w:szCs w:val="21"/>
              </w:rPr>
            </w:pPr>
            <w:r>
              <w:rPr>
                <w:rFonts w:hint="eastAsia" w:eastAsiaTheme="minorEastAsia"/>
                <w:szCs w:val="21"/>
              </w:rPr>
              <w:t>29</w:t>
            </w:r>
          </w:p>
        </w:tc>
        <w:tc>
          <w:tcPr>
            <w:tcW w:w="301" w:type="pct"/>
            <w:vAlign w:val="center"/>
          </w:tcPr>
          <w:p w14:paraId="16F21DF3">
            <w:pPr>
              <w:spacing w:line="320" w:lineRule="exact"/>
              <w:jc w:val="center"/>
              <w:rPr>
                <w:rFonts w:eastAsiaTheme="minorEastAsia"/>
                <w:szCs w:val="21"/>
              </w:rPr>
            </w:pPr>
            <w:r>
              <w:rPr>
                <w:rFonts w:hint="eastAsia" w:eastAsiaTheme="minorEastAsia"/>
                <w:szCs w:val="21"/>
              </w:rPr>
              <w:t>31</w:t>
            </w:r>
          </w:p>
        </w:tc>
        <w:tc>
          <w:tcPr>
            <w:tcW w:w="300" w:type="pct"/>
            <w:vAlign w:val="center"/>
          </w:tcPr>
          <w:p w14:paraId="772C32D3">
            <w:pPr>
              <w:spacing w:line="320" w:lineRule="exact"/>
              <w:jc w:val="center"/>
              <w:rPr>
                <w:rFonts w:eastAsiaTheme="minorEastAsia"/>
                <w:szCs w:val="21"/>
              </w:rPr>
            </w:pPr>
            <w:r>
              <w:rPr>
                <w:rFonts w:hint="eastAsia" w:eastAsiaTheme="minorEastAsia"/>
                <w:szCs w:val="21"/>
              </w:rPr>
              <w:t>32</w:t>
            </w:r>
          </w:p>
        </w:tc>
        <w:tc>
          <w:tcPr>
            <w:tcW w:w="300" w:type="pct"/>
            <w:vAlign w:val="center"/>
          </w:tcPr>
          <w:p w14:paraId="6C80FA0E">
            <w:pPr>
              <w:spacing w:line="320" w:lineRule="exact"/>
              <w:jc w:val="center"/>
              <w:rPr>
                <w:rFonts w:eastAsiaTheme="minorEastAsia"/>
                <w:szCs w:val="21"/>
              </w:rPr>
            </w:pPr>
            <w:r>
              <w:rPr>
                <w:rFonts w:hint="eastAsia" w:eastAsiaTheme="minorEastAsia"/>
                <w:szCs w:val="21"/>
              </w:rPr>
              <w:t>28</w:t>
            </w:r>
          </w:p>
        </w:tc>
        <w:tc>
          <w:tcPr>
            <w:tcW w:w="302" w:type="pct"/>
            <w:vAlign w:val="center"/>
          </w:tcPr>
          <w:p w14:paraId="403465FA">
            <w:pPr>
              <w:spacing w:line="320" w:lineRule="exact"/>
              <w:jc w:val="center"/>
              <w:rPr>
                <w:rFonts w:eastAsiaTheme="minorEastAsia"/>
                <w:szCs w:val="21"/>
              </w:rPr>
            </w:pPr>
            <w:r>
              <w:rPr>
                <w:rFonts w:hint="eastAsia" w:eastAsiaTheme="minorEastAsia"/>
                <w:szCs w:val="21"/>
              </w:rPr>
              <w:t>24</w:t>
            </w:r>
          </w:p>
        </w:tc>
        <w:tc>
          <w:tcPr>
            <w:tcW w:w="297" w:type="pct"/>
            <w:vAlign w:val="center"/>
          </w:tcPr>
          <w:p w14:paraId="0916D460">
            <w:pPr>
              <w:spacing w:line="320" w:lineRule="exact"/>
              <w:jc w:val="center"/>
              <w:rPr>
                <w:rFonts w:eastAsiaTheme="minorEastAsia"/>
                <w:szCs w:val="21"/>
              </w:rPr>
            </w:pPr>
            <w:r>
              <w:rPr>
                <w:rFonts w:hint="eastAsia" w:eastAsiaTheme="minorEastAsia"/>
                <w:szCs w:val="21"/>
              </w:rPr>
              <w:t>26</w:t>
            </w:r>
          </w:p>
        </w:tc>
        <w:tc>
          <w:tcPr>
            <w:tcW w:w="305" w:type="pct"/>
            <w:vAlign w:val="center"/>
          </w:tcPr>
          <w:p w14:paraId="4F15FE09">
            <w:pPr>
              <w:spacing w:line="320" w:lineRule="exact"/>
              <w:jc w:val="center"/>
              <w:rPr>
                <w:rFonts w:eastAsiaTheme="minorEastAsia"/>
                <w:szCs w:val="21"/>
              </w:rPr>
            </w:pPr>
            <w:r>
              <w:rPr>
                <w:rFonts w:hint="eastAsia" w:eastAsiaTheme="minorEastAsia"/>
                <w:szCs w:val="21"/>
              </w:rPr>
              <w:t>30</w:t>
            </w:r>
          </w:p>
        </w:tc>
        <w:tc>
          <w:tcPr>
            <w:tcW w:w="370" w:type="pct"/>
            <w:vAlign w:val="center"/>
          </w:tcPr>
          <w:p w14:paraId="21741B46">
            <w:pPr>
              <w:spacing w:line="320" w:lineRule="exact"/>
              <w:jc w:val="center"/>
              <w:rPr>
                <w:rFonts w:eastAsiaTheme="minorEastAsia"/>
                <w:szCs w:val="21"/>
              </w:rPr>
            </w:pPr>
            <w:r>
              <w:rPr>
                <w:rFonts w:hint="eastAsia" w:eastAsiaTheme="minorEastAsia"/>
                <w:szCs w:val="21"/>
              </w:rPr>
              <w:t>37</w:t>
            </w:r>
          </w:p>
        </w:tc>
        <w:tc>
          <w:tcPr>
            <w:tcW w:w="370" w:type="pct"/>
            <w:vAlign w:val="center"/>
          </w:tcPr>
          <w:p w14:paraId="4AE060FA">
            <w:pPr>
              <w:spacing w:line="320" w:lineRule="exact"/>
              <w:jc w:val="center"/>
              <w:rPr>
                <w:rFonts w:eastAsiaTheme="minorEastAsia"/>
                <w:szCs w:val="21"/>
              </w:rPr>
            </w:pPr>
            <w:r>
              <w:rPr>
                <w:rFonts w:eastAsiaTheme="minorEastAsia"/>
                <w:szCs w:val="21"/>
              </w:rPr>
              <w:t>800</w:t>
            </w:r>
          </w:p>
        </w:tc>
      </w:tr>
      <w:tr w14:paraId="7775C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57232AB">
            <w:pPr>
              <w:spacing w:line="320" w:lineRule="exact"/>
              <w:jc w:val="center"/>
              <w:rPr>
                <w:rFonts w:eastAsiaTheme="minorEastAsia"/>
                <w:szCs w:val="21"/>
              </w:rPr>
            </w:pPr>
            <w:r>
              <w:rPr>
                <w:rFonts w:eastAsiaTheme="minorEastAsia"/>
                <w:szCs w:val="21"/>
              </w:rPr>
              <w:t>汞（mg/kg）</w:t>
            </w:r>
          </w:p>
        </w:tc>
        <w:tc>
          <w:tcPr>
            <w:tcW w:w="390" w:type="pct"/>
            <w:vAlign w:val="center"/>
          </w:tcPr>
          <w:p w14:paraId="7B0F7E97">
            <w:pPr>
              <w:widowControl/>
              <w:jc w:val="center"/>
              <w:textAlignment w:val="center"/>
              <w:rPr>
                <w:szCs w:val="21"/>
              </w:rPr>
            </w:pPr>
            <w:r>
              <w:rPr>
                <w:rFonts w:hint="eastAsia"/>
                <w:szCs w:val="21"/>
              </w:rPr>
              <w:t>0.019</w:t>
            </w:r>
          </w:p>
        </w:tc>
        <w:tc>
          <w:tcPr>
            <w:tcW w:w="389" w:type="pct"/>
            <w:vAlign w:val="center"/>
          </w:tcPr>
          <w:p w14:paraId="5DC751AC">
            <w:pPr>
              <w:spacing w:line="320" w:lineRule="exact"/>
              <w:jc w:val="center"/>
              <w:rPr>
                <w:rFonts w:eastAsiaTheme="minorEastAsia"/>
                <w:szCs w:val="21"/>
              </w:rPr>
            </w:pPr>
            <w:r>
              <w:rPr>
                <w:rFonts w:hint="eastAsia" w:eastAsiaTheme="minorEastAsia"/>
                <w:szCs w:val="21"/>
              </w:rPr>
              <w:t>0.038</w:t>
            </w:r>
          </w:p>
        </w:tc>
        <w:tc>
          <w:tcPr>
            <w:tcW w:w="347" w:type="pct"/>
            <w:vAlign w:val="center"/>
          </w:tcPr>
          <w:p w14:paraId="0AE5262F">
            <w:pPr>
              <w:spacing w:line="320" w:lineRule="exact"/>
              <w:jc w:val="center"/>
              <w:rPr>
                <w:rFonts w:eastAsiaTheme="minorEastAsia"/>
                <w:szCs w:val="21"/>
              </w:rPr>
            </w:pPr>
            <w:r>
              <w:rPr>
                <w:rFonts w:hint="eastAsia" w:eastAsiaTheme="minorEastAsia"/>
                <w:szCs w:val="21"/>
              </w:rPr>
              <w:t>0.050</w:t>
            </w:r>
          </w:p>
        </w:tc>
        <w:tc>
          <w:tcPr>
            <w:tcW w:w="345" w:type="pct"/>
            <w:vAlign w:val="center"/>
          </w:tcPr>
          <w:p w14:paraId="2C7C2BB4">
            <w:pPr>
              <w:spacing w:line="320" w:lineRule="exact"/>
              <w:jc w:val="center"/>
              <w:rPr>
                <w:rFonts w:eastAsiaTheme="minorEastAsia"/>
                <w:szCs w:val="21"/>
              </w:rPr>
            </w:pPr>
            <w:r>
              <w:rPr>
                <w:rFonts w:hint="eastAsia" w:eastAsiaTheme="minorEastAsia"/>
                <w:szCs w:val="21"/>
              </w:rPr>
              <w:t>0.021</w:t>
            </w:r>
          </w:p>
        </w:tc>
        <w:tc>
          <w:tcPr>
            <w:tcW w:w="301" w:type="pct"/>
            <w:vAlign w:val="center"/>
          </w:tcPr>
          <w:p w14:paraId="4B5A979F">
            <w:pPr>
              <w:spacing w:line="320" w:lineRule="exact"/>
              <w:jc w:val="center"/>
              <w:rPr>
                <w:rFonts w:eastAsiaTheme="minorEastAsia"/>
                <w:szCs w:val="21"/>
              </w:rPr>
            </w:pPr>
            <w:r>
              <w:rPr>
                <w:rFonts w:hint="eastAsia" w:eastAsiaTheme="minorEastAsia"/>
                <w:szCs w:val="21"/>
              </w:rPr>
              <w:t>0.021</w:t>
            </w:r>
          </w:p>
        </w:tc>
        <w:tc>
          <w:tcPr>
            <w:tcW w:w="301" w:type="pct"/>
            <w:vAlign w:val="center"/>
          </w:tcPr>
          <w:p w14:paraId="527FBF57">
            <w:pPr>
              <w:spacing w:line="320" w:lineRule="exact"/>
              <w:jc w:val="center"/>
              <w:rPr>
                <w:rFonts w:eastAsiaTheme="minorEastAsia"/>
                <w:szCs w:val="21"/>
              </w:rPr>
            </w:pPr>
            <w:r>
              <w:rPr>
                <w:rFonts w:hint="eastAsia" w:eastAsiaTheme="minorEastAsia"/>
                <w:szCs w:val="21"/>
              </w:rPr>
              <w:t>0.021</w:t>
            </w:r>
          </w:p>
        </w:tc>
        <w:tc>
          <w:tcPr>
            <w:tcW w:w="300" w:type="pct"/>
            <w:vAlign w:val="center"/>
          </w:tcPr>
          <w:p w14:paraId="7B29151D">
            <w:pPr>
              <w:spacing w:line="320" w:lineRule="exact"/>
              <w:jc w:val="center"/>
              <w:rPr>
                <w:rFonts w:eastAsiaTheme="minorEastAsia"/>
                <w:szCs w:val="21"/>
              </w:rPr>
            </w:pPr>
            <w:r>
              <w:rPr>
                <w:rFonts w:hint="eastAsia" w:eastAsiaTheme="minorEastAsia"/>
                <w:szCs w:val="21"/>
              </w:rPr>
              <w:t>0.021</w:t>
            </w:r>
          </w:p>
        </w:tc>
        <w:tc>
          <w:tcPr>
            <w:tcW w:w="300" w:type="pct"/>
            <w:vAlign w:val="center"/>
          </w:tcPr>
          <w:p w14:paraId="6DCC9DFA">
            <w:pPr>
              <w:spacing w:line="320" w:lineRule="exact"/>
              <w:jc w:val="center"/>
              <w:rPr>
                <w:rFonts w:eastAsiaTheme="minorEastAsia"/>
                <w:szCs w:val="21"/>
              </w:rPr>
            </w:pPr>
            <w:r>
              <w:rPr>
                <w:rFonts w:hint="eastAsia" w:eastAsiaTheme="minorEastAsia"/>
                <w:szCs w:val="21"/>
              </w:rPr>
              <w:t>0.019</w:t>
            </w:r>
          </w:p>
        </w:tc>
        <w:tc>
          <w:tcPr>
            <w:tcW w:w="302" w:type="pct"/>
            <w:vAlign w:val="center"/>
          </w:tcPr>
          <w:p w14:paraId="5E2BB8E0">
            <w:pPr>
              <w:spacing w:line="320" w:lineRule="exact"/>
              <w:jc w:val="center"/>
              <w:rPr>
                <w:rFonts w:eastAsiaTheme="minorEastAsia"/>
                <w:szCs w:val="21"/>
              </w:rPr>
            </w:pPr>
            <w:r>
              <w:rPr>
                <w:rFonts w:hint="eastAsia" w:eastAsiaTheme="minorEastAsia"/>
                <w:szCs w:val="21"/>
              </w:rPr>
              <w:t>0.017</w:t>
            </w:r>
          </w:p>
        </w:tc>
        <w:tc>
          <w:tcPr>
            <w:tcW w:w="297" w:type="pct"/>
            <w:vAlign w:val="center"/>
          </w:tcPr>
          <w:p w14:paraId="5A75789C">
            <w:pPr>
              <w:spacing w:line="320" w:lineRule="exact"/>
              <w:jc w:val="center"/>
              <w:rPr>
                <w:rFonts w:eastAsiaTheme="minorEastAsia"/>
                <w:szCs w:val="21"/>
              </w:rPr>
            </w:pPr>
            <w:r>
              <w:rPr>
                <w:rFonts w:hint="eastAsia" w:eastAsiaTheme="minorEastAsia"/>
                <w:szCs w:val="21"/>
              </w:rPr>
              <w:t>0.032</w:t>
            </w:r>
          </w:p>
        </w:tc>
        <w:tc>
          <w:tcPr>
            <w:tcW w:w="305" w:type="pct"/>
            <w:vAlign w:val="center"/>
          </w:tcPr>
          <w:p w14:paraId="2E5B23DC">
            <w:pPr>
              <w:spacing w:line="320" w:lineRule="exact"/>
              <w:jc w:val="center"/>
              <w:rPr>
                <w:rFonts w:eastAsiaTheme="minorEastAsia"/>
                <w:szCs w:val="21"/>
              </w:rPr>
            </w:pPr>
            <w:r>
              <w:rPr>
                <w:rFonts w:hint="eastAsia" w:eastAsiaTheme="minorEastAsia"/>
                <w:szCs w:val="21"/>
              </w:rPr>
              <w:t>0.037</w:t>
            </w:r>
          </w:p>
        </w:tc>
        <w:tc>
          <w:tcPr>
            <w:tcW w:w="370" w:type="pct"/>
            <w:vAlign w:val="center"/>
          </w:tcPr>
          <w:p w14:paraId="4F06152A">
            <w:pPr>
              <w:spacing w:line="320" w:lineRule="exact"/>
              <w:jc w:val="center"/>
              <w:rPr>
                <w:rFonts w:eastAsiaTheme="minorEastAsia"/>
                <w:szCs w:val="21"/>
              </w:rPr>
            </w:pPr>
            <w:r>
              <w:rPr>
                <w:rFonts w:hint="eastAsia" w:eastAsiaTheme="minorEastAsia"/>
                <w:szCs w:val="21"/>
              </w:rPr>
              <w:t>0.039</w:t>
            </w:r>
          </w:p>
        </w:tc>
        <w:tc>
          <w:tcPr>
            <w:tcW w:w="370" w:type="pct"/>
            <w:vAlign w:val="center"/>
          </w:tcPr>
          <w:p w14:paraId="766DDA06">
            <w:pPr>
              <w:spacing w:line="320" w:lineRule="exact"/>
              <w:jc w:val="center"/>
              <w:rPr>
                <w:rFonts w:eastAsiaTheme="minorEastAsia"/>
                <w:szCs w:val="21"/>
              </w:rPr>
            </w:pPr>
            <w:r>
              <w:rPr>
                <w:rFonts w:eastAsiaTheme="minorEastAsia"/>
                <w:szCs w:val="21"/>
              </w:rPr>
              <w:t>38</w:t>
            </w:r>
          </w:p>
        </w:tc>
      </w:tr>
      <w:tr w14:paraId="4B162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CDCA59C">
            <w:pPr>
              <w:spacing w:line="320" w:lineRule="exact"/>
              <w:jc w:val="center"/>
              <w:rPr>
                <w:rFonts w:eastAsiaTheme="minorEastAsia"/>
                <w:szCs w:val="21"/>
              </w:rPr>
            </w:pPr>
            <w:r>
              <w:rPr>
                <w:rFonts w:eastAsiaTheme="minorEastAsia"/>
                <w:szCs w:val="21"/>
              </w:rPr>
              <w:t>镍（mg/kg）</w:t>
            </w:r>
          </w:p>
        </w:tc>
        <w:tc>
          <w:tcPr>
            <w:tcW w:w="390" w:type="pct"/>
            <w:vAlign w:val="center"/>
          </w:tcPr>
          <w:p w14:paraId="60A2E9E3">
            <w:pPr>
              <w:widowControl/>
              <w:jc w:val="center"/>
              <w:textAlignment w:val="center"/>
              <w:rPr>
                <w:szCs w:val="21"/>
              </w:rPr>
            </w:pPr>
            <w:r>
              <w:rPr>
                <w:rFonts w:hint="eastAsia"/>
                <w:szCs w:val="21"/>
              </w:rPr>
              <w:t>27</w:t>
            </w:r>
          </w:p>
        </w:tc>
        <w:tc>
          <w:tcPr>
            <w:tcW w:w="389" w:type="pct"/>
            <w:vAlign w:val="center"/>
          </w:tcPr>
          <w:p w14:paraId="2E1A2614">
            <w:pPr>
              <w:spacing w:line="320" w:lineRule="exact"/>
              <w:jc w:val="center"/>
              <w:rPr>
                <w:rFonts w:eastAsiaTheme="minorEastAsia"/>
                <w:szCs w:val="21"/>
              </w:rPr>
            </w:pPr>
            <w:r>
              <w:rPr>
                <w:rFonts w:hint="eastAsia" w:eastAsiaTheme="minorEastAsia"/>
                <w:szCs w:val="21"/>
              </w:rPr>
              <w:t>25</w:t>
            </w:r>
          </w:p>
        </w:tc>
        <w:tc>
          <w:tcPr>
            <w:tcW w:w="347" w:type="pct"/>
            <w:vAlign w:val="center"/>
          </w:tcPr>
          <w:p w14:paraId="2B056748">
            <w:pPr>
              <w:spacing w:line="320" w:lineRule="exact"/>
              <w:jc w:val="center"/>
              <w:rPr>
                <w:rFonts w:eastAsiaTheme="minorEastAsia"/>
                <w:szCs w:val="21"/>
              </w:rPr>
            </w:pPr>
            <w:r>
              <w:rPr>
                <w:rFonts w:hint="eastAsia" w:eastAsiaTheme="minorEastAsia"/>
                <w:szCs w:val="21"/>
              </w:rPr>
              <w:t>38</w:t>
            </w:r>
          </w:p>
        </w:tc>
        <w:tc>
          <w:tcPr>
            <w:tcW w:w="345" w:type="pct"/>
            <w:vAlign w:val="center"/>
          </w:tcPr>
          <w:p w14:paraId="2D61B37E">
            <w:pPr>
              <w:spacing w:line="320" w:lineRule="exact"/>
              <w:jc w:val="center"/>
              <w:rPr>
                <w:rFonts w:eastAsiaTheme="minorEastAsia"/>
                <w:szCs w:val="21"/>
              </w:rPr>
            </w:pPr>
            <w:r>
              <w:rPr>
                <w:rFonts w:hint="eastAsia" w:eastAsiaTheme="minorEastAsia"/>
                <w:szCs w:val="21"/>
              </w:rPr>
              <w:t>46</w:t>
            </w:r>
          </w:p>
        </w:tc>
        <w:tc>
          <w:tcPr>
            <w:tcW w:w="301" w:type="pct"/>
            <w:vAlign w:val="center"/>
          </w:tcPr>
          <w:p w14:paraId="68997C35">
            <w:pPr>
              <w:spacing w:line="320" w:lineRule="exact"/>
              <w:jc w:val="center"/>
              <w:rPr>
                <w:rFonts w:eastAsiaTheme="minorEastAsia"/>
                <w:szCs w:val="21"/>
              </w:rPr>
            </w:pPr>
            <w:r>
              <w:rPr>
                <w:rFonts w:hint="eastAsia" w:eastAsiaTheme="minorEastAsia"/>
                <w:szCs w:val="21"/>
              </w:rPr>
              <w:t>48</w:t>
            </w:r>
          </w:p>
        </w:tc>
        <w:tc>
          <w:tcPr>
            <w:tcW w:w="301" w:type="pct"/>
            <w:vAlign w:val="center"/>
          </w:tcPr>
          <w:p w14:paraId="760679EE">
            <w:pPr>
              <w:spacing w:line="320" w:lineRule="exact"/>
              <w:jc w:val="center"/>
              <w:rPr>
                <w:rFonts w:eastAsiaTheme="minorEastAsia"/>
                <w:szCs w:val="21"/>
              </w:rPr>
            </w:pPr>
            <w:r>
              <w:rPr>
                <w:rFonts w:hint="eastAsia" w:eastAsiaTheme="minorEastAsia"/>
                <w:szCs w:val="21"/>
              </w:rPr>
              <w:t>26</w:t>
            </w:r>
          </w:p>
        </w:tc>
        <w:tc>
          <w:tcPr>
            <w:tcW w:w="300" w:type="pct"/>
            <w:vAlign w:val="center"/>
          </w:tcPr>
          <w:p w14:paraId="59AB8BD7">
            <w:pPr>
              <w:spacing w:line="320" w:lineRule="exact"/>
              <w:jc w:val="center"/>
              <w:rPr>
                <w:rFonts w:eastAsiaTheme="minorEastAsia"/>
                <w:szCs w:val="21"/>
              </w:rPr>
            </w:pPr>
            <w:r>
              <w:rPr>
                <w:rFonts w:hint="eastAsia" w:eastAsiaTheme="minorEastAsia"/>
                <w:szCs w:val="21"/>
              </w:rPr>
              <w:t>25</w:t>
            </w:r>
          </w:p>
        </w:tc>
        <w:tc>
          <w:tcPr>
            <w:tcW w:w="300" w:type="pct"/>
            <w:vAlign w:val="center"/>
          </w:tcPr>
          <w:p w14:paraId="1D346C70">
            <w:pPr>
              <w:spacing w:line="320" w:lineRule="exact"/>
              <w:jc w:val="center"/>
              <w:rPr>
                <w:rFonts w:eastAsiaTheme="minorEastAsia"/>
                <w:szCs w:val="21"/>
              </w:rPr>
            </w:pPr>
            <w:r>
              <w:rPr>
                <w:rFonts w:hint="eastAsia" w:eastAsiaTheme="minorEastAsia"/>
                <w:szCs w:val="21"/>
              </w:rPr>
              <w:t>38</w:t>
            </w:r>
          </w:p>
        </w:tc>
        <w:tc>
          <w:tcPr>
            <w:tcW w:w="302" w:type="pct"/>
            <w:vAlign w:val="center"/>
          </w:tcPr>
          <w:p w14:paraId="2FDF2289">
            <w:pPr>
              <w:spacing w:line="320" w:lineRule="exact"/>
              <w:jc w:val="center"/>
              <w:rPr>
                <w:rFonts w:eastAsiaTheme="minorEastAsia"/>
                <w:szCs w:val="21"/>
              </w:rPr>
            </w:pPr>
            <w:r>
              <w:rPr>
                <w:rFonts w:hint="eastAsia" w:eastAsiaTheme="minorEastAsia"/>
                <w:szCs w:val="21"/>
              </w:rPr>
              <w:t>31</w:t>
            </w:r>
          </w:p>
        </w:tc>
        <w:tc>
          <w:tcPr>
            <w:tcW w:w="297" w:type="pct"/>
            <w:vAlign w:val="center"/>
          </w:tcPr>
          <w:p w14:paraId="6481AF86">
            <w:pPr>
              <w:spacing w:line="320" w:lineRule="exact"/>
              <w:jc w:val="center"/>
              <w:rPr>
                <w:rFonts w:eastAsiaTheme="minorEastAsia"/>
                <w:szCs w:val="21"/>
              </w:rPr>
            </w:pPr>
            <w:r>
              <w:rPr>
                <w:rFonts w:hint="eastAsia" w:eastAsiaTheme="minorEastAsia"/>
                <w:szCs w:val="21"/>
              </w:rPr>
              <w:t>44</w:t>
            </w:r>
          </w:p>
        </w:tc>
        <w:tc>
          <w:tcPr>
            <w:tcW w:w="305" w:type="pct"/>
            <w:vAlign w:val="center"/>
          </w:tcPr>
          <w:p w14:paraId="0DEDF870">
            <w:pPr>
              <w:spacing w:line="320" w:lineRule="exact"/>
              <w:jc w:val="center"/>
              <w:rPr>
                <w:rFonts w:eastAsiaTheme="minorEastAsia"/>
                <w:szCs w:val="21"/>
              </w:rPr>
            </w:pPr>
            <w:r>
              <w:rPr>
                <w:rFonts w:hint="eastAsia" w:eastAsiaTheme="minorEastAsia"/>
                <w:szCs w:val="21"/>
              </w:rPr>
              <w:t>51</w:t>
            </w:r>
          </w:p>
        </w:tc>
        <w:tc>
          <w:tcPr>
            <w:tcW w:w="370" w:type="pct"/>
            <w:vAlign w:val="center"/>
          </w:tcPr>
          <w:p w14:paraId="5A6EA498">
            <w:pPr>
              <w:spacing w:line="320" w:lineRule="exact"/>
              <w:jc w:val="center"/>
              <w:rPr>
                <w:rFonts w:eastAsiaTheme="minorEastAsia"/>
                <w:szCs w:val="21"/>
              </w:rPr>
            </w:pPr>
            <w:r>
              <w:rPr>
                <w:rFonts w:hint="eastAsia" w:eastAsiaTheme="minorEastAsia"/>
                <w:szCs w:val="21"/>
              </w:rPr>
              <w:t>29</w:t>
            </w:r>
          </w:p>
        </w:tc>
        <w:tc>
          <w:tcPr>
            <w:tcW w:w="370" w:type="pct"/>
            <w:vAlign w:val="center"/>
          </w:tcPr>
          <w:p w14:paraId="0E39ACBB">
            <w:pPr>
              <w:spacing w:line="320" w:lineRule="exact"/>
              <w:jc w:val="center"/>
              <w:rPr>
                <w:rFonts w:eastAsiaTheme="minorEastAsia"/>
                <w:szCs w:val="21"/>
              </w:rPr>
            </w:pPr>
            <w:r>
              <w:rPr>
                <w:rFonts w:eastAsiaTheme="minorEastAsia"/>
                <w:szCs w:val="21"/>
              </w:rPr>
              <w:t>900</w:t>
            </w:r>
          </w:p>
        </w:tc>
      </w:tr>
      <w:tr w14:paraId="46B73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C87AAC8">
            <w:pPr>
              <w:spacing w:line="320" w:lineRule="exact"/>
              <w:jc w:val="center"/>
              <w:rPr>
                <w:rFonts w:eastAsiaTheme="minorEastAsia"/>
                <w:szCs w:val="21"/>
              </w:rPr>
            </w:pPr>
            <w:r>
              <w:rPr>
                <w:rFonts w:eastAsiaTheme="minorEastAsia"/>
                <w:szCs w:val="21"/>
              </w:rPr>
              <w:t>硝基苯（mg/kg）</w:t>
            </w:r>
          </w:p>
        </w:tc>
        <w:tc>
          <w:tcPr>
            <w:tcW w:w="390" w:type="pct"/>
            <w:vAlign w:val="center"/>
          </w:tcPr>
          <w:p w14:paraId="4D535829">
            <w:pPr>
              <w:widowControl/>
              <w:jc w:val="center"/>
              <w:rPr>
                <w:szCs w:val="21"/>
              </w:rPr>
            </w:pPr>
            <w:r>
              <w:rPr>
                <w:rFonts w:hint="eastAsia"/>
                <w:szCs w:val="21"/>
              </w:rPr>
              <w:t>ND</w:t>
            </w:r>
          </w:p>
        </w:tc>
        <w:tc>
          <w:tcPr>
            <w:tcW w:w="389" w:type="pct"/>
            <w:vAlign w:val="center"/>
          </w:tcPr>
          <w:p w14:paraId="33989CDB">
            <w:pPr>
              <w:spacing w:before="63" w:line="320" w:lineRule="exact"/>
              <w:ind w:left="5"/>
              <w:jc w:val="center"/>
              <w:rPr>
                <w:rFonts w:eastAsiaTheme="minorEastAsia"/>
                <w:szCs w:val="21"/>
              </w:rPr>
            </w:pPr>
            <w:r>
              <w:rPr>
                <w:rFonts w:hint="eastAsia"/>
                <w:szCs w:val="21"/>
              </w:rPr>
              <w:t>ND</w:t>
            </w:r>
          </w:p>
        </w:tc>
        <w:tc>
          <w:tcPr>
            <w:tcW w:w="347" w:type="pct"/>
            <w:vAlign w:val="center"/>
          </w:tcPr>
          <w:p w14:paraId="59F89300">
            <w:pPr>
              <w:spacing w:before="63" w:line="320" w:lineRule="exact"/>
              <w:ind w:left="5"/>
              <w:jc w:val="center"/>
              <w:rPr>
                <w:szCs w:val="21"/>
              </w:rPr>
            </w:pPr>
            <w:r>
              <w:rPr>
                <w:rFonts w:hint="eastAsia"/>
                <w:szCs w:val="21"/>
              </w:rPr>
              <w:t>ND</w:t>
            </w:r>
          </w:p>
        </w:tc>
        <w:tc>
          <w:tcPr>
            <w:tcW w:w="345" w:type="pct"/>
            <w:vAlign w:val="center"/>
          </w:tcPr>
          <w:p w14:paraId="7DBC43A1">
            <w:pPr>
              <w:spacing w:before="63" w:line="320" w:lineRule="exact"/>
              <w:ind w:left="5"/>
              <w:jc w:val="center"/>
              <w:rPr>
                <w:rFonts w:eastAsiaTheme="minorEastAsia"/>
                <w:szCs w:val="21"/>
              </w:rPr>
            </w:pPr>
            <w:r>
              <w:rPr>
                <w:rFonts w:hint="eastAsia"/>
                <w:szCs w:val="21"/>
              </w:rPr>
              <w:t>ND</w:t>
            </w:r>
          </w:p>
        </w:tc>
        <w:tc>
          <w:tcPr>
            <w:tcW w:w="301" w:type="pct"/>
            <w:vAlign w:val="center"/>
          </w:tcPr>
          <w:p w14:paraId="63A93052">
            <w:pPr>
              <w:spacing w:before="63" w:line="320" w:lineRule="exact"/>
              <w:ind w:left="5"/>
              <w:jc w:val="center"/>
              <w:rPr>
                <w:rFonts w:eastAsiaTheme="minorEastAsia"/>
                <w:szCs w:val="21"/>
              </w:rPr>
            </w:pPr>
            <w:r>
              <w:rPr>
                <w:rFonts w:hint="eastAsia"/>
                <w:szCs w:val="21"/>
              </w:rPr>
              <w:t>ND</w:t>
            </w:r>
          </w:p>
        </w:tc>
        <w:tc>
          <w:tcPr>
            <w:tcW w:w="301" w:type="pct"/>
            <w:vAlign w:val="center"/>
          </w:tcPr>
          <w:p w14:paraId="430A735F">
            <w:pPr>
              <w:spacing w:before="63" w:line="320" w:lineRule="exact"/>
              <w:ind w:left="5"/>
              <w:jc w:val="center"/>
              <w:rPr>
                <w:rFonts w:eastAsiaTheme="minorEastAsia"/>
                <w:szCs w:val="21"/>
              </w:rPr>
            </w:pPr>
            <w:r>
              <w:rPr>
                <w:rFonts w:hint="eastAsia"/>
                <w:szCs w:val="21"/>
              </w:rPr>
              <w:t>ND</w:t>
            </w:r>
          </w:p>
        </w:tc>
        <w:tc>
          <w:tcPr>
            <w:tcW w:w="300" w:type="pct"/>
            <w:vAlign w:val="center"/>
          </w:tcPr>
          <w:p w14:paraId="2388692D">
            <w:pPr>
              <w:spacing w:before="63" w:line="320" w:lineRule="exact"/>
              <w:ind w:left="5"/>
              <w:jc w:val="center"/>
              <w:rPr>
                <w:rFonts w:eastAsiaTheme="minorEastAsia"/>
                <w:szCs w:val="21"/>
              </w:rPr>
            </w:pPr>
            <w:r>
              <w:rPr>
                <w:rFonts w:hint="eastAsia"/>
                <w:szCs w:val="21"/>
              </w:rPr>
              <w:t>ND</w:t>
            </w:r>
          </w:p>
        </w:tc>
        <w:tc>
          <w:tcPr>
            <w:tcW w:w="300" w:type="pct"/>
            <w:vAlign w:val="center"/>
          </w:tcPr>
          <w:p w14:paraId="39BE65EA">
            <w:pPr>
              <w:spacing w:before="63" w:line="320" w:lineRule="exact"/>
              <w:ind w:left="5"/>
              <w:jc w:val="center"/>
              <w:rPr>
                <w:rFonts w:eastAsiaTheme="minorEastAsia"/>
                <w:szCs w:val="21"/>
              </w:rPr>
            </w:pPr>
            <w:r>
              <w:rPr>
                <w:rFonts w:hint="eastAsia"/>
                <w:szCs w:val="21"/>
              </w:rPr>
              <w:t>ND</w:t>
            </w:r>
          </w:p>
        </w:tc>
        <w:tc>
          <w:tcPr>
            <w:tcW w:w="302" w:type="pct"/>
            <w:vAlign w:val="center"/>
          </w:tcPr>
          <w:p w14:paraId="1F2F562A">
            <w:pPr>
              <w:spacing w:before="63" w:line="320" w:lineRule="exact"/>
              <w:ind w:left="5"/>
              <w:jc w:val="center"/>
              <w:rPr>
                <w:rFonts w:eastAsiaTheme="minorEastAsia"/>
                <w:szCs w:val="21"/>
              </w:rPr>
            </w:pPr>
            <w:r>
              <w:rPr>
                <w:rFonts w:hint="eastAsia"/>
                <w:szCs w:val="21"/>
              </w:rPr>
              <w:t>ND</w:t>
            </w:r>
          </w:p>
        </w:tc>
        <w:tc>
          <w:tcPr>
            <w:tcW w:w="297" w:type="pct"/>
            <w:vAlign w:val="center"/>
          </w:tcPr>
          <w:p w14:paraId="4E7F36D1">
            <w:pPr>
              <w:spacing w:before="63" w:line="320" w:lineRule="exact"/>
              <w:ind w:left="5"/>
              <w:jc w:val="center"/>
              <w:rPr>
                <w:rFonts w:eastAsiaTheme="minorEastAsia"/>
                <w:szCs w:val="21"/>
              </w:rPr>
            </w:pPr>
            <w:r>
              <w:rPr>
                <w:rFonts w:hint="eastAsia"/>
                <w:szCs w:val="21"/>
              </w:rPr>
              <w:t>ND</w:t>
            </w:r>
          </w:p>
        </w:tc>
        <w:tc>
          <w:tcPr>
            <w:tcW w:w="305" w:type="pct"/>
            <w:vAlign w:val="center"/>
          </w:tcPr>
          <w:p w14:paraId="779561A1">
            <w:pPr>
              <w:spacing w:before="63" w:line="320" w:lineRule="exact"/>
              <w:ind w:left="5"/>
              <w:jc w:val="center"/>
              <w:rPr>
                <w:rFonts w:eastAsiaTheme="minorEastAsia"/>
                <w:szCs w:val="21"/>
              </w:rPr>
            </w:pPr>
            <w:r>
              <w:rPr>
                <w:rFonts w:hint="eastAsia"/>
                <w:szCs w:val="21"/>
              </w:rPr>
              <w:t>ND</w:t>
            </w:r>
          </w:p>
        </w:tc>
        <w:tc>
          <w:tcPr>
            <w:tcW w:w="370" w:type="pct"/>
            <w:vAlign w:val="center"/>
          </w:tcPr>
          <w:p w14:paraId="563B7B3E">
            <w:pPr>
              <w:spacing w:before="63" w:line="320" w:lineRule="exact"/>
              <w:ind w:left="5"/>
              <w:jc w:val="center"/>
              <w:rPr>
                <w:rFonts w:eastAsiaTheme="minorEastAsia"/>
                <w:szCs w:val="21"/>
              </w:rPr>
            </w:pPr>
            <w:r>
              <w:rPr>
                <w:rFonts w:hint="eastAsia"/>
                <w:szCs w:val="21"/>
              </w:rPr>
              <w:t>ND</w:t>
            </w:r>
          </w:p>
        </w:tc>
        <w:tc>
          <w:tcPr>
            <w:tcW w:w="370" w:type="pct"/>
            <w:vAlign w:val="center"/>
          </w:tcPr>
          <w:p w14:paraId="2B5E2F73">
            <w:pPr>
              <w:spacing w:before="63" w:line="320" w:lineRule="exact"/>
              <w:ind w:left="5"/>
              <w:jc w:val="center"/>
              <w:rPr>
                <w:rFonts w:eastAsiaTheme="minorEastAsia"/>
                <w:szCs w:val="21"/>
              </w:rPr>
            </w:pPr>
            <w:r>
              <w:rPr>
                <w:rFonts w:eastAsiaTheme="minorEastAsia"/>
                <w:szCs w:val="21"/>
              </w:rPr>
              <w:t>76</w:t>
            </w:r>
          </w:p>
        </w:tc>
      </w:tr>
      <w:tr w14:paraId="3898C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386047D">
            <w:pPr>
              <w:spacing w:line="320" w:lineRule="exact"/>
              <w:jc w:val="center"/>
              <w:rPr>
                <w:rFonts w:eastAsiaTheme="minorEastAsia"/>
                <w:szCs w:val="21"/>
              </w:rPr>
            </w:pPr>
            <w:r>
              <w:rPr>
                <w:rFonts w:eastAsiaTheme="minorEastAsia"/>
                <w:szCs w:val="21"/>
              </w:rPr>
              <w:t>苯胺（mg/kg）</w:t>
            </w:r>
          </w:p>
        </w:tc>
        <w:tc>
          <w:tcPr>
            <w:tcW w:w="390" w:type="pct"/>
            <w:vAlign w:val="center"/>
          </w:tcPr>
          <w:p w14:paraId="02E0C229">
            <w:pPr>
              <w:widowControl/>
              <w:jc w:val="center"/>
              <w:rPr>
                <w:szCs w:val="21"/>
              </w:rPr>
            </w:pPr>
            <w:r>
              <w:rPr>
                <w:rFonts w:hint="eastAsia"/>
                <w:szCs w:val="21"/>
              </w:rPr>
              <w:t>ND</w:t>
            </w:r>
          </w:p>
        </w:tc>
        <w:tc>
          <w:tcPr>
            <w:tcW w:w="389" w:type="pct"/>
            <w:vAlign w:val="center"/>
          </w:tcPr>
          <w:p w14:paraId="35D28D16">
            <w:pPr>
              <w:spacing w:before="61" w:line="320" w:lineRule="exact"/>
              <w:jc w:val="center"/>
              <w:rPr>
                <w:rFonts w:eastAsiaTheme="minorEastAsia"/>
                <w:szCs w:val="21"/>
              </w:rPr>
            </w:pPr>
            <w:r>
              <w:rPr>
                <w:rFonts w:hint="eastAsia"/>
                <w:szCs w:val="21"/>
              </w:rPr>
              <w:t>ND</w:t>
            </w:r>
          </w:p>
        </w:tc>
        <w:tc>
          <w:tcPr>
            <w:tcW w:w="347" w:type="pct"/>
            <w:vAlign w:val="center"/>
          </w:tcPr>
          <w:p w14:paraId="1EAB28A7">
            <w:pPr>
              <w:spacing w:before="61" w:line="320" w:lineRule="exact"/>
              <w:jc w:val="center"/>
              <w:rPr>
                <w:szCs w:val="21"/>
              </w:rPr>
            </w:pPr>
            <w:r>
              <w:rPr>
                <w:rFonts w:hint="eastAsia"/>
                <w:szCs w:val="21"/>
              </w:rPr>
              <w:t>ND</w:t>
            </w:r>
          </w:p>
        </w:tc>
        <w:tc>
          <w:tcPr>
            <w:tcW w:w="345" w:type="pct"/>
            <w:vAlign w:val="center"/>
          </w:tcPr>
          <w:p w14:paraId="2F225B07">
            <w:pPr>
              <w:spacing w:before="61" w:line="320" w:lineRule="exact"/>
              <w:jc w:val="center"/>
              <w:rPr>
                <w:rFonts w:eastAsiaTheme="minorEastAsia"/>
                <w:szCs w:val="21"/>
              </w:rPr>
            </w:pPr>
            <w:r>
              <w:rPr>
                <w:rFonts w:hint="eastAsia"/>
                <w:szCs w:val="21"/>
              </w:rPr>
              <w:t>ND</w:t>
            </w:r>
          </w:p>
        </w:tc>
        <w:tc>
          <w:tcPr>
            <w:tcW w:w="301" w:type="pct"/>
            <w:vAlign w:val="center"/>
          </w:tcPr>
          <w:p w14:paraId="6FECD511">
            <w:pPr>
              <w:spacing w:before="61" w:line="320" w:lineRule="exact"/>
              <w:jc w:val="center"/>
              <w:rPr>
                <w:rFonts w:eastAsiaTheme="minorEastAsia"/>
                <w:szCs w:val="21"/>
              </w:rPr>
            </w:pPr>
            <w:r>
              <w:rPr>
                <w:rFonts w:hint="eastAsia"/>
                <w:szCs w:val="21"/>
              </w:rPr>
              <w:t>ND</w:t>
            </w:r>
          </w:p>
        </w:tc>
        <w:tc>
          <w:tcPr>
            <w:tcW w:w="301" w:type="pct"/>
            <w:vAlign w:val="center"/>
          </w:tcPr>
          <w:p w14:paraId="7A8976D2">
            <w:pPr>
              <w:spacing w:before="61" w:line="320" w:lineRule="exact"/>
              <w:jc w:val="center"/>
              <w:rPr>
                <w:rFonts w:eastAsiaTheme="minorEastAsia"/>
                <w:szCs w:val="21"/>
              </w:rPr>
            </w:pPr>
            <w:r>
              <w:rPr>
                <w:rFonts w:hint="eastAsia"/>
                <w:szCs w:val="21"/>
              </w:rPr>
              <w:t>ND</w:t>
            </w:r>
          </w:p>
        </w:tc>
        <w:tc>
          <w:tcPr>
            <w:tcW w:w="300" w:type="pct"/>
            <w:vAlign w:val="center"/>
          </w:tcPr>
          <w:p w14:paraId="3A70666D">
            <w:pPr>
              <w:spacing w:before="61" w:line="320" w:lineRule="exact"/>
              <w:jc w:val="center"/>
              <w:rPr>
                <w:rFonts w:eastAsiaTheme="minorEastAsia"/>
                <w:szCs w:val="21"/>
              </w:rPr>
            </w:pPr>
            <w:r>
              <w:rPr>
                <w:rFonts w:hint="eastAsia"/>
                <w:szCs w:val="21"/>
              </w:rPr>
              <w:t>ND</w:t>
            </w:r>
          </w:p>
        </w:tc>
        <w:tc>
          <w:tcPr>
            <w:tcW w:w="300" w:type="pct"/>
            <w:vAlign w:val="center"/>
          </w:tcPr>
          <w:p w14:paraId="5E1C05CA">
            <w:pPr>
              <w:spacing w:before="61" w:line="320" w:lineRule="exact"/>
              <w:jc w:val="center"/>
              <w:rPr>
                <w:rFonts w:eastAsiaTheme="minorEastAsia"/>
                <w:szCs w:val="21"/>
              </w:rPr>
            </w:pPr>
            <w:r>
              <w:rPr>
                <w:rFonts w:hint="eastAsia"/>
                <w:szCs w:val="21"/>
              </w:rPr>
              <w:t>ND</w:t>
            </w:r>
          </w:p>
        </w:tc>
        <w:tc>
          <w:tcPr>
            <w:tcW w:w="302" w:type="pct"/>
            <w:vAlign w:val="center"/>
          </w:tcPr>
          <w:p w14:paraId="30721B79">
            <w:pPr>
              <w:spacing w:before="61" w:line="320" w:lineRule="exact"/>
              <w:jc w:val="center"/>
              <w:rPr>
                <w:rFonts w:eastAsiaTheme="minorEastAsia"/>
                <w:szCs w:val="21"/>
              </w:rPr>
            </w:pPr>
            <w:r>
              <w:rPr>
                <w:rFonts w:hint="eastAsia"/>
                <w:szCs w:val="21"/>
              </w:rPr>
              <w:t>ND</w:t>
            </w:r>
          </w:p>
        </w:tc>
        <w:tc>
          <w:tcPr>
            <w:tcW w:w="297" w:type="pct"/>
            <w:vAlign w:val="center"/>
          </w:tcPr>
          <w:p w14:paraId="260F8816">
            <w:pPr>
              <w:spacing w:before="61" w:line="320" w:lineRule="exact"/>
              <w:jc w:val="center"/>
              <w:rPr>
                <w:rFonts w:eastAsiaTheme="minorEastAsia"/>
                <w:szCs w:val="21"/>
              </w:rPr>
            </w:pPr>
            <w:r>
              <w:rPr>
                <w:rFonts w:hint="eastAsia"/>
                <w:szCs w:val="21"/>
              </w:rPr>
              <w:t>ND</w:t>
            </w:r>
          </w:p>
        </w:tc>
        <w:tc>
          <w:tcPr>
            <w:tcW w:w="305" w:type="pct"/>
            <w:vAlign w:val="center"/>
          </w:tcPr>
          <w:p w14:paraId="4F9ABBF5">
            <w:pPr>
              <w:spacing w:before="61" w:line="320" w:lineRule="exact"/>
              <w:jc w:val="center"/>
              <w:rPr>
                <w:rFonts w:eastAsiaTheme="minorEastAsia"/>
                <w:szCs w:val="21"/>
              </w:rPr>
            </w:pPr>
            <w:r>
              <w:rPr>
                <w:rFonts w:hint="eastAsia"/>
                <w:szCs w:val="21"/>
              </w:rPr>
              <w:t>ND</w:t>
            </w:r>
          </w:p>
        </w:tc>
        <w:tc>
          <w:tcPr>
            <w:tcW w:w="370" w:type="pct"/>
            <w:vAlign w:val="center"/>
          </w:tcPr>
          <w:p w14:paraId="6EA2B217">
            <w:pPr>
              <w:spacing w:before="61" w:line="320" w:lineRule="exact"/>
              <w:jc w:val="center"/>
              <w:rPr>
                <w:rFonts w:eastAsiaTheme="minorEastAsia"/>
                <w:szCs w:val="21"/>
              </w:rPr>
            </w:pPr>
            <w:r>
              <w:rPr>
                <w:rFonts w:hint="eastAsia"/>
                <w:szCs w:val="21"/>
              </w:rPr>
              <w:t>ND</w:t>
            </w:r>
          </w:p>
        </w:tc>
        <w:tc>
          <w:tcPr>
            <w:tcW w:w="370" w:type="pct"/>
            <w:vAlign w:val="center"/>
          </w:tcPr>
          <w:p w14:paraId="05739503">
            <w:pPr>
              <w:spacing w:before="61" w:line="320" w:lineRule="exact"/>
              <w:jc w:val="center"/>
              <w:rPr>
                <w:rFonts w:eastAsiaTheme="minorEastAsia"/>
                <w:szCs w:val="21"/>
              </w:rPr>
            </w:pPr>
            <w:r>
              <w:rPr>
                <w:rFonts w:eastAsiaTheme="minorEastAsia"/>
                <w:szCs w:val="21"/>
              </w:rPr>
              <w:t>260</w:t>
            </w:r>
          </w:p>
        </w:tc>
      </w:tr>
      <w:tr w14:paraId="64C01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7AF3AB6">
            <w:pPr>
              <w:spacing w:line="320" w:lineRule="exact"/>
              <w:jc w:val="center"/>
              <w:rPr>
                <w:rFonts w:eastAsiaTheme="minorEastAsia"/>
                <w:szCs w:val="21"/>
              </w:rPr>
            </w:pPr>
            <w:r>
              <w:rPr>
                <w:rFonts w:eastAsiaTheme="minorEastAsia"/>
                <w:szCs w:val="21"/>
              </w:rPr>
              <w:t>苯并[a]蒽（mg/kg）</w:t>
            </w:r>
          </w:p>
        </w:tc>
        <w:tc>
          <w:tcPr>
            <w:tcW w:w="390" w:type="pct"/>
            <w:vAlign w:val="center"/>
          </w:tcPr>
          <w:p w14:paraId="070F8163">
            <w:pPr>
              <w:widowControl/>
              <w:jc w:val="center"/>
              <w:rPr>
                <w:szCs w:val="21"/>
              </w:rPr>
            </w:pPr>
            <w:r>
              <w:rPr>
                <w:rFonts w:hint="eastAsia"/>
                <w:szCs w:val="21"/>
              </w:rPr>
              <w:t>ND</w:t>
            </w:r>
          </w:p>
        </w:tc>
        <w:tc>
          <w:tcPr>
            <w:tcW w:w="389" w:type="pct"/>
            <w:vAlign w:val="center"/>
          </w:tcPr>
          <w:p w14:paraId="3B2E6FEA">
            <w:pPr>
              <w:spacing w:before="61" w:line="320" w:lineRule="exact"/>
              <w:jc w:val="center"/>
              <w:rPr>
                <w:rFonts w:eastAsiaTheme="minorEastAsia"/>
                <w:szCs w:val="21"/>
              </w:rPr>
            </w:pPr>
            <w:r>
              <w:rPr>
                <w:rFonts w:hint="eastAsia"/>
                <w:szCs w:val="21"/>
              </w:rPr>
              <w:t>ND</w:t>
            </w:r>
          </w:p>
        </w:tc>
        <w:tc>
          <w:tcPr>
            <w:tcW w:w="347" w:type="pct"/>
            <w:vAlign w:val="center"/>
          </w:tcPr>
          <w:p w14:paraId="0974CE97">
            <w:pPr>
              <w:spacing w:before="61" w:line="320" w:lineRule="exact"/>
              <w:jc w:val="center"/>
              <w:rPr>
                <w:szCs w:val="21"/>
              </w:rPr>
            </w:pPr>
            <w:r>
              <w:rPr>
                <w:rFonts w:hint="eastAsia"/>
                <w:szCs w:val="21"/>
              </w:rPr>
              <w:t>ND</w:t>
            </w:r>
          </w:p>
        </w:tc>
        <w:tc>
          <w:tcPr>
            <w:tcW w:w="345" w:type="pct"/>
            <w:vAlign w:val="center"/>
          </w:tcPr>
          <w:p w14:paraId="4DF3BBFD">
            <w:pPr>
              <w:spacing w:before="61" w:line="320" w:lineRule="exact"/>
              <w:jc w:val="center"/>
              <w:rPr>
                <w:rFonts w:eastAsiaTheme="minorEastAsia"/>
                <w:szCs w:val="21"/>
              </w:rPr>
            </w:pPr>
            <w:r>
              <w:rPr>
                <w:rFonts w:hint="eastAsia"/>
                <w:szCs w:val="21"/>
              </w:rPr>
              <w:t>ND</w:t>
            </w:r>
          </w:p>
        </w:tc>
        <w:tc>
          <w:tcPr>
            <w:tcW w:w="301" w:type="pct"/>
            <w:vAlign w:val="center"/>
          </w:tcPr>
          <w:p w14:paraId="5A25A866">
            <w:pPr>
              <w:spacing w:before="61" w:line="320" w:lineRule="exact"/>
              <w:jc w:val="center"/>
              <w:rPr>
                <w:rFonts w:eastAsiaTheme="minorEastAsia"/>
                <w:szCs w:val="21"/>
              </w:rPr>
            </w:pPr>
            <w:r>
              <w:rPr>
                <w:rFonts w:hint="eastAsia"/>
                <w:szCs w:val="21"/>
              </w:rPr>
              <w:t>ND</w:t>
            </w:r>
          </w:p>
        </w:tc>
        <w:tc>
          <w:tcPr>
            <w:tcW w:w="301" w:type="pct"/>
            <w:vAlign w:val="center"/>
          </w:tcPr>
          <w:p w14:paraId="2CDA42FD">
            <w:pPr>
              <w:spacing w:before="61" w:line="320" w:lineRule="exact"/>
              <w:jc w:val="center"/>
              <w:rPr>
                <w:rFonts w:eastAsiaTheme="minorEastAsia"/>
                <w:szCs w:val="21"/>
              </w:rPr>
            </w:pPr>
            <w:r>
              <w:rPr>
                <w:rFonts w:hint="eastAsia"/>
                <w:szCs w:val="21"/>
              </w:rPr>
              <w:t>ND</w:t>
            </w:r>
          </w:p>
        </w:tc>
        <w:tc>
          <w:tcPr>
            <w:tcW w:w="300" w:type="pct"/>
            <w:vAlign w:val="center"/>
          </w:tcPr>
          <w:p w14:paraId="0FCF109B">
            <w:pPr>
              <w:spacing w:before="61" w:line="320" w:lineRule="exact"/>
              <w:jc w:val="center"/>
              <w:rPr>
                <w:rFonts w:eastAsiaTheme="minorEastAsia"/>
                <w:szCs w:val="21"/>
              </w:rPr>
            </w:pPr>
            <w:r>
              <w:rPr>
                <w:rFonts w:hint="eastAsia"/>
                <w:szCs w:val="21"/>
              </w:rPr>
              <w:t>ND</w:t>
            </w:r>
          </w:p>
        </w:tc>
        <w:tc>
          <w:tcPr>
            <w:tcW w:w="300" w:type="pct"/>
            <w:vAlign w:val="center"/>
          </w:tcPr>
          <w:p w14:paraId="0CC3D9ED">
            <w:pPr>
              <w:spacing w:before="61" w:line="320" w:lineRule="exact"/>
              <w:jc w:val="center"/>
              <w:rPr>
                <w:rFonts w:eastAsiaTheme="minorEastAsia"/>
                <w:szCs w:val="21"/>
              </w:rPr>
            </w:pPr>
            <w:r>
              <w:rPr>
                <w:rFonts w:hint="eastAsia"/>
                <w:szCs w:val="21"/>
              </w:rPr>
              <w:t>ND</w:t>
            </w:r>
          </w:p>
        </w:tc>
        <w:tc>
          <w:tcPr>
            <w:tcW w:w="302" w:type="pct"/>
            <w:vAlign w:val="center"/>
          </w:tcPr>
          <w:p w14:paraId="3F3F683D">
            <w:pPr>
              <w:spacing w:before="61" w:line="320" w:lineRule="exact"/>
              <w:jc w:val="center"/>
              <w:rPr>
                <w:rFonts w:eastAsiaTheme="minorEastAsia"/>
                <w:szCs w:val="21"/>
              </w:rPr>
            </w:pPr>
            <w:r>
              <w:rPr>
                <w:rFonts w:hint="eastAsia"/>
                <w:szCs w:val="21"/>
              </w:rPr>
              <w:t>ND</w:t>
            </w:r>
          </w:p>
        </w:tc>
        <w:tc>
          <w:tcPr>
            <w:tcW w:w="297" w:type="pct"/>
            <w:vAlign w:val="center"/>
          </w:tcPr>
          <w:p w14:paraId="56B8110D">
            <w:pPr>
              <w:spacing w:before="61" w:line="320" w:lineRule="exact"/>
              <w:jc w:val="center"/>
              <w:rPr>
                <w:rFonts w:eastAsiaTheme="minorEastAsia"/>
                <w:szCs w:val="21"/>
              </w:rPr>
            </w:pPr>
            <w:r>
              <w:rPr>
                <w:rFonts w:hint="eastAsia"/>
                <w:szCs w:val="21"/>
              </w:rPr>
              <w:t>ND</w:t>
            </w:r>
          </w:p>
        </w:tc>
        <w:tc>
          <w:tcPr>
            <w:tcW w:w="305" w:type="pct"/>
            <w:vAlign w:val="center"/>
          </w:tcPr>
          <w:p w14:paraId="00D10C45">
            <w:pPr>
              <w:spacing w:before="61" w:line="320" w:lineRule="exact"/>
              <w:jc w:val="center"/>
              <w:rPr>
                <w:rFonts w:eastAsiaTheme="minorEastAsia"/>
                <w:szCs w:val="21"/>
              </w:rPr>
            </w:pPr>
            <w:r>
              <w:rPr>
                <w:rFonts w:hint="eastAsia"/>
                <w:szCs w:val="21"/>
              </w:rPr>
              <w:t>ND</w:t>
            </w:r>
          </w:p>
        </w:tc>
        <w:tc>
          <w:tcPr>
            <w:tcW w:w="370" w:type="pct"/>
            <w:vAlign w:val="center"/>
          </w:tcPr>
          <w:p w14:paraId="18843790">
            <w:pPr>
              <w:spacing w:before="61" w:line="320" w:lineRule="exact"/>
              <w:jc w:val="center"/>
              <w:rPr>
                <w:rFonts w:eastAsiaTheme="minorEastAsia"/>
                <w:szCs w:val="21"/>
              </w:rPr>
            </w:pPr>
            <w:r>
              <w:rPr>
                <w:rFonts w:hint="eastAsia"/>
                <w:szCs w:val="21"/>
              </w:rPr>
              <w:t>ND</w:t>
            </w:r>
          </w:p>
        </w:tc>
        <w:tc>
          <w:tcPr>
            <w:tcW w:w="370" w:type="pct"/>
            <w:vAlign w:val="center"/>
          </w:tcPr>
          <w:p w14:paraId="5CE2E111">
            <w:pPr>
              <w:spacing w:before="61" w:line="320" w:lineRule="exact"/>
              <w:jc w:val="center"/>
              <w:rPr>
                <w:rFonts w:eastAsiaTheme="minorEastAsia"/>
                <w:szCs w:val="21"/>
              </w:rPr>
            </w:pPr>
            <w:r>
              <w:rPr>
                <w:rFonts w:eastAsiaTheme="minorEastAsia"/>
                <w:szCs w:val="21"/>
              </w:rPr>
              <w:t>15</w:t>
            </w:r>
          </w:p>
        </w:tc>
      </w:tr>
      <w:tr w14:paraId="65F1C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3B45DA5B">
            <w:pPr>
              <w:spacing w:line="320" w:lineRule="exact"/>
              <w:jc w:val="center"/>
              <w:rPr>
                <w:rFonts w:eastAsiaTheme="minorEastAsia"/>
                <w:szCs w:val="21"/>
              </w:rPr>
            </w:pPr>
            <w:r>
              <w:rPr>
                <w:rFonts w:eastAsiaTheme="minorEastAsia"/>
                <w:szCs w:val="21"/>
              </w:rPr>
              <w:t>苯并[a]芘（mg/kg）</w:t>
            </w:r>
          </w:p>
        </w:tc>
        <w:tc>
          <w:tcPr>
            <w:tcW w:w="390" w:type="pct"/>
            <w:vAlign w:val="center"/>
          </w:tcPr>
          <w:p w14:paraId="1340897D">
            <w:pPr>
              <w:widowControl/>
              <w:jc w:val="center"/>
              <w:rPr>
                <w:szCs w:val="21"/>
              </w:rPr>
            </w:pPr>
            <w:r>
              <w:rPr>
                <w:rFonts w:hint="eastAsia"/>
                <w:szCs w:val="21"/>
              </w:rPr>
              <w:t>ND</w:t>
            </w:r>
          </w:p>
        </w:tc>
        <w:tc>
          <w:tcPr>
            <w:tcW w:w="389" w:type="pct"/>
            <w:vAlign w:val="center"/>
          </w:tcPr>
          <w:p w14:paraId="66CBEDB8">
            <w:pPr>
              <w:spacing w:before="63" w:line="320" w:lineRule="exact"/>
              <w:jc w:val="center"/>
              <w:rPr>
                <w:rFonts w:eastAsiaTheme="minorEastAsia"/>
                <w:szCs w:val="21"/>
              </w:rPr>
            </w:pPr>
            <w:r>
              <w:rPr>
                <w:rFonts w:hint="eastAsia"/>
                <w:szCs w:val="21"/>
              </w:rPr>
              <w:t>ND</w:t>
            </w:r>
          </w:p>
        </w:tc>
        <w:tc>
          <w:tcPr>
            <w:tcW w:w="347" w:type="pct"/>
            <w:vAlign w:val="center"/>
          </w:tcPr>
          <w:p w14:paraId="232E3701">
            <w:pPr>
              <w:spacing w:before="63" w:line="320" w:lineRule="exact"/>
              <w:jc w:val="center"/>
              <w:rPr>
                <w:szCs w:val="21"/>
              </w:rPr>
            </w:pPr>
            <w:r>
              <w:rPr>
                <w:rFonts w:hint="eastAsia"/>
                <w:szCs w:val="21"/>
              </w:rPr>
              <w:t>ND</w:t>
            </w:r>
          </w:p>
        </w:tc>
        <w:tc>
          <w:tcPr>
            <w:tcW w:w="345" w:type="pct"/>
            <w:vAlign w:val="center"/>
          </w:tcPr>
          <w:p w14:paraId="53030189">
            <w:pPr>
              <w:spacing w:before="63" w:line="320" w:lineRule="exact"/>
              <w:jc w:val="center"/>
              <w:rPr>
                <w:rFonts w:eastAsiaTheme="minorEastAsia"/>
                <w:szCs w:val="21"/>
              </w:rPr>
            </w:pPr>
            <w:r>
              <w:rPr>
                <w:rFonts w:hint="eastAsia"/>
                <w:szCs w:val="21"/>
              </w:rPr>
              <w:t>ND</w:t>
            </w:r>
          </w:p>
        </w:tc>
        <w:tc>
          <w:tcPr>
            <w:tcW w:w="301" w:type="pct"/>
            <w:vAlign w:val="center"/>
          </w:tcPr>
          <w:p w14:paraId="6B2AAFFB">
            <w:pPr>
              <w:spacing w:before="63" w:line="320" w:lineRule="exact"/>
              <w:jc w:val="center"/>
              <w:rPr>
                <w:rFonts w:eastAsiaTheme="minorEastAsia"/>
                <w:szCs w:val="21"/>
              </w:rPr>
            </w:pPr>
            <w:r>
              <w:rPr>
                <w:rFonts w:hint="eastAsia"/>
                <w:szCs w:val="21"/>
              </w:rPr>
              <w:t>ND</w:t>
            </w:r>
          </w:p>
        </w:tc>
        <w:tc>
          <w:tcPr>
            <w:tcW w:w="301" w:type="pct"/>
            <w:vAlign w:val="center"/>
          </w:tcPr>
          <w:p w14:paraId="171C2857">
            <w:pPr>
              <w:spacing w:before="63" w:line="320" w:lineRule="exact"/>
              <w:jc w:val="center"/>
              <w:rPr>
                <w:rFonts w:eastAsiaTheme="minorEastAsia"/>
                <w:szCs w:val="21"/>
              </w:rPr>
            </w:pPr>
            <w:r>
              <w:rPr>
                <w:rFonts w:hint="eastAsia"/>
                <w:szCs w:val="21"/>
              </w:rPr>
              <w:t>ND</w:t>
            </w:r>
          </w:p>
        </w:tc>
        <w:tc>
          <w:tcPr>
            <w:tcW w:w="300" w:type="pct"/>
            <w:vAlign w:val="center"/>
          </w:tcPr>
          <w:p w14:paraId="05E1DD0C">
            <w:pPr>
              <w:spacing w:before="63" w:line="320" w:lineRule="exact"/>
              <w:jc w:val="center"/>
              <w:rPr>
                <w:rFonts w:eastAsiaTheme="minorEastAsia"/>
                <w:szCs w:val="21"/>
              </w:rPr>
            </w:pPr>
            <w:r>
              <w:rPr>
                <w:rFonts w:hint="eastAsia"/>
                <w:szCs w:val="21"/>
              </w:rPr>
              <w:t>ND</w:t>
            </w:r>
          </w:p>
        </w:tc>
        <w:tc>
          <w:tcPr>
            <w:tcW w:w="300" w:type="pct"/>
            <w:vAlign w:val="center"/>
          </w:tcPr>
          <w:p w14:paraId="4A72817A">
            <w:pPr>
              <w:spacing w:before="63" w:line="320" w:lineRule="exact"/>
              <w:jc w:val="center"/>
              <w:rPr>
                <w:rFonts w:eastAsiaTheme="minorEastAsia"/>
                <w:szCs w:val="21"/>
              </w:rPr>
            </w:pPr>
            <w:r>
              <w:rPr>
                <w:rFonts w:hint="eastAsia"/>
                <w:szCs w:val="21"/>
              </w:rPr>
              <w:t>ND</w:t>
            </w:r>
          </w:p>
        </w:tc>
        <w:tc>
          <w:tcPr>
            <w:tcW w:w="302" w:type="pct"/>
            <w:vAlign w:val="center"/>
          </w:tcPr>
          <w:p w14:paraId="17482F92">
            <w:pPr>
              <w:spacing w:before="63" w:line="320" w:lineRule="exact"/>
              <w:jc w:val="center"/>
              <w:rPr>
                <w:rFonts w:eastAsiaTheme="minorEastAsia"/>
                <w:szCs w:val="21"/>
              </w:rPr>
            </w:pPr>
            <w:r>
              <w:rPr>
                <w:rFonts w:hint="eastAsia"/>
                <w:szCs w:val="21"/>
              </w:rPr>
              <w:t>ND</w:t>
            </w:r>
          </w:p>
        </w:tc>
        <w:tc>
          <w:tcPr>
            <w:tcW w:w="297" w:type="pct"/>
            <w:vAlign w:val="center"/>
          </w:tcPr>
          <w:p w14:paraId="1A679DF8">
            <w:pPr>
              <w:spacing w:before="63" w:line="320" w:lineRule="exact"/>
              <w:jc w:val="center"/>
              <w:rPr>
                <w:rFonts w:eastAsiaTheme="minorEastAsia"/>
                <w:szCs w:val="21"/>
              </w:rPr>
            </w:pPr>
            <w:r>
              <w:rPr>
                <w:rFonts w:hint="eastAsia"/>
                <w:szCs w:val="21"/>
              </w:rPr>
              <w:t>ND</w:t>
            </w:r>
          </w:p>
        </w:tc>
        <w:tc>
          <w:tcPr>
            <w:tcW w:w="305" w:type="pct"/>
            <w:vAlign w:val="center"/>
          </w:tcPr>
          <w:p w14:paraId="4318CD9A">
            <w:pPr>
              <w:spacing w:before="63" w:line="320" w:lineRule="exact"/>
              <w:jc w:val="center"/>
              <w:rPr>
                <w:rFonts w:eastAsiaTheme="minorEastAsia"/>
                <w:szCs w:val="21"/>
              </w:rPr>
            </w:pPr>
            <w:r>
              <w:rPr>
                <w:rFonts w:hint="eastAsia"/>
                <w:szCs w:val="21"/>
              </w:rPr>
              <w:t>ND</w:t>
            </w:r>
          </w:p>
        </w:tc>
        <w:tc>
          <w:tcPr>
            <w:tcW w:w="370" w:type="pct"/>
            <w:vAlign w:val="center"/>
          </w:tcPr>
          <w:p w14:paraId="3A081F52">
            <w:pPr>
              <w:spacing w:before="63" w:line="320" w:lineRule="exact"/>
              <w:jc w:val="center"/>
              <w:rPr>
                <w:rFonts w:eastAsiaTheme="minorEastAsia"/>
                <w:szCs w:val="21"/>
              </w:rPr>
            </w:pPr>
            <w:r>
              <w:rPr>
                <w:rFonts w:hint="eastAsia"/>
                <w:szCs w:val="21"/>
              </w:rPr>
              <w:t>ND</w:t>
            </w:r>
          </w:p>
        </w:tc>
        <w:tc>
          <w:tcPr>
            <w:tcW w:w="370" w:type="pct"/>
            <w:vAlign w:val="center"/>
          </w:tcPr>
          <w:p w14:paraId="6E88AFA7">
            <w:pPr>
              <w:spacing w:before="63" w:line="320" w:lineRule="exact"/>
              <w:jc w:val="center"/>
              <w:rPr>
                <w:rFonts w:eastAsiaTheme="minorEastAsia"/>
                <w:szCs w:val="21"/>
              </w:rPr>
            </w:pPr>
            <w:r>
              <w:rPr>
                <w:rFonts w:eastAsiaTheme="minorEastAsia"/>
                <w:szCs w:val="21"/>
              </w:rPr>
              <w:t>1.5</w:t>
            </w:r>
          </w:p>
        </w:tc>
      </w:tr>
      <w:tr w14:paraId="69EBD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1A3C01F2">
            <w:pPr>
              <w:spacing w:line="320" w:lineRule="exact"/>
              <w:jc w:val="center"/>
              <w:rPr>
                <w:rFonts w:eastAsiaTheme="minorEastAsia"/>
                <w:szCs w:val="21"/>
              </w:rPr>
            </w:pPr>
            <w:r>
              <w:rPr>
                <w:rFonts w:eastAsiaTheme="minorEastAsia"/>
                <w:szCs w:val="21"/>
              </w:rPr>
              <w:t>苯并[b]荧蒽（mg/kg）</w:t>
            </w:r>
          </w:p>
        </w:tc>
        <w:tc>
          <w:tcPr>
            <w:tcW w:w="390" w:type="pct"/>
            <w:vAlign w:val="center"/>
          </w:tcPr>
          <w:p w14:paraId="728F2FFC">
            <w:pPr>
              <w:widowControl/>
              <w:jc w:val="center"/>
              <w:rPr>
                <w:szCs w:val="21"/>
              </w:rPr>
            </w:pPr>
            <w:r>
              <w:rPr>
                <w:rFonts w:hint="eastAsia"/>
                <w:szCs w:val="21"/>
              </w:rPr>
              <w:t>ND</w:t>
            </w:r>
          </w:p>
        </w:tc>
        <w:tc>
          <w:tcPr>
            <w:tcW w:w="389" w:type="pct"/>
            <w:vAlign w:val="center"/>
          </w:tcPr>
          <w:p w14:paraId="55CD90FA">
            <w:pPr>
              <w:spacing w:before="61" w:line="320" w:lineRule="exact"/>
              <w:jc w:val="center"/>
              <w:rPr>
                <w:rFonts w:eastAsiaTheme="minorEastAsia"/>
                <w:szCs w:val="21"/>
              </w:rPr>
            </w:pPr>
            <w:r>
              <w:rPr>
                <w:rFonts w:hint="eastAsia"/>
                <w:szCs w:val="21"/>
              </w:rPr>
              <w:t>ND</w:t>
            </w:r>
          </w:p>
        </w:tc>
        <w:tc>
          <w:tcPr>
            <w:tcW w:w="347" w:type="pct"/>
            <w:vAlign w:val="center"/>
          </w:tcPr>
          <w:p w14:paraId="493427F1">
            <w:pPr>
              <w:spacing w:before="61" w:line="320" w:lineRule="exact"/>
              <w:jc w:val="center"/>
              <w:rPr>
                <w:szCs w:val="21"/>
              </w:rPr>
            </w:pPr>
            <w:r>
              <w:rPr>
                <w:rFonts w:hint="eastAsia"/>
                <w:szCs w:val="21"/>
              </w:rPr>
              <w:t>ND</w:t>
            </w:r>
          </w:p>
        </w:tc>
        <w:tc>
          <w:tcPr>
            <w:tcW w:w="345" w:type="pct"/>
            <w:vAlign w:val="center"/>
          </w:tcPr>
          <w:p w14:paraId="770DF003">
            <w:pPr>
              <w:spacing w:before="61" w:line="320" w:lineRule="exact"/>
              <w:jc w:val="center"/>
              <w:rPr>
                <w:rFonts w:eastAsiaTheme="minorEastAsia"/>
                <w:szCs w:val="21"/>
              </w:rPr>
            </w:pPr>
            <w:r>
              <w:rPr>
                <w:rFonts w:hint="eastAsia"/>
                <w:szCs w:val="21"/>
              </w:rPr>
              <w:t>ND</w:t>
            </w:r>
          </w:p>
        </w:tc>
        <w:tc>
          <w:tcPr>
            <w:tcW w:w="301" w:type="pct"/>
            <w:vAlign w:val="center"/>
          </w:tcPr>
          <w:p w14:paraId="02E50397">
            <w:pPr>
              <w:spacing w:before="61" w:line="320" w:lineRule="exact"/>
              <w:jc w:val="center"/>
              <w:rPr>
                <w:rFonts w:eastAsiaTheme="minorEastAsia"/>
                <w:szCs w:val="21"/>
              </w:rPr>
            </w:pPr>
            <w:r>
              <w:rPr>
                <w:rFonts w:hint="eastAsia"/>
                <w:szCs w:val="21"/>
              </w:rPr>
              <w:t>ND</w:t>
            </w:r>
          </w:p>
        </w:tc>
        <w:tc>
          <w:tcPr>
            <w:tcW w:w="301" w:type="pct"/>
            <w:vAlign w:val="center"/>
          </w:tcPr>
          <w:p w14:paraId="4B5F6536">
            <w:pPr>
              <w:spacing w:before="61" w:line="320" w:lineRule="exact"/>
              <w:jc w:val="center"/>
              <w:rPr>
                <w:rFonts w:eastAsiaTheme="minorEastAsia"/>
                <w:szCs w:val="21"/>
              </w:rPr>
            </w:pPr>
            <w:r>
              <w:rPr>
                <w:rFonts w:hint="eastAsia"/>
                <w:szCs w:val="21"/>
              </w:rPr>
              <w:t>ND</w:t>
            </w:r>
          </w:p>
        </w:tc>
        <w:tc>
          <w:tcPr>
            <w:tcW w:w="300" w:type="pct"/>
            <w:vAlign w:val="center"/>
          </w:tcPr>
          <w:p w14:paraId="27EF8E6F">
            <w:pPr>
              <w:spacing w:before="61" w:line="320" w:lineRule="exact"/>
              <w:jc w:val="center"/>
              <w:rPr>
                <w:rFonts w:eastAsiaTheme="minorEastAsia"/>
                <w:szCs w:val="21"/>
              </w:rPr>
            </w:pPr>
            <w:r>
              <w:rPr>
                <w:rFonts w:hint="eastAsia"/>
                <w:szCs w:val="21"/>
              </w:rPr>
              <w:t>ND</w:t>
            </w:r>
          </w:p>
        </w:tc>
        <w:tc>
          <w:tcPr>
            <w:tcW w:w="300" w:type="pct"/>
            <w:vAlign w:val="center"/>
          </w:tcPr>
          <w:p w14:paraId="7964C9E0">
            <w:pPr>
              <w:spacing w:before="61" w:line="320" w:lineRule="exact"/>
              <w:jc w:val="center"/>
              <w:rPr>
                <w:rFonts w:eastAsiaTheme="minorEastAsia"/>
                <w:szCs w:val="21"/>
              </w:rPr>
            </w:pPr>
            <w:r>
              <w:rPr>
                <w:rFonts w:hint="eastAsia"/>
                <w:szCs w:val="21"/>
              </w:rPr>
              <w:t>ND</w:t>
            </w:r>
          </w:p>
        </w:tc>
        <w:tc>
          <w:tcPr>
            <w:tcW w:w="302" w:type="pct"/>
            <w:vAlign w:val="center"/>
          </w:tcPr>
          <w:p w14:paraId="484FD8F4">
            <w:pPr>
              <w:spacing w:before="61" w:line="320" w:lineRule="exact"/>
              <w:jc w:val="center"/>
              <w:rPr>
                <w:rFonts w:eastAsiaTheme="minorEastAsia"/>
                <w:szCs w:val="21"/>
              </w:rPr>
            </w:pPr>
            <w:r>
              <w:rPr>
                <w:rFonts w:hint="eastAsia"/>
                <w:szCs w:val="21"/>
              </w:rPr>
              <w:t>ND</w:t>
            </w:r>
          </w:p>
        </w:tc>
        <w:tc>
          <w:tcPr>
            <w:tcW w:w="297" w:type="pct"/>
            <w:vAlign w:val="center"/>
          </w:tcPr>
          <w:p w14:paraId="282A1386">
            <w:pPr>
              <w:spacing w:before="61" w:line="320" w:lineRule="exact"/>
              <w:jc w:val="center"/>
              <w:rPr>
                <w:rFonts w:eastAsiaTheme="minorEastAsia"/>
                <w:szCs w:val="21"/>
              </w:rPr>
            </w:pPr>
            <w:r>
              <w:rPr>
                <w:rFonts w:hint="eastAsia"/>
                <w:szCs w:val="21"/>
              </w:rPr>
              <w:t>ND</w:t>
            </w:r>
          </w:p>
        </w:tc>
        <w:tc>
          <w:tcPr>
            <w:tcW w:w="305" w:type="pct"/>
            <w:vAlign w:val="center"/>
          </w:tcPr>
          <w:p w14:paraId="565ED05B">
            <w:pPr>
              <w:spacing w:before="61" w:line="320" w:lineRule="exact"/>
              <w:jc w:val="center"/>
              <w:rPr>
                <w:rFonts w:eastAsiaTheme="minorEastAsia"/>
                <w:szCs w:val="21"/>
              </w:rPr>
            </w:pPr>
            <w:r>
              <w:rPr>
                <w:rFonts w:hint="eastAsia"/>
                <w:szCs w:val="21"/>
              </w:rPr>
              <w:t>ND</w:t>
            </w:r>
          </w:p>
        </w:tc>
        <w:tc>
          <w:tcPr>
            <w:tcW w:w="370" w:type="pct"/>
            <w:vAlign w:val="center"/>
          </w:tcPr>
          <w:p w14:paraId="1115367E">
            <w:pPr>
              <w:spacing w:before="61" w:line="320" w:lineRule="exact"/>
              <w:jc w:val="center"/>
              <w:rPr>
                <w:rFonts w:eastAsiaTheme="minorEastAsia"/>
                <w:szCs w:val="21"/>
              </w:rPr>
            </w:pPr>
            <w:r>
              <w:rPr>
                <w:rFonts w:hint="eastAsia"/>
                <w:szCs w:val="21"/>
              </w:rPr>
              <w:t>ND</w:t>
            </w:r>
          </w:p>
        </w:tc>
        <w:tc>
          <w:tcPr>
            <w:tcW w:w="370" w:type="pct"/>
            <w:vAlign w:val="center"/>
          </w:tcPr>
          <w:p w14:paraId="6745E330">
            <w:pPr>
              <w:spacing w:before="61" w:line="320" w:lineRule="exact"/>
              <w:jc w:val="center"/>
              <w:rPr>
                <w:rFonts w:eastAsiaTheme="minorEastAsia"/>
                <w:szCs w:val="21"/>
              </w:rPr>
            </w:pPr>
            <w:r>
              <w:rPr>
                <w:rFonts w:eastAsiaTheme="minorEastAsia"/>
                <w:szCs w:val="21"/>
              </w:rPr>
              <w:t>15</w:t>
            </w:r>
          </w:p>
        </w:tc>
      </w:tr>
      <w:tr w14:paraId="225F0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31D14CA5">
            <w:pPr>
              <w:spacing w:line="320" w:lineRule="exact"/>
              <w:jc w:val="center"/>
              <w:rPr>
                <w:rFonts w:eastAsiaTheme="minorEastAsia"/>
                <w:szCs w:val="21"/>
              </w:rPr>
            </w:pPr>
            <w:r>
              <w:rPr>
                <w:rFonts w:eastAsiaTheme="minorEastAsia"/>
                <w:szCs w:val="21"/>
              </w:rPr>
              <w:t>苯并[k]荧蒽（mg/kg）</w:t>
            </w:r>
          </w:p>
        </w:tc>
        <w:tc>
          <w:tcPr>
            <w:tcW w:w="390" w:type="pct"/>
            <w:vAlign w:val="center"/>
          </w:tcPr>
          <w:p w14:paraId="60780BF4">
            <w:pPr>
              <w:widowControl/>
              <w:jc w:val="center"/>
              <w:rPr>
                <w:szCs w:val="21"/>
              </w:rPr>
            </w:pPr>
            <w:r>
              <w:rPr>
                <w:rFonts w:hint="eastAsia"/>
                <w:szCs w:val="21"/>
              </w:rPr>
              <w:t>ND</w:t>
            </w:r>
          </w:p>
        </w:tc>
        <w:tc>
          <w:tcPr>
            <w:tcW w:w="389" w:type="pct"/>
            <w:vAlign w:val="center"/>
          </w:tcPr>
          <w:p w14:paraId="2E80D6AE">
            <w:pPr>
              <w:spacing w:before="61" w:line="320" w:lineRule="exact"/>
              <w:jc w:val="center"/>
              <w:rPr>
                <w:rFonts w:eastAsiaTheme="minorEastAsia"/>
                <w:szCs w:val="21"/>
              </w:rPr>
            </w:pPr>
            <w:r>
              <w:rPr>
                <w:rFonts w:hint="eastAsia"/>
                <w:szCs w:val="21"/>
              </w:rPr>
              <w:t>ND</w:t>
            </w:r>
          </w:p>
        </w:tc>
        <w:tc>
          <w:tcPr>
            <w:tcW w:w="347" w:type="pct"/>
            <w:vAlign w:val="center"/>
          </w:tcPr>
          <w:p w14:paraId="01EC0C7D">
            <w:pPr>
              <w:spacing w:before="61" w:line="320" w:lineRule="exact"/>
              <w:jc w:val="center"/>
              <w:rPr>
                <w:szCs w:val="21"/>
              </w:rPr>
            </w:pPr>
            <w:r>
              <w:rPr>
                <w:rFonts w:hint="eastAsia"/>
                <w:szCs w:val="21"/>
              </w:rPr>
              <w:t>ND</w:t>
            </w:r>
          </w:p>
        </w:tc>
        <w:tc>
          <w:tcPr>
            <w:tcW w:w="345" w:type="pct"/>
            <w:vAlign w:val="center"/>
          </w:tcPr>
          <w:p w14:paraId="7B333AFE">
            <w:pPr>
              <w:spacing w:before="61" w:line="320" w:lineRule="exact"/>
              <w:jc w:val="center"/>
              <w:rPr>
                <w:rFonts w:eastAsiaTheme="minorEastAsia"/>
                <w:szCs w:val="21"/>
              </w:rPr>
            </w:pPr>
            <w:r>
              <w:rPr>
                <w:rFonts w:hint="eastAsia"/>
                <w:szCs w:val="21"/>
              </w:rPr>
              <w:t>ND</w:t>
            </w:r>
          </w:p>
        </w:tc>
        <w:tc>
          <w:tcPr>
            <w:tcW w:w="301" w:type="pct"/>
            <w:vAlign w:val="center"/>
          </w:tcPr>
          <w:p w14:paraId="212094B4">
            <w:pPr>
              <w:spacing w:before="61" w:line="320" w:lineRule="exact"/>
              <w:jc w:val="center"/>
              <w:rPr>
                <w:rFonts w:eastAsiaTheme="minorEastAsia"/>
                <w:szCs w:val="21"/>
              </w:rPr>
            </w:pPr>
            <w:r>
              <w:rPr>
                <w:rFonts w:hint="eastAsia"/>
                <w:szCs w:val="21"/>
              </w:rPr>
              <w:t>ND</w:t>
            </w:r>
          </w:p>
        </w:tc>
        <w:tc>
          <w:tcPr>
            <w:tcW w:w="301" w:type="pct"/>
            <w:vAlign w:val="center"/>
          </w:tcPr>
          <w:p w14:paraId="4F6DD9DD">
            <w:pPr>
              <w:spacing w:before="61" w:line="320" w:lineRule="exact"/>
              <w:jc w:val="center"/>
              <w:rPr>
                <w:rFonts w:eastAsiaTheme="minorEastAsia"/>
                <w:szCs w:val="21"/>
              </w:rPr>
            </w:pPr>
            <w:r>
              <w:rPr>
                <w:rFonts w:hint="eastAsia"/>
                <w:szCs w:val="21"/>
              </w:rPr>
              <w:t>ND</w:t>
            </w:r>
          </w:p>
        </w:tc>
        <w:tc>
          <w:tcPr>
            <w:tcW w:w="300" w:type="pct"/>
            <w:vAlign w:val="center"/>
          </w:tcPr>
          <w:p w14:paraId="22A100BD">
            <w:pPr>
              <w:spacing w:before="61" w:line="320" w:lineRule="exact"/>
              <w:jc w:val="center"/>
              <w:rPr>
                <w:rFonts w:eastAsiaTheme="minorEastAsia"/>
                <w:szCs w:val="21"/>
              </w:rPr>
            </w:pPr>
            <w:r>
              <w:rPr>
                <w:rFonts w:hint="eastAsia"/>
                <w:szCs w:val="21"/>
              </w:rPr>
              <w:t>ND</w:t>
            </w:r>
          </w:p>
        </w:tc>
        <w:tc>
          <w:tcPr>
            <w:tcW w:w="300" w:type="pct"/>
            <w:vAlign w:val="center"/>
          </w:tcPr>
          <w:p w14:paraId="0850992A">
            <w:pPr>
              <w:spacing w:before="61" w:line="320" w:lineRule="exact"/>
              <w:jc w:val="center"/>
              <w:rPr>
                <w:rFonts w:eastAsiaTheme="minorEastAsia"/>
                <w:szCs w:val="21"/>
              </w:rPr>
            </w:pPr>
            <w:r>
              <w:rPr>
                <w:rFonts w:hint="eastAsia"/>
                <w:szCs w:val="21"/>
              </w:rPr>
              <w:t>ND</w:t>
            </w:r>
          </w:p>
        </w:tc>
        <w:tc>
          <w:tcPr>
            <w:tcW w:w="302" w:type="pct"/>
            <w:vAlign w:val="center"/>
          </w:tcPr>
          <w:p w14:paraId="41262F8C">
            <w:pPr>
              <w:spacing w:before="61" w:line="320" w:lineRule="exact"/>
              <w:jc w:val="center"/>
              <w:rPr>
                <w:rFonts w:eastAsiaTheme="minorEastAsia"/>
                <w:szCs w:val="21"/>
              </w:rPr>
            </w:pPr>
            <w:r>
              <w:rPr>
                <w:rFonts w:hint="eastAsia"/>
                <w:szCs w:val="21"/>
              </w:rPr>
              <w:t>ND</w:t>
            </w:r>
          </w:p>
        </w:tc>
        <w:tc>
          <w:tcPr>
            <w:tcW w:w="297" w:type="pct"/>
            <w:vAlign w:val="center"/>
          </w:tcPr>
          <w:p w14:paraId="3A9B86C0">
            <w:pPr>
              <w:spacing w:before="61" w:line="320" w:lineRule="exact"/>
              <w:jc w:val="center"/>
              <w:rPr>
                <w:rFonts w:eastAsiaTheme="minorEastAsia"/>
                <w:szCs w:val="21"/>
              </w:rPr>
            </w:pPr>
            <w:r>
              <w:rPr>
                <w:rFonts w:hint="eastAsia"/>
                <w:szCs w:val="21"/>
              </w:rPr>
              <w:t>ND</w:t>
            </w:r>
          </w:p>
        </w:tc>
        <w:tc>
          <w:tcPr>
            <w:tcW w:w="305" w:type="pct"/>
            <w:vAlign w:val="center"/>
          </w:tcPr>
          <w:p w14:paraId="679B3DC6">
            <w:pPr>
              <w:spacing w:before="61" w:line="320" w:lineRule="exact"/>
              <w:jc w:val="center"/>
              <w:rPr>
                <w:rFonts w:eastAsiaTheme="minorEastAsia"/>
                <w:szCs w:val="21"/>
              </w:rPr>
            </w:pPr>
            <w:r>
              <w:rPr>
                <w:rFonts w:hint="eastAsia"/>
                <w:szCs w:val="21"/>
              </w:rPr>
              <w:t>ND</w:t>
            </w:r>
          </w:p>
        </w:tc>
        <w:tc>
          <w:tcPr>
            <w:tcW w:w="370" w:type="pct"/>
            <w:vAlign w:val="center"/>
          </w:tcPr>
          <w:p w14:paraId="54F14664">
            <w:pPr>
              <w:spacing w:before="61" w:line="320" w:lineRule="exact"/>
              <w:jc w:val="center"/>
              <w:rPr>
                <w:rFonts w:eastAsiaTheme="minorEastAsia"/>
                <w:szCs w:val="21"/>
              </w:rPr>
            </w:pPr>
            <w:r>
              <w:rPr>
                <w:rFonts w:hint="eastAsia"/>
                <w:szCs w:val="21"/>
              </w:rPr>
              <w:t>ND</w:t>
            </w:r>
          </w:p>
        </w:tc>
        <w:tc>
          <w:tcPr>
            <w:tcW w:w="370" w:type="pct"/>
            <w:vAlign w:val="center"/>
          </w:tcPr>
          <w:p w14:paraId="5B671D83">
            <w:pPr>
              <w:spacing w:before="61" w:line="320" w:lineRule="exact"/>
              <w:jc w:val="center"/>
              <w:rPr>
                <w:rFonts w:eastAsiaTheme="minorEastAsia"/>
                <w:szCs w:val="21"/>
              </w:rPr>
            </w:pPr>
            <w:r>
              <w:rPr>
                <w:rFonts w:eastAsiaTheme="minorEastAsia"/>
                <w:szCs w:val="21"/>
              </w:rPr>
              <w:t>151</w:t>
            </w:r>
          </w:p>
        </w:tc>
      </w:tr>
      <w:tr w14:paraId="50CAA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5F22F97">
            <w:pPr>
              <w:spacing w:line="320" w:lineRule="exact"/>
              <w:jc w:val="center"/>
              <w:rPr>
                <w:rFonts w:eastAsiaTheme="minorEastAsia"/>
                <w:szCs w:val="21"/>
              </w:rPr>
            </w:pPr>
            <w:r>
              <w:rPr>
                <w:rFonts w:eastAsiaTheme="minorEastAsia"/>
                <w:szCs w:val="21"/>
              </w:rPr>
              <w:t>䓛（mg/kg）</w:t>
            </w:r>
          </w:p>
        </w:tc>
        <w:tc>
          <w:tcPr>
            <w:tcW w:w="390" w:type="pct"/>
            <w:vAlign w:val="center"/>
          </w:tcPr>
          <w:p w14:paraId="08E4F955">
            <w:pPr>
              <w:widowControl/>
              <w:jc w:val="center"/>
              <w:rPr>
                <w:szCs w:val="21"/>
              </w:rPr>
            </w:pPr>
            <w:r>
              <w:rPr>
                <w:rFonts w:hint="eastAsia"/>
                <w:szCs w:val="21"/>
              </w:rPr>
              <w:t>ND</w:t>
            </w:r>
          </w:p>
        </w:tc>
        <w:tc>
          <w:tcPr>
            <w:tcW w:w="389" w:type="pct"/>
            <w:vAlign w:val="center"/>
          </w:tcPr>
          <w:p w14:paraId="1DD81A9E">
            <w:pPr>
              <w:spacing w:before="61" w:line="320" w:lineRule="exact"/>
              <w:jc w:val="center"/>
              <w:rPr>
                <w:rFonts w:eastAsiaTheme="minorEastAsia"/>
                <w:szCs w:val="21"/>
              </w:rPr>
            </w:pPr>
            <w:r>
              <w:rPr>
                <w:rFonts w:hint="eastAsia"/>
                <w:szCs w:val="21"/>
              </w:rPr>
              <w:t>ND</w:t>
            </w:r>
          </w:p>
        </w:tc>
        <w:tc>
          <w:tcPr>
            <w:tcW w:w="347" w:type="pct"/>
            <w:vAlign w:val="center"/>
          </w:tcPr>
          <w:p w14:paraId="5A612EFB">
            <w:pPr>
              <w:spacing w:before="61" w:line="320" w:lineRule="exact"/>
              <w:jc w:val="center"/>
              <w:rPr>
                <w:szCs w:val="21"/>
              </w:rPr>
            </w:pPr>
            <w:r>
              <w:rPr>
                <w:rFonts w:hint="eastAsia"/>
                <w:szCs w:val="21"/>
              </w:rPr>
              <w:t>ND</w:t>
            </w:r>
          </w:p>
        </w:tc>
        <w:tc>
          <w:tcPr>
            <w:tcW w:w="345" w:type="pct"/>
            <w:vAlign w:val="center"/>
          </w:tcPr>
          <w:p w14:paraId="6EE5F557">
            <w:pPr>
              <w:spacing w:before="61" w:line="320" w:lineRule="exact"/>
              <w:jc w:val="center"/>
              <w:rPr>
                <w:rFonts w:eastAsiaTheme="minorEastAsia"/>
                <w:szCs w:val="21"/>
              </w:rPr>
            </w:pPr>
            <w:r>
              <w:rPr>
                <w:rFonts w:hint="eastAsia"/>
                <w:szCs w:val="21"/>
              </w:rPr>
              <w:t>ND</w:t>
            </w:r>
          </w:p>
        </w:tc>
        <w:tc>
          <w:tcPr>
            <w:tcW w:w="301" w:type="pct"/>
            <w:vAlign w:val="center"/>
          </w:tcPr>
          <w:p w14:paraId="789363C4">
            <w:pPr>
              <w:spacing w:before="61" w:line="320" w:lineRule="exact"/>
              <w:jc w:val="center"/>
              <w:rPr>
                <w:rFonts w:eastAsiaTheme="minorEastAsia"/>
                <w:szCs w:val="21"/>
              </w:rPr>
            </w:pPr>
            <w:r>
              <w:rPr>
                <w:rFonts w:hint="eastAsia"/>
                <w:szCs w:val="21"/>
              </w:rPr>
              <w:t>ND</w:t>
            </w:r>
          </w:p>
        </w:tc>
        <w:tc>
          <w:tcPr>
            <w:tcW w:w="301" w:type="pct"/>
            <w:vAlign w:val="center"/>
          </w:tcPr>
          <w:p w14:paraId="7357CC1A">
            <w:pPr>
              <w:spacing w:before="61" w:line="320" w:lineRule="exact"/>
              <w:jc w:val="center"/>
              <w:rPr>
                <w:rFonts w:eastAsiaTheme="minorEastAsia"/>
                <w:szCs w:val="21"/>
              </w:rPr>
            </w:pPr>
            <w:r>
              <w:rPr>
                <w:rFonts w:hint="eastAsia"/>
                <w:szCs w:val="21"/>
              </w:rPr>
              <w:t>ND</w:t>
            </w:r>
          </w:p>
        </w:tc>
        <w:tc>
          <w:tcPr>
            <w:tcW w:w="300" w:type="pct"/>
            <w:vAlign w:val="center"/>
          </w:tcPr>
          <w:p w14:paraId="6A6EF897">
            <w:pPr>
              <w:spacing w:before="61" w:line="320" w:lineRule="exact"/>
              <w:jc w:val="center"/>
              <w:rPr>
                <w:rFonts w:eastAsiaTheme="minorEastAsia"/>
                <w:szCs w:val="21"/>
              </w:rPr>
            </w:pPr>
            <w:r>
              <w:rPr>
                <w:rFonts w:hint="eastAsia"/>
                <w:szCs w:val="21"/>
              </w:rPr>
              <w:t>ND</w:t>
            </w:r>
          </w:p>
        </w:tc>
        <w:tc>
          <w:tcPr>
            <w:tcW w:w="300" w:type="pct"/>
            <w:vAlign w:val="center"/>
          </w:tcPr>
          <w:p w14:paraId="58836BD7">
            <w:pPr>
              <w:spacing w:before="61" w:line="320" w:lineRule="exact"/>
              <w:jc w:val="center"/>
              <w:rPr>
                <w:rFonts w:eastAsiaTheme="minorEastAsia"/>
                <w:szCs w:val="21"/>
              </w:rPr>
            </w:pPr>
            <w:r>
              <w:rPr>
                <w:rFonts w:hint="eastAsia"/>
                <w:szCs w:val="21"/>
              </w:rPr>
              <w:t>ND</w:t>
            </w:r>
          </w:p>
        </w:tc>
        <w:tc>
          <w:tcPr>
            <w:tcW w:w="302" w:type="pct"/>
            <w:vAlign w:val="center"/>
          </w:tcPr>
          <w:p w14:paraId="5500C8FF">
            <w:pPr>
              <w:spacing w:before="61" w:line="320" w:lineRule="exact"/>
              <w:jc w:val="center"/>
              <w:rPr>
                <w:rFonts w:eastAsiaTheme="minorEastAsia"/>
                <w:szCs w:val="21"/>
              </w:rPr>
            </w:pPr>
            <w:r>
              <w:rPr>
                <w:rFonts w:hint="eastAsia"/>
                <w:szCs w:val="21"/>
              </w:rPr>
              <w:t>ND</w:t>
            </w:r>
          </w:p>
        </w:tc>
        <w:tc>
          <w:tcPr>
            <w:tcW w:w="297" w:type="pct"/>
            <w:vAlign w:val="center"/>
          </w:tcPr>
          <w:p w14:paraId="1933C7CC">
            <w:pPr>
              <w:spacing w:before="61" w:line="320" w:lineRule="exact"/>
              <w:jc w:val="center"/>
              <w:rPr>
                <w:rFonts w:eastAsiaTheme="minorEastAsia"/>
                <w:szCs w:val="21"/>
              </w:rPr>
            </w:pPr>
            <w:r>
              <w:rPr>
                <w:rFonts w:hint="eastAsia"/>
                <w:szCs w:val="21"/>
              </w:rPr>
              <w:t>ND</w:t>
            </w:r>
          </w:p>
        </w:tc>
        <w:tc>
          <w:tcPr>
            <w:tcW w:w="305" w:type="pct"/>
            <w:vAlign w:val="center"/>
          </w:tcPr>
          <w:p w14:paraId="5878958C">
            <w:pPr>
              <w:spacing w:before="61" w:line="320" w:lineRule="exact"/>
              <w:jc w:val="center"/>
              <w:rPr>
                <w:rFonts w:eastAsiaTheme="minorEastAsia"/>
                <w:szCs w:val="21"/>
              </w:rPr>
            </w:pPr>
            <w:r>
              <w:rPr>
                <w:rFonts w:hint="eastAsia"/>
                <w:szCs w:val="21"/>
              </w:rPr>
              <w:t>ND</w:t>
            </w:r>
          </w:p>
        </w:tc>
        <w:tc>
          <w:tcPr>
            <w:tcW w:w="370" w:type="pct"/>
            <w:vAlign w:val="center"/>
          </w:tcPr>
          <w:p w14:paraId="406A46E2">
            <w:pPr>
              <w:spacing w:before="61" w:line="320" w:lineRule="exact"/>
              <w:jc w:val="center"/>
              <w:rPr>
                <w:rFonts w:eastAsiaTheme="minorEastAsia"/>
                <w:szCs w:val="21"/>
              </w:rPr>
            </w:pPr>
            <w:r>
              <w:rPr>
                <w:rFonts w:hint="eastAsia"/>
                <w:szCs w:val="21"/>
              </w:rPr>
              <w:t>ND</w:t>
            </w:r>
          </w:p>
        </w:tc>
        <w:tc>
          <w:tcPr>
            <w:tcW w:w="370" w:type="pct"/>
            <w:vAlign w:val="center"/>
          </w:tcPr>
          <w:p w14:paraId="2652D123">
            <w:pPr>
              <w:spacing w:before="61" w:line="320" w:lineRule="exact"/>
              <w:jc w:val="center"/>
              <w:rPr>
                <w:rFonts w:eastAsiaTheme="minorEastAsia"/>
                <w:szCs w:val="21"/>
              </w:rPr>
            </w:pPr>
            <w:r>
              <w:rPr>
                <w:rFonts w:eastAsiaTheme="minorEastAsia"/>
                <w:szCs w:val="21"/>
              </w:rPr>
              <w:t>1293</w:t>
            </w:r>
          </w:p>
        </w:tc>
      </w:tr>
      <w:tr w14:paraId="47079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899A8DE">
            <w:pPr>
              <w:spacing w:line="320" w:lineRule="exact"/>
              <w:jc w:val="center"/>
              <w:rPr>
                <w:rFonts w:eastAsiaTheme="minorEastAsia"/>
                <w:szCs w:val="21"/>
              </w:rPr>
            </w:pPr>
            <w:r>
              <w:rPr>
                <w:rFonts w:eastAsiaTheme="minorEastAsia"/>
                <w:szCs w:val="21"/>
              </w:rPr>
              <w:t>二苯并[a，h]蒽（mg/kg）</w:t>
            </w:r>
          </w:p>
        </w:tc>
        <w:tc>
          <w:tcPr>
            <w:tcW w:w="390" w:type="pct"/>
            <w:vAlign w:val="center"/>
          </w:tcPr>
          <w:p w14:paraId="09397BAF">
            <w:pPr>
              <w:widowControl/>
              <w:jc w:val="center"/>
              <w:rPr>
                <w:szCs w:val="21"/>
              </w:rPr>
            </w:pPr>
            <w:r>
              <w:rPr>
                <w:rFonts w:hint="eastAsia"/>
                <w:szCs w:val="21"/>
              </w:rPr>
              <w:t>ND</w:t>
            </w:r>
          </w:p>
        </w:tc>
        <w:tc>
          <w:tcPr>
            <w:tcW w:w="389" w:type="pct"/>
            <w:vAlign w:val="center"/>
          </w:tcPr>
          <w:p w14:paraId="30C363B1">
            <w:pPr>
              <w:spacing w:before="61" w:line="320" w:lineRule="exact"/>
              <w:jc w:val="center"/>
              <w:rPr>
                <w:rFonts w:eastAsiaTheme="minorEastAsia"/>
                <w:szCs w:val="21"/>
              </w:rPr>
            </w:pPr>
            <w:r>
              <w:rPr>
                <w:rFonts w:hint="eastAsia"/>
                <w:szCs w:val="21"/>
              </w:rPr>
              <w:t>ND</w:t>
            </w:r>
          </w:p>
        </w:tc>
        <w:tc>
          <w:tcPr>
            <w:tcW w:w="347" w:type="pct"/>
            <w:vAlign w:val="center"/>
          </w:tcPr>
          <w:p w14:paraId="180CAFD5">
            <w:pPr>
              <w:spacing w:before="61" w:line="320" w:lineRule="exact"/>
              <w:jc w:val="center"/>
              <w:rPr>
                <w:szCs w:val="21"/>
              </w:rPr>
            </w:pPr>
            <w:r>
              <w:rPr>
                <w:rFonts w:hint="eastAsia"/>
                <w:szCs w:val="21"/>
              </w:rPr>
              <w:t>ND</w:t>
            </w:r>
          </w:p>
        </w:tc>
        <w:tc>
          <w:tcPr>
            <w:tcW w:w="345" w:type="pct"/>
            <w:vAlign w:val="center"/>
          </w:tcPr>
          <w:p w14:paraId="6A324D03">
            <w:pPr>
              <w:spacing w:before="61" w:line="320" w:lineRule="exact"/>
              <w:jc w:val="center"/>
              <w:rPr>
                <w:rFonts w:eastAsiaTheme="minorEastAsia"/>
                <w:szCs w:val="21"/>
              </w:rPr>
            </w:pPr>
            <w:r>
              <w:rPr>
                <w:rFonts w:hint="eastAsia"/>
                <w:szCs w:val="21"/>
              </w:rPr>
              <w:t>ND</w:t>
            </w:r>
          </w:p>
        </w:tc>
        <w:tc>
          <w:tcPr>
            <w:tcW w:w="301" w:type="pct"/>
            <w:vAlign w:val="center"/>
          </w:tcPr>
          <w:p w14:paraId="4F8CAD28">
            <w:pPr>
              <w:spacing w:before="61" w:line="320" w:lineRule="exact"/>
              <w:jc w:val="center"/>
              <w:rPr>
                <w:rFonts w:eastAsiaTheme="minorEastAsia"/>
                <w:szCs w:val="21"/>
              </w:rPr>
            </w:pPr>
            <w:r>
              <w:rPr>
                <w:rFonts w:hint="eastAsia"/>
                <w:szCs w:val="21"/>
              </w:rPr>
              <w:t>ND</w:t>
            </w:r>
          </w:p>
        </w:tc>
        <w:tc>
          <w:tcPr>
            <w:tcW w:w="301" w:type="pct"/>
            <w:vAlign w:val="center"/>
          </w:tcPr>
          <w:p w14:paraId="5098BB0F">
            <w:pPr>
              <w:spacing w:before="61" w:line="320" w:lineRule="exact"/>
              <w:jc w:val="center"/>
              <w:rPr>
                <w:rFonts w:eastAsiaTheme="minorEastAsia"/>
                <w:szCs w:val="21"/>
              </w:rPr>
            </w:pPr>
            <w:r>
              <w:rPr>
                <w:rFonts w:hint="eastAsia"/>
                <w:szCs w:val="21"/>
              </w:rPr>
              <w:t>ND</w:t>
            </w:r>
          </w:p>
        </w:tc>
        <w:tc>
          <w:tcPr>
            <w:tcW w:w="300" w:type="pct"/>
            <w:vAlign w:val="center"/>
          </w:tcPr>
          <w:p w14:paraId="72943D73">
            <w:pPr>
              <w:spacing w:before="61" w:line="320" w:lineRule="exact"/>
              <w:jc w:val="center"/>
              <w:rPr>
                <w:rFonts w:eastAsiaTheme="minorEastAsia"/>
                <w:szCs w:val="21"/>
              </w:rPr>
            </w:pPr>
            <w:r>
              <w:rPr>
                <w:rFonts w:hint="eastAsia"/>
                <w:szCs w:val="21"/>
              </w:rPr>
              <w:t>ND</w:t>
            </w:r>
          </w:p>
        </w:tc>
        <w:tc>
          <w:tcPr>
            <w:tcW w:w="300" w:type="pct"/>
            <w:vAlign w:val="center"/>
          </w:tcPr>
          <w:p w14:paraId="49153FCB">
            <w:pPr>
              <w:spacing w:before="61" w:line="320" w:lineRule="exact"/>
              <w:jc w:val="center"/>
              <w:rPr>
                <w:rFonts w:eastAsiaTheme="minorEastAsia"/>
                <w:szCs w:val="21"/>
              </w:rPr>
            </w:pPr>
            <w:r>
              <w:rPr>
                <w:rFonts w:hint="eastAsia"/>
                <w:szCs w:val="21"/>
              </w:rPr>
              <w:t>ND</w:t>
            </w:r>
          </w:p>
        </w:tc>
        <w:tc>
          <w:tcPr>
            <w:tcW w:w="302" w:type="pct"/>
            <w:vAlign w:val="center"/>
          </w:tcPr>
          <w:p w14:paraId="58F80535">
            <w:pPr>
              <w:spacing w:before="61" w:line="320" w:lineRule="exact"/>
              <w:jc w:val="center"/>
              <w:rPr>
                <w:rFonts w:eastAsiaTheme="minorEastAsia"/>
                <w:szCs w:val="21"/>
              </w:rPr>
            </w:pPr>
            <w:r>
              <w:rPr>
                <w:rFonts w:hint="eastAsia"/>
                <w:szCs w:val="21"/>
              </w:rPr>
              <w:t>ND</w:t>
            </w:r>
          </w:p>
        </w:tc>
        <w:tc>
          <w:tcPr>
            <w:tcW w:w="297" w:type="pct"/>
            <w:vAlign w:val="center"/>
          </w:tcPr>
          <w:p w14:paraId="01A3826B">
            <w:pPr>
              <w:spacing w:before="61" w:line="320" w:lineRule="exact"/>
              <w:jc w:val="center"/>
              <w:rPr>
                <w:rFonts w:eastAsiaTheme="minorEastAsia"/>
                <w:szCs w:val="21"/>
              </w:rPr>
            </w:pPr>
            <w:r>
              <w:rPr>
                <w:rFonts w:hint="eastAsia"/>
                <w:szCs w:val="21"/>
              </w:rPr>
              <w:t>ND</w:t>
            </w:r>
          </w:p>
        </w:tc>
        <w:tc>
          <w:tcPr>
            <w:tcW w:w="305" w:type="pct"/>
            <w:vAlign w:val="center"/>
          </w:tcPr>
          <w:p w14:paraId="497E9F14">
            <w:pPr>
              <w:spacing w:before="61" w:line="320" w:lineRule="exact"/>
              <w:jc w:val="center"/>
              <w:rPr>
                <w:rFonts w:eastAsiaTheme="minorEastAsia"/>
                <w:szCs w:val="21"/>
              </w:rPr>
            </w:pPr>
            <w:r>
              <w:rPr>
                <w:rFonts w:hint="eastAsia"/>
                <w:szCs w:val="21"/>
              </w:rPr>
              <w:t>ND</w:t>
            </w:r>
          </w:p>
        </w:tc>
        <w:tc>
          <w:tcPr>
            <w:tcW w:w="370" w:type="pct"/>
            <w:vAlign w:val="center"/>
          </w:tcPr>
          <w:p w14:paraId="0C63DDB1">
            <w:pPr>
              <w:spacing w:before="61" w:line="320" w:lineRule="exact"/>
              <w:jc w:val="center"/>
              <w:rPr>
                <w:rFonts w:eastAsiaTheme="minorEastAsia"/>
                <w:szCs w:val="21"/>
              </w:rPr>
            </w:pPr>
            <w:r>
              <w:rPr>
                <w:rFonts w:hint="eastAsia"/>
                <w:szCs w:val="21"/>
              </w:rPr>
              <w:t>ND</w:t>
            </w:r>
          </w:p>
        </w:tc>
        <w:tc>
          <w:tcPr>
            <w:tcW w:w="370" w:type="pct"/>
            <w:vAlign w:val="center"/>
          </w:tcPr>
          <w:p w14:paraId="123A6BDB">
            <w:pPr>
              <w:spacing w:before="61" w:line="320" w:lineRule="exact"/>
              <w:jc w:val="center"/>
              <w:rPr>
                <w:rFonts w:eastAsiaTheme="minorEastAsia"/>
                <w:szCs w:val="21"/>
              </w:rPr>
            </w:pPr>
            <w:r>
              <w:rPr>
                <w:rFonts w:eastAsiaTheme="minorEastAsia"/>
                <w:szCs w:val="21"/>
              </w:rPr>
              <w:t>1.5</w:t>
            </w:r>
          </w:p>
        </w:tc>
      </w:tr>
      <w:tr w14:paraId="7E1D9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5EE20ED">
            <w:pPr>
              <w:spacing w:line="320" w:lineRule="exact"/>
              <w:jc w:val="center"/>
              <w:rPr>
                <w:rFonts w:eastAsiaTheme="minorEastAsia"/>
                <w:szCs w:val="21"/>
              </w:rPr>
            </w:pPr>
            <w:r>
              <w:rPr>
                <w:rFonts w:eastAsiaTheme="minorEastAsia"/>
                <w:szCs w:val="21"/>
              </w:rPr>
              <w:t>茚并[1,2,3-cd]芘（mg/kg）</w:t>
            </w:r>
          </w:p>
        </w:tc>
        <w:tc>
          <w:tcPr>
            <w:tcW w:w="390" w:type="pct"/>
            <w:vAlign w:val="center"/>
          </w:tcPr>
          <w:p w14:paraId="6CF469AC">
            <w:pPr>
              <w:widowControl/>
              <w:jc w:val="center"/>
              <w:rPr>
                <w:szCs w:val="21"/>
              </w:rPr>
            </w:pPr>
            <w:r>
              <w:rPr>
                <w:rFonts w:hint="eastAsia"/>
                <w:szCs w:val="21"/>
              </w:rPr>
              <w:t>ND</w:t>
            </w:r>
          </w:p>
        </w:tc>
        <w:tc>
          <w:tcPr>
            <w:tcW w:w="389" w:type="pct"/>
            <w:vAlign w:val="center"/>
          </w:tcPr>
          <w:p w14:paraId="35E87E52">
            <w:pPr>
              <w:spacing w:before="61" w:line="320" w:lineRule="exact"/>
              <w:jc w:val="center"/>
              <w:rPr>
                <w:rFonts w:eastAsiaTheme="minorEastAsia"/>
                <w:szCs w:val="21"/>
              </w:rPr>
            </w:pPr>
            <w:r>
              <w:rPr>
                <w:rFonts w:hint="eastAsia"/>
                <w:szCs w:val="21"/>
              </w:rPr>
              <w:t>ND</w:t>
            </w:r>
          </w:p>
        </w:tc>
        <w:tc>
          <w:tcPr>
            <w:tcW w:w="347" w:type="pct"/>
            <w:vAlign w:val="center"/>
          </w:tcPr>
          <w:p w14:paraId="1167BCE2">
            <w:pPr>
              <w:spacing w:before="61" w:line="320" w:lineRule="exact"/>
              <w:jc w:val="center"/>
              <w:rPr>
                <w:szCs w:val="21"/>
              </w:rPr>
            </w:pPr>
            <w:r>
              <w:rPr>
                <w:rFonts w:hint="eastAsia"/>
                <w:szCs w:val="21"/>
              </w:rPr>
              <w:t>ND</w:t>
            </w:r>
          </w:p>
        </w:tc>
        <w:tc>
          <w:tcPr>
            <w:tcW w:w="345" w:type="pct"/>
            <w:vAlign w:val="center"/>
          </w:tcPr>
          <w:p w14:paraId="2C906A1F">
            <w:pPr>
              <w:spacing w:before="61" w:line="320" w:lineRule="exact"/>
              <w:jc w:val="center"/>
              <w:rPr>
                <w:rFonts w:eastAsiaTheme="minorEastAsia"/>
                <w:szCs w:val="21"/>
              </w:rPr>
            </w:pPr>
            <w:r>
              <w:rPr>
                <w:rFonts w:hint="eastAsia"/>
                <w:szCs w:val="21"/>
              </w:rPr>
              <w:t>ND</w:t>
            </w:r>
          </w:p>
        </w:tc>
        <w:tc>
          <w:tcPr>
            <w:tcW w:w="301" w:type="pct"/>
            <w:vAlign w:val="center"/>
          </w:tcPr>
          <w:p w14:paraId="35ABA977">
            <w:pPr>
              <w:spacing w:before="61" w:line="320" w:lineRule="exact"/>
              <w:jc w:val="center"/>
              <w:rPr>
                <w:rFonts w:eastAsiaTheme="minorEastAsia"/>
                <w:szCs w:val="21"/>
              </w:rPr>
            </w:pPr>
            <w:r>
              <w:rPr>
                <w:rFonts w:hint="eastAsia"/>
                <w:szCs w:val="21"/>
              </w:rPr>
              <w:t>ND</w:t>
            </w:r>
          </w:p>
        </w:tc>
        <w:tc>
          <w:tcPr>
            <w:tcW w:w="301" w:type="pct"/>
            <w:vAlign w:val="center"/>
          </w:tcPr>
          <w:p w14:paraId="7719516D">
            <w:pPr>
              <w:spacing w:before="61" w:line="320" w:lineRule="exact"/>
              <w:jc w:val="center"/>
              <w:rPr>
                <w:rFonts w:eastAsiaTheme="minorEastAsia"/>
                <w:szCs w:val="21"/>
              </w:rPr>
            </w:pPr>
            <w:r>
              <w:rPr>
                <w:rFonts w:hint="eastAsia"/>
                <w:szCs w:val="21"/>
              </w:rPr>
              <w:t>ND</w:t>
            </w:r>
          </w:p>
        </w:tc>
        <w:tc>
          <w:tcPr>
            <w:tcW w:w="300" w:type="pct"/>
            <w:vAlign w:val="center"/>
          </w:tcPr>
          <w:p w14:paraId="37C26CC6">
            <w:pPr>
              <w:spacing w:before="61" w:line="320" w:lineRule="exact"/>
              <w:jc w:val="center"/>
              <w:rPr>
                <w:rFonts w:eastAsiaTheme="minorEastAsia"/>
                <w:szCs w:val="21"/>
              </w:rPr>
            </w:pPr>
            <w:r>
              <w:rPr>
                <w:rFonts w:hint="eastAsia"/>
                <w:szCs w:val="21"/>
              </w:rPr>
              <w:t>ND</w:t>
            </w:r>
          </w:p>
        </w:tc>
        <w:tc>
          <w:tcPr>
            <w:tcW w:w="300" w:type="pct"/>
            <w:vAlign w:val="center"/>
          </w:tcPr>
          <w:p w14:paraId="373F427B">
            <w:pPr>
              <w:spacing w:before="61" w:line="320" w:lineRule="exact"/>
              <w:jc w:val="center"/>
              <w:rPr>
                <w:rFonts w:eastAsiaTheme="minorEastAsia"/>
                <w:szCs w:val="21"/>
              </w:rPr>
            </w:pPr>
            <w:r>
              <w:rPr>
                <w:rFonts w:hint="eastAsia"/>
                <w:szCs w:val="21"/>
              </w:rPr>
              <w:t>ND</w:t>
            </w:r>
          </w:p>
        </w:tc>
        <w:tc>
          <w:tcPr>
            <w:tcW w:w="302" w:type="pct"/>
            <w:vAlign w:val="center"/>
          </w:tcPr>
          <w:p w14:paraId="75198F93">
            <w:pPr>
              <w:spacing w:before="61" w:line="320" w:lineRule="exact"/>
              <w:jc w:val="center"/>
              <w:rPr>
                <w:rFonts w:eastAsiaTheme="minorEastAsia"/>
                <w:szCs w:val="21"/>
              </w:rPr>
            </w:pPr>
            <w:r>
              <w:rPr>
                <w:rFonts w:hint="eastAsia"/>
                <w:szCs w:val="21"/>
              </w:rPr>
              <w:t>ND</w:t>
            </w:r>
          </w:p>
        </w:tc>
        <w:tc>
          <w:tcPr>
            <w:tcW w:w="297" w:type="pct"/>
            <w:vAlign w:val="center"/>
          </w:tcPr>
          <w:p w14:paraId="430B885C">
            <w:pPr>
              <w:spacing w:before="61" w:line="320" w:lineRule="exact"/>
              <w:jc w:val="center"/>
              <w:rPr>
                <w:rFonts w:eastAsiaTheme="minorEastAsia"/>
                <w:szCs w:val="21"/>
              </w:rPr>
            </w:pPr>
            <w:r>
              <w:rPr>
                <w:rFonts w:hint="eastAsia"/>
                <w:szCs w:val="21"/>
              </w:rPr>
              <w:t>ND</w:t>
            </w:r>
          </w:p>
        </w:tc>
        <w:tc>
          <w:tcPr>
            <w:tcW w:w="305" w:type="pct"/>
            <w:vAlign w:val="center"/>
          </w:tcPr>
          <w:p w14:paraId="7F4D1340">
            <w:pPr>
              <w:spacing w:before="61" w:line="320" w:lineRule="exact"/>
              <w:jc w:val="center"/>
              <w:rPr>
                <w:rFonts w:eastAsiaTheme="minorEastAsia"/>
                <w:szCs w:val="21"/>
              </w:rPr>
            </w:pPr>
            <w:r>
              <w:rPr>
                <w:rFonts w:hint="eastAsia"/>
                <w:szCs w:val="21"/>
              </w:rPr>
              <w:t>ND</w:t>
            </w:r>
          </w:p>
        </w:tc>
        <w:tc>
          <w:tcPr>
            <w:tcW w:w="370" w:type="pct"/>
            <w:vAlign w:val="center"/>
          </w:tcPr>
          <w:p w14:paraId="4078D013">
            <w:pPr>
              <w:spacing w:before="61" w:line="320" w:lineRule="exact"/>
              <w:jc w:val="center"/>
              <w:rPr>
                <w:rFonts w:eastAsiaTheme="minorEastAsia"/>
                <w:szCs w:val="21"/>
              </w:rPr>
            </w:pPr>
            <w:r>
              <w:rPr>
                <w:rFonts w:hint="eastAsia"/>
                <w:szCs w:val="21"/>
              </w:rPr>
              <w:t>ND</w:t>
            </w:r>
          </w:p>
        </w:tc>
        <w:tc>
          <w:tcPr>
            <w:tcW w:w="370" w:type="pct"/>
            <w:vAlign w:val="center"/>
          </w:tcPr>
          <w:p w14:paraId="5570AE01">
            <w:pPr>
              <w:spacing w:before="61" w:line="320" w:lineRule="exact"/>
              <w:jc w:val="center"/>
              <w:rPr>
                <w:rFonts w:eastAsiaTheme="minorEastAsia"/>
                <w:szCs w:val="21"/>
              </w:rPr>
            </w:pPr>
            <w:r>
              <w:rPr>
                <w:rFonts w:eastAsiaTheme="minorEastAsia"/>
                <w:szCs w:val="21"/>
              </w:rPr>
              <w:t>15</w:t>
            </w:r>
          </w:p>
        </w:tc>
      </w:tr>
      <w:tr w14:paraId="6A83A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F2DC9B9">
            <w:pPr>
              <w:spacing w:line="320" w:lineRule="exact"/>
              <w:jc w:val="center"/>
              <w:rPr>
                <w:rFonts w:eastAsiaTheme="minorEastAsia"/>
                <w:szCs w:val="21"/>
              </w:rPr>
            </w:pPr>
            <w:r>
              <w:rPr>
                <w:rFonts w:eastAsiaTheme="minorEastAsia"/>
                <w:szCs w:val="21"/>
              </w:rPr>
              <w:t>萘（mg/kg）</w:t>
            </w:r>
          </w:p>
        </w:tc>
        <w:tc>
          <w:tcPr>
            <w:tcW w:w="390" w:type="pct"/>
            <w:vAlign w:val="center"/>
          </w:tcPr>
          <w:p w14:paraId="0E35AB11">
            <w:pPr>
              <w:widowControl/>
              <w:jc w:val="center"/>
              <w:rPr>
                <w:szCs w:val="21"/>
              </w:rPr>
            </w:pPr>
            <w:r>
              <w:rPr>
                <w:rFonts w:hint="eastAsia"/>
                <w:szCs w:val="21"/>
              </w:rPr>
              <w:t>ND</w:t>
            </w:r>
          </w:p>
        </w:tc>
        <w:tc>
          <w:tcPr>
            <w:tcW w:w="389" w:type="pct"/>
            <w:vAlign w:val="center"/>
          </w:tcPr>
          <w:p w14:paraId="0607390D">
            <w:pPr>
              <w:spacing w:before="61" w:line="320" w:lineRule="exact"/>
              <w:jc w:val="center"/>
              <w:rPr>
                <w:rFonts w:eastAsiaTheme="minorEastAsia"/>
                <w:szCs w:val="21"/>
              </w:rPr>
            </w:pPr>
            <w:r>
              <w:rPr>
                <w:rFonts w:hint="eastAsia"/>
                <w:szCs w:val="21"/>
              </w:rPr>
              <w:t>ND</w:t>
            </w:r>
          </w:p>
        </w:tc>
        <w:tc>
          <w:tcPr>
            <w:tcW w:w="347" w:type="pct"/>
            <w:vAlign w:val="center"/>
          </w:tcPr>
          <w:p w14:paraId="1DB93810">
            <w:pPr>
              <w:spacing w:before="61" w:line="320" w:lineRule="exact"/>
              <w:jc w:val="center"/>
              <w:rPr>
                <w:szCs w:val="21"/>
              </w:rPr>
            </w:pPr>
            <w:r>
              <w:rPr>
                <w:rFonts w:hint="eastAsia"/>
                <w:szCs w:val="21"/>
              </w:rPr>
              <w:t>ND</w:t>
            </w:r>
          </w:p>
        </w:tc>
        <w:tc>
          <w:tcPr>
            <w:tcW w:w="345" w:type="pct"/>
            <w:vAlign w:val="center"/>
          </w:tcPr>
          <w:p w14:paraId="14FC1852">
            <w:pPr>
              <w:spacing w:before="61" w:line="320" w:lineRule="exact"/>
              <w:jc w:val="center"/>
              <w:rPr>
                <w:rFonts w:eastAsiaTheme="minorEastAsia"/>
                <w:szCs w:val="21"/>
              </w:rPr>
            </w:pPr>
            <w:r>
              <w:rPr>
                <w:rFonts w:hint="eastAsia"/>
                <w:szCs w:val="21"/>
              </w:rPr>
              <w:t>ND</w:t>
            </w:r>
          </w:p>
        </w:tc>
        <w:tc>
          <w:tcPr>
            <w:tcW w:w="301" w:type="pct"/>
            <w:vAlign w:val="center"/>
          </w:tcPr>
          <w:p w14:paraId="37732959">
            <w:pPr>
              <w:spacing w:before="61" w:line="320" w:lineRule="exact"/>
              <w:jc w:val="center"/>
              <w:rPr>
                <w:rFonts w:eastAsiaTheme="minorEastAsia"/>
                <w:szCs w:val="21"/>
              </w:rPr>
            </w:pPr>
            <w:r>
              <w:rPr>
                <w:rFonts w:hint="eastAsia"/>
                <w:szCs w:val="21"/>
              </w:rPr>
              <w:t>ND</w:t>
            </w:r>
          </w:p>
        </w:tc>
        <w:tc>
          <w:tcPr>
            <w:tcW w:w="301" w:type="pct"/>
            <w:vAlign w:val="center"/>
          </w:tcPr>
          <w:p w14:paraId="0FC098E3">
            <w:pPr>
              <w:spacing w:before="61" w:line="320" w:lineRule="exact"/>
              <w:jc w:val="center"/>
              <w:rPr>
                <w:rFonts w:eastAsiaTheme="minorEastAsia"/>
                <w:szCs w:val="21"/>
              </w:rPr>
            </w:pPr>
            <w:r>
              <w:rPr>
                <w:rFonts w:hint="eastAsia"/>
                <w:szCs w:val="21"/>
              </w:rPr>
              <w:t>ND</w:t>
            </w:r>
          </w:p>
        </w:tc>
        <w:tc>
          <w:tcPr>
            <w:tcW w:w="300" w:type="pct"/>
            <w:vAlign w:val="center"/>
          </w:tcPr>
          <w:p w14:paraId="6050087E">
            <w:pPr>
              <w:spacing w:before="61" w:line="320" w:lineRule="exact"/>
              <w:jc w:val="center"/>
              <w:rPr>
                <w:rFonts w:eastAsiaTheme="minorEastAsia"/>
                <w:szCs w:val="21"/>
              </w:rPr>
            </w:pPr>
            <w:r>
              <w:rPr>
                <w:rFonts w:hint="eastAsia"/>
                <w:szCs w:val="21"/>
              </w:rPr>
              <w:t>ND</w:t>
            </w:r>
          </w:p>
        </w:tc>
        <w:tc>
          <w:tcPr>
            <w:tcW w:w="300" w:type="pct"/>
            <w:vAlign w:val="center"/>
          </w:tcPr>
          <w:p w14:paraId="699F0909">
            <w:pPr>
              <w:spacing w:before="61" w:line="320" w:lineRule="exact"/>
              <w:jc w:val="center"/>
              <w:rPr>
                <w:rFonts w:eastAsiaTheme="minorEastAsia"/>
                <w:szCs w:val="21"/>
              </w:rPr>
            </w:pPr>
            <w:r>
              <w:rPr>
                <w:rFonts w:hint="eastAsia"/>
                <w:szCs w:val="21"/>
              </w:rPr>
              <w:t>ND</w:t>
            </w:r>
          </w:p>
        </w:tc>
        <w:tc>
          <w:tcPr>
            <w:tcW w:w="302" w:type="pct"/>
            <w:vAlign w:val="center"/>
          </w:tcPr>
          <w:p w14:paraId="575613B3">
            <w:pPr>
              <w:spacing w:before="61" w:line="320" w:lineRule="exact"/>
              <w:jc w:val="center"/>
              <w:rPr>
                <w:rFonts w:eastAsiaTheme="minorEastAsia"/>
                <w:szCs w:val="21"/>
              </w:rPr>
            </w:pPr>
            <w:r>
              <w:rPr>
                <w:rFonts w:hint="eastAsia"/>
                <w:szCs w:val="21"/>
              </w:rPr>
              <w:t>ND</w:t>
            </w:r>
          </w:p>
        </w:tc>
        <w:tc>
          <w:tcPr>
            <w:tcW w:w="297" w:type="pct"/>
            <w:vAlign w:val="center"/>
          </w:tcPr>
          <w:p w14:paraId="51D397D3">
            <w:pPr>
              <w:spacing w:before="61" w:line="320" w:lineRule="exact"/>
              <w:jc w:val="center"/>
              <w:rPr>
                <w:rFonts w:eastAsiaTheme="minorEastAsia"/>
                <w:szCs w:val="21"/>
              </w:rPr>
            </w:pPr>
            <w:r>
              <w:rPr>
                <w:rFonts w:hint="eastAsia"/>
                <w:szCs w:val="21"/>
              </w:rPr>
              <w:t>ND</w:t>
            </w:r>
          </w:p>
        </w:tc>
        <w:tc>
          <w:tcPr>
            <w:tcW w:w="305" w:type="pct"/>
            <w:vAlign w:val="center"/>
          </w:tcPr>
          <w:p w14:paraId="4045A9B1">
            <w:pPr>
              <w:spacing w:before="61" w:line="320" w:lineRule="exact"/>
              <w:jc w:val="center"/>
              <w:rPr>
                <w:rFonts w:eastAsiaTheme="minorEastAsia"/>
                <w:szCs w:val="21"/>
              </w:rPr>
            </w:pPr>
            <w:r>
              <w:rPr>
                <w:rFonts w:hint="eastAsia"/>
                <w:szCs w:val="21"/>
              </w:rPr>
              <w:t>ND</w:t>
            </w:r>
          </w:p>
        </w:tc>
        <w:tc>
          <w:tcPr>
            <w:tcW w:w="370" w:type="pct"/>
            <w:vAlign w:val="center"/>
          </w:tcPr>
          <w:p w14:paraId="1490A5DA">
            <w:pPr>
              <w:spacing w:before="61" w:line="320" w:lineRule="exact"/>
              <w:jc w:val="center"/>
              <w:rPr>
                <w:rFonts w:eastAsiaTheme="minorEastAsia"/>
                <w:szCs w:val="21"/>
              </w:rPr>
            </w:pPr>
            <w:r>
              <w:rPr>
                <w:rFonts w:hint="eastAsia"/>
                <w:szCs w:val="21"/>
              </w:rPr>
              <w:t>ND</w:t>
            </w:r>
          </w:p>
        </w:tc>
        <w:tc>
          <w:tcPr>
            <w:tcW w:w="370" w:type="pct"/>
            <w:vAlign w:val="center"/>
          </w:tcPr>
          <w:p w14:paraId="2AC14461">
            <w:pPr>
              <w:spacing w:before="61" w:line="320" w:lineRule="exact"/>
              <w:jc w:val="center"/>
              <w:rPr>
                <w:rFonts w:eastAsiaTheme="minorEastAsia"/>
                <w:szCs w:val="21"/>
              </w:rPr>
            </w:pPr>
            <w:r>
              <w:rPr>
                <w:rFonts w:eastAsiaTheme="minorEastAsia"/>
                <w:szCs w:val="21"/>
              </w:rPr>
              <w:t>70</w:t>
            </w:r>
          </w:p>
        </w:tc>
      </w:tr>
      <w:tr w14:paraId="4C557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EF3D5A2">
            <w:pPr>
              <w:spacing w:line="320" w:lineRule="exact"/>
              <w:jc w:val="center"/>
              <w:rPr>
                <w:rFonts w:eastAsiaTheme="minorEastAsia"/>
                <w:szCs w:val="21"/>
              </w:rPr>
            </w:pPr>
            <w:r>
              <w:rPr>
                <w:rFonts w:eastAsiaTheme="minorEastAsia"/>
                <w:szCs w:val="21"/>
              </w:rPr>
              <w:t>2-氯酚（mg/kg）</w:t>
            </w:r>
          </w:p>
        </w:tc>
        <w:tc>
          <w:tcPr>
            <w:tcW w:w="390" w:type="pct"/>
            <w:vAlign w:val="center"/>
          </w:tcPr>
          <w:p w14:paraId="097A1D17">
            <w:pPr>
              <w:widowControl/>
              <w:jc w:val="center"/>
              <w:rPr>
                <w:szCs w:val="21"/>
              </w:rPr>
            </w:pPr>
            <w:r>
              <w:rPr>
                <w:rFonts w:hint="eastAsia"/>
                <w:szCs w:val="21"/>
              </w:rPr>
              <w:t>ND</w:t>
            </w:r>
          </w:p>
        </w:tc>
        <w:tc>
          <w:tcPr>
            <w:tcW w:w="389" w:type="pct"/>
            <w:vAlign w:val="center"/>
          </w:tcPr>
          <w:p w14:paraId="6BAD4E15">
            <w:pPr>
              <w:spacing w:before="61" w:line="320" w:lineRule="exact"/>
              <w:jc w:val="center"/>
              <w:rPr>
                <w:rFonts w:eastAsiaTheme="minorEastAsia"/>
                <w:szCs w:val="21"/>
              </w:rPr>
            </w:pPr>
            <w:r>
              <w:rPr>
                <w:rFonts w:hint="eastAsia"/>
                <w:szCs w:val="21"/>
              </w:rPr>
              <w:t>ND</w:t>
            </w:r>
          </w:p>
        </w:tc>
        <w:tc>
          <w:tcPr>
            <w:tcW w:w="347" w:type="pct"/>
            <w:vAlign w:val="center"/>
          </w:tcPr>
          <w:p w14:paraId="5BDADBCE">
            <w:pPr>
              <w:spacing w:before="61" w:line="320" w:lineRule="exact"/>
              <w:jc w:val="center"/>
              <w:rPr>
                <w:szCs w:val="21"/>
              </w:rPr>
            </w:pPr>
            <w:r>
              <w:rPr>
                <w:rFonts w:hint="eastAsia"/>
                <w:szCs w:val="21"/>
              </w:rPr>
              <w:t>ND</w:t>
            </w:r>
          </w:p>
        </w:tc>
        <w:tc>
          <w:tcPr>
            <w:tcW w:w="345" w:type="pct"/>
            <w:vAlign w:val="center"/>
          </w:tcPr>
          <w:p w14:paraId="0A27F44F">
            <w:pPr>
              <w:spacing w:before="61" w:line="320" w:lineRule="exact"/>
              <w:jc w:val="center"/>
              <w:rPr>
                <w:rFonts w:eastAsiaTheme="minorEastAsia"/>
                <w:szCs w:val="21"/>
              </w:rPr>
            </w:pPr>
            <w:r>
              <w:rPr>
                <w:rFonts w:hint="eastAsia"/>
                <w:szCs w:val="21"/>
              </w:rPr>
              <w:t>ND</w:t>
            </w:r>
          </w:p>
        </w:tc>
        <w:tc>
          <w:tcPr>
            <w:tcW w:w="301" w:type="pct"/>
            <w:vAlign w:val="center"/>
          </w:tcPr>
          <w:p w14:paraId="57A197E4">
            <w:pPr>
              <w:spacing w:before="61" w:line="320" w:lineRule="exact"/>
              <w:jc w:val="center"/>
              <w:rPr>
                <w:rFonts w:eastAsiaTheme="minorEastAsia"/>
                <w:szCs w:val="21"/>
              </w:rPr>
            </w:pPr>
            <w:r>
              <w:rPr>
                <w:rFonts w:hint="eastAsia"/>
                <w:szCs w:val="21"/>
              </w:rPr>
              <w:t>ND</w:t>
            </w:r>
          </w:p>
        </w:tc>
        <w:tc>
          <w:tcPr>
            <w:tcW w:w="301" w:type="pct"/>
            <w:vAlign w:val="center"/>
          </w:tcPr>
          <w:p w14:paraId="3824E39C">
            <w:pPr>
              <w:spacing w:before="61" w:line="320" w:lineRule="exact"/>
              <w:jc w:val="center"/>
              <w:rPr>
                <w:rFonts w:eastAsiaTheme="minorEastAsia"/>
                <w:szCs w:val="21"/>
              </w:rPr>
            </w:pPr>
            <w:r>
              <w:rPr>
                <w:rFonts w:hint="eastAsia"/>
                <w:szCs w:val="21"/>
              </w:rPr>
              <w:t>ND</w:t>
            </w:r>
          </w:p>
        </w:tc>
        <w:tc>
          <w:tcPr>
            <w:tcW w:w="300" w:type="pct"/>
            <w:vAlign w:val="center"/>
          </w:tcPr>
          <w:p w14:paraId="3B77F8AC">
            <w:pPr>
              <w:spacing w:before="61" w:line="320" w:lineRule="exact"/>
              <w:jc w:val="center"/>
              <w:rPr>
                <w:rFonts w:eastAsiaTheme="minorEastAsia"/>
                <w:szCs w:val="21"/>
              </w:rPr>
            </w:pPr>
            <w:r>
              <w:rPr>
                <w:rFonts w:hint="eastAsia"/>
                <w:szCs w:val="21"/>
              </w:rPr>
              <w:t>ND</w:t>
            </w:r>
          </w:p>
        </w:tc>
        <w:tc>
          <w:tcPr>
            <w:tcW w:w="300" w:type="pct"/>
            <w:vAlign w:val="center"/>
          </w:tcPr>
          <w:p w14:paraId="137AA097">
            <w:pPr>
              <w:spacing w:before="61" w:line="320" w:lineRule="exact"/>
              <w:jc w:val="center"/>
              <w:rPr>
                <w:rFonts w:eastAsiaTheme="minorEastAsia"/>
                <w:szCs w:val="21"/>
              </w:rPr>
            </w:pPr>
            <w:r>
              <w:rPr>
                <w:rFonts w:hint="eastAsia"/>
                <w:szCs w:val="21"/>
              </w:rPr>
              <w:t>ND</w:t>
            </w:r>
          </w:p>
        </w:tc>
        <w:tc>
          <w:tcPr>
            <w:tcW w:w="302" w:type="pct"/>
            <w:vAlign w:val="center"/>
          </w:tcPr>
          <w:p w14:paraId="2B9DC98B">
            <w:pPr>
              <w:spacing w:before="61" w:line="320" w:lineRule="exact"/>
              <w:jc w:val="center"/>
              <w:rPr>
                <w:rFonts w:eastAsiaTheme="minorEastAsia"/>
                <w:szCs w:val="21"/>
              </w:rPr>
            </w:pPr>
            <w:r>
              <w:rPr>
                <w:rFonts w:hint="eastAsia"/>
                <w:szCs w:val="21"/>
              </w:rPr>
              <w:t>ND</w:t>
            </w:r>
          </w:p>
        </w:tc>
        <w:tc>
          <w:tcPr>
            <w:tcW w:w="297" w:type="pct"/>
            <w:vAlign w:val="center"/>
          </w:tcPr>
          <w:p w14:paraId="6B7267B4">
            <w:pPr>
              <w:spacing w:before="61" w:line="320" w:lineRule="exact"/>
              <w:jc w:val="center"/>
              <w:rPr>
                <w:rFonts w:eastAsiaTheme="minorEastAsia"/>
                <w:szCs w:val="21"/>
              </w:rPr>
            </w:pPr>
            <w:r>
              <w:rPr>
                <w:rFonts w:hint="eastAsia"/>
                <w:szCs w:val="21"/>
              </w:rPr>
              <w:t>ND</w:t>
            </w:r>
          </w:p>
        </w:tc>
        <w:tc>
          <w:tcPr>
            <w:tcW w:w="305" w:type="pct"/>
            <w:vAlign w:val="center"/>
          </w:tcPr>
          <w:p w14:paraId="02CBACBA">
            <w:pPr>
              <w:spacing w:before="61" w:line="320" w:lineRule="exact"/>
              <w:jc w:val="center"/>
              <w:rPr>
                <w:rFonts w:eastAsiaTheme="minorEastAsia"/>
                <w:szCs w:val="21"/>
              </w:rPr>
            </w:pPr>
            <w:r>
              <w:rPr>
                <w:rFonts w:hint="eastAsia"/>
                <w:szCs w:val="21"/>
              </w:rPr>
              <w:t>ND</w:t>
            </w:r>
          </w:p>
        </w:tc>
        <w:tc>
          <w:tcPr>
            <w:tcW w:w="370" w:type="pct"/>
            <w:vAlign w:val="center"/>
          </w:tcPr>
          <w:p w14:paraId="68025485">
            <w:pPr>
              <w:spacing w:before="61" w:line="320" w:lineRule="exact"/>
              <w:jc w:val="center"/>
              <w:rPr>
                <w:rFonts w:eastAsiaTheme="minorEastAsia"/>
                <w:szCs w:val="21"/>
              </w:rPr>
            </w:pPr>
            <w:r>
              <w:rPr>
                <w:rFonts w:hint="eastAsia"/>
                <w:szCs w:val="21"/>
              </w:rPr>
              <w:t>ND</w:t>
            </w:r>
          </w:p>
        </w:tc>
        <w:tc>
          <w:tcPr>
            <w:tcW w:w="370" w:type="pct"/>
            <w:vAlign w:val="center"/>
          </w:tcPr>
          <w:p w14:paraId="523BEF8E">
            <w:pPr>
              <w:spacing w:before="61" w:line="320" w:lineRule="exact"/>
              <w:jc w:val="center"/>
              <w:rPr>
                <w:rFonts w:eastAsiaTheme="minorEastAsia"/>
                <w:szCs w:val="21"/>
              </w:rPr>
            </w:pPr>
            <w:r>
              <w:rPr>
                <w:rFonts w:eastAsiaTheme="minorEastAsia"/>
                <w:szCs w:val="21"/>
              </w:rPr>
              <w:t>2256</w:t>
            </w:r>
          </w:p>
        </w:tc>
      </w:tr>
      <w:tr w14:paraId="06495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F3512B1">
            <w:pPr>
              <w:spacing w:line="320" w:lineRule="exact"/>
              <w:jc w:val="center"/>
              <w:rPr>
                <w:rFonts w:eastAsiaTheme="minorEastAsia"/>
                <w:szCs w:val="21"/>
              </w:rPr>
            </w:pPr>
            <w:r>
              <w:rPr>
                <w:rFonts w:eastAsiaTheme="minorEastAsia"/>
                <w:szCs w:val="21"/>
              </w:rPr>
              <w:t>四氯化碳（mg/kg）</w:t>
            </w:r>
          </w:p>
        </w:tc>
        <w:tc>
          <w:tcPr>
            <w:tcW w:w="390" w:type="pct"/>
            <w:vAlign w:val="center"/>
          </w:tcPr>
          <w:p w14:paraId="063BB1F3">
            <w:pPr>
              <w:widowControl/>
              <w:jc w:val="center"/>
              <w:textAlignment w:val="center"/>
              <w:rPr>
                <w:szCs w:val="21"/>
              </w:rPr>
            </w:pPr>
            <w:r>
              <w:rPr>
                <w:rFonts w:hint="eastAsia"/>
                <w:szCs w:val="21"/>
              </w:rPr>
              <w:t>ND</w:t>
            </w:r>
          </w:p>
        </w:tc>
        <w:tc>
          <w:tcPr>
            <w:tcW w:w="389" w:type="pct"/>
            <w:vAlign w:val="center"/>
          </w:tcPr>
          <w:p w14:paraId="706E6410">
            <w:pPr>
              <w:spacing w:line="320" w:lineRule="exact"/>
              <w:jc w:val="center"/>
              <w:rPr>
                <w:rFonts w:eastAsiaTheme="minorEastAsia"/>
                <w:szCs w:val="21"/>
              </w:rPr>
            </w:pPr>
            <w:r>
              <w:rPr>
                <w:rFonts w:hint="eastAsia"/>
                <w:szCs w:val="21"/>
              </w:rPr>
              <w:t>ND</w:t>
            </w:r>
          </w:p>
        </w:tc>
        <w:tc>
          <w:tcPr>
            <w:tcW w:w="347" w:type="pct"/>
            <w:vAlign w:val="center"/>
          </w:tcPr>
          <w:p w14:paraId="6732282E">
            <w:pPr>
              <w:spacing w:line="320" w:lineRule="exact"/>
              <w:jc w:val="center"/>
              <w:rPr>
                <w:szCs w:val="21"/>
              </w:rPr>
            </w:pPr>
            <w:r>
              <w:rPr>
                <w:rFonts w:hint="eastAsia"/>
                <w:szCs w:val="21"/>
              </w:rPr>
              <w:t>ND</w:t>
            </w:r>
          </w:p>
        </w:tc>
        <w:tc>
          <w:tcPr>
            <w:tcW w:w="345" w:type="pct"/>
            <w:vAlign w:val="center"/>
          </w:tcPr>
          <w:p w14:paraId="2E3B01E1">
            <w:pPr>
              <w:spacing w:line="320" w:lineRule="exact"/>
              <w:jc w:val="center"/>
              <w:rPr>
                <w:rFonts w:eastAsiaTheme="minorEastAsia"/>
                <w:szCs w:val="21"/>
              </w:rPr>
            </w:pPr>
            <w:r>
              <w:rPr>
                <w:rFonts w:hint="eastAsia"/>
                <w:szCs w:val="21"/>
              </w:rPr>
              <w:t>ND</w:t>
            </w:r>
          </w:p>
        </w:tc>
        <w:tc>
          <w:tcPr>
            <w:tcW w:w="301" w:type="pct"/>
            <w:vAlign w:val="center"/>
          </w:tcPr>
          <w:p w14:paraId="6D7E05DD">
            <w:pPr>
              <w:spacing w:line="320" w:lineRule="exact"/>
              <w:jc w:val="center"/>
              <w:rPr>
                <w:rFonts w:eastAsiaTheme="minorEastAsia"/>
                <w:szCs w:val="21"/>
              </w:rPr>
            </w:pPr>
            <w:r>
              <w:rPr>
                <w:rFonts w:hint="eastAsia"/>
                <w:szCs w:val="21"/>
              </w:rPr>
              <w:t>ND</w:t>
            </w:r>
          </w:p>
        </w:tc>
        <w:tc>
          <w:tcPr>
            <w:tcW w:w="301" w:type="pct"/>
            <w:vAlign w:val="center"/>
          </w:tcPr>
          <w:p w14:paraId="4591D883">
            <w:pPr>
              <w:spacing w:line="320" w:lineRule="exact"/>
              <w:jc w:val="center"/>
              <w:rPr>
                <w:rFonts w:eastAsiaTheme="minorEastAsia"/>
                <w:szCs w:val="21"/>
              </w:rPr>
            </w:pPr>
            <w:r>
              <w:rPr>
                <w:rFonts w:hint="eastAsia"/>
                <w:szCs w:val="21"/>
              </w:rPr>
              <w:t>ND</w:t>
            </w:r>
          </w:p>
        </w:tc>
        <w:tc>
          <w:tcPr>
            <w:tcW w:w="300" w:type="pct"/>
            <w:vAlign w:val="center"/>
          </w:tcPr>
          <w:p w14:paraId="26263BCF">
            <w:pPr>
              <w:spacing w:line="320" w:lineRule="exact"/>
              <w:jc w:val="center"/>
              <w:rPr>
                <w:rFonts w:eastAsiaTheme="minorEastAsia"/>
                <w:szCs w:val="21"/>
              </w:rPr>
            </w:pPr>
            <w:r>
              <w:rPr>
                <w:rFonts w:hint="eastAsia"/>
                <w:szCs w:val="21"/>
              </w:rPr>
              <w:t>ND</w:t>
            </w:r>
          </w:p>
        </w:tc>
        <w:tc>
          <w:tcPr>
            <w:tcW w:w="300" w:type="pct"/>
            <w:vAlign w:val="center"/>
          </w:tcPr>
          <w:p w14:paraId="0FF6CA49">
            <w:pPr>
              <w:spacing w:line="320" w:lineRule="exact"/>
              <w:jc w:val="center"/>
              <w:rPr>
                <w:rFonts w:eastAsiaTheme="minorEastAsia"/>
                <w:szCs w:val="21"/>
              </w:rPr>
            </w:pPr>
            <w:r>
              <w:rPr>
                <w:rFonts w:hint="eastAsia"/>
                <w:szCs w:val="21"/>
              </w:rPr>
              <w:t>ND</w:t>
            </w:r>
          </w:p>
        </w:tc>
        <w:tc>
          <w:tcPr>
            <w:tcW w:w="302" w:type="pct"/>
            <w:vAlign w:val="center"/>
          </w:tcPr>
          <w:p w14:paraId="710BFBAD">
            <w:pPr>
              <w:spacing w:line="320" w:lineRule="exact"/>
              <w:jc w:val="center"/>
              <w:rPr>
                <w:rFonts w:eastAsiaTheme="minorEastAsia"/>
                <w:szCs w:val="21"/>
              </w:rPr>
            </w:pPr>
            <w:r>
              <w:rPr>
                <w:rFonts w:hint="eastAsia"/>
                <w:szCs w:val="21"/>
              </w:rPr>
              <w:t>ND</w:t>
            </w:r>
          </w:p>
        </w:tc>
        <w:tc>
          <w:tcPr>
            <w:tcW w:w="297" w:type="pct"/>
            <w:vAlign w:val="center"/>
          </w:tcPr>
          <w:p w14:paraId="147F121D">
            <w:pPr>
              <w:spacing w:line="320" w:lineRule="exact"/>
              <w:jc w:val="center"/>
              <w:rPr>
                <w:rFonts w:eastAsiaTheme="minorEastAsia"/>
                <w:szCs w:val="21"/>
              </w:rPr>
            </w:pPr>
            <w:r>
              <w:rPr>
                <w:rFonts w:hint="eastAsia"/>
                <w:szCs w:val="21"/>
              </w:rPr>
              <w:t>ND</w:t>
            </w:r>
          </w:p>
        </w:tc>
        <w:tc>
          <w:tcPr>
            <w:tcW w:w="305" w:type="pct"/>
            <w:vAlign w:val="center"/>
          </w:tcPr>
          <w:p w14:paraId="60061004">
            <w:pPr>
              <w:spacing w:line="320" w:lineRule="exact"/>
              <w:jc w:val="center"/>
              <w:rPr>
                <w:rFonts w:eastAsiaTheme="minorEastAsia"/>
                <w:szCs w:val="21"/>
              </w:rPr>
            </w:pPr>
            <w:r>
              <w:rPr>
                <w:rFonts w:hint="eastAsia"/>
                <w:szCs w:val="21"/>
              </w:rPr>
              <w:t>ND</w:t>
            </w:r>
          </w:p>
        </w:tc>
        <w:tc>
          <w:tcPr>
            <w:tcW w:w="370" w:type="pct"/>
            <w:vAlign w:val="center"/>
          </w:tcPr>
          <w:p w14:paraId="08CBDA78">
            <w:pPr>
              <w:spacing w:line="320" w:lineRule="exact"/>
              <w:jc w:val="center"/>
              <w:rPr>
                <w:rFonts w:eastAsiaTheme="minorEastAsia"/>
                <w:szCs w:val="21"/>
              </w:rPr>
            </w:pPr>
            <w:r>
              <w:rPr>
                <w:rFonts w:hint="eastAsia"/>
                <w:szCs w:val="21"/>
              </w:rPr>
              <w:t>ND</w:t>
            </w:r>
          </w:p>
        </w:tc>
        <w:tc>
          <w:tcPr>
            <w:tcW w:w="370" w:type="pct"/>
            <w:vAlign w:val="center"/>
          </w:tcPr>
          <w:p w14:paraId="52816BBC">
            <w:pPr>
              <w:spacing w:line="320" w:lineRule="exact"/>
              <w:jc w:val="center"/>
              <w:rPr>
                <w:rFonts w:eastAsiaTheme="minorEastAsia"/>
                <w:szCs w:val="21"/>
              </w:rPr>
            </w:pPr>
            <w:r>
              <w:rPr>
                <w:rFonts w:eastAsiaTheme="minorEastAsia"/>
                <w:szCs w:val="21"/>
              </w:rPr>
              <w:t>2.8</w:t>
            </w:r>
          </w:p>
        </w:tc>
      </w:tr>
      <w:tr w14:paraId="4F950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5BD0447">
            <w:pPr>
              <w:spacing w:line="320" w:lineRule="exact"/>
              <w:jc w:val="center"/>
              <w:rPr>
                <w:rFonts w:eastAsiaTheme="minorEastAsia"/>
                <w:szCs w:val="21"/>
              </w:rPr>
            </w:pPr>
            <w:r>
              <w:rPr>
                <w:rFonts w:eastAsiaTheme="minorEastAsia"/>
                <w:szCs w:val="21"/>
              </w:rPr>
              <w:t>氯仿（mg/kg）</w:t>
            </w:r>
          </w:p>
        </w:tc>
        <w:tc>
          <w:tcPr>
            <w:tcW w:w="390" w:type="pct"/>
            <w:vAlign w:val="center"/>
          </w:tcPr>
          <w:p w14:paraId="37AFF539">
            <w:pPr>
              <w:widowControl/>
              <w:jc w:val="center"/>
              <w:textAlignment w:val="center"/>
              <w:rPr>
                <w:szCs w:val="21"/>
              </w:rPr>
            </w:pPr>
            <w:r>
              <w:rPr>
                <w:rFonts w:hint="eastAsia"/>
                <w:szCs w:val="21"/>
              </w:rPr>
              <w:t>ND</w:t>
            </w:r>
          </w:p>
        </w:tc>
        <w:tc>
          <w:tcPr>
            <w:tcW w:w="389" w:type="pct"/>
            <w:vAlign w:val="center"/>
          </w:tcPr>
          <w:p w14:paraId="2A4DB566">
            <w:pPr>
              <w:spacing w:line="320" w:lineRule="exact"/>
              <w:jc w:val="center"/>
              <w:rPr>
                <w:rFonts w:eastAsiaTheme="minorEastAsia"/>
                <w:szCs w:val="21"/>
              </w:rPr>
            </w:pPr>
            <w:r>
              <w:rPr>
                <w:rFonts w:hint="eastAsia"/>
                <w:szCs w:val="21"/>
              </w:rPr>
              <w:t>ND</w:t>
            </w:r>
          </w:p>
        </w:tc>
        <w:tc>
          <w:tcPr>
            <w:tcW w:w="347" w:type="pct"/>
            <w:vAlign w:val="center"/>
          </w:tcPr>
          <w:p w14:paraId="1B3F3F8A">
            <w:pPr>
              <w:spacing w:line="320" w:lineRule="exact"/>
              <w:jc w:val="center"/>
              <w:rPr>
                <w:szCs w:val="21"/>
              </w:rPr>
            </w:pPr>
            <w:r>
              <w:rPr>
                <w:rFonts w:hint="eastAsia"/>
                <w:szCs w:val="21"/>
              </w:rPr>
              <w:t>ND</w:t>
            </w:r>
          </w:p>
        </w:tc>
        <w:tc>
          <w:tcPr>
            <w:tcW w:w="345" w:type="pct"/>
            <w:vAlign w:val="center"/>
          </w:tcPr>
          <w:p w14:paraId="63959B44">
            <w:pPr>
              <w:spacing w:line="320" w:lineRule="exact"/>
              <w:jc w:val="center"/>
              <w:rPr>
                <w:rFonts w:eastAsiaTheme="minorEastAsia"/>
                <w:szCs w:val="21"/>
              </w:rPr>
            </w:pPr>
            <w:r>
              <w:rPr>
                <w:rFonts w:hint="eastAsia"/>
                <w:szCs w:val="21"/>
              </w:rPr>
              <w:t>ND</w:t>
            </w:r>
          </w:p>
        </w:tc>
        <w:tc>
          <w:tcPr>
            <w:tcW w:w="301" w:type="pct"/>
            <w:vAlign w:val="center"/>
          </w:tcPr>
          <w:p w14:paraId="45D6BCF3">
            <w:pPr>
              <w:spacing w:line="320" w:lineRule="exact"/>
              <w:jc w:val="center"/>
              <w:rPr>
                <w:rFonts w:eastAsiaTheme="minorEastAsia"/>
                <w:szCs w:val="21"/>
              </w:rPr>
            </w:pPr>
            <w:r>
              <w:rPr>
                <w:rFonts w:hint="eastAsia"/>
                <w:szCs w:val="21"/>
              </w:rPr>
              <w:t>ND</w:t>
            </w:r>
          </w:p>
        </w:tc>
        <w:tc>
          <w:tcPr>
            <w:tcW w:w="301" w:type="pct"/>
            <w:vAlign w:val="center"/>
          </w:tcPr>
          <w:p w14:paraId="7DECB5C9">
            <w:pPr>
              <w:spacing w:line="320" w:lineRule="exact"/>
              <w:jc w:val="center"/>
              <w:rPr>
                <w:rFonts w:eastAsiaTheme="minorEastAsia"/>
                <w:szCs w:val="21"/>
              </w:rPr>
            </w:pPr>
            <w:r>
              <w:rPr>
                <w:rFonts w:hint="eastAsia"/>
                <w:szCs w:val="21"/>
              </w:rPr>
              <w:t>ND</w:t>
            </w:r>
          </w:p>
        </w:tc>
        <w:tc>
          <w:tcPr>
            <w:tcW w:w="300" w:type="pct"/>
            <w:vAlign w:val="center"/>
          </w:tcPr>
          <w:p w14:paraId="64AC9777">
            <w:pPr>
              <w:spacing w:line="320" w:lineRule="exact"/>
              <w:jc w:val="center"/>
              <w:rPr>
                <w:rFonts w:eastAsiaTheme="minorEastAsia"/>
                <w:szCs w:val="21"/>
              </w:rPr>
            </w:pPr>
            <w:r>
              <w:rPr>
                <w:rFonts w:hint="eastAsia"/>
                <w:szCs w:val="21"/>
              </w:rPr>
              <w:t>ND</w:t>
            </w:r>
          </w:p>
        </w:tc>
        <w:tc>
          <w:tcPr>
            <w:tcW w:w="300" w:type="pct"/>
            <w:vAlign w:val="center"/>
          </w:tcPr>
          <w:p w14:paraId="47289CAF">
            <w:pPr>
              <w:spacing w:line="320" w:lineRule="exact"/>
              <w:jc w:val="center"/>
              <w:rPr>
                <w:rFonts w:eastAsiaTheme="minorEastAsia"/>
                <w:szCs w:val="21"/>
              </w:rPr>
            </w:pPr>
            <w:r>
              <w:rPr>
                <w:rFonts w:hint="eastAsia"/>
                <w:szCs w:val="21"/>
              </w:rPr>
              <w:t>ND</w:t>
            </w:r>
          </w:p>
        </w:tc>
        <w:tc>
          <w:tcPr>
            <w:tcW w:w="302" w:type="pct"/>
            <w:vAlign w:val="center"/>
          </w:tcPr>
          <w:p w14:paraId="70C9AD76">
            <w:pPr>
              <w:spacing w:line="320" w:lineRule="exact"/>
              <w:jc w:val="center"/>
              <w:rPr>
                <w:rFonts w:eastAsiaTheme="minorEastAsia"/>
                <w:szCs w:val="21"/>
              </w:rPr>
            </w:pPr>
            <w:r>
              <w:rPr>
                <w:rFonts w:hint="eastAsia"/>
                <w:szCs w:val="21"/>
              </w:rPr>
              <w:t>ND</w:t>
            </w:r>
          </w:p>
        </w:tc>
        <w:tc>
          <w:tcPr>
            <w:tcW w:w="297" w:type="pct"/>
            <w:vAlign w:val="center"/>
          </w:tcPr>
          <w:p w14:paraId="2C29ADDF">
            <w:pPr>
              <w:spacing w:line="320" w:lineRule="exact"/>
              <w:jc w:val="center"/>
              <w:rPr>
                <w:rFonts w:eastAsiaTheme="minorEastAsia"/>
                <w:szCs w:val="21"/>
              </w:rPr>
            </w:pPr>
            <w:r>
              <w:rPr>
                <w:rFonts w:hint="eastAsia"/>
                <w:szCs w:val="21"/>
              </w:rPr>
              <w:t>ND</w:t>
            </w:r>
          </w:p>
        </w:tc>
        <w:tc>
          <w:tcPr>
            <w:tcW w:w="305" w:type="pct"/>
            <w:vAlign w:val="center"/>
          </w:tcPr>
          <w:p w14:paraId="5395BF6A">
            <w:pPr>
              <w:spacing w:line="320" w:lineRule="exact"/>
              <w:jc w:val="center"/>
              <w:rPr>
                <w:rFonts w:eastAsiaTheme="minorEastAsia"/>
                <w:szCs w:val="21"/>
              </w:rPr>
            </w:pPr>
            <w:r>
              <w:rPr>
                <w:rFonts w:hint="eastAsia"/>
                <w:szCs w:val="21"/>
              </w:rPr>
              <w:t>ND</w:t>
            </w:r>
          </w:p>
        </w:tc>
        <w:tc>
          <w:tcPr>
            <w:tcW w:w="370" w:type="pct"/>
            <w:vAlign w:val="center"/>
          </w:tcPr>
          <w:p w14:paraId="4B188241">
            <w:pPr>
              <w:spacing w:line="320" w:lineRule="exact"/>
              <w:jc w:val="center"/>
              <w:rPr>
                <w:rFonts w:eastAsiaTheme="minorEastAsia"/>
                <w:szCs w:val="21"/>
              </w:rPr>
            </w:pPr>
            <w:r>
              <w:rPr>
                <w:rFonts w:hint="eastAsia"/>
                <w:szCs w:val="21"/>
              </w:rPr>
              <w:t>ND</w:t>
            </w:r>
          </w:p>
        </w:tc>
        <w:tc>
          <w:tcPr>
            <w:tcW w:w="370" w:type="pct"/>
            <w:vAlign w:val="center"/>
          </w:tcPr>
          <w:p w14:paraId="2066DF82">
            <w:pPr>
              <w:spacing w:line="320" w:lineRule="exact"/>
              <w:jc w:val="center"/>
              <w:rPr>
                <w:rFonts w:eastAsiaTheme="minorEastAsia"/>
                <w:szCs w:val="21"/>
              </w:rPr>
            </w:pPr>
            <w:r>
              <w:rPr>
                <w:rFonts w:eastAsiaTheme="minorEastAsia"/>
                <w:szCs w:val="21"/>
              </w:rPr>
              <w:t>0.9</w:t>
            </w:r>
          </w:p>
        </w:tc>
      </w:tr>
      <w:tr w14:paraId="56B11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3961D151">
            <w:pPr>
              <w:spacing w:line="320" w:lineRule="exact"/>
              <w:jc w:val="center"/>
              <w:rPr>
                <w:rFonts w:eastAsiaTheme="minorEastAsia"/>
                <w:szCs w:val="21"/>
              </w:rPr>
            </w:pPr>
            <w:r>
              <w:rPr>
                <w:rFonts w:eastAsiaTheme="minorEastAsia"/>
                <w:szCs w:val="21"/>
              </w:rPr>
              <w:t>氯甲烷（mg/kg）</w:t>
            </w:r>
          </w:p>
        </w:tc>
        <w:tc>
          <w:tcPr>
            <w:tcW w:w="390" w:type="pct"/>
            <w:vAlign w:val="center"/>
          </w:tcPr>
          <w:p w14:paraId="55CFE3DF">
            <w:pPr>
              <w:widowControl/>
              <w:jc w:val="center"/>
              <w:textAlignment w:val="center"/>
              <w:rPr>
                <w:szCs w:val="21"/>
              </w:rPr>
            </w:pPr>
            <w:r>
              <w:rPr>
                <w:rFonts w:hint="eastAsia"/>
                <w:szCs w:val="21"/>
              </w:rPr>
              <w:t>ND</w:t>
            </w:r>
          </w:p>
        </w:tc>
        <w:tc>
          <w:tcPr>
            <w:tcW w:w="389" w:type="pct"/>
            <w:vAlign w:val="center"/>
          </w:tcPr>
          <w:p w14:paraId="3CEBBA4E">
            <w:pPr>
              <w:spacing w:line="320" w:lineRule="exact"/>
              <w:jc w:val="center"/>
              <w:rPr>
                <w:rFonts w:eastAsiaTheme="minorEastAsia"/>
                <w:szCs w:val="21"/>
              </w:rPr>
            </w:pPr>
            <w:r>
              <w:rPr>
                <w:rFonts w:hint="eastAsia"/>
                <w:szCs w:val="21"/>
              </w:rPr>
              <w:t>ND</w:t>
            </w:r>
          </w:p>
        </w:tc>
        <w:tc>
          <w:tcPr>
            <w:tcW w:w="347" w:type="pct"/>
            <w:vAlign w:val="center"/>
          </w:tcPr>
          <w:p w14:paraId="42B35096">
            <w:pPr>
              <w:spacing w:line="320" w:lineRule="exact"/>
              <w:jc w:val="center"/>
              <w:rPr>
                <w:szCs w:val="21"/>
              </w:rPr>
            </w:pPr>
            <w:r>
              <w:rPr>
                <w:rFonts w:hint="eastAsia"/>
                <w:szCs w:val="21"/>
              </w:rPr>
              <w:t>ND</w:t>
            </w:r>
          </w:p>
        </w:tc>
        <w:tc>
          <w:tcPr>
            <w:tcW w:w="345" w:type="pct"/>
            <w:vAlign w:val="center"/>
          </w:tcPr>
          <w:p w14:paraId="7A2FAAEF">
            <w:pPr>
              <w:spacing w:line="320" w:lineRule="exact"/>
              <w:jc w:val="center"/>
              <w:rPr>
                <w:rFonts w:eastAsiaTheme="minorEastAsia"/>
                <w:szCs w:val="21"/>
              </w:rPr>
            </w:pPr>
            <w:r>
              <w:rPr>
                <w:rFonts w:hint="eastAsia"/>
                <w:szCs w:val="21"/>
              </w:rPr>
              <w:t>ND</w:t>
            </w:r>
          </w:p>
        </w:tc>
        <w:tc>
          <w:tcPr>
            <w:tcW w:w="301" w:type="pct"/>
            <w:vAlign w:val="center"/>
          </w:tcPr>
          <w:p w14:paraId="56B3A443">
            <w:pPr>
              <w:spacing w:line="320" w:lineRule="exact"/>
              <w:jc w:val="center"/>
              <w:rPr>
                <w:rFonts w:eastAsiaTheme="minorEastAsia"/>
                <w:szCs w:val="21"/>
              </w:rPr>
            </w:pPr>
            <w:r>
              <w:rPr>
                <w:rFonts w:hint="eastAsia"/>
                <w:szCs w:val="21"/>
              </w:rPr>
              <w:t>ND</w:t>
            </w:r>
          </w:p>
        </w:tc>
        <w:tc>
          <w:tcPr>
            <w:tcW w:w="301" w:type="pct"/>
            <w:vAlign w:val="center"/>
          </w:tcPr>
          <w:p w14:paraId="1D26F477">
            <w:pPr>
              <w:spacing w:line="320" w:lineRule="exact"/>
              <w:jc w:val="center"/>
              <w:rPr>
                <w:rFonts w:eastAsiaTheme="minorEastAsia"/>
                <w:szCs w:val="21"/>
              </w:rPr>
            </w:pPr>
            <w:r>
              <w:rPr>
                <w:rFonts w:hint="eastAsia"/>
                <w:szCs w:val="21"/>
              </w:rPr>
              <w:t>ND</w:t>
            </w:r>
          </w:p>
        </w:tc>
        <w:tc>
          <w:tcPr>
            <w:tcW w:w="300" w:type="pct"/>
            <w:vAlign w:val="center"/>
          </w:tcPr>
          <w:p w14:paraId="470AEF52">
            <w:pPr>
              <w:spacing w:line="320" w:lineRule="exact"/>
              <w:jc w:val="center"/>
              <w:rPr>
                <w:rFonts w:eastAsiaTheme="minorEastAsia"/>
                <w:szCs w:val="21"/>
              </w:rPr>
            </w:pPr>
            <w:r>
              <w:rPr>
                <w:rFonts w:hint="eastAsia"/>
                <w:szCs w:val="21"/>
              </w:rPr>
              <w:t>ND</w:t>
            </w:r>
          </w:p>
        </w:tc>
        <w:tc>
          <w:tcPr>
            <w:tcW w:w="300" w:type="pct"/>
            <w:vAlign w:val="center"/>
          </w:tcPr>
          <w:p w14:paraId="01010A67">
            <w:pPr>
              <w:spacing w:line="320" w:lineRule="exact"/>
              <w:jc w:val="center"/>
              <w:rPr>
                <w:rFonts w:eastAsiaTheme="minorEastAsia"/>
                <w:szCs w:val="21"/>
              </w:rPr>
            </w:pPr>
            <w:r>
              <w:rPr>
                <w:rFonts w:hint="eastAsia"/>
                <w:szCs w:val="21"/>
              </w:rPr>
              <w:t>ND</w:t>
            </w:r>
          </w:p>
        </w:tc>
        <w:tc>
          <w:tcPr>
            <w:tcW w:w="302" w:type="pct"/>
            <w:vAlign w:val="center"/>
          </w:tcPr>
          <w:p w14:paraId="07B38181">
            <w:pPr>
              <w:spacing w:line="320" w:lineRule="exact"/>
              <w:jc w:val="center"/>
              <w:rPr>
                <w:rFonts w:eastAsiaTheme="minorEastAsia"/>
                <w:szCs w:val="21"/>
              </w:rPr>
            </w:pPr>
            <w:r>
              <w:rPr>
                <w:rFonts w:hint="eastAsia"/>
                <w:szCs w:val="21"/>
              </w:rPr>
              <w:t>ND</w:t>
            </w:r>
          </w:p>
        </w:tc>
        <w:tc>
          <w:tcPr>
            <w:tcW w:w="297" w:type="pct"/>
            <w:vAlign w:val="center"/>
          </w:tcPr>
          <w:p w14:paraId="779DDE1B">
            <w:pPr>
              <w:spacing w:line="320" w:lineRule="exact"/>
              <w:jc w:val="center"/>
              <w:rPr>
                <w:rFonts w:eastAsiaTheme="minorEastAsia"/>
                <w:szCs w:val="21"/>
              </w:rPr>
            </w:pPr>
            <w:r>
              <w:rPr>
                <w:rFonts w:hint="eastAsia"/>
                <w:szCs w:val="21"/>
              </w:rPr>
              <w:t>ND</w:t>
            </w:r>
          </w:p>
        </w:tc>
        <w:tc>
          <w:tcPr>
            <w:tcW w:w="305" w:type="pct"/>
            <w:vAlign w:val="center"/>
          </w:tcPr>
          <w:p w14:paraId="27C4DF74">
            <w:pPr>
              <w:spacing w:line="320" w:lineRule="exact"/>
              <w:jc w:val="center"/>
              <w:rPr>
                <w:rFonts w:eastAsiaTheme="minorEastAsia"/>
                <w:szCs w:val="21"/>
              </w:rPr>
            </w:pPr>
            <w:r>
              <w:rPr>
                <w:rFonts w:hint="eastAsia"/>
                <w:szCs w:val="21"/>
              </w:rPr>
              <w:t>ND</w:t>
            </w:r>
          </w:p>
        </w:tc>
        <w:tc>
          <w:tcPr>
            <w:tcW w:w="370" w:type="pct"/>
            <w:vAlign w:val="center"/>
          </w:tcPr>
          <w:p w14:paraId="5AB1D062">
            <w:pPr>
              <w:spacing w:line="320" w:lineRule="exact"/>
              <w:jc w:val="center"/>
              <w:rPr>
                <w:rFonts w:eastAsiaTheme="minorEastAsia"/>
                <w:szCs w:val="21"/>
              </w:rPr>
            </w:pPr>
            <w:r>
              <w:rPr>
                <w:rFonts w:hint="eastAsia"/>
                <w:szCs w:val="21"/>
              </w:rPr>
              <w:t>ND</w:t>
            </w:r>
          </w:p>
        </w:tc>
        <w:tc>
          <w:tcPr>
            <w:tcW w:w="370" w:type="pct"/>
            <w:vAlign w:val="center"/>
          </w:tcPr>
          <w:p w14:paraId="0CFD62C0">
            <w:pPr>
              <w:spacing w:line="320" w:lineRule="exact"/>
              <w:jc w:val="center"/>
              <w:rPr>
                <w:rFonts w:eastAsiaTheme="minorEastAsia"/>
                <w:szCs w:val="21"/>
              </w:rPr>
            </w:pPr>
            <w:r>
              <w:rPr>
                <w:rFonts w:eastAsiaTheme="minorEastAsia"/>
                <w:szCs w:val="21"/>
              </w:rPr>
              <w:t>37</w:t>
            </w:r>
          </w:p>
        </w:tc>
      </w:tr>
      <w:tr w14:paraId="543DB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18BBD865">
            <w:pPr>
              <w:spacing w:line="320" w:lineRule="exact"/>
              <w:jc w:val="center"/>
              <w:rPr>
                <w:rFonts w:eastAsiaTheme="minorEastAsia"/>
                <w:szCs w:val="21"/>
              </w:rPr>
            </w:pPr>
            <w:r>
              <w:rPr>
                <w:rFonts w:eastAsiaTheme="minorEastAsia"/>
                <w:szCs w:val="21"/>
              </w:rPr>
              <w:t>1,1-二氯乙烷（mg/kg）</w:t>
            </w:r>
          </w:p>
        </w:tc>
        <w:tc>
          <w:tcPr>
            <w:tcW w:w="390" w:type="pct"/>
            <w:vAlign w:val="center"/>
          </w:tcPr>
          <w:p w14:paraId="4ACCDEEF">
            <w:pPr>
              <w:widowControl/>
              <w:jc w:val="center"/>
              <w:textAlignment w:val="center"/>
              <w:rPr>
                <w:szCs w:val="21"/>
              </w:rPr>
            </w:pPr>
            <w:r>
              <w:rPr>
                <w:rFonts w:hint="eastAsia"/>
                <w:szCs w:val="21"/>
              </w:rPr>
              <w:t>ND</w:t>
            </w:r>
          </w:p>
        </w:tc>
        <w:tc>
          <w:tcPr>
            <w:tcW w:w="389" w:type="pct"/>
            <w:vAlign w:val="center"/>
          </w:tcPr>
          <w:p w14:paraId="6131F436">
            <w:pPr>
              <w:spacing w:line="320" w:lineRule="exact"/>
              <w:jc w:val="center"/>
              <w:rPr>
                <w:rFonts w:eastAsiaTheme="minorEastAsia"/>
                <w:szCs w:val="21"/>
              </w:rPr>
            </w:pPr>
            <w:r>
              <w:rPr>
                <w:rFonts w:hint="eastAsia"/>
                <w:szCs w:val="21"/>
              </w:rPr>
              <w:t>ND</w:t>
            </w:r>
          </w:p>
        </w:tc>
        <w:tc>
          <w:tcPr>
            <w:tcW w:w="347" w:type="pct"/>
            <w:vAlign w:val="center"/>
          </w:tcPr>
          <w:p w14:paraId="6C6AD835">
            <w:pPr>
              <w:spacing w:line="320" w:lineRule="exact"/>
              <w:jc w:val="center"/>
              <w:rPr>
                <w:szCs w:val="21"/>
              </w:rPr>
            </w:pPr>
            <w:r>
              <w:rPr>
                <w:rFonts w:hint="eastAsia"/>
                <w:szCs w:val="21"/>
              </w:rPr>
              <w:t>ND</w:t>
            </w:r>
          </w:p>
        </w:tc>
        <w:tc>
          <w:tcPr>
            <w:tcW w:w="345" w:type="pct"/>
            <w:vAlign w:val="center"/>
          </w:tcPr>
          <w:p w14:paraId="5D956EF5">
            <w:pPr>
              <w:spacing w:line="320" w:lineRule="exact"/>
              <w:jc w:val="center"/>
              <w:rPr>
                <w:rFonts w:eastAsiaTheme="minorEastAsia"/>
                <w:szCs w:val="21"/>
              </w:rPr>
            </w:pPr>
            <w:r>
              <w:rPr>
                <w:rFonts w:hint="eastAsia"/>
                <w:szCs w:val="21"/>
              </w:rPr>
              <w:t>ND</w:t>
            </w:r>
          </w:p>
        </w:tc>
        <w:tc>
          <w:tcPr>
            <w:tcW w:w="301" w:type="pct"/>
            <w:vAlign w:val="center"/>
          </w:tcPr>
          <w:p w14:paraId="20EBBE7C">
            <w:pPr>
              <w:spacing w:line="320" w:lineRule="exact"/>
              <w:jc w:val="center"/>
              <w:rPr>
                <w:rFonts w:eastAsiaTheme="minorEastAsia"/>
                <w:szCs w:val="21"/>
              </w:rPr>
            </w:pPr>
            <w:r>
              <w:rPr>
                <w:rFonts w:hint="eastAsia"/>
                <w:szCs w:val="21"/>
              </w:rPr>
              <w:t>ND</w:t>
            </w:r>
          </w:p>
        </w:tc>
        <w:tc>
          <w:tcPr>
            <w:tcW w:w="301" w:type="pct"/>
            <w:vAlign w:val="center"/>
          </w:tcPr>
          <w:p w14:paraId="5B5EB88A">
            <w:pPr>
              <w:spacing w:line="320" w:lineRule="exact"/>
              <w:jc w:val="center"/>
              <w:rPr>
                <w:rFonts w:eastAsiaTheme="minorEastAsia"/>
                <w:szCs w:val="21"/>
              </w:rPr>
            </w:pPr>
            <w:r>
              <w:rPr>
                <w:rFonts w:hint="eastAsia"/>
                <w:szCs w:val="21"/>
              </w:rPr>
              <w:t>ND</w:t>
            </w:r>
          </w:p>
        </w:tc>
        <w:tc>
          <w:tcPr>
            <w:tcW w:w="300" w:type="pct"/>
            <w:vAlign w:val="center"/>
          </w:tcPr>
          <w:p w14:paraId="46FBA2FE">
            <w:pPr>
              <w:spacing w:line="320" w:lineRule="exact"/>
              <w:jc w:val="center"/>
              <w:rPr>
                <w:rFonts w:eastAsiaTheme="minorEastAsia"/>
                <w:szCs w:val="21"/>
              </w:rPr>
            </w:pPr>
            <w:r>
              <w:rPr>
                <w:rFonts w:hint="eastAsia"/>
                <w:szCs w:val="21"/>
              </w:rPr>
              <w:t>ND</w:t>
            </w:r>
          </w:p>
        </w:tc>
        <w:tc>
          <w:tcPr>
            <w:tcW w:w="300" w:type="pct"/>
            <w:vAlign w:val="center"/>
          </w:tcPr>
          <w:p w14:paraId="700DDF68">
            <w:pPr>
              <w:spacing w:line="320" w:lineRule="exact"/>
              <w:jc w:val="center"/>
              <w:rPr>
                <w:rFonts w:eastAsiaTheme="minorEastAsia"/>
                <w:szCs w:val="21"/>
              </w:rPr>
            </w:pPr>
            <w:r>
              <w:rPr>
                <w:rFonts w:hint="eastAsia"/>
                <w:szCs w:val="21"/>
              </w:rPr>
              <w:t>ND</w:t>
            </w:r>
          </w:p>
        </w:tc>
        <w:tc>
          <w:tcPr>
            <w:tcW w:w="302" w:type="pct"/>
            <w:vAlign w:val="center"/>
          </w:tcPr>
          <w:p w14:paraId="7C99B059">
            <w:pPr>
              <w:spacing w:line="320" w:lineRule="exact"/>
              <w:jc w:val="center"/>
              <w:rPr>
                <w:rFonts w:eastAsiaTheme="minorEastAsia"/>
                <w:szCs w:val="21"/>
              </w:rPr>
            </w:pPr>
            <w:r>
              <w:rPr>
                <w:rFonts w:hint="eastAsia"/>
                <w:szCs w:val="21"/>
              </w:rPr>
              <w:t>ND</w:t>
            </w:r>
          </w:p>
        </w:tc>
        <w:tc>
          <w:tcPr>
            <w:tcW w:w="297" w:type="pct"/>
            <w:vAlign w:val="center"/>
          </w:tcPr>
          <w:p w14:paraId="71DFB802">
            <w:pPr>
              <w:spacing w:line="320" w:lineRule="exact"/>
              <w:jc w:val="center"/>
              <w:rPr>
                <w:rFonts w:eastAsiaTheme="minorEastAsia"/>
                <w:szCs w:val="21"/>
              </w:rPr>
            </w:pPr>
            <w:r>
              <w:rPr>
                <w:rFonts w:hint="eastAsia"/>
                <w:szCs w:val="21"/>
              </w:rPr>
              <w:t>ND</w:t>
            </w:r>
          </w:p>
        </w:tc>
        <w:tc>
          <w:tcPr>
            <w:tcW w:w="305" w:type="pct"/>
            <w:vAlign w:val="center"/>
          </w:tcPr>
          <w:p w14:paraId="7D53921F">
            <w:pPr>
              <w:spacing w:line="320" w:lineRule="exact"/>
              <w:jc w:val="center"/>
              <w:rPr>
                <w:rFonts w:eastAsiaTheme="minorEastAsia"/>
                <w:szCs w:val="21"/>
              </w:rPr>
            </w:pPr>
            <w:r>
              <w:rPr>
                <w:rFonts w:hint="eastAsia"/>
                <w:szCs w:val="21"/>
              </w:rPr>
              <w:t>ND</w:t>
            </w:r>
          </w:p>
        </w:tc>
        <w:tc>
          <w:tcPr>
            <w:tcW w:w="370" w:type="pct"/>
            <w:vAlign w:val="center"/>
          </w:tcPr>
          <w:p w14:paraId="6E86A80E">
            <w:pPr>
              <w:spacing w:line="320" w:lineRule="exact"/>
              <w:jc w:val="center"/>
              <w:rPr>
                <w:rFonts w:eastAsiaTheme="minorEastAsia"/>
                <w:szCs w:val="21"/>
              </w:rPr>
            </w:pPr>
            <w:r>
              <w:rPr>
                <w:rFonts w:hint="eastAsia"/>
                <w:szCs w:val="21"/>
              </w:rPr>
              <w:t>ND</w:t>
            </w:r>
          </w:p>
        </w:tc>
        <w:tc>
          <w:tcPr>
            <w:tcW w:w="370" w:type="pct"/>
            <w:vAlign w:val="center"/>
          </w:tcPr>
          <w:p w14:paraId="09D6F96C">
            <w:pPr>
              <w:spacing w:line="320" w:lineRule="exact"/>
              <w:jc w:val="center"/>
              <w:rPr>
                <w:rFonts w:eastAsiaTheme="minorEastAsia"/>
                <w:szCs w:val="21"/>
              </w:rPr>
            </w:pPr>
            <w:r>
              <w:rPr>
                <w:rFonts w:eastAsiaTheme="minorEastAsia"/>
                <w:szCs w:val="21"/>
              </w:rPr>
              <w:t>9</w:t>
            </w:r>
          </w:p>
        </w:tc>
      </w:tr>
      <w:tr w14:paraId="22972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29CDA2C">
            <w:pPr>
              <w:spacing w:line="320" w:lineRule="exact"/>
              <w:jc w:val="center"/>
              <w:rPr>
                <w:rFonts w:eastAsiaTheme="minorEastAsia"/>
                <w:szCs w:val="21"/>
              </w:rPr>
            </w:pPr>
            <w:r>
              <w:rPr>
                <w:rFonts w:eastAsiaTheme="minorEastAsia"/>
                <w:szCs w:val="21"/>
              </w:rPr>
              <w:t>1,2-二氯乙烷（mg/kg）</w:t>
            </w:r>
          </w:p>
        </w:tc>
        <w:tc>
          <w:tcPr>
            <w:tcW w:w="390" w:type="pct"/>
            <w:vAlign w:val="center"/>
          </w:tcPr>
          <w:p w14:paraId="07E58CCC">
            <w:pPr>
              <w:widowControl/>
              <w:jc w:val="center"/>
              <w:textAlignment w:val="center"/>
              <w:rPr>
                <w:szCs w:val="21"/>
              </w:rPr>
            </w:pPr>
            <w:r>
              <w:rPr>
                <w:rFonts w:hint="eastAsia"/>
                <w:szCs w:val="21"/>
              </w:rPr>
              <w:t>ND</w:t>
            </w:r>
          </w:p>
        </w:tc>
        <w:tc>
          <w:tcPr>
            <w:tcW w:w="389" w:type="pct"/>
            <w:vAlign w:val="center"/>
          </w:tcPr>
          <w:p w14:paraId="7953C265">
            <w:pPr>
              <w:spacing w:line="320" w:lineRule="exact"/>
              <w:jc w:val="center"/>
              <w:rPr>
                <w:rFonts w:eastAsiaTheme="minorEastAsia"/>
                <w:szCs w:val="21"/>
              </w:rPr>
            </w:pPr>
            <w:r>
              <w:rPr>
                <w:rFonts w:hint="eastAsia"/>
                <w:szCs w:val="21"/>
              </w:rPr>
              <w:t>ND</w:t>
            </w:r>
          </w:p>
        </w:tc>
        <w:tc>
          <w:tcPr>
            <w:tcW w:w="347" w:type="pct"/>
            <w:vAlign w:val="center"/>
          </w:tcPr>
          <w:p w14:paraId="7F02553B">
            <w:pPr>
              <w:spacing w:line="320" w:lineRule="exact"/>
              <w:jc w:val="center"/>
              <w:rPr>
                <w:szCs w:val="21"/>
              </w:rPr>
            </w:pPr>
            <w:r>
              <w:rPr>
                <w:rFonts w:hint="eastAsia"/>
                <w:szCs w:val="21"/>
              </w:rPr>
              <w:t>ND</w:t>
            </w:r>
          </w:p>
        </w:tc>
        <w:tc>
          <w:tcPr>
            <w:tcW w:w="345" w:type="pct"/>
            <w:vAlign w:val="center"/>
          </w:tcPr>
          <w:p w14:paraId="7AF54FB4">
            <w:pPr>
              <w:spacing w:line="320" w:lineRule="exact"/>
              <w:jc w:val="center"/>
              <w:rPr>
                <w:rFonts w:eastAsiaTheme="minorEastAsia"/>
                <w:szCs w:val="21"/>
              </w:rPr>
            </w:pPr>
            <w:r>
              <w:rPr>
                <w:rFonts w:hint="eastAsia"/>
                <w:szCs w:val="21"/>
              </w:rPr>
              <w:t>ND</w:t>
            </w:r>
          </w:p>
        </w:tc>
        <w:tc>
          <w:tcPr>
            <w:tcW w:w="301" w:type="pct"/>
            <w:vAlign w:val="center"/>
          </w:tcPr>
          <w:p w14:paraId="4EFAC8F3">
            <w:pPr>
              <w:spacing w:line="320" w:lineRule="exact"/>
              <w:jc w:val="center"/>
              <w:rPr>
                <w:rFonts w:eastAsiaTheme="minorEastAsia"/>
                <w:szCs w:val="21"/>
              </w:rPr>
            </w:pPr>
            <w:r>
              <w:rPr>
                <w:rFonts w:hint="eastAsia"/>
                <w:szCs w:val="21"/>
              </w:rPr>
              <w:t>ND</w:t>
            </w:r>
          </w:p>
        </w:tc>
        <w:tc>
          <w:tcPr>
            <w:tcW w:w="301" w:type="pct"/>
            <w:vAlign w:val="center"/>
          </w:tcPr>
          <w:p w14:paraId="4BBD567A">
            <w:pPr>
              <w:spacing w:line="320" w:lineRule="exact"/>
              <w:jc w:val="center"/>
              <w:rPr>
                <w:rFonts w:eastAsiaTheme="minorEastAsia"/>
                <w:szCs w:val="21"/>
              </w:rPr>
            </w:pPr>
            <w:r>
              <w:rPr>
                <w:rFonts w:hint="eastAsia"/>
                <w:szCs w:val="21"/>
              </w:rPr>
              <w:t>ND</w:t>
            </w:r>
          </w:p>
        </w:tc>
        <w:tc>
          <w:tcPr>
            <w:tcW w:w="300" w:type="pct"/>
            <w:vAlign w:val="center"/>
          </w:tcPr>
          <w:p w14:paraId="2EDD207F">
            <w:pPr>
              <w:spacing w:line="320" w:lineRule="exact"/>
              <w:jc w:val="center"/>
              <w:rPr>
                <w:rFonts w:eastAsiaTheme="minorEastAsia"/>
                <w:szCs w:val="21"/>
              </w:rPr>
            </w:pPr>
            <w:r>
              <w:rPr>
                <w:rFonts w:hint="eastAsia"/>
                <w:szCs w:val="21"/>
              </w:rPr>
              <w:t>ND</w:t>
            </w:r>
          </w:p>
        </w:tc>
        <w:tc>
          <w:tcPr>
            <w:tcW w:w="300" w:type="pct"/>
            <w:vAlign w:val="center"/>
          </w:tcPr>
          <w:p w14:paraId="2EC98195">
            <w:pPr>
              <w:spacing w:line="320" w:lineRule="exact"/>
              <w:jc w:val="center"/>
              <w:rPr>
                <w:rFonts w:eastAsiaTheme="minorEastAsia"/>
                <w:szCs w:val="21"/>
              </w:rPr>
            </w:pPr>
            <w:r>
              <w:rPr>
                <w:rFonts w:hint="eastAsia"/>
                <w:szCs w:val="21"/>
              </w:rPr>
              <w:t>ND</w:t>
            </w:r>
          </w:p>
        </w:tc>
        <w:tc>
          <w:tcPr>
            <w:tcW w:w="302" w:type="pct"/>
            <w:vAlign w:val="center"/>
          </w:tcPr>
          <w:p w14:paraId="5BEECA54">
            <w:pPr>
              <w:spacing w:line="320" w:lineRule="exact"/>
              <w:jc w:val="center"/>
              <w:rPr>
                <w:rFonts w:eastAsiaTheme="minorEastAsia"/>
                <w:szCs w:val="21"/>
              </w:rPr>
            </w:pPr>
            <w:r>
              <w:rPr>
                <w:rFonts w:hint="eastAsia"/>
                <w:szCs w:val="21"/>
              </w:rPr>
              <w:t>ND</w:t>
            </w:r>
          </w:p>
        </w:tc>
        <w:tc>
          <w:tcPr>
            <w:tcW w:w="297" w:type="pct"/>
            <w:vAlign w:val="center"/>
          </w:tcPr>
          <w:p w14:paraId="3C103A9F">
            <w:pPr>
              <w:spacing w:line="320" w:lineRule="exact"/>
              <w:jc w:val="center"/>
              <w:rPr>
                <w:rFonts w:eastAsiaTheme="minorEastAsia"/>
                <w:szCs w:val="21"/>
              </w:rPr>
            </w:pPr>
            <w:r>
              <w:rPr>
                <w:rFonts w:hint="eastAsia"/>
                <w:szCs w:val="21"/>
              </w:rPr>
              <w:t>ND</w:t>
            </w:r>
          </w:p>
        </w:tc>
        <w:tc>
          <w:tcPr>
            <w:tcW w:w="305" w:type="pct"/>
            <w:vAlign w:val="center"/>
          </w:tcPr>
          <w:p w14:paraId="0AB055D1">
            <w:pPr>
              <w:spacing w:line="320" w:lineRule="exact"/>
              <w:jc w:val="center"/>
              <w:rPr>
                <w:rFonts w:eastAsiaTheme="minorEastAsia"/>
                <w:szCs w:val="21"/>
              </w:rPr>
            </w:pPr>
            <w:r>
              <w:rPr>
                <w:rFonts w:hint="eastAsia"/>
                <w:szCs w:val="21"/>
              </w:rPr>
              <w:t>ND</w:t>
            </w:r>
          </w:p>
        </w:tc>
        <w:tc>
          <w:tcPr>
            <w:tcW w:w="370" w:type="pct"/>
            <w:vAlign w:val="center"/>
          </w:tcPr>
          <w:p w14:paraId="35849977">
            <w:pPr>
              <w:spacing w:line="320" w:lineRule="exact"/>
              <w:jc w:val="center"/>
              <w:rPr>
                <w:rFonts w:eastAsiaTheme="minorEastAsia"/>
                <w:szCs w:val="21"/>
              </w:rPr>
            </w:pPr>
            <w:r>
              <w:rPr>
                <w:rFonts w:hint="eastAsia"/>
                <w:szCs w:val="21"/>
              </w:rPr>
              <w:t>ND</w:t>
            </w:r>
          </w:p>
        </w:tc>
        <w:tc>
          <w:tcPr>
            <w:tcW w:w="370" w:type="pct"/>
            <w:vAlign w:val="center"/>
          </w:tcPr>
          <w:p w14:paraId="51EEA1F3">
            <w:pPr>
              <w:spacing w:line="320" w:lineRule="exact"/>
              <w:jc w:val="center"/>
              <w:rPr>
                <w:rFonts w:eastAsiaTheme="minorEastAsia"/>
                <w:szCs w:val="21"/>
              </w:rPr>
            </w:pPr>
            <w:r>
              <w:rPr>
                <w:rFonts w:eastAsiaTheme="minorEastAsia"/>
                <w:szCs w:val="21"/>
              </w:rPr>
              <w:t>5</w:t>
            </w:r>
          </w:p>
        </w:tc>
      </w:tr>
      <w:tr w14:paraId="49AED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089AF30">
            <w:pPr>
              <w:spacing w:line="320" w:lineRule="exact"/>
              <w:jc w:val="center"/>
              <w:rPr>
                <w:rFonts w:eastAsiaTheme="minorEastAsia"/>
                <w:szCs w:val="21"/>
              </w:rPr>
            </w:pPr>
            <w:r>
              <w:rPr>
                <w:rFonts w:eastAsiaTheme="minorEastAsia"/>
                <w:szCs w:val="21"/>
              </w:rPr>
              <w:t>1,1-二氯乙烯（mg/kg）</w:t>
            </w:r>
          </w:p>
        </w:tc>
        <w:tc>
          <w:tcPr>
            <w:tcW w:w="390" w:type="pct"/>
            <w:vAlign w:val="center"/>
          </w:tcPr>
          <w:p w14:paraId="2522BD09">
            <w:pPr>
              <w:widowControl/>
              <w:jc w:val="center"/>
              <w:textAlignment w:val="center"/>
              <w:rPr>
                <w:szCs w:val="21"/>
              </w:rPr>
            </w:pPr>
            <w:r>
              <w:rPr>
                <w:rFonts w:hint="eastAsia"/>
                <w:szCs w:val="21"/>
              </w:rPr>
              <w:t>ND</w:t>
            </w:r>
          </w:p>
        </w:tc>
        <w:tc>
          <w:tcPr>
            <w:tcW w:w="389" w:type="pct"/>
            <w:vAlign w:val="center"/>
          </w:tcPr>
          <w:p w14:paraId="0B5F872D">
            <w:pPr>
              <w:spacing w:line="320" w:lineRule="exact"/>
              <w:jc w:val="center"/>
              <w:rPr>
                <w:rFonts w:eastAsiaTheme="minorEastAsia"/>
                <w:szCs w:val="21"/>
              </w:rPr>
            </w:pPr>
            <w:r>
              <w:rPr>
                <w:rFonts w:hint="eastAsia"/>
                <w:szCs w:val="21"/>
              </w:rPr>
              <w:t>ND</w:t>
            </w:r>
          </w:p>
        </w:tc>
        <w:tc>
          <w:tcPr>
            <w:tcW w:w="347" w:type="pct"/>
            <w:vAlign w:val="center"/>
          </w:tcPr>
          <w:p w14:paraId="7253F082">
            <w:pPr>
              <w:spacing w:line="320" w:lineRule="exact"/>
              <w:jc w:val="center"/>
              <w:rPr>
                <w:szCs w:val="21"/>
              </w:rPr>
            </w:pPr>
            <w:r>
              <w:rPr>
                <w:rFonts w:hint="eastAsia"/>
                <w:szCs w:val="21"/>
              </w:rPr>
              <w:t>ND</w:t>
            </w:r>
          </w:p>
        </w:tc>
        <w:tc>
          <w:tcPr>
            <w:tcW w:w="345" w:type="pct"/>
            <w:vAlign w:val="center"/>
          </w:tcPr>
          <w:p w14:paraId="6B6D4769">
            <w:pPr>
              <w:spacing w:line="320" w:lineRule="exact"/>
              <w:jc w:val="center"/>
              <w:rPr>
                <w:rFonts w:eastAsiaTheme="minorEastAsia"/>
                <w:szCs w:val="21"/>
              </w:rPr>
            </w:pPr>
            <w:r>
              <w:rPr>
                <w:rFonts w:hint="eastAsia"/>
                <w:szCs w:val="21"/>
              </w:rPr>
              <w:t>ND</w:t>
            </w:r>
          </w:p>
        </w:tc>
        <w:tc>
          <w:tcPr>
            <w:tcW w:w="301" w:type="pct"/>
            <w:vAlign w:val="center"/>
          </w:tcPr>
          <w:p w14:paraId="2BAC1059">
            <w:pPr>
              <w:spacing w:line="320" w:lineRule="exact"/>
              <w:jc w:val="center"/>
              <w:rPr>
                <w:rFonts w:eastAsiaTheme="minorEastAsia"/>
                <w:szCs w:val="21"/>
              </w:rPr>
            </w:pPr>
            <w:r>
              <w:rPr>
                <w:rFonts w:hint="eastAsia"/>
                <w:szCs w:val="21"/>
              </w:rPr>
              <w:t>ND</w:t>
            </w:r>
          </w:p>
        </w:tc>
        <w:tc>
          <w:tcPr>
            <w:tcW w:w="301" w:type="pct"/>
            <w:vAlign w:val="center"/>
          </w:tcPr>
          <w:p w14:paraId="625DF0F3">
            <w:pPr>
              <w:spacing w:line="320" w:lineRule="exact"/>
              <w:jc w:val="center"/>
              <w:rPr>
                <w:rFonts w:eastAsiaTheme="minorEastAsia"/>
                <w:szCs w:val="21"/>
              </w:rPr>
            </w:pPr>
            <w:r>
              <w:rPr>
                <w:rFonts w:hint="eastAsia"/>
                <w:szCs w:val="21"/>
              </w:rPr>
              <w:t>ND</w:t>
            </w:r>
          </w:p>
        </w:tc>
        <w:tc>
          <w:tcPr>
            <w:tcW w:w="300" w:type="pct"/>
            <w:vAlign w:val="center"/>
          </w:tcPr>
          <w:p w14:paraId="0F21443B">
            <w:pPr>
              <w:spacing w:line="320" w:lineRule="exact"/>
              <w:jc w:val="center"/>
              <w:rPr>
                <w:rFonts w:eastAsiaTheme="minorEastAsia"/>
                <w:szCs w:val="21"/>
              </w:rPr>
            </w:pPr>
            <w:r>
              <w:rPr>
                <w:rFonts w:hint="eastAsia"/>
                <w:szCs w:val="21"/>
              </w:rPr>
              <w:t>ND</w:t>
            </w:r>
          </w:p>
        </w:tc>
        <w:tc>
          <w:tcPr>
            <w:tcW w:w="300" w:type="pct"/>
            <w:vAlign w:val="center"/>
          </w:tcPr>
          <w:p w14:paraId="4726AFDC">
            <w:pPr>
              <w:spacing w:line="320" w:lineRule="exact"/>
              <w:jc w:val="center"/>
              <w:rPr>
                <w:rFonts w:eastAsiaTheme="minorEastAsia"/>
                <w:szCs w:val="21"/>
              </w:rPr>
            </w:pPr>
            <w:r>
              <w:rPr>
                <w:rFonts w:hint="eastAsia"/>
                <w:szCs w:val="21"/>
              </w:rPr>
              <w:t>ND</w:t>
            </w:r>
          </w:p>
        </w:tc>
        <w:tc>
          <w:tcPr>
            <w:tcW w:w="302" w:type="pct"/>
            <w:vAlign w:val="center"/>
          </w:tcPr>
          <w:p w14:paraId="213B262A">
            <w:pPr>
              <w:spacing w:line="320" w:lineRule="exact"/>
              <w:jc w:val="center"/>
              <w:rPr>
                <w:rFonts w:eastAsiaTheme="minorEastAsia"/>
                <w:szCs w:val="21"/>
              </w:rPr>
            </w:pPr>
            <w:r>
              <w:rPr>
                <w:rFonts w:hint="eastAsia"/>
                <w:szCs w:val="21"/>
              </w:rPr>
              <w:t>ND</w:t>
            </w:r>
          </w:p>
        </w:tc>
        <w:tc>
          <w:tcPr>
            <w:tcW w:w="297" w:type="pct"/>
            <w:vAlign w:val="center"/>
          </w:tcPr>
          <w:p w14:paraId="6ECF99D9">
            <w:pPr>
              <w:spacing w:line="320" w:lineRule="exact"/>
              <w:jc w:val="center"/>
              <w:rPr>
                <w:rFonts w:eastAsiaTheme="minorEastAsia"/>
                <w:szCs w:val="21"/>
              </w:rPr>
            </w:pPr>
            <w:r>
              <w:rPr>
                <w:rFonts w:hint="eastAsia"/>
                <w:szCs w:val="21"/>
              </w:rPr>
              <w:t>ND</w:t>
            </w:r>
          </w:p>
        </w:tc>
        <w:tc>
          <w:tcPr>
            <w:tcW w:w="305" w:type="pct"/>
            <w:vAlign w:val="center"/>
          </w:tcPr>
          <w:p w14:paraId="51E87EAF">
            <w:pPr>
              <w:spacing w:line="320" w:lineRule="exact"/>
              <w:jc w:val="center"/>
              <w:rPr>
                <w:rFonts w:eastAsiaTheme="minorEastAsia"/>
                <w:szCs w:val="21"/>
              </w:rPr>
            </w:pPr>
            <w:r>
              <w:rPr>
                <w:rFonts w:hint="eastAsia"/>
                <w:szCs w:val="21"/>
              </w:rPr>
              <w:t>ND</w:t>
            </w:r>
          </w:p>
        </w:tc>
        <w:tc>
          <w:tcPr>
            <w:tcW w:w="370" w:type="pct"/>
            <w:vAlign w:val="center"/>
          </w:tcPr>
          <w:p w14:paraId="6FF22187">
            <w:pPr>
              <w:spacing w:line="320" w:lineRule="exact"/>
              <w:jc w:val="center"/>
              <w:rPr>
                <w:rFonts w:eastAsiaTheme="minorEastAsia"/>
                <w:szCs w:val="21"/>
              </w:rPr>
            </w:pPr>
            <w:r>
              <w:rPr>
                <w:rFonts w:hint="eastAsia"/>
                <w:szCs w:val="21"/>
              </w:rPr>
              <w:t>ND</w:t>
            </w:r>
          </w:p>
        </w:tc>
        <w:tc>
          <w:tcPr>
            <w:tcW w:w="370" w:type="pct"/>
            <w:vAlign w:val="center"/>
          </w:tcPr>
          <w:p w14:paraId="4A281597">
            <w:pPr>
              <w:spacing w:line="320" w:lineRule="exact"/>
              <w:jc w:val="center"/>
              <w:rPr>
                <w:rFonts w:eastAsiaTheme="minorEastAsia"/>
                <w:szCs w:val="21"/>
              </w:rPr>
            </w:pPr>
            <w:r>
              <w:rPr>
                <w:rFonts w:eastAsiaTheme="minorEastAsia"/>
                <w:szCs w:val="21"/>
              </w:rPr>
              <w:t>66</w:t>
            </w:r>
          </w:p>
        </w:tc>
      </w:tr>
      <w:tr w14:paraId="6BEB5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7E915C8F">
            <w:pPr>
              <w:spacing w:line="320" w:lineRule="exact"/>
              <w:jc w:val="center"/>
              <w:rPr>
                <w:rFonts w:eastAsiaTheme="minorEastAsia"/>
                <w:szCs w:val="21"/>
              </w:rPr>
            </w:pPr>
            <w:r>
              <w:rPr>
                <w:rFonts w:eastAsiaTheme="minorEastAsia"/>
                <w:szCs w:val="21"/>
              </w:rPr>
              <w:t>顺-1,2-二氯乙烯（mg/kg）</w:t>
            </w:r>
          </w:p>
        </w:tc>
        <w:tc>
          <w:tcPr>
            <w:tcW w:w="390" w:type="pct"/>
            <w:vAlign w:val="center"/>
          </w:tcPr>
          <w:p w14:paraId="2BE709CE">
            <w:pPr>
              <w:widowControl/>
              <w:jc w:val="center"/>
              <w:textAlignment w:val="center"/>
              <w:rPr>
                <w:szCs w:val="21"/>
              </w:rPr>
            </w:pPr>
            <w:r>
              <w:rPr>
                <w:rFonts w:hint="eastAsia"/>
                <w:szCs w:val="21"/>
              </w:rPr>
              <w:t>ND</w:t>
            </w:r>
          </w:p>
        </w:tc>
        <w:tc>
          <w:tcPr>
            <w:tcW w:w="389" w:type="pct"/>
            <w:vAlign w:val="center"/>
          </w:tcPr>
          <w:p w14:paraId="7F709367">
            <w:pPr>
              <w:spacing w:before="63" w:line="320" w:lineRule="exact"/>
              <w:jc w:val="center"/>
              <w:rPr>
                <w:rFonts w:eastAsiaTheme="minorEastAsia"/>
                <w:szCs w:val="21"/>
              </w:rPr>
            </w:pPr>
            <w:r>
              <w:rPr>
                <w:rFonts w:hint="eastAsia"/>
                <w:szCs w:val="21"/>
              </w:rPr>
              <w:t>ND</w:t>
            </w:r>
          </w:p>
        </w:tc>
        <w:tc>
          <w:tcPr>
            <w:tcW w:w="347" w:type="pct"/>
            <w:vAlign w:val="center"/>
          </w:tcPr>
          <w:p w14:paraId="5F9E4046">
            <w:pPr>
              <w:spacing w:before="63" w:line="320" w:lineRule="exact"/>
              <w:jc w:val="center"/>
              <w:rPr>
                <w:szCs w:val="21"/>
              </w:rPr>
            </w:pPr>
            <w:r>
              <w:rPr>
                <w:rFonts w:hint="eastAsia"/>
                <w:szCs w:val="21"/>
              </w:rPr>
              <w:t>ND</w:t>
            </w:r>
          </w:p>
        </w:tc>
        <w:tc>
          <w:tcPr>
            <w:tcW w:w="345" w:type="pct"/>
            <w:vAlign w:val="center"/>
          </w:tcPr>
          <w:p w14:paraId="459A5CE6">
            <w:pPr>
              <w:spacing w:before="63" w:line="320" w:lineRule="exact"/>
              <w:jc w:val="center"/>
              <w:rPr>
                <w:rFonts w:eastAsiaTheme="minorEastAsia"/>
                <w:szCs w:val="21"/>
              </w:rPr>
            </w:pPr>
            <w:r>
              <w:rPr>
                <w:rFonts w:hint="eastAsia"/>
                <w:szCs w:val="21"/>
              </w:rPr>
              <w:t>ND</w:t>
            </w:r>
          </w:p>
        </w:tc>
        <w:tc>
          <w:tcPr>
            <w:tcW w:w="301" w:type="pct"/>
            <w:vAlign w:val="center"/>
          </w:tcPr>
          <w:p w14:paraId="6AD7C991">
            <w:pPr>
              <w:spacing w:before="63" w:line="320" w:lineRule="exact"/>
              <w:jc w:val="center"/>
              <w:rPr>
                <w:rFonts w:eastAsiaTheme="minorEastAsia"/>
                <w:szCs w:val="21"/>
              </w:rPr>
            </w:pPr>
            <w:r>
              <w:rPr>
                <w:rFonts w:hint="eastAsia"/>
                <w:szCs w:val="21"/>
              </w:rPr>
              <w:t>ND</w:t>
            </w:r>
          </w:p>
        </w:tc>
        <w:tc>
          <w:tcPr>
            <w:tcW w:w="301" w:type="pct"/>
            <w:vAlign w:val="center"/>
          </w:tcPr>
          <w:p w14:paraId="51CE59F6">
            <w:pPr>
              <w:spacing w:before="63" w:line="320" w:lineRule="exact"/>
              <w:jc w:val="center"/>
              <w:rPr>
                <w:rFonts w:eastAsiaTheme="minorEastAsia"/>
                <w:szCs w:val="21"/>
              </w:rPr>
            </w:pPr>
            <w:r>
              <w:rPr>
                <w:rFonts w:hint="eastAsia"/>
                <w:szCs w:val="21"/>
              </w:rPr>
              <w:t>ND</w:t>
            </w:r>
          </w:p>
        </w:tc>
        <w:tc>
          <w:tcPr>
            <w:tcW w:w="300" w:type="pct"/>
            <w:vAlign w:val="center"/>
          </w:tcPr>
          <w:p w14:paraId="0040F8CE">
            <w:pPr>
              <w:spacing w:before="63" w:line="320" w:lineRule="exact"/>
              <w:jc w:val="center"/>
              <w:rPr>
                <w:rFonts w:eastAsiaTheme="minorEastAsia"/>
                <w:szCs w:val="21"/>
              </w:rPr>
            </w:pPr>
            <w:r>
              <w:rPr>
                <w:rFonts w:hint="eastAsia"/>
                <w:szCs w:val="21"/>
              </w:rPr>
              <w:t>ND</w:t>
            </w:r>
          </w:p>
        </w:tc>
        <w:tc>
          <w:tcPr>
            <w:tcW w:w="300" w:type="pct"/>
            <w:vAlign w:val="center"/>
          </w:tcPr>
          <w:p w14:paraId="03C1DAAD">
            <w:pPr>
              <w:spacing w:before="63" w:line="320" w:lineRule="exact"/>
              <w:jc w:val="center"/>
              <w:rPr>
                <w:rFonts w:eastAsiaTheme="minorEastAsia"/>
                <w:szCs w:val="21"/>
              </w:rPr>
            </w:pPr>
            <w:r>
              <w:rPr>
                <w:rFonts w:hint="eastAsia"/>
                <w:szCs w:val="21"/>
              </w:rPr>
              <w:t>ND</w:t>
            </w:r>
          </w:p>
        </w:tc>
        <w:tc>
          <w:tcPr>
            <w:tcW w:w="302" w:type="pct"/>
            <w:vAlign w:val="center"/>
          </w:tcPr>
          <w:p w14:paraId="00D11944">
            <w:pPr>
              <w:spacing w:before="63" w:line="320" w:lineRule="exact"/>
              <w:jc w:val="center"/>
              <w:rPr>
                <w:rFonts w:eastAsiaTheme="minorEastAsia"/>
                <w:szCs w:val="21"/>
              </w:rPr>
            </w:pPr>
            <w:r>
              <w:rPr>
                <w:rFonts w:hint="eastAsia"/>
                <w:szCs w:val="21"/>
              </w:rPr>
              <w:t>ND</w:t>
            </w:r>
          </w:p>
        </w:tc>
        <w:tc>
          <w:tcPr>
            <w:tcW w:w="297" w:type="pct"/>
            <w:vAlign w:val="center"/>
          </w:tcPr>
          <w:p w14:paraId="4E31F803">
            <w:pPr>
              <w:spacing w:before="63" w:line="320" w:lineRule="exact"/>
              <w:jc w:val="center"/>
              <w:rPr>
                <w:rFonts w:eastAsiaTheme="minorEastAsia"/>
                <w:szCs w:val="21"/>
              </w:rPr>
            </w:pPr>
            <w:r>
              <w:rPr>
                <w:rFonts w:hint="eastAsia"/>
                <w:szCs w:val="21"/>
              </w:rPr>
              <w:t>ND</w:t>
            </w:r>
          </w:p>
        </w:tc>
        <w:tc>
          <w:tcPr>
            <w:tcW w:w="305" w:type="pct"/>
            <w:vAlign w:val="center"/>
          </w:tcPr>
          <w:p w14:paraId="22D3EF36">
            <w:pPr>
              <w:spacing w:before="63" w:line="320" w:lineRule="exact"/>
              <w:jc w:val="center"/>
              <w:rPr>
                <w:rFonts w:eastAsiaTheme="minorEastAsia"/>
                <w:szCs w:val="21"/>
              </w:rPr>
            </w:pPr>
            <w:r>
              <w:rPr>
                <w:rFonts w:hint="eastAsia"/>
                <w:szCs w:val="21"/>
              </w:rPr>
              <w:t>ND</w:t>
            </w:r>
          </w:p>
        </w:tc>
        <w:tc>
          <w:tcPr>
            <w:tcW w:w="370" w:type="pct"/>
            <w:vAlign w:val="center"/>
          </w:tcPr>
          <w:p w14:paraId="2FD91E15">
            <w:pPr>
              <w:spacing w:before="63" w:line="320" w:lineRule="exact"/>
              <w:jc w:val="center"/>
              <w:rPr>
                <w:rFonts w:eastAsiaTheme="minorEastAsia"/>
                <w:szCs w:val="21"/>
              </w:rPr>
            </w:pPr>
            <w:r>
              <w:rPr>
                <w:rFonts w:hint="eastAsia"/>
                <w:szCs w:val="21"/>
              </w:rPr>
              <w:t>ND</w:t>
            </w:r>
          </w:p>
        </w:tc>
        <w:tc>
          <w:tcPr>
            <w:tcW w:w="370" w:type="pct"/>
            <w:vAlign w:val="center"/>
          </w:tcPr>
          <w:p w14:paraId="4E790C2B">
            <w:pPr>
              <w:spacing w:before="63" w:line="320" w:lineRule="exact"/>
              <w:jc w:val="center"/>
              <w:rPr>
                <w:rFonts w:eastAsiaTheme="minorEastAsia"/>
                <w:szCs w:val="21"/>
              </w:rPr>
            </w:pPr>
            <w:r>
              <w:rPr>
                <w:rFonts w:eastAsiaTheme="minorEastAsia"/>
                <w:szCs w:val="21"/>
              </w:rPr>
              <w:t>596</w:t>
            </w:r>
          </w:p>
        </w:tc>
      </w:tr>
      <w:tr w14:paraId="4F4FB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E4DC8B9">
            <w:pPr>
              <w:spacing w:line="320" w:lineRule="exact"/>
              <w:jc w:val="center"/>
              <w:rPr>
                <w:rFonts w:eastAsiaTheme="minorEastAsia"/>
                <w:szCs w:val="21"/>
              </w:rPr>
            </w:pPr>
            <w:r>
              <w:rPr>
                <w:rFonts w:eastAsiaTheme="minorEastAsia"/>
                <w:szCs w:val="21"/>
              </w:rPr>
              <w:t>反-1,2-二氯乙烯（mg/kg）</w:t>
            </w:r>
          </w:p>
        </w:tc>
        <w:tc>
          <w:tcPr>
            <w:tcW w:w="390" w:type="pct"/>
            <w:vAlign w:val="center"/>
          </w:tcPr>
          <w:p w14:paraId="06B3C385">
            <w:pPr>
              <w:widowControl/>
              <w:jc w:val="center"/>
              <w:textAlignment w:val="center"/>
              <w:rPr>
                <w:szCs w:val="21"/>
              </w:rPr>
            </w:pPr>
            <w:r>
              <w:rPr>
                <w:rFonts w:hint="eastAsia"/>
                <w:szCs w:val="21"/>
              </w:rPr>
              <w:t>ND</w:t>
            </w:r>
          </w:p>
        </w:tc>
        <w:tc>
          <w:tcPr>
            <w:tcW w:w="389" w:type="pct"/>
            <w:vAlign w:val="center"/>
          </w:tcPr>
          <w:p w14:paraId="695B11CE">
            <w:pPr>
              <w:spacing w:before="61" w:line="320" w:lineRule="exact"/>
              <w:jc w:val="center"/>
              <w:rPr>
                <w:rFonts w:eastAsiaTheme="minorEastAsia"/>
                <w:szCs w:val="21"/>
              </w:rPr>
            </w:pPr>
            <w:r>
              <w:rPr>
                <w:rFonts w:hint="eastAsia"/>
                <w:szCs w:val="21"/>
              </w:rPr>
              <w:t>ND</w:t>
            </w:r>
          </w:p>
        </w:tc>
        <w:tc>
          <w:tcPr>
            <w:tcW w:w="347" w:type="pct"/>
            <w:vAlign w:val="center"/>
          </w:tcPr>
          <w:p w14:paraId="7B632A75">
            <w:pPr>
              <w:spacing w:before="61" w:line="320" w:lineRule="exact"/>
              <w:jc w:val="center"/>
              <w:rPr>
                <w:szCs w:val="21"/>
              </w:rPr>
            </w:pPr>
            <w:r>
              <w:rPr>
                <w:rFonts w:hint="eastAsia"/>
                <w:szCs w:val="21"/>
              </w:rPr>
              <w:t>ND</w:t>
            </w:r>
          </w:p>
        </w:tc>
        <w:tc>
          <w:tcPr>
            <w:tcW w:w="345" w:type="pct"/>
            <w:vAlign w:val="center"/>
          </w:tcPr>
          <w:p w14:paraId="1300246F">
            <w:pPr>
              <w:spacing w:before="61" w:line="320" w:lineRule="exact"/>
              <w:jc w:val="center"/>
              <w:rPr>
                <w:rFonts w:eastAsiaTheme="minorEastAsia"/>
                <w:szCs w:val="21"/>
              </w:rPr>
            </w:pPr>
            <w:r>
              <w:rPr>
                <w:rFonts w:hint="eastAsia"/>
                <w:szCs w:val="21"/>
              </w:rPr>
              <w:t>ND</w:t>
            </w:r>
          </w:p>
        </w:tc>
        <w:tc>
          <w:tcPr>
            <w:tcW w:w="301" w:type="pct"/>
            <w:vAlign w:val="center"/>
          </w:tcPr>
          <w:p w14:paraId="3AE057C2">
            <w:pPr>
              <w:spacing w:before="61" w:line="320" w:lineRule="exact"/>
              <w:jc w:val="center"/>
              <w:rPr>
                <w:rFonts w:eastAsiaTheme="minorEastAsia"/>
                <w:szCs w:val="21"/>
              </w:rPr>
            </w:pPr>
            <w:r>
              <w:rPr>
                <w:rFonts w:hint="eastAsia"/>
                <w:szCs w:val="21"/>
              </w:rPr>
              <w:t>ND</w:t>
            </w:r>
          </w:p>
        </w:tc>
        <w:tc>
          <w:tcPr>
            <w:tcW w:w="301" w:type="pct"/>
            <w:vAlign w:val="center"/>
          </w:tcPr>
          <w:p w14:paraId="75D7F0E3">
            <w:pPr>
              <w:spacing w:before="61" w:line="320" w:lineRule="exact"/>
              <w:jc w:val="center"/>
              <w:rPr>
                <w:rFonts w:eastAsiaTheme="minorEastAsia"/>
                <w:szCs w:val="21"/>
              </w:rPr>
            </w:pPr>
            <w:r>
              <w:rPr>
                <w:rFonts w:hint="eastAsia"/>
                <w:szCs w:val="21"/>
              </w:rPr>
              <w:t>ND</w:t>
            </w:r>
          </w:p>
        </w:tc>
        <w:tc>
          <w:tcPr>
            <w:tcW w:w="300" w:type="pct"/>
            <w:vAlign w:val="center"/>
          </w:tcPr>
          <w:p w14:paraId="21D2EC3A">
            <w:pPr>
              <w:spacing w:before="61" w:line="320" w:lineRule="exact"/>
              <w:jc w:val="center"/>
              <w:rPr>
                <w:rFonts w:eastAsiaTheme="minorEastAsia"/>
                <w:szCs w:val="21"/>
              </w:rPr>
            </w:pPr>
            <w:r>
              <w:rPr>
                <w:rFonts w:hint="eastAsia"/>
                <w:szCs w:val="21"/>
              </w:rPr>
              <w:t>ND</w:t>
            </w:r>
          </w:p>
        </w:tc>
        <w:tc>
          <w:tcPr>
            <w:tcW w:w="300" w:type="pct"/>
            <w:vAlign w:val="center"/>
          </w:tcPr>
          <w:p w14:paraId="1A3EFC22">
            <w:pPr>
              <w:spacing w:before="61" w:line="320" w:lineRule="exact"/>
              <w:jc w:val="center"/>
              <w:rPr>
                <w:rFonts w:eastAsiaTheme="minorEastAsia"/>
                <w:szCs w:val="21"/>
              </w:rPr>
            </w:pPr>
            <w:r>
              <w:rPr>
                <w:rFonts w:hint="eastAsia"/>
                <w:szCs w:val="21"/>
              </w:rPr>
              <w:t>ND</w:t>
            </w:r>
          </w:p>
        </w:tc>
        <w:tc>
          <w:tcPr>
            <w:tcW w:w="302" w:type="pct"/>
            <w:vAlign w:val="center"/>
          </w:tcPr>
          <w:p w14:paraId="03C7CDD6">
            <w:pPr>
              <w:spacing w:before="61" w:line="320" w:lineRule="exact"/>
              <w:jc w:val="center"/>
              <w:rPr>
                <w:rFonts w:eastAsiaTheme="minorEastAsia"/>
                <w:szCs w:val="21"/>
              </w:rPr>
            </w:pPr>
            <w:r>
              <w:rPr>
                <w:rFonts w:hint="eastAsia"/>
                <w:szCs w:val="21"/>
              </w:rPr>
              <w:t>ND</w:t>
            </w:r>
          </w:p>
        </w:tc>
        <w:tc>
          <w:tcPr>
            <w:tcW w:w="297" w:type="pct"/>
            <w:vAlign w:val="center"/>
          </w:tcPr>
          <w:p w14:paraId="75494E40">
            <w:pPr>
              <w:spacing w:before="61" w:line="320" w:lineRule="exact"/>
              <w:jc w:val="center"/>
              <w:rPr>
                <w:rFonts w:eastAsiaTheme="minorEastAsia"/>
                <w:szCs w:val="21"/>
              </w:rPr>
            </w:pPr>
            <w:r>
              <w:rPr>
                <w:rFonts w:hint="eastAsia"/>
                <w:szCs w:val="21"/>
              </w:rPr>
              <w:t>ND</w:t>
            </w:r>
          </w:p>
        </w:tc>
        <w:tc>
          <w:tcPr>
            <w:tcW w:w="305" w:type="pct"/>
            <w:vAlign w:val="center"/>
          </w:tcPr>
          <w:p w14:paraId="24BEDF49">
            <w:pPr>
              <w:spacing w:before="61" w:line="320" w:lineRule="exact"/>
              <w:jc w:val="center"/>
              <w:rPr>
                <w:rFonts w:eastAsiaTheme="minorEastAsia"/>
                <w:szCs w:val="21"/>
              </w:rPr>
            </w:pPr>
            <w:r>
              <w:rPr>
                <w:rFonts w:hint="eastAsia"/>
                <w:szCs w:val="21"/>
              </w:rPr>
              <w:t>ND</w:t>
            </w:r>
          </w:p>
        </w:tc>
        <w:tc>
          <w:tcPr>
            <w:tcW w:w="370" w:type="pct"/>
            <w:vAlign w:val="center"/>
          </w:tcPr>
          <w:p w14:paraId="091723A1">
            <w:pPr>
              <w:spacing w:before="61" w:line="320" w:lineRule="exact"/>
              <w:jc w:val="center"/>
              <w:rPr>
                <w:rFonts w:eastAsiaTheme="minorEastAsia"/>
                <w:szCs w:val="21"/>
              </w:rPr>
            </w:pPr>
            <w:r>
              <w:rPr>
                <w:rFonts w:hint="eastAsia"/>
                <w:szCs w:val="21"/>
              </w:rPr>
              <w:t>ND</w:t>
            </w:r>
          </w:p>
        </w:tc>
        <w:tc>
          <w:tcPr>
            <w:tcW w:w="370" w:type="pct"/>
            <w:vAlign w:val="center"/>
          </w:tcPr>
          <w:p w14:paraId="27AF9B2E">
            <w:pPr>
              <w:spacing w:before="61" w:line="320" w:lineRule="exact"/>
              <w:jc w:val="center"/>
              <w:rPr>
                <w:rFonts w:eastAsiaTheme="minorEastAsia"/>
                <w:szCs w:val="21"/>
              </w:rPr>
            </w:pPr>
            <w:r>
              <w:rPr>
                <w:rFonts w:eastAsiaTheme="minorEastAsia"/>
                <w:szCs w:val="21"/>
              </w:rPr>
              <w:t>54</w:t>
            </w:r>
          </w:p>
        </w:tc>
      </w:tr>
      <w:tr w14:paraId="00D01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628C6081">
            <w:pPr>
              <w:spacing w:line="320" w:lineRule="exact"/>
              <w:jc w:val="center"/>
              <w:rPr>
                <w:rFonts w:eastAsiaTheme="minorEastAsia"/>
                <w:szCs w:val="21"/>
              </w:rPr>
            </w:pPr>
            <w:r>
              <w:rPr>
                <w:rFonts w:eastAsiaTheme="minorEastAsia"/>
                <w:szCs w:val="21"/>
              </w:rPr>
              <w:t>二氯甲烷（mg/kg）</w:t>
            </w:r>
          </w:p>
        </w:tc>
        <w:tc>
          <w:tcPr>
            <w:tcW w:w="390" w:type="pct"/>
            <w:vAlign w:val="center"/>
          </w:tcPr>
          <w:p w14:paraId="12C8C706">
            <w:pPr>
              <w:widowControl/>
              <w:jc w:val="center"/>
              <w:textAlignment w:val="center"/>
              <w:rPr>
                <w:szCs w:val="21"/>
              </w:rPr>
            </w:pPr>
            <w:r>
              <w:rPr>
                <w:rFonts w:hint="eastAsia"/>
                <w:szCs w:val="21"/>
              </w:rPr>
              <w:t>ND</w:t>
            </w:r>
          </w:p>
        </w:tc>
        <w:tc>
          <w:tcPr>
            <w:tcW w:w="389" w:type="pct"/>
            <w:vAlign w:val="center"/>
          </w:tcPr>
          <w:p w14:paraId="69FC9AC5">
            <w:pPr>
              <w:spacing w:before="61" w:line="320" w:lineRule="exact"/>
              <w:jc w:val="center"/>
              <w:rPr>
                <w:rFonts w:eastAsiaTheme="minorEastAsia"/>
                <w:szCs w:val="21"/>
              </w:rPr>
            </w:pPr>
            <w:r>
              <w:rPr>
                <w:rFonts w:hint="eastAsia"/>
                <w:szCs w:val="21"/>
              </w:rPr>
              <w:t>ND</w:t>
            </w:r>
          </w:p>
        </w:tc>
        <w:tc>
          <w:tcPr>
            <w:tcW w:w="347" w:type="pct"/>
            <w:vAlign w:val="center"/>
          </w:tcPr>
          <w:p w14:paraId="4289D349">
            <w:pPr>
              <w:spacing w:before="61" w:line="320" w:lineRule="exact"/>
              <w:jc w:val="center"/>
              <w:rPr>
                <w:szCs w:val="21"/>
              </w:rPr>
            </w:pPr>
            <w:r>
              <w:rPr>
                <w:rFonts w:hint="eastAsia"/>
                <w:szCs w:val="21"/>
              </w:rPr>
              <w:t>ND</w:t>
            </w:r>
          </w:p>
        </w:tc>
        <w:tc>
          <w:tcPr>
            <w:tcW w:w="345" w:type="pct"/>
            <w:vAlign w:val="center"/>
          </w:tcPr>
          <w:p w14:paraId="5C27890D">
            <w:pPr>
              <w:spacing w:before="61" w:line="320" w:lineRule="exact"/>
              <w:jc w:val="center"/>
              <w:rPr>
                <w:rFonts w:eastAsiaTheme="minorEastAsia"/>
                <w:szCs w:val="21"/>
              </w:rPr>
            </w:pPr>
            <w:r>
              <w:rPr>
                <w:rFonts w:hint="eastAsia"/>
                <w:szCs w:val="21"/>
              </w:rPr>
              <w:t>ND</w:t>
            </w:r>
          </w:p>
        </w:tc>
        <w:tc>
          <w:tcPr>
            <w:tcW w:w="301" w:type="pct"/>
            <w:vAlign w:val="center"/>
          </w:tcPr>
          <w:p w14:paraId="238E07BF">
            <w:pPr>
              <w:spacing w:before="61" w:line="320" w:lineRule="exact"/>
              <w:jc w:val="center"/>
              <w:rPr>
                <w:rFonts w:eastAsiaTheme="minorEastAsia"/>
                <w:szCs w:val="21"/>
              </w:rPr>
            </w:pPr>
            <w:r>
              <w:rPr>
                <w:rFonts w:hint="eastAsia"/>
                <w:szCs w:val="21"/>
              </w:rPr>
              <w:t>ND</w:t>
            </w:r>
          </w:p>
        </w:tc>
        <w:tc>
          <w:tcPr>
            <w:tcW w:w="301" w:type="pct"/>
            <w:vAlign w:val="center"/>
          </w:tcPr>
          <w:p w14:paraId="17768CC6">
            <w:pPr>
              <w:spacing w:before="61" w:line="320" w:lineRule="exact"/>
              <w:jc w:val="center"/>
              <w:rPr>
                <w:rFonts w:eastAsiaTheme="minorEastAsia"/>
                <w:szCs w:val="21"/>
              </w:rPr>
            </w:pPr>
            <w:r>
              <w:rPr>
                <w:rFonts w:hint="eastAsia"/>
                <w:szCs w:val="21"/>
              </w:rPr>
              <w:t>ND</w:t>
            </w:r>
          </w:p>
        </w:tc>
        <w:tc>
          <w:tcPr>
            <w:tcW w:w="300" w:type="pct"/>
            <w:vAlign w:val="center"/>
          </w:tcPr>
          <w:p w14:paraId="5C6C257E">
            <w:pPr>
              <w:spacing w:before="61" w:line="320" w:lineRule="exact"/>
              <w:jc w:val="center"/>
              <w:rPr>
                <w:rFonts w:eastAsiaTheme="minorEastAsia"/>
                <w:szCs w:val="21"/>
              </w:rPr>
            </w:pPr>
            <w:r>
              <w:rPr>
                <w:rFonts w:hint="eastAsia"/>
                <w:szCs w:val="21"/>
              </w:rPr>
              <w:t>ND</w:t>
            </w:r>
          </w:p>
        </w:tc>
        <w:tc>
          <w:tcPr>
            <w:tcW w:w="300" w:type="pct"/>
            <w:vAlign w:val="center"/>
          </w:tcPr>
          <w:p w14:paraId="0E1B92FE">
            <w:pPr>
              <w:spacing w:before="61" w:line="320" w:lineRule="exact"/>
              <w:jc w:val="center"/>
              <w:rPr>
                <w:rFonts w:eastAsiaTheme="minorEastAsia"/>
                <w:szCs w:val="21"/>
              </w:rPr>
            </w:pPr>
            <w:r>
              <w:rPr>
                <w:rFonts w:hint="eastAsia"/>
                <w:szCs w:val="21"/>
              </w:rPr>
              <w:t>ND</w:t>
            </w:r>
          </w:p>
        </w:tc>
        <w:tc>
          <w:tcPr>
            <w:tcW w:w="302" w:type="pct"/>
            <w:vAlign w:val="center"/>
          </w:tcPr>
          <w:p w14:paraId="254D42D0">
            <w:pPr>
              <w:spacing w:before="61" w:line="320" w:lineRule="exact"/>
              <w:jc w:val="center"/>
              <w:rPr>
                <w:rFonts w:eastAsiaTheme="minorEastAsia"/>
                <w:szCs w:val="21"/>
              </w:rPr>
            </w:pPr>
            <w:r>
              <w:rPr>
                <w:rFonts w:hint="eastAsia"/>
                <w:szCs w:val="21"/>
              </w:rPr>
              <w:t>ND</w:t>
            </w:r>
          </w:p>
        </w:tc>
        <w:tc>
          <w:tcPr>
            <w:tcW w:w="297" w:type="pct"/>
            <w:vAlign w:val="center"/>
          </w:tcPr>
          <w:p w14:paraId="55DFCFE3">
            <w:pPr>
              <w:spacing w:before="61" w:line="320" w:lineRule="exact"/>
              <w:jc w:val="center"/>
              <w:rPr>
                <w:rFonts w:eastAsiaTheme="minorEastAsia"/>
                <w:szCs w:val="21"/>
              </w:rPr>
            </w:pPr>
            <w:r>
              <w:rPr>
                <w:rFonts w:hint="eastAsia"/>
                <w:szCs w:val="21"/>
              </w:rPr>
              <w:t>ND</w:t>
            </w:r>
          </w:p>
        </w:tc>
        <w:tc>
          <w:tcPr>
            <w:tcW w:w="305" w:type="pct"/>
            <w:vAlign w:val="center"/>
          </w:tcPr>
          <w:p w14:paraId="496C027B">
            <w:pPr>
              <w:spacing w:before="61" w:line="320" w:lineRule="exact"/>
              <w:jc w:val="center"/>
              <w:rPr>
                <w:rFonts w:eastAsiaTheme="minorEastAsia"/>
                <w:szCs w:val="21"/>
              </w:rPr>
            </w:pPr>
            <w:r>
              <w:rPr>
                <w:rFonts w:hint="eastAsia"/>
                <w:szCs w:val="21"/>
              </w:rPr>
              <w:t>ND</w:t>
            </w:r>
          </w:p>
        </w:tc>
        <w:tc>
          <w:tcPr>
            <w:tcW w:w="370" w:type="pct"/>
            <w:vAlign w:val="center"/>
          </w:tcPr>
          <w:p w14:paraId="1D1B1A7D">
            <w:pPr>
              <w:spacing w:before="61" w:line="320" w:lineRule="exact"/>
              <w:jc w:val="center"/>
              <w:rPr>
                <w:rFonts w:eastAsiaTheme="minorEastAsia"/>
                <w:szCs w:val="21"/>
              </w:rPr>
            </w:pPr>
            <w:r>
              <w:rPr>
                <w:rFonts w:hint="eastAsia"/>
                <w:szCs w:val="21"/>
              </w:rPr>
              <w:t>ND</w:t>
            </w:r>
          </w:p>
        </w:tc>
        <w:tc>
          <w:tcPr>
            <w:tcW w:w="370" w:type="pct"/>
            <w:vAlign w:val="center"/>
          </w:tcPr>
          <w:p w14:paraId="67269C9A">
            <w:pPr>
              <w:spacing w:before="61" w:line="320" w:lineRule="exact"/>
              <w:jc w:val="center"/>
              <w:rPr>
                <w:rFonts w:eastAsiaTheme="minorEastAsia"/>
                <w:szCs w:val="21"/>
              </w:rPr>
            </w:pPr>
            <w:r>
              <w:rPr>
                <w:rFonts w:eastAsiaTheme="minorEastAsia"/>
                <w:szCs w:val="21"/>
              </w:rPr>
              <w:t>616</w:t>
            </w:r>
          </w:p>
        </w:tc>
      </w:tr>
      <w:tr w14:paraId="36F93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1ACDF9AD">
            <w:pPr>
              <w:spacing w:line="320" w:lineRule="exact"/>
              <w:jc w:val="center"/>
              <w:rPr>
                <w:rFonts w:eastAsiaTheme="minorEastAsia"/>
                <w:szCs w:val="21"/>
              </w:rPr>
            </w:pPr>
            <w:r>
              <w:rPr>
                <w:rFonts w:eastAsiaTheme="minorEastAsia"/>
                <w:szCs w:val="21"/>
              </w:rPr>
              <w:t>1,2-二氯丙烷（mg/kg）</w:t>
            </w:r>
          </w:p>
        </w:tc>
        <w:tc>
          <w:tcPr>
            <w:tcW w:w="390" w:type="pct"/>
            <w:vAlign w:val="center"/>
          </w:tcPr>
          <w:p w14:paraId="5398B7C7">
            <w:pPr>
              <w:widowControl/>
              <w:jc w:val="center"/>
              <w:textAlignment w:val="center"/>
              <w:rPr>
                <w:szCs w:val="21"/>
              </w:rPr>
            </w:pPr>
            <w:r>
              <w:rPr>
                <w:rFonts w:hint="eastAsia"/>
                <w:szCs w:val="21"/>
              </w:rPr>
              <w:t>ND</w:t>
            </w:r>
          </w:p>
        </w:tc>
        <w:tc>
          <w:tcPr>
            <w:tcW w:w="389" w:type="pct"/>
            <w:vAlign w:val="center"/>
          </w:tcPr>
          <w:p w14:paraId="719435F5">
            <w:pPr>
              <w:spacing w:before="61" w:line="320" w:lineRule="exact"/>
              <w:jc w:val="center"/>
              <w:rPr>
                <w:rFonts w:eastAsiaTheme="minorEastAsia"/>
                <w:szCs w:val="21"/>
              </w:rPr>
            </w:pPr>
            <w:r>
              <w:rPr>
                <w:rFonts w:hint="eastAsia"/>
                <w:szCs w:val="21"/>
              </w:rPr>
              <w:t>ND</w:t>
            </w:r>
          </w:p>
        </w:tc>
        <w:tc>
          <w:tcPr>
            <w:tcW w:w="347" w:type="pct"/>
            <w:vAlign w:val="center"/>
          </w:tcPr>
          <w:p w14:paraId="56E207A1">
            <w:pPr>
              <w:spacing w:before="61" w:line="320" w:lineRule="exact"/>
              <w:jc w:val="center"/>
              <w:rPr>
                <w:szCs w:val="21"/>
              </w:rPr>
            </w:pPr>
            <w:r>
              <w:rPr>
                <w:rFonts w:hint="eastAsia"/>
                <w:szCs w:val="21"/>
              </w:rPr>
              <w:t>ND</w:t>
            </w:r>
          </w:p>
        </w:tc>
        <w:tc>
          <w:tcPr>
            <w:tcW w:w="345" w:type="pct"/>
            <w:vAlign w:val="center"/>
          </w:tcPr>
          <w:p w14:paraId="0E750AD4">
            <w:pPr>
              <w:spacing w:before="61" w:line="320" w:lineRule="exact"/>
              <w:jc w:val="center"/>
              <w:rPr>
                <w:rFonts w:eastAsiaTheme="minorEastAsia"/>
                <w:szCs w:val="21"/>
              </w:rPr>
            </w:pPr>
            <w:r>
              <w:rPr>
                <w:rFonts w:hint="eastAsia"/>
                <w:szCs w:val="21"/>
              </w:rPr>
              <w:t>ND</w:t>
            </w:r>
          </w:p>
        </w:tc>
        <w:tc>
          <w:tcPr>
            <w:tcW w:w="301" w:type="pct"/>
            <w:vAlign w:val="center"/>
          </w:tcPr>
          <w:p w14:paraId="1AB45BC1">
            <w:pPr>
              <w:spacing w:before="61" w:line="320" w:lineRule="exact"/>
              <w:jc w:val="center"/>
              <w:rPr>
                <w:rFonts w:eastAsiaTheme="minorEastAsia"/>
                <w:szCs w:val="21"/>
              </w:rPr>
            </w:pPr>
            <w:r>
              <w:rPr>
                <w:rFonts w:hint="eastAsia"/>
                <w:szCs w:val="21"/>
              </w:rPr>
              <w:t>ND</w:t>
            </w:r>
          </w:p>
        </w:tc>
        <w:tc>
          <w:tcPr>
            <w:tcW w:w="301" w:type="pct"/>
            <w:vAlign w:val="center"/>
          </w:tcPr>
          <w:p w14:paraId="500D355E">
            <w:pPr>
              <w:spacing w:before="61" w:line="320" w:lineRule="exact"/>
              <w:jc w:val="center"/>
              <w:rPr>
                <w:rFonts w:eastAsiaTheme="minorEastAsia"/>
                <w:szCs w:val="21"/>
              </w:rPr>
            </w:pPr>
            <w:r>
              <w:rPr>
                <w:rFonts w:hint="eastAsia"/>
                <w:szCs w:val="21"/>
              </w:rPr>
              <w:t>ND</w:t>
            </w:r>
          </w:p>
        </w:tc>
        <w:tc>
          <w:tcPr>
            <w:tcW w:w="300" w:type="pct"/>
            <w:vAlign w:val="center"/>
          </w:tcPr>
          <w:p w14:paraId="23AC5012">
            <w:pPr>
              <w:spacing w:before="61" w:line="320" w:lineRule="exact"/>
              <w:jc w:val="center"/>
              <w:rPr>
                <w:rFonts w:eastAsiaTheme="minorEastAsia"/>
                <w:szCs w:val="21"/>
              </w:rPr>
            </w:pPr>
            <w:r>
              <w:rPr>
                <w:rFonts w:hint="eastAsia"/>
                <w:szCs w:val="21"/>
              </w:rPr>
              <w:t>ND</w:t>
            </w:r>
          </w:p>
        </w:tc>
        <w:tc>
          <w:tcPr>
            <w:tcW w:w="300" w:type="pct"/>
            <w:vAlign w:val="center"/>
          </w:tcPr>
          <w:p w14:paraId="1F47C5C4">
            <w:pPr>
              <w:spacing w:before="61" w:line="320" w:lineRule="exact"/>
              <w:jc w:val="center"/>
              <w:rPr>
                <w:rFonts w:eastAsiaTheme="minorEastAsia"/>
                <w:szCs w:val="21"/>
              </w:rPr>
            </w:pPr>
            <w:r>
              <w:rPr>
                <w:rFonts w:hint="eastAsia"/>
                <w:szCs w:val="21"/>
              </w:rPr>
              <w:t>ND</w:t>
            </w:r>
          </w:p>
        </w:tc>
        <w:tc>
          <w:tcPr>
            <w:tcW w:w="302" w:type="pct"/>
            <w:vAlign w:val="center"/>
          </w:tcPr>
          <w:p w14:paraId="6233CBE4">
            <w:pPr>
              <w:spacing w:before="61" w:line="320" w:lineRule="exact"/>
              <w:jc w:val="center"/>
              <w:rPr>
                <w:rFonts w:eastAsiaTheme="minorEastAsia"/>
                <w:szCs w:val="21"/>
              </w:rPr>
            </w:pPr>
            <w:r>
              <w:rPr>
                <w:rFonts w:hint="eastAsia"/>
                <w:szCs w:val="21"/>
              </w:rPr>
              <w:t>ND</w:t>
            </w:r>
          </w:p>
        </w:tc>
        <w:tc>
          <w:tcPr>
            <w:tcW w:w="297" w:type="pct"/>
            <w:vAlign w:val="center"/>
          </w:tcPr>
          <w:p w14:paraId="46A176D6">
            <w:pPr>
              <w:spacing w:before="61" w:line="320" w:lineRule="exact"/>
              <w:jc w:val="center"/>
              <w:rPr>
                <w:rFonts w:eastAsiaTheme="minorEastAsia"/>
                <w:szCs w:val="21"/>
              </w:rPr>
            </w:pPr>
            <w:r>
              <w:rPr>
                <w:rFonts w:hint="eastAsia"/>
                <w:szCs w:val="21"/>
              </w:rPr>
              <w:t>ND</w:t>
            </w:r>
          </w:p>
        </w:tc>
        <w:tc>
          <w:tcPr>
            <w:tcW w:w="305" w:type="pct"/>
            <w:vAlign w:val="center"/>
          </w:tcPr>
          <w:p w14:paraId="4A2EA61F">
            <w:pPr>
              <w:spacing w:before="61" w:line="320" w:lineRule="exact"/>
              <w:jc w:val="center"/>
              <w:rPr>
                <w:rFonts w:eastAsiaTheme="minorEastAsia"/>
                <w:szCs w:val="21"/>
              </w:rPr>
            </w:pPr>
            <w:r>
              <w:rPr>
                <w:rFonts w:hint="eastAsia"/>
                <w:szCs w:val="21"/>
              </w:rPr>
              <w:t>ND</w:t>
            </w:r>
          </w:p>
        </w:tc>
        <w:tc>
          <w:tcPr>
            <w:tcW w:w="370" w:type="pct"/>
            <w:vAlign w:val="center"/>
          </w:tcPr>
          <w:p w14:paraId="7B31489F">
            <w:pPr>
              <w:spacing w:before="61" w:line="320" w:lineRule="exact"/>
              <w:jc w:val="center"/>
              <w:rPr>
                <w:rFonts w:eastAsiaTheme="minorEastAsia"/>
                <w:szCs w:val="21"/>
              </w:rPr>
            </w:pPr>
            <w:r>
              <w:rPr>
                <w:rFonts w:hint="eastAsia"/>
                <w:szCs w:val="21"/>
              </w:rPr>
              <w:t>ND</w:t>
            </w:r>
          </w:p>
        </w:tc>
        <w:tc>
          <w:tcPr>
            <w:tcW w:w="370" w:type="pct"/>
            <w:vAlign w:val="center"/>
          </w:tcPr>
          <w:p w14:paraId="66425920">
            <w:pPr>
              <w:spacing w:before="61" w:line="320" w:lineRule="exact"/>
              <w:jc w:val="center"/>
              <w:rPr>
                <w:rFonts w:eastAsiaTheme="minorEastAsia"/>
                <w:szCs w:val="21"/>
              </w:rPr>
            </w:pPr>
            <w:r>
              <w:rPr>
                <w:rFonts w:eastAsiaTheme="minorEastAsia"/>
                <w:szCs w:val="21"/>
              </w:rPr>
              <w:t>5</w:t>
            </w:r>
          </w:p>
        </w:tc>
      </w:tr>
      <w:tr w14:paraId="1A86F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77E817D2">
            <w:pPr>
              <w:spacing w:line="320" w:lineRule="exact"/>
              <w:jc w:val="center"/>
              <w:rPr>
                <w:rFonts w:eastAsiaTheme="minorEastAsia"/>
                <w:szCs w:val="21"/>
              </w:rPr>
            </w:pPr>
            <w:r>
              <w:rPr>
                <w:rFonts w:eastAsiaTheme="minorEastAsia"/>
                <w:szCs w:val="21"/>
              </w:rPr>
              <w:t>1,1,1,2-四氯乙烷（mg/kg）</w:t>
            </w:r>
          </w:p>
        </w:tc>
        <w:tc>
          <w:tcPr>
            <w:tcW w:w="390" w:type="pct"/>
            <w:vAlign w:val="center"/>
          </w:tcPr>
          <w:p w14:paraId="6E3078F0">
            <w:pPr>
              <w:widowControl/>
              <w:jc w:val="center"/>
              <w:textAlignment w:val="center"/>
              <w:rPr>
                <w:szCs w:val="21"/>
              </w:rPr>
            </w:pPr>
            <w:r>
              <w:rPr>
                <w:rFonts w:hint="eastAsia"/>
                <w:szCs w:val="21"/>
              </w:rPr>
              <w:t>ND</w:t>
            </w:r>
          </w:p>
        </w:tc>
        <w:tc>
          <w:tcPr>
            <w:tcW w:w="389" w:type="pct"/>
            <w:vAlign w:val="center"/>
          </w:tcPr>
          <w:p w14:paraId="66733AE1">
            <w:pPr>
              <w:spacing w:before="63" w:line="320" w:lineRule="exact"/>
              <w:ind w:left="5"/>
              <w:jc w:val="center"/>
              <w:rPr>
                <w:rFonts w:eastAsiaTheme="minorEastAsia"/>
                <w:szCs w:val="21"/>
              </w:rPr>
            </w:pPr>
            <w:r>
              <w:rPr>
                <w:rFonts w:hint="eastAsia"/>
                <w:szCs w:val="21"/>
              </w:rPr>
              <w:t>ND</w:t>
            </w:r>
          </w:p>
        </w:tc>
        <w:tc>
          <w:tcPr>
            <w:tcW w:w="347" w:type="pct"/>
            <w:vAlign w:val="center"/>
          </w:tcPr>
          <w:p w14:paraId="54D6D6BD">
            <w:pPr>
              <w:spacing w:before="63" w:line="320" w:lineRule="exact"/>
              <w:ind w:left="5"/>
              <w:jc w:val="center"/>
              <w:rPr>
                <w:szCs w:val="21"/>
              </w:rPr>
            </w:pPr>
            <w:r>
              <w:rPr>
                <w:rFonts w:hint="eastAsia"/>
                <w:szCs w:val="21"/>
              </w:rPr>
              <w:t>ND</w:t>
            </w:r>
          </w:p>
        </w:tc>
        <w:tc>
          <w:tcPr>
            <w:tcW w:w="345" w:type="pct"/>
            <w:vAlign w:val="center"/>
          </w:tcPr>
          <w:p w14:paraId="0F4836DF">
            <w:pPr>
              <w:spacing w:before="63" w:line="320" w:lineRule="exact"/>
              <w:ind w:left="5"/>
              <w:jc w:val="center"/>
              <w:rPr>
                <w:rFonts w:eastAsiaTheme="minorEastAsia"/>
                <w:szCs w:val="21"/>
              </w:rPr>
            </w:pPr>
            <w:r>
              <w:rPr>
                <w:rFonts w:hint="eastAsia"/>
                <w:szCs w:val="21"/>
              </w:rPr>
              <w:t>ND</w:t>
            </w:r>
          </w:p>
        </w:tc>
        <w:tc>
          <w:tcPr>
            <w:tcW w:w="301" w:type="pct"/>
            <w:vAlign w:val="center"/>
          </w:tcPr>
          <w:p w14:paraId="071F868A">
            <w:pPr>
              <w:spacing w:before="63" w:line="320" w:lineRule="exact"/>
              <w:ind w:left="5"/>
              <w:jc w:val="center"/>
              <w:rPr>
                <w:rFonts w:eastAsiaTheme="minorEastAsia"/>
                <w:szCs w:val="21"/>
              </w:rPr>
            </w:pPr>
            <w:r>
              <w:rPr>
                <w:rFonts w:hint="eastAsia"/>
                <w:szCs w:val="21"/>
              </w:rPr>
              <w:t>ND</w:t>
            </w:r>
          </w:p>
        </w:tc>
        <w:tc>
          <w:tcPr>
            <w:tcW w:w="301" w:type="pct"/>
            <w:vAlign w:val="center"/>
          </w:tcPr>
          <w:p w14:paraId="3F903BA0">
            <w:pPr>
              <w:spacing w:before="63" w:line="320" w:lineRule="exact"/>
              <w:ind w:left="5"/>
              <w:jc w:val="center"/>
              <w:rPr>
                <w:rFonts w:eastAsiaTheme="minorEastAsia"/>
                <w:szCs w:val="21"/>
              </w:rPr>
            </w:pPr>
            <w:r>
              <w:rPr>
                <w:rFonts w:hint="eastAsia"/>
                <w:szCs w:val="21"/>
              </w:rPr>
              <w:t>ND</w:t>
            </w:r>
          </w:p>
        </w:tc>
        <w:tc>
          <w:tcPr>
            <w:tcW w:w="300" w:type="pct"/>
            <w:vAlign w:val="center"/>
          </w:tcPr>
          <w:p w14:paraId="5905467D">
            <w:pPr>
              <w:spacing w:before="63" w:line="320" w:lineRule="exact"/>
              <w:ind w:left="5"/>
              <w:jc w:val="center"/>
              <w:rPr>
                <w:rFonts w:eastAsiaTheme="minorEastAsia"/>
                <w:szCs w:val="21"/>
              </w:rPr>
            </w:pPr>
            <w:r>
              <w:rPr>
                <w:rFonts w:hint="eastAsia"/>
                <w:szCs w:val="21"/>
              </w:rPr>
              <w:t>ND</w:t>
            </w:r>
          </w:p>
        </w:tc>
        <w:tc>
          <w:tcPr>
            <w:tcW w:w="300" w:type="pct"/>
            <w:vAlign w:val="center"/>
          </w:tcPr>
          <w:p w14:paraId="0DE10CF8">
            <w:pPr>
              <w:spacing w:before="63" w:line="320" w:lineRule="exact"/>
              <w:ind w:left="5"/>
              <w:jc w:val="center"/>
              <w:rPr>
                <w:rFonts w:eastAsiaTheme="minorEastAsia"/>
                <w:szCs w:val="21"/>
              </w:rPr>
            </w:pPr>
            <w:r>
              <w:rPr>
                <w:rFonts w:hint="eastAsia"/>
                <w:szCs w:val="21"/>
              </w:rPr>
              <w:t>ND</w:t>
            </w:r>
          </w:p>
        </w:tc>
        <w:tc>
          <w:tcPr>
            <w:tcW w:w="302" w:type="pct"/>
            <w:vAlign w:val="center"/>
          </w:tcPr>
          <w:p w14:paraId="6EC33BB8">
            <w:pPr>
              <w:spacing w:before="63" w:line="320" w:lineRule="exact"/>
              <w:ind w:left="5"/>
              <w:jc w:val="center"/>
              <w:rPr>
                <w:rFonts w:eastAsiaTheme="minorEastAsia"/>
                <w:szCs w:val="21"/>
              </w:rPr>
            </w:pPr>
            <w:r>
              <w:rPr>
                <w:rFonts w:hint="eastAsia"/>
                <w:szCs w:val="21"/>
              </w:rPr>
              <w:t>ND</w:t>
            </w:r>
          </w:p>
        </w:tc>
        <w:tc>
          <w:tcPr>
            <w:tcW w:w="297" w:type="pct"/>
            <w:vAlign w:val="center"/>
          </w:tcPr>
          <w:p w14:paraId="5D16289A">
            <w:pPr>
              <w:spacing w:before="63" w:line="320" w:lineRule="exact"/>
              <w:ind w:left="5"/>
              <w:jc w:val="center"/>
              <w:rPr>
                <w:rFonts w:eastAsiaTheme="minorEastAsia"/>
                <w:szCs w:val="21"/>
              </w:rPr>
            </w:pPr>
            <w:r>
              <w:rPr>
                <w:rFonts w:hint="eastAsia"/>
                <w:szCs w:val="21"/>
              </w:rPr>
              <w:t>ND</w:t>
            </w:r>
          </w:p>
        </w:tc>
        <w:tc>
          <w:tcPr>
            <w:tcW w:w="305" w:type="pct"/>
            <w:vAlign w:val="center"/>
          </w:tcPr>
          <w:p w14:paraId="05B94FED">
            <w:pPr>
              <w:spacing w:before="63" w:line="320" w:lineRule="exact"/>
              <w:ind w:left="5"/>
              <w:jc w:val="center"/>
              <w:rPr>
                <w:rFonts w:eastAsiaTheme="minorEastAsia"/>
                <w:szCs w:val="21"/>
              </w:rPr>
            </w:pPr>
            <w:r>
              <w:rPr>
                <w:rFonts w:hint="eastAsia"/>
                <w:szCs w:val="21"/>
              </w:rPr>
              <w:t>ND</w:t>
            </w:r>
          </w:p>
        </w:tc>
        <w:tc>
          <w:tcPr>
            <w:tcW w:w="370" w:type="pct"/>
            <w:vAlign w:val="center"/>
          </w:tcPr>
          <w:p w14:paraId="16EBD86A">
            <w:pPr>
              <w:spacing w:before="63" w:line="320" w:lineRule="exact"/>
              <w:ind w:left="5"/>
              <w:jc w:val="center"/>
              <w:rPr>
                <w:rFonts w:eastAsiaTheme="minorEastAsia"/>
                <w:szCs w:val="21"/>
              </w:rPr>
            </w:pPr>
            <w:r>
              <w:rPr>
                <w:rFonts w:hint="eastAsia"/>
                <w:szCs w:val="21"/>
              </w:rPr>
              <w:t>ND</w:t>
            </w:r>
          </w:p>
        </w:tc>
        <w:tc>
          <w:tcPr>
            <w:tcW w:w="370" w:type="pct"/>
            <w:vAlign w:val="center"/>
          </w:tcPr>
          <w:p w14:paraId="3431BA90">
            <w:pPr>
              <w:spacing w:before="63" w:line="320" w:lineRule="exact"/>
              <w:ind w:left="5"/>
              <w:jc w:val="center"/>
              <w:rPr>
                <w:rFonts w:eastAsiaTheme="minorEastAsia"/>
                <w:szCs w:val="21"/>
              </w:rPr>
            </w:pPr>
            <w:r>
              <w:rPr>
                <w:rFonts w:eastAsiaTheme="minorEastAsia"/>
                <w:szCs w:val="21"/>
              </w:rPr>
              <w:t>10</w:t>
            </w:r>
          </w:p>
        </w:tc>
      </w:tr>
      <w:tr w14:paraId="20EB1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EFBA3BE">
            <w:pPr>
              <w:spacing w:line="320" w:lineRule="exact"/>
              <w:jc w:val="center"/>
              <w:rPr>
                <w:rFonts w:eastAsiaTheme="minorEastAsia"/>
                <w:szCs w:val="21"/>
              </w:rPr>
            </w:pPr>
            <w:r>
              <w:rPr>
                <w:rFonts w:eastAsiaTheme="minorEastAsia"/>
                <w:szCs w:val="21"/>
              </w:rPr>
              <w:t>1,1,2,2-四氯乙烷（mg/kg）</w:t>
            </w:r>
          </w:p>
        </w:tc>
        <w:tc>
          <w:tcPr>
            <w:tcW w:w="390" w:type="pct"/>
            <w:vAlign w:val="center"/>
          </w:tcPr>
          <w:p w14:paraId="72FBF08D">
            <w:pPr>
              <w:widowControl/>
              <w:jc w:val="center"/>
              <w:textAlignment w:val="center"/>
              <w:rPr>
                <w:szCs w:val="21"/>
              </w:rPr>
            </w:pPr>
            <w:r>
              <w:rPr>
                <w:rFonts w:hint="eastAsia"/>
                <w:szCs w:val="21"/>
              </w:rPr>
              <w:t>ND</w:t>
            </w:r>
          </w:p>
        </w:tc>
        <w:tc>
          <w:tcPr>
            <w:tcW w:w="389" w:type="pct"/>
            <w:vAlign w:val="center"/>
          </w:tcPr>
          <w:p w14:paraId="345B11EE">
            <w:pPr>
              <w:spacing w:before="61" w:line="320" w:lineRule="exact"/>
              <w:ind w:left="5"/>
              <w:jc w:val="center"/>
              <w:rPr>
                <w:rFonts w:eastAsiaTheme="minorEastAsia"/>
                <w:szCs w:val="21"/>
              </w:rPr>
            </w:pPr>
            <w:r>
              <w:rPr>
                <w:rFonts w:hint="eastAsia"/>
                <w:szCs w:val="21"/>
              </w:rPr>
              <w:t>ND</w:t>
            </w:r>
          </w:p>
        </w:tc>
        <w:tc>
          <w:tcPr>
            <w:tcW w:w="347" w:type="pct"/>
            <w:vAlign w:val="center"/>
          </w:tcPr>
          <w:p w14:paraId="63E84E6A">
            <w:pPr>
              <w:spacing w:before="61" w:line="320" w:lineRule="exact"/>
              <w:ind w:left="5"/>
              <w:jc w:val="center"/>
              <w:rPr>
                <w:szCs w:val="21"/>
              </w:rPr>
            </w:pPr>
            <w:r>
              <w:rPr>
                <w:rFonts w:hint="eastAsia"/>
                <w:szCs w:val="21"/>
              </w:rPr>
              <w:t>ND</w:t>
            </w:r>
          </w:p>
        </w:tc>
        <w:tc>
          <w:tcPr>
            <w:tcW w:w="345" w:type="pct"/>
            <w:vAlign w:val="center"/>
          </w:tcPr>
          <w:p w14:paraId="4F3C4097">
            <w:pPr>
              <w:spacing w:before="61" w:line="320" w:lineRule="exact"/>
              <w:ind w:left="5"/>
              <w:jc w:val="center"/>
              <w:rPr>
                <w:rFonts w:eastAsiaTheme="minorEastAsia"/>
                <w:szCs w:val="21"/>
              </w:rPr>
            </w:pPr>
            <w:r>
              <w:rPr>
                <w:rFonts w:hint="eastAsia"/>
                <w:szCs w:val="21"/>
              </w:rPr>
              <w:t>ND</w:t>
            </w:r>
          </w:p>
        </w:tc>
        <w:tc>
          <w:tcPr>
            <w:tcW w:w="301" w:type="pct"/>
            <w:vAlign w:val="center"/>
          </w:tcPr>
          <w:p w14:paraId="75E5FC8A">
            <w:pPr>
              <w:spacing w:before="61" w:line="320" w:lineRule="exact"/>
              <w:ind w:left="5"/>
              <w:jc w:val="center"/>
              <w:rPr>
                <w:rFonts w:eastAsiaTheme="minorEastAsia"/>
                <w:szCs w:val="21"/>
              </w:rPr>
            </w:pPr>
            <w:r>
              <w:rPr>
                <w:rFonts w:hint="eastAsia"/>
                <w:szCs w:val="21"/>
              </w:rPr>
              <w:t>ND</w:t>
            </w:r>
          </w:p>
        </w:tc>
        <w:tc>
          <w:tcPr>
            <w:tcW w:w="301" w:type="pct"/>
            <w:vAlign w:val="center"/>
          </w:tcPr>
          <w:p w14:paraId="6E0D25FB">
            <w:pPr>
              <w:spacing w:before="61" w:line="320" w:lineRule="exact"/>
              <w:ind w:left="5"/>
              <w:jc w:val="center"/>
              <w:rPr>
                <w:rFonts w:eastAsiaTheme="minorEastAsia"/>
                <w:szCs w:val="21"/>
              </w:rPr>
            </w:pPr>
            <w:r>
              <w:rPr>
                <w:rFonts w:hint="eastAsia"/>
                <w:szCs w:val="21"/>
              </w:rPr>
              <w:t>ND</w:t>
            </w:r>
          </w:p>
        </w:tc>
        <w:tc>
          <w:tcPr>
            <w:tcW w:w="300" w:type="pct"/>
            <w:vAlign w:val="center"/>
          </w:tcPr>
          <w:p w14:paraId="3EA2DA84">
            <w:pPr>
              <w:spacing w:before="61" w:line="320" w:lineRule="exact"/>
              <w:ind w:left="5"/>
              <w:jc w:val="center"/>
              <w:rPr>
                <w:rFonts w:eastAsiaTheme="minorEastAsia"/>
                <w:szCs w:val="21"/>
              </w:rPr>
            </w:pPr>
            <w:r>
              <w:rPr>
                <w:rFonts w:hint="eastAsia"/>
                <w:szCs w:val="21"/>
              </w:rPr>
              <w:t>ND</w:t>
            </w:r>
          </w:p>
        </w:tc>
        <w:tc>
          <w:tcPr>
            <w:tcW w:w="300" w:type="pct"/>
            <w:vAlign w:val="center"/>
          </w:tcPr>
          <w:p w14:paraId="05349B9F">
            <w:pPr>
              <w:spacing w:before="61" w:line="320" w:lineRule="exact"/>
              <w:ind w:left="5"/>
              <w:jc w:val="center"/>
              <w:rPr>
                <w:rFonts w:eastAsiaTheme="minorEastAsia"/>
                <w:szCs w:val="21"/>
              </w:rPr>
            </w:pPr>
            <w:r>
              <w:rPr>
                <w:rFonts w:hint="eastAsia"/>
                <w:szCs w:val="21"/>
              </w:rPr>
              <w:t>ND</w:t>
            </w:r>
          </w:p>
        </w:tc>
        <w:tc>
          <w:tcPr>
            <w:tcW w:w="302" w:type="pct"/>
            <w:vAlign w:val="center"/>
          </w:tcPr>
          <w:p w14:paraId="4D92FBEE">
            <w:pPr>
              <w:spacing w:before="61" w:line="320" w:lineRule="exact"/>
              <w:ind w:left="5"/>
              <w:jc w:val="center"/>
              <w:rPr>
                <w:rFonts w:eastAsiaTheme="minorEastAsia"/>
                <w:szCs w:val="21"/>
              </w:rPr>
            </w:pPr>
            <w:r>
              <w:rPr>
                <w:rFonts w:hint="eastAsia"/>
                <w:szCs w:val="21"/>
              </w:rPr>
              <w:t>ND</w:t>
            </w:r>
          </w:p>
        </w:tc>
        <w:tc>
          <w:tcPr>
            <w:tcW w:w="297" w:type="pct"/>
            <w:vAlign w:val="center"/>
          </w:tcPr>
          <w:p w14:paraId="112B7063">
            <w:pPr>
              <w:spacing w:before="61" w:line="320" w:lineRule="exact"/>
              <w:ind w:left="5"/>
              <w:jc w:val="center"/>
              <w:rPr>
                <w:rFonts w:eastAsiaTheme="minorEastAsia"/>
                <w:szCs w:val="21"/>
              </w:rPr>
            </w:pPr>
            <w:r>
              <w:rPr>
                <w:rFonts w:hint="eastAsia"/>
                <w:szCs w:val="21"/>
              </w:rPr>
              <w:t>ND</w:t>
            </w:r>
          </w:p>
        </w:tc>
        <w:tc>
          <w:tcPr>
            <w:tcW w:w="305" w:type="pct"/>
            <w:vAlign w:val="center"/>
          </w:tcPr>
          <w:p w14:paraId="3008E480">
            <w:pPr>
              <w:spacing w:before="61" w:line="320" w:lineRule="exact"/>
              <w:ind w:left="5"/>
              <w:jc w:val="center"/>
              <w:rPr>
                <w:rFonts w:eastAsiaTheme="minorEastAsia"/>
                <w:szCs w:val="21"/>
              </w:rPr>
            </w:pPr>
            <w:r>
              <w:rPr>
                <w:rFonts w:hint="eastAsia"/>
                <w:szCs w:val="21"/>
              </w:rPr>
              <w:t>ND</w:t>
            </w:r>
          </w:p>
        </w:tc>
        <w:tc>
          <w:tcPr>
            <w:tcW w:w="370" w:type="pct"/>
            <w:vAlign w:val="center"/>
          </w:tcPr>
          <w:p w14:paraId="45FBC459">
            <w:pPr>
              <w:spacing w:before="61" w:line="320" w:lineRule="exact"/>
              <w:ind w:left="5"/>
              <w:jc w:val="center"/>
              <w:rPr>
                <w:rFonts w:eastAsiaTheme="minorEastAsia"/>
                <w:szCs w:val="21"/>
              </w:rPr>
            </w:pPr>
            <w:r>
              <w:rPr>
                <w:rFonts w:hint="eastAsia"/>
                <w:szCs w:val="21"/>
              </w:rPr>
              <w:t>ND</w:t>
            </w:r>
          </w:p>
        </w:tc>
        <w:tc>
          <w:tcPr>
            <w:tcW w:w="370" w:type="pct"/>
            <w:vAlign w:val="center"/>
          </w:tcPr>
          <w:p w14:paraId="04FFEDCE">
            <w:pPr>
              <w:spacing w:before="61" w:line="320" w:lineRule="exact"/>
              <w:ind w:left="5"/>
              <w:jc w:val="center"/>
              <w:rPr>
                <w:rFonts w:eastAsiaTheme="minorEastAsia"/>
                <w:szCs w:val="21"/>
              </w:rPr>
            </w:pPr>
            <w:r>
              <w:rPr>
                <w:rFonts w:eastAsiaTheme="minorEastAsia"/>
                <w:szCs w:val="21"/>
              </w:rPr>
              <w:t>6.8</w:t>
            </w:r>
          </w:p>
        </w:tc>
      </w:tr>
      <w:tr w14:paraId="4CC83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3362971">
            <w:pPr>
              <w:spacing w:line="320" w:lineRule="exact"/>
              <w:jc w:val="center"/>
              <w:rPr>
                <w:rFonts w:eastAsiaTheme="minorEastAsia"/>
                <w:szCs w:val="21"/>
              </w:rPr>
            </w:pPr>
            <w:r>
              <w:rPr>
                <w:rFonts w:eastAsiaTheme="minorEastAsia"/>
                <w:szCs w:val="21"/>
              </w:rPr>
              <w:t>四氯乙烯（mg/kg）</w:t>
            </w:r>
          </w:p>
        </w:tc>
        <w:tc>
          <w:tcPr>
            <w:tcW w:w="390" w:type="pct"/>
            <w:vAlign w:val="center"/>
          </w:tcPr>
          <w:p w14:paraId="3FB0F144">
            <w:pPr>
              <w:widowControl/>
              <w:jc w:val="center"/>
              <w:textAlignment w:val="center"/>
              <w:rPr>
                <w:szCs w:val="21"/>
              </w:rPr>
            </w:pPr>
            <w:r>
              <w:rPr>
                <w:rFonts w:hint="eastAsia"/>
                <w:szCs w:val="21"/>
              </w:rPr>
              <w:t>ND</w:t>
            </w:r>
          </w:p>
        </w:tc>
        <w:tc>
          <w:tcPr>
            <w:tcW w:w="389" w:type="pct"/>
            <w:vAlign w:val="center"/>
          </w:tcPr>
          <w:p w14:paraId="1AC7774A">
            <w:pPr>
              <w:spacing w:before="61" w:line="320" w:lineRule="exact"/>
              <w:jc w:val="center"/>
              <w:rPr>
                <w:rFonts w:eastAsiaTheme="minorEastAsia"/>
                <w:szCs w:val="21"/>
              </w:rPr>
            </w:pPr>
            <w:r>
              <w:rPr>
                <w:rFonts w:hint="eastAsia"/>
                <w:szCs w:val="21"/>
              </w:rPr>
              <w:t>ND</w:t>
            </w:r>
          </w:p>
        </w:tc>
        <w:tc>
          <w:tcPr>
            <w:tcW w:w="347" w:type="pct"/>
            <w:vAlign w:val="center"/>
          </w:tcPr>
          <w:p w14:paraId="54CE8288">
            <w:pPr>
              <w:spacing w:before="61" w:line="320" w:lineRule="exact"/>
              <w:jc w:val="center"/>
              <w:rPr>
                <w:szCs w:val="21"/>
              </w:rPr>
            </w:pPr>
            <w:r>
              <w:rPr>
                <w:rFonts w:hint="eastAsia"/>
                <w:szCs w:val="21"/>
              </w:rPr>
              <w:t>ND</w:t>
            </w:r>
          </w:p>
        </w:tc>
        <w:tc>
          <w:tcPr>
            <w:tcW w:w="345" w:type="pct"/>
            <w:vAlign w:val="center"/>
          </w:tcPr>
          <w:p w14:paraId="03352322">
            <w:pPr>
              <w:spacing w:before="61" w:line="320" w:lineRule="exact"/>
              <w:jc w:val="center"/>
              <w:rPr>
                <w:rFonts w:eastAsiaTheme="minorEastAsia"/>
                <w:szCs w:val="21"/>
              </w:rPr>
            </w:pPr>
            <w:r>
              <w:rPr>
                <w:rFonts w:hint="eastAsia"/>
                <w:szCs w:val="21"/>
              </w:rPr>
              <w:t>ND</w:t>
            </w:r>
          </w:p>
        </w:tc>
        <w:tc>
          <w:tcPr>
            <w:tcW w:w="301" w:type="pct"/>
            <w:vAlign w:val="center"/>
          </w:tcPr>
          <w:p w14:paraId="7FD59DF7">
            <w:pPr>
              <w:spacing w:before="61" w:line="320" w:lineRule="exact"/>
              <w:jc w:val="center"/>
              <w:rPr>
                <w:rFonts w:eastAsiaTheme="minorEastAsia"/>
                <w:szCs w:val="21"/>
              </w:rPr>
            </w:pPr>
            <w:r>
              <w:rPr>
                <w:rFonts w:hint="eastAsia"/>
                <w:szCs w:val="21"/>
              </w:rPr>
              <w:t>ND</w:t>
            </w:r>
          </w:p>
        </w:tc>
        <w:tc>
          <w:tcPr>
            <w:tcW w:w="301" w:type="pct"/>
            <w:vAlign w:val="center"/>
          </w:tcPr>
          <w:p w14:paraId="71A0E510">
            <w:pPr>
              <w:spacing w:before="61" w:line="320" w:lineRule="exact"/>
              <w:jc w:val="center"/>
              <w:rPr>
                <w:rFonts w:eastAsiaTheme="minorEastAsia"/>
                <w:szCs w:val="21"/>
              </w:rPr>
            </w:pPr>
            <w:r>
              <w:rPr>
                <w:rFonts w:hint="eastAsia"/>
                <w:szCs w:val="21"/>
              </w:rPr>
              <w:t>ND</w:t>
            </w:r>
          </w:p>
        </w:tc>
        <w:tc>
          <w:tcPr>
            <w:tcW w:w="300" w:type="pct"/>
            <w:vAlign w:val="center"/>
          </w:tcPr>
          <w:p w14:paraId="60EA4464">
            <w:pPr>
              <w:spacing w:before="61" w:line="320" w:lineRule="exact"/>
              <w:jc w:val="center"/>
              <w:rPr>
                <w:rFonts w:eastAsiaTheme="minorEastAsia"/>
                <w:szCs w:val="21"/>
              </w:rPr>
            </w:pPr>
            <w:r>
              <w:rPr>
                <w:rFonts w:hint="eastAsia"/>
                <w:szCs w:val="21"/>
              </w:rPr>
              <w:t>ND</w:t>
            </w:r>
          </w:p>
        </w:tc>
        <w:tc>
          <w:tcPr>
            <w:tcW w:w="300" w:type="pct"/>
            <w:vAlign w:val="center"/>
          </w:tcPr>
          <w:p w14:paraId="75B434C0">
            <w:pPr>
              <w:spacing w:before="61" w:line="320" w:lineRule="exact"/>
              <w:jc w:val="center"/>
              <w:rPr>
                <w:rFonts w:eastAsiaTheme="minorEastAsia"/>
                <w:szCs w:val="21"/>
              </w:rPr>
            </w:pPr>
            <w:r>
              <w:rPr>
                <w:rFonts w:hint="eastAsia"/>
                <w:szCs w:val="21"/>
              </w:rPr>
              <w:t>ND</w:t>
            </w:r>
          </w:p>
        </w:tc>
        <w:tc>
          <w:tcPr>
            <w:tcW w:w="302" w:type="pct"/>
            <w:vAlign w:val="center"/>
          </w:tcPr>
          <w:p w14:paraId="3D9574D5">
            <w:pPr>
              <w:spacing w:before="61" w:line="320" w:lineRule="exact"/>
              <w:jc w:val="center"/>
              <w:rPr>
                <w:rFonts w:eastAsiaTheme="minorEastAsia"/>
                <w:szCs w:val="21"/>
              </w:rPr>
            </w:pPr>
            <w:r>
              <w:rPr>
                <w:rFonts w:hint="eastAsia"/>
                <w:szCs w:val="21"/>
              </w:rPr>
              <w:t>ND</w:t>
            </w:r>
          </w:p>
        </w:tc>
        <w:tc>
          <w:tcPr>
            <w:tcW w:w="297" w:type="pct"/>
            <w:vAlign w:val="center"/>
          </w:tcPr>
          <w:p w14:paraId="1559C824">
            <w:pPr>
              <w:spacing w:before="61" w:line="320" w:lineRule="exact"/>
              <w:jc w:val="center"/>
              <w:rPr>
                <w:rFonts w:eastAsiaTheme="minorEastAsia"/>
                <w:szCs w:val="21"/>
              </w:rPr>
            </w:pPr>
            <w:r>
              <w:rPr>
                <w:rFonts w:hint="eastAsia"/>
                <w:szCs w:val="21"/>
              </w:rPr>
              <w:t>ND</w:t>
            </w:r>
          </w:p>
        </w:tc>
        <w:tc>
          <w:tcPr>
            <w:tcW w:w="305" w:type="pct"/>
            <w:vAlign w:val="center"/>
          </w:tcPr>
          <w:p w14:paraId="7A88B041">
            <w:pPr>
              <w:spacing w:before="61" w:line="320" w:lineRule="exact"/>
              <w:jc w:val="center"/>
              <w:rPr>
                <w:rFonts w:eastAsiaTheme="minorEastAsia"/>
                <w:szCs w:val="21"/>
              </w:rPr>
            </w:pPr>
            <w:r>
              <w:rPr>
                <w:rFonts w:hint="eastAsia"/>
                <w:szCs w:val="21"/>
              </w:rPr>
              <w:t>ND</w:t>
            </w:r>
          </w:p>
        </w:tc>
        <w:tc>
          <w:tcPr>
            <w:tcW w:w="370" w:type="pct"/>
            <w:vAlign w:val="center"/>
          </w:tcPr>
          <w:p w14:paraId="52B28B13">
            <w:pPr>
              <w:spacing w:before="61" w:line="320" w:lineRule="exact"/>
              <w:jc w:val="center"/>
              <w:rPr>
                <w:rFonts w:eastAsiaTheme="minorEastAsia"/>
                <w:szCs w:val="21"/>
              </w:rPr>
            </w:pPr>
            <w:r>
              <w:rPr>
                <w:rFonts w:hint="eastAsia"/>
                <w:szCs w:val="21"/>
              </w:rPr>
              <w:t>ND</w:t>
            </w:r>
          </w:p>
        </w:tc>
        <w:tc>
          <w:tcPr>
            <w:tcW w:w="370" w:type="pct"/>
            <w:vAlign w:val="center"/>
          </w:tcPr>
          <w:p w14:paraId="083AA7AE">
            <w:pPr>
              <w:spacing w:before="61" w:line="320" w:lineRule="exact"/>
              <w:jc w:val="center"/>
              <w:rPr>
                <w:rFonts w:eastAsiaTheme="minorEastAsia"/>
                <w:szCs w:val="21"/>
              </w:rPr>
            </w:pPr>
            <w:r>
              <w:rPr>
                <w:rFonts w:eastAsiaTheme="minorEastAsia"/>
                <w:szCs w:val="21"/>
              </w:rPr>
              <w:t>53</w:t>
            </w:r>
          </w:p>
        </w:tc>
      </w:tr>
      <w:tr w14:paraId="5C2E7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33ABE2E1">
            <w:pPr>
              <w:spacing w:line="320" w:lineRule="exact"/>
              <w:jc w:val="center"/>
              <w:rPr>
                <w:rFonts w:eastAsiaTheme="minorEastAsia"/>
                <w:szCs w:val="21"/>
              </w:rPr>
            </w:pPr>
            <w:r>
              <w:rPr>
                <w:rFonts w:eastAsiaTheme="minorEastAsia"/>
                <w:szCs w:val="21"/>
              </w:rPr>
              <w:t>1,1,1-三氯乙烷（mg/kg）</w:t>
            </w:r>
          </w:p>
        </w:tc>
        <w:tc>
          <w:tcPr>
            <w:tcW w:w="390" w:type="pct"/>
            <w:vAlign w:val="center"/>
          </w:tcPr>
          <w:p w14:paraId="34BFD79D">
            <w:pPr>
              <w:widowControl/>
              <w:jc w:val="center"/>
              <w:textAlignment w:val="center"/>
              <w:rPr>
                <w:szCs w:val="21"/>
              </w:rPr>
            </w:pPr>
            <w:r>
              <w:rPr>
                <w:rFonts w:hint="eastAsia"/>
                <w:szCs w:val="21"/>
              </w:rPr>
              <w:t>ND</w:t>
            </w:r>
          </w:p>
        </w:tc>
        <w:tc>
          <w:tcPr>
            <w:tcW w:w="389" w:type="pct"/>
            <w:vAlign w:val="center"/>
          </w:tcPr>
          <w:p w14:paraId="37AED9B6">
            <w:pPr>
              <w:spacing w:before="61" w:line="320" w:lineRule="exact"/>
              <w:jc w:val="center"/>
              <w:rPr>
                <w:rFonts w:eastAsiaTheme="minorEastAsia"/>
                <w:szCs w:val="21"/>
              </w:rPr>
            </w:pPr>
            <w:r>
              <w:rPr>
                <w:rFonts w:hint="eastAsia"/>
                <w:szCs w:val="21"/>
              </w:rPr>
              <w:t>ND</w:t>
            </w:r>
          </w:p>
        </w:tc>
        <w:tc>
          <w:tcPr>
            <w:tcW w:w="347" w:type="pct"/>
            <w:vAlign w:val="center"/>
          </w:tcPr>
          <w:p w14:paraId="7A515BB7">
            <w:pPr>
              <w:spacing w:before="61" w:line="320" w:lineRule="exact"/>
              <w:jc w:val="center"/>
              <w:rPr>
                <w:szCs w:val="21"/>
              </w:rPr>
            </w:pPr>
            <w:r>
              <w:rPr>
                <w:rFonts w:hint="eastAsia"/>
                <w:szCs w:val="21"/>
              </w:rPr>
              <w:t>ND</w:t>
            </w:r>
          </w:p>
        </w:tc>
        <w:tc>
          <w:tcPr>
            <w:tcW w:w="345" w:type="pct"/>
            <w:vAlign w:val="center"/>
          </w:tcPr>
          <w:p w14:paraId="05CF84CA">
            <w:pPr>
              <w:spacing w:before="61" w:line="320" w:lineRule="exact"/>
              <w:jc w:val="center"/>
              <w:rPr>
                <w:rFonts w:eastAsiaTheme="minorEastAsia"/>
                <w:szCs w:val="21"/>
              </w:rPr>
            </w:pPr>
            <w:r>
              <w:rPr>
                <w:rFonts w:hint="eastAsia"/>
                <w:szCs w:val="21"/>
              </w:rPr>
              <w:t>ND</w:t>
            </w:r>
          </w:p>
        </w:tc>
        <w:tc>
          <w:tcPr>
            <w:tcW w:w="301" w:type="pct"/>
            <w:vAlign w:val="center"/>
          </w:tcPr>
          <w:p w14:paraId="1FA5B8FC">
            <w:pPr>
              <w:spacing w:before="61" w:line="320" w:lineRule="exact"/>
              <w:jc w:val="center"/>
              <w:rPr>
                <w:rFonts w:eastAsiaTheme="minorEastAsia"/>
                <w:szCs w:val="21"/>
              </w:rPr>
            </w:pPr>
            <w:r>
              <w:rPr>
                <w:rFonts w:hint="eastAsia"/>
                <w:szCs w:val="21"/>
              </w:rPr>
              <w:t>ND</w:t>
            </w:r>
          </w:p>
        </w:tc>
        <w:tc>
          <w:tcPr>
            <w:tcW w:w="301" w:type="pct"/>
            <w:vAlign w:val="center"/>
          </w:tcPr>
          <w:p w14:paraId="4E7AD0B4">
            <w:pPr>
              <w:spacing w:before="61" w:line="320" w:lineRule="exact"/>
              <w:jc w:val="center"/>
              <w:rPr>
                <w:rFonts w:eastAsiaTheme="minorEastAsia"/>
                <w:szCs w:val="21"/>
              </w:rPr>
            </w:pPr>
            <w:r>
              <w:rPr>
                <w:rFonts w:hint="eastAsia"/>
                <w:szCs w:val="21"/>
              </w:rPr>
              <w:t>ND</w:t>
            </w:r>
          </w:p>
        </w:tc>
        <w:tc>
          <w:tcPr>
            <w:tcW w:w="300" w:type="pct"/>
            <w:vAlign w:val="center"/>
          </w:tcPr>
          <w:p w14:paraId="7F8FBBC2">
            <w:pPr>
              <w:spacing w:before="61" w:line="320" w:lineRule="exact"/>
              <w:jc w:val="center"/>
              <w:rPr>
                <w:rFonts w:eastAsiaTheme="minorEastAsia"/>
                <w:szCs w:val="21"/>
              </w:rPr>
            </w:pPr>
            <w:r>
              <w:rPr>
                <w:rFonts w:hint="eastAsia"/>
                <w:szCs w:val="21"/>
              </w:rPr>
              <w:t>ND</w:t>
            </w:r>
          </w:p>
        </w:tc>
        <w:tc>
          <w:tcPr>
            <w:tcW w:w="300" w:type="pct"/>
            <w:vAlign w:val="center"/>
          </w:tcPr>
          <w:p w14:paraId="0CF4E903">
            <w:pPr>
              <w:spacing w:before="61" w:line="320" w:lineRule="exact"/>
              <w:jc w:val="center"/>
              <w:rPr>
                <w:rFonts w:eastAsiaTheme="minorEastAsia"/>
                <w:szCs w:val="21"/>
              </w:rPr>
            </w:pPr>
            <w:r>
              <w:rPr>
                <w:rFonts w:hint="eastAsia"/>
                <w:szCs w:val="21"/>
              </w:rPr>
              <w:t>ND</w:t>
            </w:r>
          </w:p>
        </w:tc>
        <w:tc>
          <w:tcPr>
            <w:tcW w:w="302" w:type="pct"/>
            <w:vAlign w:val="center"/>
          </w:tcPr>
          <w:p w14:paraId="1ECFFB70">
            <w:pPr>
              <w:spacing w:before="61" w:line="320" w:lineRule="exact"/>
              <w:jc w:val="center"/>
              <w:rPr>
                <w:rFonts w:eastAsiaTheme="minorEastAsia"/>
                <w:szCs w:val="21"/>
              </w:rPr>
            </w:pPr>
            <w:r>
              <w:rPr>
                <w:rFonts w:hint="eastAsia"/>
                <w:szCs w:val="21"/>
              </w:rPr>
              <w:t>ND</w:t>
            </w:r>
          </w:p>
        </w:tc>
        <w:tc>
          <w:tcPr>
            <w:tcW w:w="297" w:type="pct"/>
            <w:vAlign w:val="center"/>
          </w:tcPr>
          <w:p w14:paraId="1FC8F541">
            <w:pPr>
              <w:spacing w:before="61" w:line="320" w:lineRule="exact"/>
              <w:jc w:val="center"/>
              <w:rPr>
                <w:rFonts w:eastAsiaTheme="minorEastAsia"/>
                <w:szCs w:val="21"/>
              </w:rPr>
            </w:pPr>
            <w:r>
              <w:rPr>
                <w:rFonts w:hint="eastAsia"/>
                <w:szCs w:val="21"/>
              </w:rPr>
              <w:t>ND</w:t>
            </w:r>
          </w:p>
        </w:tc>
        <w:tc>
          <w:tcPr>
            <w:tcW w:w="305" w:type="pct"/>
            <w:vAlign w:val="center"/>
          </w:tcPr>
          <w:p w14:paraId="7DB67386">
            <w:pPr>
              <w:spacing w:before="61" w:line="320" w:lineRule="exact"/>
              <w:jc w:val="center"/>
              <w:rPr>
                <w:rFonts w:eastAsiaTheme="minorEastAsia"/>
                <w:szCs w:val="21"/>
              </w:rPr>
            </w:pPr>
            <w:r>
              <w:rPr>
                <w:rFonts w:hint="eastAsia"/>
                <w:szCs w:val="21"/>
              </w:rPr>
              <w:t>ND</w:t>
            </w:r>
          </w:p>
        </w:tc>
        <w:tc>
          <w:tcPr>
            <w:tcW w:w="370" w:type="pct"/>
            <w:vAlign w:val="center"/>
          </w:tcPr>
          <w:p w14:paraId="0671B41D">
            <w:pPr>
              <w:spacing w:before="61" w:line="320" w:lineRule="exact"/>
              <w:jc w:val="center"/>
              <w:rPr>
                <w:rFonts w:eastAsiaTheme="minorEastAsia"/>
                <w:szCs w:val="21"/>
              </w:rPr>
            </w:pPr>
            <w:r>
              <w:rPr>
                <w:rFonts w:hint="eastAsia"/>
                <w:szCs w:val="21"/>
              </w:rPr>
              <w:t>ND</w:t>
            </w:r>
          </w:p>
        </w:tc>
        <w:tc>
          <w:tcPr>
            <w:tcW w:w="370" w:type="pct"/>
            <w:vAlign w:val="center"/>
          </w:tcPr>
          <w:p w14:paraId="5240669F">
            <w:pPr>
              <w:spacing w:before="61" w:line="320" w:lineRule="exact"/>
              <w:jc w:val="center"/>
              <w:rPr>
                <w:rFonts w:eastAsiaTheme="minorEastAsia"/>
                <w:szCs w:val="21"/>
              </w:rPr>
            </w:pPr>
            <w:r>
              <w:rPr>
                <w:rFonts w:eastAsiaTheme="minorEastAsia"/>
                <w:szCs w:val="21"/>
              </w:rPr>
              <w:t>840</w:t>
            </w:r>
          </w:p>
        </w:tc>
      </w:tr>
      <w:tr w14:paraId="5D2A5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667C98D0">
            <w:pPr>
              <w:spacing w:line="320" w:lineRule="exact"/>
              <w:jc w:val="center"/>
              <w:rPr>
                <w:rFonts w:eastAsiaTheme="minorEastAsia"/>
                <w:szCs w:val="21"/>
              </w:rPr>
            </w:pPr>
            <w:r>
              <w:rPr>
                <w:rFonts w:eastAsiaTheme="minorEastAsia"/>
                <w:szCs w:val="21"/>
              </w:rPr>
              <w:t>1,1,2-三氯乙烷（mg/kg）</w:t>
            </w:r>
          </w:p>
        </w:tc>
        <w:tc>
          <w:tcPr>
            <w:tcW w:w="390" w:type="pct"/>
            <w:vAlign w:val="center"/>
          </w:tcPr>
          <w:p w14:paraId="1B3AA447">
            <w:pPr>
              <w:widowControl/>
              <w:jc w:val="center"/>
              <w:textAlignment w:val="center"/>
              <w:rPr>
                <w:szCs w:val="21"/>
              </w:rPr>
            </w:pPr>
            <w:r>
              <w:rPr>
                <w:rFonts w:hint="eastAsia"/>
                <w:szCs w:val="21"/>
              </w:rPr>
              <w:t>ND</w:t>
            </w:r>
          </w:p>
        </w:tc>
        <w:tc>
          <w:tcPr>
            <w:tcW w:w="389" w:type="pct"/>
            <w:vAlign w:val="center"/>
          </w:tcPr>
          <w:p w14:paraId="2051BBA1">
            <w:pPr>
              <w:spacing w:before="61" w:line="320" w:lineRule="exact"/>
              <w:ind w:left="5"/>
              <w:jc w:val="center"/>
              <w:rPr>
                <w:rFonts w:eastAsiaTheme="minorEastAsia"/>
                <w:szCs w:val="21"/>
              </w:rPr>
            </w:pPr>
            <w:r>
              <w:rPr>
                <w:rFonts w:hint="eastAsia"/>
                <w:szCs w:val="21"/>
              </w:rPr>
              <w:t>ND</w:t>
            </w:r>
          </w:p>
        </w:tc>
        <w:tc>
          <w:tcPr>
            <w:tcW w:w="347" w:type="pct"/>
            <w:vAlign w:val="center"/>
          </w:tcPr>
          <w:p w14:paraId="428A2205">
            <w:pPr>
              <w:spacing w:before="61" w:line="320" w:lineRule="exact"/>
              <w:ind w:left="5"/>
              <w:jc w:val="center"/>
              <w:rPr>
                <w:szCs w:val="21"/>
              </w:rPr>
            </w:pPr>
            <w:r>
              <w:rPr>
                <w:rFonts w:hint="eastAsia"/>
                <w:szCs w:val="21"/>
              </w:rPr>
              <w:t>ND</w:t>
            </w:r>
          </w:p>
        </w:tc>
        <w:tc>
          <w:tcPr>
            <w:tcW w:w="345" w:type="pct"/>
            <w:vAlign w:val="center"/>
          </w:tcPr>
          <w:p w14:paraId="714E7593">
            <w:pPr>
              <w:spacing w:before="61" w:line="320" w:lineRule="exact"/>
              <w:ind w:left="5"/>
              <w:jc w:val="center"/>
              <w:rPr>
                <w:rFonts w:eastAsiaTheme="minorEastAsia"/>
                <w:szCs w:val="21"/>
              </w:rPr>
            </w:pPr>
            <w:r>
              <w:rPr>
                <w:rFonts w:hint="eastAsia"/>
                <w:szCs w:val="21"/>
              </w:rPr>
              <w:t>ND</w:t>
            </w:r>
          </w:p>
        </w:tc>
        <w:tc>
          <w:tcPr>
            <w:tcW w:w="301" w:type="pct"/>
            <w:vAlign w:val="center"/>
          </w:tcPr>
          <w:p w14:paraId="7AD93F7F">
            <w:pPr>
              <w:spacing w:before="61" w:line="320" w:lineRule="exact"/>
              <w:ind w:left="5"/>
              <w:jc w:val="center"/>
              <w:rPr>
                <w:rFonts w:eastAsiaTheme="minorEastAsia"/>
                <w:szCs w:val="21"/>
              </w:rPr>
            </w:pPr>
            <w:r>
              <w:rPr>
                <w:rFonts w:hint="eastAsia"/>
                <w:szCs w:val="21"/>
              </w:rPr>
              <w:t>ND</w:t>
            </w:r>
          </w:p>
        </w:tc>
        <w:tc>
          <w:tcPr>
            <w:tcW w:w="301" w:type="pct"/>
            <w:vAlign w:val="center"/>
          </w:tcPr>
          <w:p w14:paraId="229BF090">
            <w:pPr>
              <w:spacing w:before="61" w:line="320" w:lineRule="exact"/>
              <w:ind w:left="5"/>
              <w:jc w:val="center"/>
              <w:rPr>
                <w:rFonts w:eastAsiaTheme="minorEastAsia"/>
                <w:szCs w:val="21"/>
              </w:rPr>
            </w:pPr>
            <w:r>
              <w:rPr>
                <w:rFonts w:hint="eastAsia"/>
                <w:szCs w:val="21"/>
              </w:rPr>
              <w:t>ND</w:t>
            </w:r>
          </w:p>
        </w:tc>
        <w:tc>
          <w:tcPr>
            <w:tcW w:w="300" w:type="pct"/>
            <w:vAlign w:val="center"/>
          </w:tcPr>
          <w:p w14:paraId="43A7AADD">
            <w:pPr>
              <w:spacing w:before="61" w:line="320" w:lineRule="exact"/>
              <w:ind w:left="5"/>
              <w:jc w:val="center"/>
              <w:rPr>
                <w:rFonts w:eastAsiaTheme="minorEastAsia"/>
                <w:szCs w:val="21"/>
              </w:rPr>
            </w:pPr>
            <w:r>
              <w:rPr>
                <w:rFonts w:hint="eastAsia"/>
                <w:szCs w:val="21"/>
              </w:rPr>
              <w:t>ND</w:t>
            </w:r>
          </w:p>
        </w:tc>
        <w:tc>
          <w:tcPr>
            <w:tcW w:w="300" w:type="pct"/>
            <w:vAlign w:val="center"/>
          </w:tcPr>
          <w:p w14:paraId="452AC036">
            <w:pPr>
              <w:spacing w:before="61" w:line="320" w:lineRule="exact"/>
              <w:ind w:left="5"/>
              <w:jc w:val="center"/>
              <w:rPr>
                <w:rFonts w:eastAsiaTheme="minorEastAsia"/>
                <w:szCs w:val="21"/>
              </w:rPr>
            </w:pPr>
            <w:r>
              <w:rPr>
                <w:rFonts w:hint="eastAsia"/>
                <w:szCs w:val="21"/>
              </w:rPr>
              <w:t>ND</w:t>
            </w:r>
          </w:p>
        </w:tc>
        <w:tc>
          <w:tcPr>
            <w:tcW w:w="302" w:type="pct"/>
            <w:vAlign w:val="center"/>
          </w:tcPr>
          <w:p w14:paraId="5C333C5E">
            <w:pPr>
              <w:spacing w:before="61" w:line="320" w:lineRule="exact"/>
              <w:ind w:left="5"/>
              <w:jc w:val="center"/>
              <w:rPr>
                <w:rFonts w:eastAsiaTheme="minorEastAsia"/>
                <w:szCs w:val="21"/>
              </w:rPr>
            </w:pPr>
            <w:r>
              <w:rPr>
                <w:rFonts w:hint="eastAsia"/>
                <w:szCs w:val="21"/>
              </w:rPr>
              <w:t>ND</w:t>
            </w:r>
          </w:p>
        </w:tc>
        <w:tc>
          <w:tcPr>
            <w:tcW w:w="297" w:type="pct"/>
            <w:vAlign w:val="center"/>
          </w:tcPr>
          <w:p w14:paraId="741A26E4">
            <w:pPr>
              <w:spacing w:before="61" w:line="320" w:lineRule="exact"/>
              <w:ind w:left="5"/>
              <w:jc w:val="center"/>
              <w:rPr>
                <w:rFonts w:eastAsiaTheme="minorEastAsia"/>
                <w:szCs w:val="21"/>
              </w:rPr>
            </w:pPr>
            <w:r>
              <w:rPr>
                <w:rFonts w:hint="eastAsia"/>
                <w:szCs w:val="21"/>
              </w:rPr>
              <w:t>ND</w:t>
            </w:r>
          </w:p>
        </w:tc>
        <w:tc>
          <w:tcPr>
            <w:tcW w:w="305" w:type="pct"/>
            <w:vAlign w:val="center"/>
          </w:tcPr>
          <w:p w14:paraId="47C4C98A">
            <w:pPr>
              <w:spacing w:before="61" w:line="320" w:lineRule="exact"/>
              <w:ind w:left="5"/>
              <w:jc w:val="center"/>
              <w:rPr>
                <w:rFonts w:eastAsiaTheme="minorEastAsia"/>
                <w:szCs w:val="21"/>
              </w:rPr>
            </w:pPr>
            <w:r>
              <w:rPr>
                <w:rFonts w:hint="eastAsia"/>
                <w:szCs w:val="21"/>
              </w:rPr>
              <w:t>ND</w:t>
            </w:r>
          </w:p>
        </w:tc>
        <w:tc>
          <w:tcPr>
            <w:tcW w:w="370" w:type="pct"/>
            <w:vAlign w:val="center"/>
          </w:tcPr>
          <w:p w14:paraId="35D63611">
            <w:pPr>
              <w:spacing w:before="61" w:line="320" w:lineRule="exact"/>
              <w:ind w:left="5"/>
              <w:jc w:val="center"/>
              <w:rPr>
                <w:rFonts w:eastAsiaTheme="minorEastAsia"/>
                <w:szCs w:val="21"/>
              </w:rPr>
            </w:pPr>
            <w:r>
              <w:rPr>
                <w:rFonts w:hint="eastAsia"/>
                <w:szCs w:val="21"/>
              </w:rPr>
              <w:t>ND</w:t>
            </w:r>
          </w:p>
        </w:tc>
        <w:tc>
          <w:tcPr>
            <w:tcW w:w="370" w:type="pct"/>
            <w:vAlign w:val="center"/>
          </w:tcPr>
          <w:p w14:paraId="75A765EE">
            <w:pPr>
              <w:spacing w:before="61" w:line="320" w:lineRule="exact"/>
              <w:ind w:left="5"/>
              <w:jc w:val="center"/>
              <w:rPr>
                <w:rFonts w:eastAsiaTheme="minorEastAsia"/>
                <w:szCs w:val="21"/>
              </w:rPr>
            </w:pPr>
            <w:r>
              <w:rPr>
                <w:rFonts w:eastAsiaTheme="minorEastAsia"/>
                <w:szCs w:val="21"/>
              </w:rPr>
              <w:t>2.8</w:t>
            </w:r>
          </w:p>
        </w:tc>
      </w:tr>
      <w:tr w14:paraId="2CCD0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0B0AB9C">
            <w:pPr>
              <w:spacing w:line="320" w:lineRule="exact"/>
              <w:jc w:val="center"/>
              <w:rPr>
                <w:rFonts w:eastAsiaTheme="minorEastAsia"/>
                <w:szCs w:val="21"/>
              </w:rPr>
            </w:pPr>
            <w:r>
              <w:rPr>
                <w:rFonts w:eastAsiaTheme="minorEastAsia"/>
                <w:szCs w:val="21"/>
              </w:rPr>
              <w:t>三氯乙烯（mg/kg）</w:t>
            </w:r>
          </w:p>
        </w:tc>
        <w:tc>
          <w:tcPr>
            <w:tcW w:w="390" w:type="pct"/>
            <w:vAlign w:val="center"/>
          </w:tcPr>
          <w:p w14:paraId="41ED958B">
            <w:pPr>
              <w:widowControl/>
              <w:jc w:val="center"/>
              <w:rPr>
                <w:szCs w:val="21"/>
              </w:rPr>
            </w:pPr>
            <w:r>
              <w:rPr>
                <w:rFonts w:hint="eastAsia"/>
                <w:szCs w:val="21"/>
              </w:rPr>
              <w:t>ND</w:t>
            </w:r>
          </w:p>
        </w:tc>
        <w:tc>
          <w:tcPr>
            <w:tcW w:w="389" w:type="pct"/>
            <w:vAlign w:val="center"/>
          </w:tcPr>
          <w:p w14:paraId="49BD345C">
            <w:pPr>
              <w:spacing w:before="63" w:line="320" w:lineRule="exact"/>
              <w:ind w:left="5"/>
              <w:jc w:val="center"/>
              <w:rPr>
                <w:rFonts w:eastAsiaTheme="minorEastAsia"/>
                <w:szCs w:val="21"/>
              </w:rPr>
            </w:pPr>
            <w:r>
              <w:rPr>
                <w:rFonts w:hint="eastAsia"/>
                <w:szCs w:val="21"/>
              </w:rPr>
              <w:t>ND</w:t>
            </w:r>
          </w:p>
        </w:tc>
        <w:tc>
          <w:tcPr>
            <w:tcW w:w="347" w:type="pct"/>
            <w:vAlign w:val="center"/>
          </w:tcPr>
          <w:p w14:paraId="20B4740A">
            <w:pPr>
              <w:spacing w:before="63" w:line="320" w:lineRule="exact"/>
              <w:ind w:left="5"/>
              <w:jc w:val="center"/>
              <w:rPr>
                <w:szCs w:val="21"/>
              </w:rPr>
            </w:pPr>
            <w:r>
              <w:rPr>
                <w:rFonts w:hint="eastAsia"/>
                <w:szCs w:val="21"/>
              </w:rPr>
              <w:t>ND</w:t>
            </w:r>
          </w:p>
        </w:tc>
        <w:tc>
          <w:tcPr>
            <w:tcW w:w="345" w:type="pct"/>
            <w:vAlign w:val="center"/>
          </w:tcPr>
          <w:p w14:paraId="69219291">
            <w:pPr>
              <w:spacing w:before="63" w:line="320" w:lineRule="exact"/>
              <w:ind w:left="5"/>
              <w:jc w:val="center"/>
              <w:rPr>
                <w:rFonts w:eastAsiaTheme="minorEastAsia"/>
                <w:szCs w:val="21"/>
              </w:rPr>
            </w:pPr>
            <w:r>
              <w:rPr>
                <w:rFonts w:hint="eastAsia"/>
                <w:szCs w:val="21"/>
              </w:rPr>
              <w:t>ND</w:t>
            </w:r>
          </w:p>
        </w:tc>
        <w:tc>
          <w:tcPr>
            <w:tcW w:w="301" w:type="pct"/>
            <w:vAlign w:val="center"/>
          </w:tcPr>
          <w:p w14:paraId="6D1C9B67">
            <w:pPr>
              <w:spacing w:before="63" w:line="320" w:lineRule="exact"/>
              <w:ind w:left="5"/>
              <w:jc w:val="center"/>
              <w:rPr>
                <w:rFonts w:eastAsiaTheme="minorEastAsia"/>
                <w:szCs w:val="21"/>
              </w:rPr>
            </w:pPr>
            <w:r>
              <w:rPr>
                <w:rFonts w:hint="eastAsia"/>
                <w:szCs w:val="21"/>
              </w:rPr>
              <w:t>ND</w:t>
            </w:r>
          </w:p>
        </w:tc>
        <w:tc>
          <w:tcPr>
            <w:tcW w:w="301" w:type="pct"/>
            <w:vAlign w:val="center"/>
          </w:tcPr>
          <w:p w14:paraId="46318D28">
            <w:pPr>
              <w:spacing w:before="63" w:line="320" w:lineRule="exact"/>
              <w:ind w:left="5"/>
              <w:jc w:val="center"/>
              <w:rPr>
                <w:rFonts w:eastAsiaTheme="minorEastAsia"/>
                <w:szCs w:val="21"/>
              </w:rPr>
            </w:pPr>
            <w:r>
              <w:rPr>
                <w:rFonts w:hint="eastAsia"/>
                <w:szCs w:val="21"/>
              </w:rPr>
              <w:t>ND</w:t>
            </w:r>
          </w:p>
        </w:tc>
        <w:tc>
          <w:tcPr>
            <w:tcW w:w="300" w:type="pct"/>
            <w:vAlign w:val="center"/>
          </w:tcPr>
          <w:p w14:paraId="695A7769">
            <w:pPr>
              <w:spacing w:before="63" w:line="320" w:lineRule="exact"/>
              <w:ind w:left="5"/>
              <w:jc w:val="center"/>
              <w:rPr>
                <w:rFonts w:eastAsiaTheme="minorEastAsia"/>
                <w:szCs w:val="21"/>
              </w:rPr>
            </w:pPr>
            <w:r>
              <w:rPr>
                <w:rFonts w:hint="eastAsia"/>
                <w:szCs w:val="21"/>
              </w:rPr>
              <w:t>ND</w:t>
            </w:r>
          </w:p>
        </w:tc>
        <w:tc>
          <w:tcPr>
            <w:tcW w:w="300" w:type="pct"/>
            <w:vAlign w:val="center"/>
          </w:tcPr>
          <w:p w14:paraId="41E663ED">
            <w:pPr>
              <w:spacing w:before="63" w:line="320" w:lineRule="exact"/>
              <w:ind w:left="5"/>
              <w:jc w:val="center"/>
              <w:rPr>
                <w:rFonts w:eastAsiaTheme="minorEastAsia"/>
                <w:szCs w:val="21"/>
              </w:rPr>
            </w:pPr>
            <w:r>
              <w:rPr>
                <w:rFonts w:hint="eastAsia"/>
                <w:szCs w:val="21"/>
              </w:rPr>
              <w:t>ND</w:t>
            </w:r>
          </w:p>
        </w:tc>
        <w:tc>
          <w:tcPr>
            <w:tcW w:w="302" w:type="pct"/>
            <w:vAlign w:val="center"/>
          </w:tcPr>
          <w:p w14:paraId="163AC589">
            <w:pPr>
              <w:spacing w:before="63" w:line="320" w:lineRule="exact"/>
              <w:ind w:left="5"/>
              <w:jc w:val="center"/>
              <w:rPr>
                <w:rFonts w:eastAsiaTheme="minorEastAsia"/>
                <w:szCs w:val="21"/>
              </w:rPr>
            </w:pPr>
            <w:r>
              <w:rPr>
                <w:rFonts w:hint="eastAsia"/>
                <w:szCs w:val="21"/>
              </w:rPr>
              <w:t>ND</w:t>
            </w:r>
          </w:p>
        </w:tc>
        <w:tc>
          <w:tcPr>
            <w:tcW w:w="297" w:type="pct"/>
            <w:vAlign w:val="center"/>
          </w:tcPr>
          <w:p w14:paraId="33BC0B0C">
            <w:pPr>
              <w:spacing w:before="63" w:line="320" w:lineRule="exact"/>
              <w:ind w:left="5"/>
              <w:jc w:val="center"/>
              <w:rPr>
                <w:rFonts w:eastAsiaTheme="minorEastAsia"/>
                <w:szCs w:val="21"/>
              </w:rPr>
            </w:pPr>
            <w:r>
              <w:rPr>
                <w:rFonts w:hint="eastAsia"/>
                <w:szCs w:val="21"/>
              </w:rPr>
              <w:t>ND</w:t>
            </w:r>
          </w:p>
        </w:tc>
        <w:tc>
          <w:tcPr>
            <w:tcW w:w="305" w:type="pct"/>
            <w:vAlign w:val="center"/>
          </w:tcPr>
          <w:p w14:paraId="7E22937B">
            <w:pPr>
              <w:spacing w:before="63" w:line="320" w:lineRule="exact"/>
              <w:ind w:left="5"/>
              <w:jc w:val="center"/>
              <w:rPr>
                <w:rFonts w:eastAsiaTheme="minorEastAsia"/>
                <w:szCs w:val="21"/>
              </w:rPr>
            </w:pPr>
            <w:r>
              <w:rPr>
                <w:rFonts w:hint="eastAsia"/>
                <w:szCs w:val="21"/>
              </w:rPr>
              <w:t>ND</w:t>
            </w:r>
          </w:p>
        </w:tc>
        <w:tc>
          <w:tcPr>
            <w:tcW w:w="370" w:type="pct"/>
            <w:vAlign w:val="center"/>
          </w:tcPr>
          <w:p w14:paraId="156ED5C8">
            <w:pPr>
              <w:spacing w:before="63" w:line="320" w:lineRule="exact"/>
              <w:ind w:left="5"/>
              <w:jc w:val="center"/>
              <w:rPr>
                <w:rFonts w:eastAsiaTheme="minorEastAsia"/>
                <w:szCs w:val="21"/>
              </w:rPr>
            </w:pPr>
            <w:r>
              <w:rPr>
                <w:rFonts w:hint="eastAsia"/>
                <w:szCs w:val="21"/>
              </w:rPr>
              <w:t>ND</w:t>
            </w:r>
          </w:p>
        </w:tc>
        <w:tc>
          <w:tcPr>
            <w:tcW w:w="370" w:type="pct"/>
            <w:vAlign w:val="center"/>
          </w:tcPr>
          <w:p w14:paraId="0B3E8AAA">
            <w:pPr>
              <w:spacing w:before="63" w:line="320" w:lineRule="exact"/>
              <w:ind w:left="5"/>
              <w:jc w:val="center"/>
              <w:rPr>
                <w:rFonts w:eastAsiaTheme="minorEastAsia"/>
                <w:szCs w:val="21"/>
              </w:rPr>
            </w:pPr>
            <w:r>
              <w:rPr>
                <w:rFonts w:eastAsiaTheme="minorEastAsia"/>
                <w:szCs w:val="21"/>
              </w:rPr>
              <w:t>2.8</w:t>
            </w:r>
          </w:p>
        </w:tc>
      </w:tr>
      <w:tr w14:paraId="5CEC8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4D3CD5A">
            <w:pPr>
              <w:spacing w:line="320" w:lineRule="exact"/>
              <w:jc w:val="center"/>
              <w:rPr>
                <w:rFonts w:eastAsiaTheme="minorEastAsia"/>
                <w:szCs w:val="21"/>
              </w:rPr>
            </w:pPr>
            <w:r>
              <w:rPr>
                <w:rFonts w:eastAsiaTheme="minorEastAsia"/>
                <w:szCs w:val="21"/>
              </w:rPr>
              <w:t>1,2,3-三氯丙烷（mg/kg）</w:t>
            </w:r>
          </w:p>
        </w:tc>
        <w:tc>
          <w:tcPr>
            <w:tcW w:w="390" w:type="pct"/>
            <w:vAlign w:val="center"/>
          </w:tcPr>
          <w:p w14:paraId="70D2485E">
            <w:pPr>
              <w:widowControl/>
              <w:jc w:val="center"/>
              <w:rPr>
                <w:szCs w:val="21"/>
              </w:rPr>
            </w:pPr>
            <w:r>
              <w:rPr>
                <w:rFonts w:hint="eastAsia"/>
                <w:szCs w:val="21"/>
              </w:rPr>
              <w:t>ND</w:t>
            </w:r>
          </w:p>
        </w:tc>
        <w:tc>
          <w:tcPr>
            <w:tcW w:w="389" w:type="pct"/>
            <w:vAlign w:val="center"/>
          </w:tcPr>
          <w:p w14:paraId="60A38EBA">
            <w:pPr>
              <w:spacing w:before="63" w:line="320" w:lineRule="exact"/>
              <w:ind w:left="5"/>
              <w:jc w:val="center"/>
              <w:rPr>
                <w:rFonts w:eastAsiaTheme="minorEastAsia"/>
                <w:szCs w:val="21"/>
              </w:rPr>
            </w:pPr>
            <w:r>
              <w:rPr>
                <w:rFonts w:hint="eastAsia"/>
                <w:szCs w:val="21"/>
              </w:rPr>
              <w:t>ND</w:t>
            </w:r>
          </w:p>
        </w:tc>
        <w:tc>
          <w:tcPr>
            <w:tcW w:w="347" w:type="pct"/>
            <w:vAlign w:val="center"/>
          </w:tcPr>
          <w:p w14:paraId="60FA30CA">
            <w:pPr>
              <w:spacing w:before="63" w:line="320" w:lineRule="exact"/>
              <w:ind w:left="5"/>
              <w:jc w:val="center"/>
              <w:rPr>
                <w:szCs w:val="21"/>
              </w:rPr>
            </w:pPr>
            <w:r>
              <w:rPr>
                <w:rFonts w:hint="eastAsia"/>
                <w:szCs w:val="21"/>
              </w:rPr>
              <w:t>ND</w:t>
            </w:r>
          </w:p>
        </w:tc>
        <w:tc>
          <w:tcPr>
            <w:tcW w:w="345" w:type="pct"/>
            <w:vAlign w:val="center"/>
          </w:tcPr>
          <w:p w14:paraId="5F445B4D">
            <w:pPr>
              <w:spacing w:before="63" w:line="320" w:lineRule="exact"/>
              <w:ind w:left="5"/>
              <w:jc w:val="center"/>
              <w:rPr>
                <w:rFonts w:eastAsiaTheme="minorEastAsia"/>
                <w:szCs w:val="21"/>
              </w:rPr>
            </w:pPr>
            <w:r>
              <w:rPr>
                <w:rFonts w:hint="eastAsia"/>
                <w:szCs w:val="21"/>
              </w:rPr>
              <w:t>ND</w:t>
            </w:r>
          </w:p>
        </w:tc>
        <w:tc>
          <w:tcPr>
            <w:tcW w:w="301" w:type="pct"/>
            <w:vAlign w:val="center"/>
          </w:tcPr>
          <w:p w14:paraId="6072E235">
            <w:pPr>
              <w:spacing w:before="63" w:line="320" w:lineRule="exact"/>
              <w:ind w:left="5"/>
              <w:jc w:val="center"/>
              <w:rPr>
                <w:rFonts w:eastAsiaTheme="minorEastAsia"/>
                <w:szCs w:val="21"/>
              </w:rPr>
            </w:pPr>
            <w:r>
              <w:rPr>
                <w:rFonts w:hint="eastAsia"/>
                <w:szCs w:val="21"/>
              </w:rPr>
              <w:t>ND</w:t>
            </w:r>
          </w:p>
        </w:tc>
        <w:tc>
          <w:tcPr>
            <w:tcW w:w="301" w:type="pct"/>
            <w:vAlign w:val="center"/>
          </w:tcPr>
          <w:p w14:paraId="7EC15BED">
            <w:pPr>
              <w:spacing w:before="63" w:line="320" w:lineRule="exact"/>
              <w:ind w:left="5"/>
              <w:jc w:val="center"/>
              <w:rPr>
                <w:rFonts w:eastAsiaTheme="minorEastAsia"/>
                <w:szCs w:val="21"/>
              </w:rPr>
            </w:pPr>
            <w:r>
              <w:rPr>
                <w:rFonts w:hint="eastAsia"/>
                <w:szCs w:val="21"/>
              </w:rPr>
              <w:t>ND</w:t>
            </w:r>
          </w:p>
        </w:tc>
        <w:tc>
          <w:tcPr>
            <w:tcW w:w="300" w:type="pct"/>
            <w:vAlign w:val="center"/>
          </w:tcPr>
          <w:p w14:paraId="5FF39C65">
            <w:pPr>
              <w:spacing w:before="63" w:line="320" w:lineRule="exact"/>
              <w:ind w:left="5"/>
              <w:jc w:val="center"/>
              <w:rPr>
                <w:rFonts w:eastAsiaTheme="minorEastAsia"/>
                <w:szCs w:val="21"/>
              </w:rPr>
            </w:pPr>
            <w:r>
              <w:rPr>
                <w:rFonts w:hint="eastAsia"/>
                <w:szCs w:val="21"/>
              </w:rPr>
              <w:t>ND</w:t>
            </w:r>
          </w:p>
        </w:tc>
        <w:tc>
          <w:tcPr>
            <w:tcW w:w="300" w:type="pct"/>
            <w:vAlign w:val="center"/>
          </w:tcPr>
          <w:p w14:paraId="401C9CE1">
            <w:pPr>
              <w:spacing w:before="63" w:line="320" w:lineRule="exact"/>
              <w:ind w:left="5"/>
              <w:jc w:val="center"/>
              <w:rPr>
                <w:rFonts w:eastAsiaTheme="minorEastAsia"/>
                <w:szCs w:val="21"/>
              </w:rPr>
            </w:pPr>
            <w:r>
              <w:rPr>
                <w:rFonts w:hint="eastAsia"/>
                <w:szCs w:val="21"/>
              </w:rPr>
              <w:t>ND</w:t>
            </w:r>
          </w:p>
        </w:tc>
        <w:tc>
          <w:tcPr>
            <w:tcW w:w="302" w:type="pct"/>
            <w:vAlign w:val="center"/>
          </w:tcPr>
          <w:p w14:paraId="1853C014">
            <w:pPr>
              <w:spacing w:before="63" w:line="320" w:lineRule="exact"/>
              <w:ind w:left="5"/>
              <w:jc w:val="center"/>
              <w:rPr>
                <w:rFonts w:eastAsiaTheme="minorEastAsia"/>
                <w:szCs w:val="21"/>
              </w:rPr>
            </w:pPr>
            <w:r>
              <w:rPr>
                <w:rFonts w:hint="eastAsia"/>
                <w:szCs w:val="21"/>
              </w:rPr>
              <w:t>ND</w:t>
            </w:r>
          </w:p>
        </w:tc>
        <w:tc>
          <w:tcPr>
            <w:tcW w:w="297" w:type="pct"/>
            <w:vAlign w:val="center"/>
          </w:tcPr>
          <w:p w14:paraId="216BADE9">
            <w:pPr>
              <w:spacing w:before="63" w:line="320" w:lineRule="exact"/>
              <w:ind w:left="5"/>
              <w:jc w:val="center"/>
              <w:rPr>
                <w:rFonts w:eastAsiaTheme="minorEastAsia"/>
                <w:szCs w:val="21"/>
              </w:rPr>
            </w:pPr>
            <w:r>
              <w:rPr>
                <w:rFonts w:hint="eastAsia"/>
                <w:szCs w:val="21"/>
              </w:rPr>
              <w:t>ND</w:t>
            </w:r>
          </w:p>
        </w:tc>
        <w:tc>
          <w:tcPr>
            <w:tcW w:w="305" w:type="pct"/>
            <w:vAlign w:val="center"/>
          </w:tcPr>
          <w:p w14:paraId="0086FADC">
            <w:pPr>
              <w:spacing w:before="63" w:line="320" w:lineRule="exact"/>
              <w:ind w:left="5"/>
              <w:jc w:val="center"/>
              <w:rPr>
                <w:rFonts w:eastAsiaTheme="minorEastAsia"/>
                <w:szCs w:val="21"/>
              </w:rPr>
            </w:pPr>
            <w:r>
              <w:rPr>
                <w:rFonts w:hint="eastAsia"/>
                <w:szCs w:val="21"/>
              </w:rPr>
              <w:t>ND</w:t>
            </w:r>
          </w:p>
        </w:tc>
        <w:tc>
          <w:tcPr>
            <w:tcW w:w="370" w:type="pct"/>
            <w:vAlign w:val="center"/>
          </w:tcPr>
          <w:p w14:paraId="5F4D0980">
            <w:pPr>
              <w:spacing w:before="63" w:line="320" w:lineRule="exact"/>
              <w:ind w:left="5"/>
              <w:jc w:val="center"/>
              <w:rPr>
                <w:rFonts w:eastAsiaTheme="minorEastAsia"/>
                <w:szCs w:val="21"/>
              </w:rPr>
            </w:pPr>
            <w:r>
              <w:rPr>
                <w:rFonts w:hint="eastAsia"/>
                <w:szCs w:val="21"/>
              </w:rPr>
              <w:t>ND</w:t>
            </w:r>
          </w:p>
        </w:tc>
        <w:tc>
          <w:tcPr>
            <w:tcW w:w="370" w:type="pct"/>
            <w:vAlign w:val="center"/>
          </w:tcPr>
          <w:p w14:paraId="76863554">
            <w:pPr>
              <w:spacing w:before="63" w:line="320" w:lineRule="exact"/>
              <w:ind w:left="5"/>
              <w:jc w:val="center"/>
              <w:rPr>
                <w:rFonts w:eastAsiaTheme="minorEastAsia"/>
                <w:szCs w:val="21"/>
              </w:rPr>
            </w:pPr>
            <w:r>
              <w:rPr>
                <w:rFonts w:eastAsiaTheme="minorEastAsia"/>
                <w:szCs w:val="21"/>
              </w:rPr>
              <w:t>0.5</w:t>
            </w:r>
          </w:p>
        </w:tc>
      </w:tr>
      <w:tr w14:paraId="55C6E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2C4ACA4">
            <w:pPr>
              <w:spacing w:line="320" w:lineRule="exact"/>
              <w:jc w:val="center"/>
              <w:rPr>
                <w:rFonts w:eastAsiaTheme="minorEastAsia"/>
                <w:szCs w:val="21"/>
              </w:rPr>
            </w:pPr>
            <w:r>
              <w:rPr>
                <w:rFonts w:eastAsiaTheme="minorEastAsia"/>
                <w:szCs w:val="21"/>
              </w:rPr>
              <w:t>苯（mg/kg）</w:t>
            </w:r>
          </w:p>
        </w:tc>
        <w:tc>
          <w:tcPr>
            <w:tcW w:w="390" w:type="pct"/>
            <w:vAlign w:val="center"/>
          </w:tcPr>
          <w:p w14:paraId="17F16DF9">
            <w:pPr>
              <w:widowControl/>
              <w:jc w:val="center"/>
              <w:rPr>
                <w:szCs w:val="21"/>
              </w:rPr>
            </w:pPr>
            <w:r>
              <w:rPr>
                <w:rFonts w:hint="eastAsia"/>
                <w:szCs w:val="21"/>
              </w:rPr>
              <w:t>ND</w:t>
            </w:r>
          </w:p>
        </w:tc>
        <w:tc>
          <w:tcPr>
            <w:tcW w:w="389" w:type="pct"/>
            <w:vAlign w:val="center"/>
          </w:tcPr>
          <w:p w14:paraId="06BBC397">
            <w:pPr>
              <w:spacing w:before="63" w:line="320" w:lineRule="exact"/>
              <w:ind w:right="1"/>
              <w:jc w:val="center"/>
              <w:rPr>
                <w:rFonts w:eastAsiaTheme="minorEastAsia"/>
                <w:szCs w:val="21"/>
              </w:rPr>
            </w:pPr>
            <w:r>
              <w:rPr>
                <w:rFonts w:hint="eastAsia"/>
                <w:szCs w:val="21"/>
              </w:rPr>
              <w:t>ND</w:t>
            </w:r>
          </w:p>
        </w:tc>
        <w:tc>
          <w:tcPr>
            <w:tcW w:w="347" w:type="pct"/>
            <w:vAlign w:val="center"/>
          </w:tcPr>
          <w:p w14:paraId="6F414611">
            <w:pPr>
              <w:spacing w:before="63" w:line="320" w:lineRule="exact"/>
              <w:ind w:right="1"/>
              <w:jc w:val="center"/>
              <w:rPr>
                <w:szCs w:val="21"/>
              </w:rPr>
            </w:pPr>
            <w:r>
              <w:rPr>
                <w:rFonts w:hint="eastAsia"/>
                <w:szCs w:val="21"/>
              </w:rPr>
              <w:t>ND</w:t>
            </w:r>
          </w:p>
        </w:tc>
        <w:tc>
          <w:tcPr>
            <w:tcW w:w="345" w:type="pct"/>
            <w:vAlign w:val="center"/>
          </w:tcPr>
          <w:p w14:paraId="7B6D1FF9">
            <w:pPr>
              <w:spacing w:before="63" w:line="320" w:lineRule="exact"/>
              <w:ind w:right="1"/>
              <w:jc w:val="center"/>
              <w:rPr>
                <w:rFonts w:eastAsiaTheme="minorEastAsia"/>
                <w:szCs w:val="21"/>
              </w:rPr>
            </w:pPr>
            <w:r>
              <w:rPr>
                <w:rFonts w:hint="eastAsia"/>
                <w:szCs w:val="21"/>
              </w:rPr>
              <w:t>ND</w:t>
            </w:r>
          </w:p>
        </w:tc>
        <w:tc>
          <w:tcPr>
            <w:tcW w:w="301" w:type="pct"/>
            <w:vAlign w:val="center"/>
          </w:tcPr>
          <w:p w14:paraId="170790C1">
            <w:pPr>
              <w:spacing w:before="63" w:line="320" w:lineRule="exact"/>
              <w:ind w:right="1"/>
              <w:jc w:val="center"/>
              <w:rPr>
                <w:rFonts w:eastAsiaTheme="minorEastAsia"/>
                <w:szCs w:val="21"/>
              </w:rPr>
            </w:pPr>
            <w:r>
              <w:rPr>
                <w:rFonts w:hint="eastAsia"/>
                <w:szCs w:val="21"/>
              </w:rPr>
              <w:t>ND</w:t>
            </w:r>
          </w:p>
        </w:tc>
        <w:tc>
          <w:tcPr>
            <w:tcW w:w="301" w:type="pct"/>
            <w:vAlign w:val="center"/>
          </w:tcPr>
          <w:p w14:paraId="1A31BF21">
            <w:pPr>
              <w:spacing w:before="63" w:line="320" w:lineRule="exact"/>
              <w:ind w:right="1"/>
              <w:jc w:val="center"/>
              <w:rPr>
                <w:rFonts w:eastAsiaTheme="minorEastAsia"/>
                <w:szCs w:val="21"/>
              </w:rPr>
            </w:pPr>
            <w:r>
              <w:rPr>
                <w:rFonts w:hint="eastAsia"/>
                <w:szCs w:val="21"/>
              </w:rPr>
              <w:t>ND</w:t>
            </w:r>
          </w:p>
        </w:tc>
        <w:tc>
          <w:tcPr>
            <w:tcW w:w="300" w:type="pct"/>
            <w:vAlign w:val="center"/>
          </w:tcPr>
          <w:p w14:paraId="35040578">
            <w:pPr>
              <w:spacing w:before="63" w:line="320" w:lineRule="exact"/>
              <w:ind w:right="1"/>
              <w:jc w:val="center"/>
              <w:rPr>
                <w:rFonts w:eastAsiaTheme="minorEastAsia"/>
                <w:szCs w:val="21"/>
              </w:rPr>
            </w:pPr>
            <w:r>
              <w:rPr>
                <w:rFonts w:hint="eastAsia"/>
                <w:szCs w:val="21"/>
              </w:rPr>
              <w:t>ND</w:t>
            </w:r>
          </w:p>
        </w:tc>
        <w:tc>
          <w:tcPr>
            <w:tcW w:w="300" w:type="pct"/>
            <w:vAlign w:val="center"/>
          </w:tcPr>
          <w:p w14:paraId="11D88A96">
            <w:pPr>
              <w:spacing w:before="63" w:line="320" w:lineRule="exact"/>
              <w:ind w:right="1"/>
              <w:jc w:val="center"/>
              <w:rPr>
                <w:rFonts w:eastAsiaTheme="minorEastAsia"/>
                <w:szCs w:val="21"/>
              </w:rPr>
            </w:pPr>
            <w:r>
              <w:rPr>
                <w:rFonts w:hint="eastAsia"/>
                <w:szCs w:val="21"/>
              </w:rPr>
              <w:t>ND</w:t>
            </w:r>
          </w:p>
        </w:tc>
        <w:tc>
          <w:tcPr>
            <w:tcW w:w="302" w:type="pct"/>
            <w:vAlign w:val="center"/>
          </w:tcPr>
          <w:p w14:paraId="1BCAE265">
            <w:pPr>
              <w:spacing w:before="63" w:line="320" w:lineRule="exact"/>
              <w:ind w:right="1"/>
              <w:jc w:val="center"/>
              <w:rPr>
                <w:rFonts w:eastAsiaTheme="minorEastAsia"/>
                <w:szCs w:val="21"/>
              </w:rPr>
            </w:pPr>
            <w:r>
              <w:rPr>
                <w:rFonts w:hint="eastAsia"/>
                <w:szCs w:val="21"/>
              </w:rPr>
              <w:t>ND</w:t>
            </w:r>
          </w:p>
        </w:tc>
        <w:tc>
          <w:tcPr>
            <w:tcW w:w="297" w:type="pct"/>
            <w:vAlign w:val="center"/>
          </w:tcPr>
          <w:p w14:paraId="06E0740D">
            <w:pPr>
              <w:spacing w:before="63" w:line="320" w:lineRule="exact"/>
              <w:ind w:right="1"/>
              <w:jc w:val="center"/>
              <w:rPr>
                <w:rFonts w:eastAsiaTheme="minorEastAsia"/>
                <w:szCs w:val="21"/>
              </w:rPr>
            </w:pPr>
            <w:r>
              <w:rPr>
                <w:rFonts w:hint="eastAsia"/>
                <w:szCs w:val="21"/>
              </w:rPr>
              <w:t>ND</w:t>
            </w:r>
          </w:p>
        </w:tc>
        <w:tc>
          <w:tcPr>
            <w:tcW w:w="305" w:type="pct"/>
            <w:vAlign w:val="center"/>
          </w:tcPr>
          <w:p w14:paraId="431CE9C0">
            <w:pPr>
              <w:spacing w:before="63" w:line="320" w:lineRule="exact"/>
              <w:ind w:right="1"/>
              <w:jc w:val="center"/>
              <w:rPr>
                <w:rFonts w:eastAsiaTheme="minorEastAsia"/>
                <w:szCs w:val="21"/>
              </w:rPr>
            </w:pPr>
            <w:r>
              <w:rPr>
                <w:rFonts w:hint="eastAsia"/>
                <w:szCs w:val="21"/>
              </w:rPr>
              <w:t>ND</w:t>
            </w:r>
          </w:p>
        </w:tc>
        <w:tc>
          <w:tcPr>
            <w:tcW w:w="370" w:type="pct"/>
            <w:vAlign w:val="center"/>
          </w:tcPr>
          <w:p w14:paraId="5293C4BB">
            <w:pPr>
              <w:spacing w:before="63" w:line="320" w:lineRule="exact"/>
              <w:ind w:right="1"/>
              <w:jc w:val="center"/>
              <w:rPr>
                <w:rFonts w:eastAsiaTheme="minorEastAsia"/>
                <w:szCs w:val="21"/>
              </w:rPr>
            </w:pPr>
            <w:r>
              <w:rPr>
                <w:rFonts w:hint="eastAsia"/>
                <w:szCs w:val="21"/>
              </w:rPr>
              <w:t>ND</w:t>
            </w:r>
          </w:p>
        </w:tc>
        <w:tc>
          <w:tcPr>
            <w:tcW w:w="370" w:type="pct"/>
            <w:vAlign w:val="center"/>
          </w:tcPr>
          <w:p w14:paraId="15303841">
            <w:pPr>
              <w:spacing w:before="63" w:line="320" w:lineRule="exact"/>
              <w:ind w:right="1"/>
              <w:jc w:val="center"/>
              <w:rPr>
                <w:rFonts w:eastAsiaTheme="minorEastAsia"/>
                <w:szCs w:val="21"/>
              </w:rPr>
            </w:pPr>
            <w:r>
              <w:rPr>
                <w:rFonts w:eastAsiaTheme="minorEastAsia"/>
                <w:szCs w:val="21"/>
              </w:rPr>
              <w:t>4</w:t>
            </w:r>
          </w:p>
        </w:tc>
      </w:tr>
      <w:tr w14:paraId="344B7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1D86FB6">
            <w:pPr>
              <w:spacing w:line="320" w:lineRule="exact"/>
              <w:jc w:val="center"/>
              <w:rPr>
                <w:rFonts w:eastAsiaTheme="minorEastAsia"/>
                <w:szCs w:val="21"/>
              </w:rPr>
            </w:pPr>
            <w:r>
              <w:rPr>
                <w:rFonts w:eastAsiaTheme="minorEastAsia"/>
                <w:szCs w:val="21"/>
              </w:rPr>
              <w:t>氯苯（mg/kg）</w:t>
            </w:r>
          </w:p>
        </w:tc>
        <w:tc>
          <w:tcPr>
            <w:tcW w:w="390" w:type="pct"/>
            <w:vAlign w:val="center"/>
          </w:tcPr>
          <w:p w14:paraId="7F3E2EEC">
            <w:pPr>
              <w:widowControl/>
              <w:jc w:val="center"/>
              <w:rPr>
                <w:szCs w:val="21"/>
              </w:rPr>
            </w:pPr>
            <w:r>
              <w:rPr>
                <w:rFonts w:hint="eastAsia"/>
                <w:szCs w:val="21"/>
              </w:rPr>
              <w:t>ND</w:t>
            </w:r>
          </w:p>
        </w:tc>
        <w:tc>
          <w:tcPr>
            <w:tcW w:w="389" w:type="pct"/>
            <w:vAlign w:val="center"/>
          </w:tcPr>
          <w:p w14:paraId="054831B3">
            <w:pPr>
              <w:spacing w:before="62" w:line="320" w:lineRule="exact"/>
              <w:ind w:left="5"/>
              <w:jc w:val="center"/>
              <w:rPr>
                <w:rFonts w:eastAsiaTheme="minorEastAsia"/>
                <w:szCs w:val="21"/>
              </w:rPr>
            </w:pPr>
            <w:r>
              <w:rPr>
                <w:rFonts w:hint="eastAsia"/>
                <w:szCs w:val="21"/>
              </w:rPr>
              <w:t>ND</w:t>
            </w:r>
          </w:p>
        </w:tc>
        <w:tc>
          <w:tcPr>
            <w:tcW w:w="347" w:type="pct"/>
            <w:vAlign w:val="center"/>
          </w:tcPr>
          <w:p w14:paraId="434A208B">
            <w:pPr>
              <w:spacing w:before="62" w:line="320" w:lineRule="exact"/>
              <w:ind w:left="5"/>
              <w:jc w:val="center"/>
              <w:rPr>
                <w:szCs w:val="21"/>
              </w:rPr>
            </w:pPr>
            <w:r>
              <w:rPr>
                <w:rFonts w:hint="eastAsia"/>
                <w:szCs w:val="21"/>
              </w:rPr>
              <w:t>ND</w:t>
            </w:r>
          </w:p>
        </w:tc>
        <w:tc>
          <w:tcPr>
            <w:tcW w:w="345" w:type="pct"/>
            <w:vAlign w:val="center"/>
          </w:tcPr>
          <w:p w14:paraId="4AD0F0AD">
            <w:pPr>
              <w:spacing w:before="62" w:line="320" w:lineRule="exact"/>
              <w:ind w:left="5"/>
              <w:jc w:val="center"/>
              <w:rPr>
                <w:rFonts w:eastAsiaTheme="minorEastAsia"/>
                <w:szCs w:val="21"/>
              </w:rPr>
            </w:pPr>
            <w:r>
              <w:rPr>
                <w:rFonts w:hint="eastAsia"/>
                <w:szCs w:val="21"/>
              </w:rPr>
              <w:t>ND</w:t>
            </w:r>
          </w:p>
        </w:tc>
        <w:tc>
          <w:tcPr>
            <w:tcW w:w="301" w:type="pct"/>
            <w:vAlign w:val="center"/>
          </w:tcPr>
          <w:p w14:paraId="2BADC8AC">
            <w:pPr>
              <w:spacing w:before="62" w:line="320" w:lineRule="exact"/>
              <w:ind w:left="5"/>
              <w:jc w:val="center"/>
              <w:rPr>
                <w:rFonts w:eastAsiaTheme="minorEastAsia"/>
                <w:szCs w:val="21"/>
              </w:rPr>
            </w:pPr>
            <w:r>
              <w:rPr>
                <w:rFonts w:hint="eastAsia"/>
                <w:szCs w:val="21"/>
              </w:rPr>
              <w:t>ND</w:t>
            </w:r>
          </w:p>
        </w:tc>
        <w:tc>
          <w:tcPr>
            <w:tcW w:w="301" w:type="pct"/>
            <w:vAlign w:val="center"/>
          </w:tcPr>
          <w:p w14:paraId="74C16C4F">
            <w:pPr>
              <w:spacing w:before="62" w:line="320" w:lineRule="exact"/>
              <w:ind w:left="5"/>
              <w:jc w:val="center"/>
              <w:rPr>
                <w:rFonts w:eastAsiaTheme="minorEastAsia"/>
                <w:szCs w:val="21"/>
              </w:rPr>
            </w:pPr>
            <w:r>
              <w:rPr>
                <w:rFonts w:hint="eastAsia"/>
                <w:szCs w:val="21"/>
              </w:rPr>
              <w:t>ND</w:t>
            </w:r>
          </w:p>
        </w:tc>
        <w:tc>
          <w:tcPr>
            <w:tcW w:w="300" w:type="pct"/>
            <w:vAlign w:val="center"/>
          </w:tcPr>
          <w:p w14:paraId="4D2079F3">
            <w:pPr>
              <w:spacing w:before="62" w:line="320" w:lineRule="exact"/>
              <w:ind w:left="5"/>
              <w:jc w:val="center"/>
              <w:rPr>
                <w:rFonts w:eastAsiaTheme="minorEastAsia"/>
                <w:szCs w:val="21"/>
              </w:rPr>
            </w:pPr>
            <w:r>
              <w:rPr>
                <w:rFonts w:hint="eastAsia"/>
                <w:szCs w:val="21"/>
              </w:rPr>
              <w:t>ND</w:t>
            </w:r>
          </w:p>
        </w:tc>
        <w:tc>
          <w:tcPr>
            <w:tcW w:w="300" w:type="pct"/>
            <w:vAlign w:val="center"/>
          </w:tcPr>
          <w:p w14:paraId="682EABE5">
            <w:pPr>
              <w:spacing w:before="62" w:line="320" w:lineRule="exact"/>
              <w:ind w:left="5"/>
              <w:jc w:val="center"/>
              <w:rPr>
                <w:rFonts w:eastAsiaTheme="minorEastAsia"/>
                <w:szCs w:val="21"/>
              </w:rPr>
            </w:pPr>
            <w:r>
              <w:rPr>
                <w:rFonts w:hint="eastAsia"/>
                <w:szCs w:val="21"/>
              </w:rPr>
              <w:t>ND</w:t>
            </w:r>
          </w:p>
        </w:tc>
        <w:tc>
          <w:tcPr>
            <w:tcW w:w="302" w:type="pct"/>
            <w:vAlign w:val="center"/>
          </w:tcPr>
          <w:p w14:paraId="0B80C8AC">
            <w:pPr>
              <w:spacing w:before="62" w:line="320" w:lineRule="exact"/>
              <w:ind w:left="5"/>
              <w:jc w:val="center"/>
              <w:rPr>
                <w:rFonts w:eastAsiaTheme="minorEastAsia"/>
                <w:szCs w:val="21"/>
              </w:rPr>
            </w:pPr>
            <w:r>
              <w:rPr>
                <w:rFonts w:hint="eastAsia"/>
                <w:szCs w:val="21"/>
              </w:rPr>
              <w:t>ND</w:t>
            </w:r>
          </w:p>
        </w:tc>
        <w:tc>
          <w:tcPr>
            <w:tcW w:w="297" w:type="pct"/>
            <w:vAlign w:val="center"/>
          </w:tcPr>
          <w:p w14:paraId="52C63A30">
            <w:pPr>
              <w:spacing w:before="62" w:line="320" w:lineRule="exact"/>
              <w:ind w:left="5"/>
              <w:jc w:val="center"/>
              <w:rPr>
                <w:rFonts w:eastAsiaTheme="minorEastAsia"/>
                <w:szCs w:val="21"/>
              </w:rPr>
            </w:pPr>
            <w:r>
              <w:rPr>
                <w:rFonts w:hint="eastAsia"/>
                <w:szCs w:val="21"/>
              </w:rPr>
              <w:t>ND</w:t>
            </w:r>
          </w:p>
        </w:tc>
        <w:tc>
          <w:tcPr>
            <w:tcW w:w="305" w:type="pct"/>
            <w:vAlign w:val="center"/>
          </w:tcPr>
          <w:p w14:paraId="27D09147">
            <w:pPr>
              <w:spacing w:before="62" w:line="320" w:lineRule="exact"/>
              <w:ind w:left="5"/>
              <w:jc w:val="center"/>
              <w:rPr>
                <w:rFonts w:eastAsiaTheme="minorEastAsia"/>
                <w:szCs w:val="21"/>
              </w:rPr>
            </w:pPr>
            <w:r>
              <w:rPr>
                <w:rFonts w:hint="eastAsia"/>
                <w:szCs w:val="21"/>
              </w:rPr>
              <w:t>ND</w:t>
            </w:r>
          </w:p>
        </w:tc>
        <w:tc>
          <w:tcPr>
            <w:tcW w:w="370" w:type="pct"/>
            <w:vAlign w:val="center"/>
          </w:tcPr>
          <w:p w14:paraId="48F27A7B">
            <w:pPr>
              <w:spacing w:before="62" w:line="320" w:lineRule="exact"/>
              <w:ind w:left="5"/>
              <w:jc w:val="center"/>
              <w:rPr>
                <w:rFonts w:eastAsiaTheme="minorEastAsia"/>
                <w:szCs w:val="21"/>
              </w:rPr>
            </w:pPr>
            <w:r>
              <w:rPr>
                <w:rFonts w:hint="eastAsia"/>
                <w:szCs w:val="21"/>
              </w:rPr>
              <w:t>ND</w:t>
            </w:r>
          </w:p>
        </w:tc>
        <w:tc>
          <w:tcPr>
            <w:tcW w:w="370" w:type="pct"/>
            <w:vAlign w:val="center"/>
          </w:tcPr>
          <w:p w14:paraId="049C8AB3">
            <w:pPr>
              <w:spacing w:before="62" w:line="320" w:lineRule="exact"/>
              <w:ind w:left="5"/>
              <w:jc w:val="center"/>
              <w:rPr>
                <w:rFonts w:eastAsiaTheme="minorEastAsia"/>
                <w:szCs w:val="21"/>
              </w:rPr>
            </w:pPr>
            <w:r>
              <w:rPr>
                <w:rFonts w:eastAsiaTheme="minorEastAsia"/>
                <w:szCs w:val="21"/>
              </w:rPr>
              <w:t>270</w:t>
            </w:r>
          </w:p>
        </w:tc>
      </w:tr>
      <w:tr w14:paraId="2DDB2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ED63E1F">
            <w:pPr>
              <w:spacing w:line="320" w:lineRule="exact"/>
              <w:jc w:val="center"/>
              <w:rPr>
                <w:rFonts w:eastAsiaTheme="minorEastAsia"/>
                <w:szCs w:val="21"/>
              </w:rPr>
            </w:pPr>
            <w:r>
              <w:rPr>
                <w:rFonts w:eastAsiaTheme="minorEastAsia"/>
                <w:szCs w:val="21"/>
              </w:rPr>
              <w:t>1,2-二氯苯（mg/kg）</w:t>
            </w:r>
          </w:p>
        </w:tc>
        <w:tc>
          <w:tcPr>
            <w:tcW w:w="390" w:type="pct"/>
            <w:vAlign w:val="center"/>
          </w:tcPr>
          <w:p w14:paraId="0740CFE2">
            <w:pPr>
              <w:widowControl/>
              <w:jc w:val="center"/>
              <w:rPr>
                <w:szCs w:val="21"/>
              </w:rPr>
            </w:pPr>
            <w:r>
              <w:rPr>
                <w:rFonts w:hint="eastAsia"/>
                <w:szCs w:val="21"/>
              </w:rPr>
              <w:t>ND</w:t>
            </w:r>
          </w:p>
        </w:tc>
        <w:tc>
          <w:tcPr>
            <w:tcW w:w="389" w:type="pct"/>
            <w:vAlign w:val="center"/>
          </w:tcPr>
          <w:p w14:paraId="2F95F394">
            <w:pPr>
              <w:spacing w:before="63" w:line="320" w:lineRule="exact"/>
              <w:ind w:left="5"/>
              <w:jc w:val="center"/>
              <w:rPr>
                <w:rFonts w:eastAsiaTheme="minorEastAsia"/>
                <w:szCs w:val="21"/>
              </w:rPr>
            </w:pPr>
            <w:r>
              <w:rPr>
                <w:rFonts w:hint="eastAsia"/>
                <w:szCs w:val="21"/>
              </w:rPr>
              <w:t>ND</w:t>
            </w:r>
          </w:p>
        </w:tc>
        <w:tc>
          <w:tcPr>
            <w:tcW w:w="347" w:type="pct"/>
            <w:vAlign w:val="center"/>
          </w:tcPr>
          <w:p w14:paraId="7D954537">
            <w:pPr>
              <w:spacing w:before="63" w:line="320" w:lineRule="exact"/>
              <w:ind w:left="5"/>
              <w:jc w:val="center"/>
              <w:rPr>
                <w:szCs w:val="21"/>
              </w:rPr>
            </w:pPr>
            <w:r>
              <w:rPr>
                <w:rFonts w:hint="eastAsia"/>
                <w:szCs w:val="21"/>
              </w:rPr>
              <w:t>ND</w:t>
            </w:r>
          </w:p>
        </w:tc>
        <w:tc>
          <w:tcPr>
            <w:tcW w:w="345" w:type="pct"/>
            <w:vAlign w:val="center"/>
          </w:tcPr>
          <w:p w14:paraId="0996DDC3">
            <w:pPr>
              <w:spacing w:before="63" w:line="320" w:lineRule="exact"/>
              <w:ind w:left="5"/>
              <w:jc w:val="center"/>
              <w:rPr>
                <w:rFonts w:eastAsiaTheme="minorEastAsia"/>
                <w:szCs w:val="21"/>
              </w:rPr>
            </w:pPr>
            <w:r>
              <w:rPr>
                <w:rFonts w:hint="eastAsia"/>
                <w:szCs w:val="21"/>
              </w:rPr>
              <w:t>ND</w:t>
            </w:r>
          </w:p>
        </w:tc>
        <w:tc>
          <w:tcPr>
            <w:tcW w:w="301" w:type="pct"/>
            <w:vAlign w:val="center"/>
          </w:tcPr>
          <w:p w14:paraId="4FA1730D">
            <w:pPr>
              <w:spacing w:before="63" w:line="320" w:lineRule="exact"/>
              <w:ind w:left="5"/>
              <w:jc w:val="center"/>
              <w:rPr>
                <w:rFonts w:eastAsiaTheme="minorEastAsia"/>
                <w:szCs w:val="21"/>
              </w:rPr>
            </w:pPr>
            <w:r>
              <w:rPr>
                <w:rFonts w:hint="eastAsia"/>
                <w:szCs w:val="21"/>
              </w:rPr>
              <w:t>ND</w:t>
            </w:r>
          </w:p>
        </w:tc>
        <w:tc>
          <w:tcPr>
            <w:tcW w:w="301" w:type="pct"/>
            <w:vAlign w:val="center"/>
          </w:tcPr>
          <w:p w14:paraId="6A72CBCB">
            <w:pPr>
              <w:spacing w:before="63" w:line="320" w:lineRule="exact"/>
              <w:ind w:left="5"/>
              <w:jc w:val="center"/>
              <w:rPr>
                <w:rFonts w:eastAsiaTheme="minorEastAsia"/>
                <w:szCs w:val="21"/>
              </w:rPr>
            </w:pPr>
            <w:r>
              <w:rPr>
                <w:rFonts w:hint="eastAsia"/>
                <w:szCs w:val="21"/>
              </w:rPr>
              <w:t>ND</w:t>
            </w:r>
          </w:p>
        </w:tc>
        <w:tc>
          <w:tcPr>
            <w:tcW w:w="300" w:type="pct"/>
            <w:vAlign w:val="center"/>
          </w:tcPr>
          <w:p w14:paraId="3F054CAD">
            <w:pPr>
              <w:spacing w:before="63" w:line="320" w:lineRule="exact"/>
              <w:ind w:left="5"/>
              <w:jc w:val="center"/>
              <w:rPr>
                <w:rFonts w:eastAsiaTheme="minorEastAsia"/>
                <w:szCs w:val="21"/>
              </w:rPr>
            </w:pPr>
            <w:r>
              <w:rPr>
                <w:rFonts w:hint="eastAsia"/>
                <w:szCs w:val="21"/>
              </w:rPr>
              <w:t>ND</w:t>
            </w:r>
          </w:p>
        </w:tc>
        <w:tc>
          <w:tcPr>
            <w:tcW w:w="300" w:type="pct"/>
            <w:vAlign w:val="center"/>
          </w:tcPr>
          <w:p w14:paraId="422C381B">
            <w:pPr>
              <w:spacing w:before="63" w:line="320" w:lineRule="exact"/>
              <w:ind w:left="5"/>
              <w:jc w:val="center"/>
              <w:rPr>
                <w:rFonts w:eastAsiaTheme="minorEastAsia"/>
                <w:szCs w:val="21"/>
              </w:rPr>
            </w:pPr>
            <w:r>
              <w:rPr>
                <w:rFonts w:hint="eastAsia"/>
                <w:szCs w:val="21"/>
              </w:rPr>
              <w:t>ND</w:t>
            </w:r>
          </w:p>
        </w:tc>
        <w:tc>
          <w:tcPr>
            <w:tcW w:w="302" w:type="pct"/>
            <w:vAlign w:val="center"/>
          </w:tcPr>
          <w:p w14:paraId="18A7DE98">
            <w:pPr>
              <w:spacing w:before="63" w:line="320" w:lineRule="exact"/>
              <w:ind w:left="5"/>
              <w:jc w:val="center"/>
              <w:rPr>
                <w:rFonts w:eastAsiaTheme="minorEastAsia"/>
                <w:szCs w:val="21"/>
              </w:rPr>
            </w:pPr>
            <w:r>
              <w:rPr>
                <w:rFonts w:hint="eastAsia"/>
                <w:szCs w:val="21"/>
              </w:rPr>
              <w:t>ND</w:t>
            </w:r>
          </w:p>
        </w:tc>
        <w:tc>
          <w:tcPr>
            <w:tcW w:w="297" w:type="pct"/>
            <w:vAlign w:val="center"/>
          </w:tcPr>
          <w:p w14:paraId="5E8F9997">
            <w:pPr>
              <w:spacing w:before="63" w:line="320" w:lineRule="exact"/>
              <w:ind w:left="5"/>
              <w:jc w:val="center"/>
              <w:rPr>
                <w:rFonts w:eastAsiaTheme="minorEastAsia"/>
                <w:szCs w:val="21"/>
              </w:rPr>
            </w:pPr>
            <w:r>
              <w:rPr>
                <w:rFonts w:hint="eastAsia"/>
                <w:szCs w:val="21"/>
              </w:rPr>
              <w:t>ND</w:t>
            </w:r>
          </w:p>
        </w:tc>
        <w:tc>
          <w:tcPr>
            <w:tcW w:w="305" w:type="pct"/>
            <w:vAlign w:val="center"/>
          </w:tcPr>
          <w:p w14:paraId="1ED22412">
            <w:pPr>
              <w:spacing w:before="63" w:line="320" w:lineRule="exact"/>
              <w:ind w:left="5"/>
              <w:jc w:val="center"/>
              <w:rPr>
                <w:rFonts w:eastAsiaTheme="minorEastAsia"/>
                <w:szCs w:val="21"/>
              </w:rPr>
            </w:pPr>
            <w:r>
              <w:rPr>
                <w:rFonts w:hint="eastAsia"/>
                <w:szCs w:val="21"/>
              </w:rPr>
              <w:t>ND</w:t>
            </w:r>
          </w:p>
        </w:tc>
        <w:tc>
          <w:tcPr>
            <w:tcW w:w="370" w:type="pct"/>
            <w:vAlign w:val="center"/>
          </w:tcPr>
          <w:p w14:paraId="5EB4B381">
            <w:pPr>
              <w:spacing w:before="63" w:line="320" w:lineRule="exact"/>
              <w:ind w:left="5"/>
              <w:jc w:val="center"/>
              <w:rPr>
                <w:rFonts w:eastAsiaTheme="minorEastAsia"/>
                <w:szCs w:val="21"/>
              </w:rPr>
            </w:pPr>
            <w:r>
              <w:rPr>
                <w:rFonts w:hint="eastAsia"/>
                <w:szCs w:val="21"/>
              </w:rPr>
              <w:t>ND</w:t>
            </w:r>
          </w:p>
        </w:tc>
        <w:tc>
          <w:tcPr>
            <w:tcW w:w="370" w:type="pct"/>
            <w:vAlign w:val="center"/>
          </w:tcPr>
          <w:p w14:paraId="211FC3F0">
            <w:pPr>
              <w:spacing w:before="63" w:line="320" w:lineRule="exact"/>
              <w:ind w:left="5"/>
              <w:jc w:val="center"/>
              <w:rPr>
                <w:rFonts w:eastAsiaTheme="minorEastAsia"/>
                <w:szCs w:val="21"/>
              </w:rPr>
            </w:pPr>
            <w:r>
              <w:rPr>
                <w:rFonts w:eastAsiaTheme="minorEastAsia"/>
                <w:szCs w:val="21"/>
              </w:rPr>
              <w:t>560</w:t>
            </w:r>
          </w:p>
        </w:tc>
      </w:tr>
      <w:tr w14:paraId="0508B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8543EB1">
            <w:pPr>
              <w:spacing w:line="320" w:lineRule="exact"/>
              <w:jc w:val="center"/>
              <w:rPr>
                <w:rFonts w:eastAsiaTheme="minorEastAsia"/>
                <w:szCs w:val="21"/>
              </w:rPr>
            </w:pPr>
            <w:r>
              <w:rPr>
                <w:rFonts w:eastAsiaTheme="minorEastAsia"/>
                <w:szCs w:val="21"/>
              </w:rPr>
              <w:t>1,4-二氯苯（mg/kg）</w:t>
            </w:r>
          </w:p>
        </w:tc>
        <w:tc>
          <w:tcPr>
            <w:tcW w:w="390" w:type="pct"/>
            <w:vAlign w:val="center"/>
          </w:tcPr>
          <w:p w14:paraId="5B6F67CA">
            <w:pPr>
              <w:widowControl/>
              <w:jc w:val="center"/>
              <w:rPr>
                <w:szCs w:val="21"/>
              </w:rPr>
            </w:pPr>
            <w:r>
              <w:rPr>
                <w:rFonts w:hint="eastAsia"/>
                <w:szCs w:val="21"/>
              </w:rPr>
              <w:t>ND</w:t>
            </w:r>
          </w:p>
        </w:tc>
        <w:tc>
          <w:tcPr>
            <w:tcW w:w="389" w:type="pct"/>
            <w:vAlign w:val="center"/>
          </w:tcPr>
          <w:p w14:paraId="2F1DD50B">
            <w:pPr>
              <w:spacing w:before="61" w:line="320" w:lineRule="exact"/>
              <w:jc w:val="center"/>
              <w:rPr>
                <w:rFonts w:eastAsiaTheme="minorEastAsia"/>
                <w:szCs w:val="21"/>
              </w:rPr>
            </w:pPr>
            <w:r>
              <w:rPr>
                <w:rFonts w:hint="eastAsia"/>
                <w:szCs w:val="21"/>
              </w:rPr>
              <w:t>ND</w:t>
            </w:r>
          </w:p>
        </w:tc>
        <w:tc>
          <w:tcPr>
            <w:tcW w:w="347" w:type="pct"/>
            <w:vAlign w:val="center"/>
          </w:tcPr>
          <w:p w14:paraId="0EFC3E93">
            <w:pPr>
              <w:spacing w:before="61" w:line="320" w:lineRule="exact"/>
              <w:jc w:val="center"/>
              <w:rPr>
                <w:szCs w:val="21"/>
              </w:rPr>
            </w:pPr>
            <w:r>
              <w:rPr>
                <w:rFonts w:hint="eastAsia"/>
                <w:szCs w:val="21"/>
              </w:rPr>
              <w:t>ND</w:t>
            </w:r>
          </w:p>
        </w:tc>
        <w:tc>
          <w:tcPr>
            <w:tcW w:w="345" w:type="pct"/>
            <w:vAlign w:val="center"/>
          </w:tcPr>
          <w:p w14:paraId="21C37C45">
            <w:pPr>
              <w:spacing w:before="61" w:line="320" w:lineRule="exact"/>
              <w:jc w:val="center"/>
              <w:rPr>
                <w:rFonts w:eastAsiaTheme="minorEastAsia"/>
                <w:szCs w:val="21"/>
              </w:rPr>
            </w:pPr>
            <w:r>
              <w:rPr>
                <w:rFonts w:hint="eastAsia"/>
                <w:szCs w:val="21"/>
              </w:rPr>
              <w:t>ND</w:t>
            </w:r>
          </w:p>
        </w:tc>
        <w:tc>
          <w:tcPr>
            <w:tcW w:w="301" w:type="pct"/>
            <w:vAlign w:val="center"/>
          </w:tcPr>
          <w:p w14:paraId="62AEE924">
            <w:pPr>
              <w:spacing w:before="61" w:line="320" w:lineRule="exact"/>
              <w:jc w:val="center"/>
              <w:rPr>
                <w:rFonts w:eastAsiaTheme="minorEastAsia"/>
                <w:szCs w:val="21"/>
              </w:rPr>
            </w:pPr>
            <w:r>
              <w:rPr>
                <w:rFonts w:hint="eastAsia"/>
                <w:szCs w:val="21"/>
              </w:rPr>
              <w:t>ND</w:t>
            </w:r>
          </w:p>
        </w:tc>
        <w:tc>
          <w:tcPr>
            <w:tcW w:w="301" w:type="pct"/>
            <w:vAlign w:val="center"/>
          </w:tcPr>
          <w:p w14:paraId="5D959EB5">
            <w:pPr>
              <w:spacing w:before="61" w:line="320" w:lineRule="exact"/>
              <w:jc w:val="center"/>
              <w:rPr>
                <w:rFonts w:eastAsiaTheme="minorEastAsia"/>
                <w:szCs w:val="21"/>
              </w:rPr>
            </w:pPr>
            <w:r>
              <w:rPr>
                <w:rFonts w:hint="eastAsia"/>
                <w:szCs w:val="21"/>
              </w:rPr>
              <w:t>ND</w:t>
            </w:r>
          </w:p>
        </w:tc>
        <w:tc>
          <w:tcPr>
            <w:tcW w:w="300" w:type="pct"/>
            <w:vAlign w:val="center"/>
          </w:tcPr>
          <w:p w14:paraId="48431907">
            <w:pPr>
              <w:spacing w:before="61" w:line="320" w:lineRule="exact"/>
              <w:jc w:val="center"/>
              <w:rPr>
                <w:rFonts w:eastAsiaTheme="minorEastAsia"/>
                <w:szCs w:val="21"/>
              </w:rPr>
            </w:pPr>
            <w:r>
              <w:rPr>
                <w:rFonts w:hint="eastAsia"/>
                <w:szCs w:val="21"/>
              </w:rPr>
              <w:t>ND</w:t>
            </w:r>
          </w:p>
        </w:tc>
        <w:tc>
          <w:tcPr>
            <w:tcW w:w="300" w:type="pct"/>
            <w:vAlign w:val="center"/>
          </w:tcPr>
          <w:p w14:paraId="37AB170E">
            <w:pPr>
              <w:spacing w:before="61" w:line="320" w:lineRule="exact"/>
              <w:jc w:val="center"/>
              <w:rPr>
                <w:rFonts w:eastAsiaTheme="minorEastAsia"/>
                <w:szCs w:val="21"/>
              </w:rPr>
            </w:pPr>
            <w:r>
              <w:rPr>
                <w:rFonts w:hint="eastAsia"/>
                <w:szCs w:val="21"/>
              </w:rPr>
              <w:t>ND</w:t>
            </w:r>
          </w:p>
        </w:tc>
        <w:tc>
          <w:tcPr>
            <w:tcW w:w="302" w:type="pct"/>
            <w:vAlign w:val="center"/>
          </w:tcPr>
          <w:p w14:paraId="20381E95">
            <w:pPr>
              <w:spacing w:before="61" w:line="320" w:lineRule="exact"/>
              <w:jc w:val="center"/>
              <w:rPr>
                <w:rFonts w:eastAsiaTheme="minorEastAsia"/>
                <w:szCs w:val="21"/>
              </w:rPr>
            </w:pPr>
            <w:r>
              <w:rPr>
                <w:rFonts w:hint="eastAsia"/>
                <w:szCs w:val="21"/>
              </w:rPr>
              <w:t>ND</w:t>
            </w:r>
          </w:p>
        </w:tc>
        <w:tc>
          <w:tcPr>
            <w:tcW w:w="297" w:type="pct"/>
            <w:vAlign w:val="center"/>
          </w:tcPr>
          <w:p w14:paraId="3E7C7246">
            <w:pPr>
              <w:spacing w:before="61" w:line="320" w:lineRule="exact"/>
              <w:jc w:val="center"/>
              <w:rPr>
                <w:rFonts w:eastAsiaTheme="minorEastAsia"/>
                <w:szCs w:val="21"/>
              </w:rPr>
            </w:pPr>
            <w:r>
              <w:rPr>
                <w:rFonts w:hint="eastAsia"/>
                <w:szCs w:val="21"/>
              </w:rPr>
              <w:t>ND</w:t>
            </w:r>
          </w:p>
        </w:tc>
        <w:tc>
          <w:tcPr>
            <w:tcW w:w="305" w:type="pct"/>
            <w:vAlign w:val="center"/>
          </w:tcPr>
          <w:p w14:paraId="2A6EC24F">
            <w:pPr>
              <w:spacing w:before="61" w:line="320" w:lineRule="exact"/>
              <w:jc w:val="center"/>
              <w:rPr>
                <w:rFonts w:eastAsiaTheme="minorEastAsia"/>
                <w:szCs w:val="21"/>
              </w:rPr>
            </w:pPr>
            <w:r>
              <w:rPr>
                <w:rFonts w:hint="eastAsia"/>
                <w:szCs w:val="21"/>
              </w:rPr>
              <w:t>ND</w:t>
            </w:r>
          </w:p>
        </w:tc>
        <w:tc>
          <w:tcPr>
            <w:tcW w:w="370" w:type="pct"/>
            <w:vAlign w:val="center"/>
          </w:tcPr>
          <w:p w14:paraId="2D3F1FC5">
            <w:pPr>
              <w:spacing w:before="61" w:line="320" w:lineRule="exact"/>
              <w:jc w:val="center"/>
              <w:rPr>
                <w:rFonts w:eastAsiaTheme="minorEastAsia"/>
                <w:szCs w:val="21"/>
              </w:rPr>
            </w:pPr>
            <w:r>
              <w:rPr>
                <w:rFonts w:hint="eastAsia"/>
                <w:szCs w:val="21"/>
              </w:rPr>
              <w:t>ND</w:t>
            </w:r>
          </w:p>
        </w:tc>
        <w:tc>
          <w:tcPr>
            <w:tcW w:w="370" w:type="pct"/>
            <w:vAlign w:val="center"/>
          </w:tcPr>
          <w:p w14:paraId="16CD102D">
            <w:pPr>
              <w:spacing w:before="61" w:line="320" w:lineRule="exact"/>
              <w:jc w:val="center"/>
              <w:rPr>
                <w:rFonts w:eastAsiaTheme="minorEastAsia"/>
                <w:szCs w:val="21"/>
              </w:rPr>
            </w:pPr>
            <w:r>
              <w:rPr>
                <w:rFonts w:eastAsiaTheme="minorEastAsia"/>
                <w:szCs w:val="21"/>
              </w:rPr>
              <w:t>20</w:t>
            </w:r>
          </w:p>
        </w:tc>
      </w:tr>
      <w:tr w14:paraId="6B6E1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23264F3">
            <w:pPr>
              <w:spacing w:line="320" w:lineRule="exact"/>
              <w:jc w:val="center"/>
              <w:rPr>
                <w:rFonts w:eastAsiaTheme="minorEastAsia"/>
                <w:szCs w:val="21"/>
              </w:rPr>
            </w:pPr>
            <w:r>
              <w:rPr>
                <w:rFonts w:eastAsiaTheme="minorEastAsia"/>
                <w:szCs w:val="21"/>
              </w:rPr>
              <w:t>乙苯（mg/kg）</w:t>
            </w:r>
          </w:p>
        </w:tc>
        <w:tc>
          <w:tcPr>
            <w:tcW w:w="390" w:type="pct"/>
            <w:vAlign w:val="center"/>
          </w:tcPr>
          <w:p w14:paraId="1829FCF7">
            <w:pPr>
              <w:widowControl/>
              <w:jc w:val="center"/>
              <w:rPr>
                <w:szCs w:val="21"/>
              </w:rPr>
            </w:pPr>
            <w:r>
              <w:rPr>
                <w:rFonts w:hint="eastAsia"/>
                <w:szCs w:val="21"/>
              </w:rPr>
              <w:t>ND</w:t>
            </w:r>
          </w:p>
        </w:tc>
        <w:tc>
          <w:tcPr>
            <w:tcW w:w="389" w:type="pct"/>
            <w:vAlign w:val="center"/>
          </w:tcPr>
          <w:p w14:paraId="2FE5951E">
            <w:pPr>
              <w:spacing w:before="61" w:line="320" w:lineRule="exact"/>
              <w:jc w:val="center"/>
              <w:rPr>
                <w:rFonts w:eastAsiaTheme="minorEastAsia"/>
                <w:szCs w:val="21"/>
              </w:rPr>
            </w:pPr>
            <w:r>
              <w:rPr>
                <w:rFonts w:hint="eastAsia"/>
                <w:szCs w:val="21"/>
              </w:rPr>
              <w:t>ND</w:t>
            </w:r>
          </w:p>
        </w:tc>
        <w:tc>
          <w:tcPr>
            <w:tcW w:w="347" w:type="pct"/>
            <w:vAlign w:val="center"/>
          </w:tcPr>
          <w:p w14:paraId="7DEF258A">
            <w:pPr>
              <w:spacing w:before="61" w:line="320" w:lineRule="exact"/>
              <w:jc w:val="center"/>
              <w:rPr>
                <w:szCs w:val="21"/>
              </w:rPr>
            </w:pPr>
            <w:r>
              <w:rPr>
                <w:rFonts w:hint="eastAsia"/>
                <w:szCs w:val="21"/>
              </w:rPr>
              <w:t>ND</w:t>
            </w:r>
          </w:p>
        </w:tc>
        <w:tc>
          <w:tcPr>
            <w:tcW w:w="345" w:type="pct"/>
            <w:vAlign w:val="center"/>
          </w:tcPr>
          <w:p w14:paraId="6804BB02">
            <w:pPr>
              <w:spacing w:before="61" w:line="320" w:lineRule="exact"/>
              <w:jc w:val="center"/>
              <w:rPr>
                <w:rFonts w:eastAsiaTheme="minorEastAsia"/>
                <w:szCs w:val="21"/>
              </w:rPr>
            </w:pPr>
            <w:r>
              <w:rPr>
                <w:rFonts w:hint="eastAsia"/>
                <w:szCs w:val="21"/>
              </w:rPr>
              <w:t>ND</w:t>
            </w:r>
          </w:p>
        </w:tc>
        <w:tc>
          <w:tcPr>
            <w:tcW w:w="301" w:type="pct"/>
            <w:vAlign w:val="center"/>
          </w:tcPr>
          <w:p w14:paraId="1EC76558">
            <w:pPr>
              <w:spacing w:before="61" w:line="320" w:lineRule="exact"/>
              <w:jc w:val="center"/>
              <w:rPr>
                <w:rFonts w:eastAsiaTheme="minorEastAsia"/>
                <w:szCs w:val="21"/>
              </w:rPr>
            </w:pPr>
            <w:r>
              <w:rPr>
                <w:rFonts w:hint="eastAsia"/>
                <w:szCs w:val="21"/>
              </w:rPr>
              <w:t>ND</w:t>
            </w:r>
          </w:p>
        </w:tc>
        <w:tc>
          <w:tcPr>
            <w:tcW w:w="301" w:type="pct"/>
            <w:vAlign w:val="center"/>
          </w:tcPr>
          <w:p w14:paraId="6702B3A1">
            <w:pPr>
              <w:spacing w:before="61" w:line="320" w:lineRule="exact"/>
              <w:jc w:val="center"/>
              <w:rPr>
                <w:rFonts w:eastAsiaTheme="minorEastAsia"/>
                <w:szCs w:val="21"/>
              </w:rPr>
            </w:pPr>
            <w:r>
              <w:rPr>
                <w:rFonts w:hint="eastAsia"/>
                <w:szCs w:val="21"/>
              </w:rPr>
              <w:t>ND</w:t>
            </w:r>
          </w:p>
        </w:tc>
        <w:tc>
          <w:tcPr>
            <w:tcW w:w="300" w:type="pct"/>
            <w:vAlign w:val="center"/>
          </w:tcPr>
          <w:p w14:paraId="0756C1E3">
            <w:pPr>
              <w:spacing w:before="61" w:line="320" w:lineRule="exact"/>
              <w:jc w:val="center"/>
              <w:rPr>
                <w:rFonts w:eastAsiaTheme="minorEastAsia"/>
                <w:szCs w:val="21"/>
              </w:rPr>
            </w:pPr>
            <w:r>
              <w:rPr>
                <w:rFonts w:hint="eastAsia"/>
                <w:szCs w:val="21"/>
              </w:rPr>
              <w:t>ND</w:t>
            </w:r>
          </w:p>
        </w:tc>
        <w:tc>
          <w:tcPr>
            <w:tcW w:w="300" w:type="pct"/>
            <w:vAlign w:val="center"/>
          </w:tcPr>
          <w:p w14:paraId="13446EFF">
            <w:pPr>
              <w:spacing w:before="61" w:line="320" w:lineRule="exact"/>
              <w:jc w:val="center"/>
              <w:rPr>
                <w:rFonts w:eastAsiaTheme="minorEastAsia"/>
                <w:szCs w:val="21"/>
              </w:rPr>
            </w:pPr>
            <w:r>
              <w:rPr>
                <w:rFonts w:hint="eastAsia"/>
                <w:szCs w:val="21"/>
              </w:rPr>
              <w:t>ND</w:t>
            </w:r>
          </w:p>
        </w:tc>
        <w:tc>
          <w:tcPr>
            <w:tcW w:w="302" w:type="pct"/>
            <w:vAlign w:val="center"/>
          </w:tcPr>
          <w:p w14:paraId="46F7802D">
            <w:pPr>
              <w:spacing w:before="61" w:line="320" w:lineRule="exact"/>
              <w:jc w:val="center"/>
              <w:rPr>
                <w:rFonts w:eastAsiaTheme="minorEastAsia"/>
                <w:szCs w:val="21"/>
              </w:rPr>
            </w:pPr>
            <w:r>
              <w:rPr>
                <w:rFonts w:hint="eastAsia"/>
                <w:szCs w:val="21"/>
              </w:rPr>
              <w:t>ND</w:t>
            </w:r>
          </w:p>
        </w:tc>
        <w:tc>
          <w:tcPr>
            <w:tcW w:w="297" w:type="pct"/>
            <w:vAlign w:val="center"/>
          </w:tcPr>
          <w:p w14:paraId="2544A2EE">
            <w:pPr>
              <w:spacing w:before="61" w:line="320" w:lineRule="exact"/>
              <w:jc w:val="center"/>
              <w:rPr>
                <w:rFonts w:eastAsiaTheme="minorEastAsia"/>
                <w:szCs w:val="21"/>
              </w:rPr>
            </w:pPr>
            <w:r>
              <w:rPr>
                <w:rFonts w:hint="eastAsia"/>
                <w:szCs w:val="21"/>
              </w:rPr>
              <w:t>ND</w:t>
            </w:r>
          </w:p>
        </w:tc>
        <w:tc>
          <w:tcPr>
            <w:tcW w:w="305" w:type="pct"/>
            <w:vAlign w:val="center"/>
          </w:tcPr>
          <w:p w14:paraId="7A7F0599">
            <w:pPr>
              <w:spacing w:before="61" w:line="320" w:lineRule="exact"/>
              <w:jc w:val="center"/>
              <w:rPr>
                <w:rFonts w:eastAsiaTheme="minorEastAsia"/>
                <w:szCs w:val="21"/>
              </w:rPr>
            </w:pPr>
            <w:r>
              <w:rPr>
                <w:rFonts w:hint="eastAsia"/>
                <w:szCs w:val="21"/>
              </w:rPr>
              <w:t>ND</w:t>
            </w:r>
          </w:p>
        </w:tc>
        <w:tc>
          <w:tcPr>
            <w:tcW w:w="370" w:type="pct"/>
            <w:vAlign w:val="center"/>
          </w:tcPr>
          <w:p w14:paraId="1F50FB4B">
            <w:pPr>
              <w:spacing w:before="61" w:line="320" w:lineRule="exact"/>
              <w:jc w:val="center"/>
              <w:rPr>
                <w:rFonts w:eastAsiaTheme="minorEastAsia"/>
                <w:szCs w:val="21"/>
              </w:rPr>
            </w:pPr>
            <w:r>
              <w:rPr>
                <w:rFonts w:hint="eastAsia"/>
                <w:szCs w:val="21"/>
              </w:rPr>
              <w:t>ND</w:t>
            </w:r>
          </w:p>
        </w:tc>
        <w:tc>
          <w:tcPr>
            <w:tcW w:w="370" w:type="pct"/>
            <w:vAlign w:val="center"/>
          </w:tcPr>
          <w:p w14:paraId="52CF8084">
            <w:pPr>
              <w:spacing w:before="61" w:line="320" w:lineRule="exact"/>
              <w:jc w:val="center"/>
              <w:rPr>
                <w:rFonts w:eastAsiaTheme="minorEastAsia"/>
                <w:szCs w:val="21"/>
              </w:rPr>
            </w:pPr>
            <w:r>
              <w:rPr>
                <w:rFonts w:eastAsiaTheme="minorEastAsia"/>
                <w:szCs w:val="21"/>
              </w:rPr>
              <w:t>28</w:t>
            </w:r>
          </w:p>
        </w:tc>
      </w:tr>
      <w:tr w14:paraId="2D2E4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C693352">
            <w:pPr>
              <w:spacing w:line="320" w:lineRule="exact"/>
              <w:jc w:val="center"/>
              <w:rPr>
                <w:rFonts w:eastAsiaTheme="minorEastAsia"/>
                <w:szCs w:val="21"/>
              </w:rPr>
            </w:pPr>
            <w:r>
              <w:rPr>
                <w:rFonts w:eastAsiaTheme="minorEastAsia"/>
                <w:szCs w:val="21"/>
              </w:rPr>
              <w:t>苯乙烯（mg/kg）</w:t>
            </w:r>
          </w:p>
        </w:tc>
        <w:tc>
          <w:tcPr>
            <w:tcW w:w="390" w:type="pct"/>
            <w:vAlign w:val="center"/>
          </w:tcPr>
          <w:p w14:paraId="63347D0E">
            <w:pPr>
              <w:widowControl/>
              <w:jc w:val="center"/>
              <w:rPr>
                <w:szCs w:val="21"/>
              </w:rPr>
            </w:pPr>
            <w:r>
              <w:rPr>
                <w:rFonts w:hint="eastAsia"/>
                <w:szCs w:val="21"/>
              </w:rPr>
              <w:t>ND</w:t>
            </w:r>
          </w:p>
        </w:tc>
        <w:tc>
          <w:tcPr>
            <w:tcW w:w="389" w:type="pct"/>
            <w:vAlign w:val="center"/>
          </w:tcPr>
          <w:p w14:paraId="4058BBAF">
            <w:pPr>
              <w:spacing w:before="63" w:line="320" w:lineRule="exact"/>
              <w:ind w:left="5"/>
              <w:jc w:val="center"/>
              <w:rPr>
                <w:rFonts w:eastAsiaTheme="minorEastAsia"/>
                <w:szCs w:val="21"/>
              </w:rPr>
            </w:pPr>
            <w:r>
              <w:rPr>
                <w:rFonts w:hint="eastAsia"/>
                <w:szCs w:val="21"/>
              </w:rPr>
              <w:t>ND</w:t>
            </w:r>
          </w:p>
        </w:tc>
        <w:tc>
          <w:tcPr>
            <w:tcW w:w="347" w:type="pct"/>
            <w:vAlign w:val="center"/>
          </w:tcPr>
          <w:p w14:paraId="129E1880">
            <w:pPr>
              <w:spacing w:before="63" w:line="320" w:lineRule="exact"/>
              <w:ind w:left="5"/>
              <w:jc w:val="center"/>
              <w:rPr>
                <w:szCs w:val="21"/>
              </w:rPr>
            </w:pPr>
            <w:r>
              <w:rPr>
                <w:rFonts w:hint="eastAsia"/>
                <w:szCs w:val="21"/>
              </w:rPr>
              <w:t>ND</w:t>
            </w:r>
          </w:p>
        </w:tc>
        <w:tc>
          <w:tcPr>
            <w:tcW w:w="345" w:type="pct"/>
            <w:vAlign w:val="center"/>
          </w:tcPr>
          <w:p w14:paraId="7ADEC9F1">
            <w:pPr>
              <w:spacing w:before="63" w:line="320" w:lineRule="exact"/>
              <w:ind w:left="5"/>
              <w:jc w:val="center"/>
              <w:rPr>
                <w:rFonts w:eastAsiaTheme="minorEastAsia"/>
                <w:szCs w:val="21"/>
              </w:rPr>
            </w:pPr>
            <w:r>
              <w:rPr>
                <w:rFonts w:hint="eastAsia"/>
                <w:szCs w:val="21"/>
              </w:rPr>
              <w:t>ND</w:t>
            </w:r>
          </w:p>
        </w:tc>
        <w:tc>
          <w:tcPr>
            <w:tcW w:w="301" w:type="pct"/>
            <w:vAlign w:val="center"/>
          </w:tcPr>
          <w:p w14:paraId="6FCF85DB">
            <w:pPr>
              <w:spacing w:before="63" w:line="320" w:lineRule="exact"/>
              <w:ind w:left="5"/>
              <w:jc w:val="center"/>
              <w:rPr>
                <w:rFonts w:eastAsiaTheme="minorEastAsia"/>
                <w:szCs w:val="21"/>
              </w:rPr>
            </w:pPr>
            <w:r>
              <w:rPr>
                <w:rFonts w:hint="eastAsia"/>
                <w:szCs w:val="21"/>
              </w:rPr>
              <w:t>ND</w:t>
            </w:r>
          </w:p>
        </w:tc>
        <w:tc>
          <w:tcPr>
            <w:tcW w:w="301" w:type="pct"/>
            <w:vAlign w:val="center"/>
          </w:tcPr>
          <w:p w14:paraId="2E181E4A">
            <w:pPr>
              <w:spacing w:before="63" w:line="320" w:lineRule="exact"/>
              <w:ind w:left="5"/>
              <w:jc w:val="center"/>
              <w:rPr>
                <w:rFonts w:eastAsiaTheme="minorEastAsia"/>
                <w:szCs w:val="21"/>
              </w:rPr>
            </w:pPr>
            <w:r>
              <w:rPr>
                <w:rFonts w:hint="eastAsia"/>
                <w:szCs w:val="21"/>
              </w:rPr>
              <w:t>ND</w:t>
            </w:r>
          </w:p>
        </w:tc>
        <w:tc>
          <w:tcPr>
            <w:tcW w:w="300" w:type="pct"/>
            <w:vAlign w:val="center"/>
          </w:tcPr>
          <w:p w14:paraId="54DC3192">
            <w:pPr>
              <w:spacing w:before="63" w:line="320" w:lineRule="exact"/>
              <w:ind w:left="5"/>
              <w:jc w:val="center"/>
              <w:rPr>
                <w:rFonts w:eastAsiaTheme="minorEastAsia"/>
                <w:szCs w:val="21"/>
              </w:rPr>
            </w:pPr>
            <w:r>
              <w:rPr>
                <w:rFonts w:hint="eastAsia"/>
                <w:szCs w:val="21"/>
              </w:rPr>
              <w:t>ND</w:t>
            </w:r>
          </w:p>
        </w:tc>
        <w:tc>
          <w:tcPr>
            <w:tcW w:w="300" w:type="pct"/>
            <w:vAlign w:val="center"/>
          </w:tcPr>
          <w:p w14:paraId="493533A5">
            <w:pPr>
              <w:spacing w:before="63" w:line="320" w:lineRule="exact"/>
              <w:ind w:left="5"/>
              <w:jc w:val="center"/>
              <w:rPr>
                <w:rFonts w:eastAsiaTheme="minorEastAsia"/>
                <w:szCs w:val="21"/>
              </w:rPr>
            </w:pPr>
            <w:r>
              <w:rPr>
                <w:rFonts w:hint="eastAsia"/>
                <w:szCs w:val="21"/>
              </w:rPr>
              <w:t>ND</w:t>
            </w:r>
          </w:p>
        </w:tc>
        <w:tc>
          <w:tcPr>
            <w:tcW w:w="302" w:type="pct"/>
            <w:vAlign w:val="center"/>
          </w:tcPr>
          <w:p w14:paraId="77A0210C">
            <w:pPr>
              <w:spacing w:before="63" w:line="320" w:lineRule="exact"/>
              <w:ind w:left="5"/>
              <w:jc w:val="center"/>
              <w:rPr>
                <w:rFonts w:eastAsiaTheme="minorEastAsia"/>
                <w:szCs w:val="21"/>
              </w:rPr>
            </w:pPr>
            <w:r>
              <w:rPr>
                <w:rFonts w:hint="eastAsia"/>
                <w:szCs w:val="21"/>
              </w:rPr>
              <w:t>ND</w:t>
            </w:r>
          </w:p>
        </w:tc>
        <w:tc>
          <w:tcPr>
            <w:tcW w:w="297" w:type="pct"/>
            <w:vAlign w:val="center"/>
          </w:tcPr>
          <w:p w14:paraId="68AFC598">
            <w:pPr>
              <w:spacing w:before="63" w:line="320" w:lineRule="exact"/>
              <w:ind w:left="5"/>
              <w:jc w:val="center"/>
              <w:rPr>
                <w:rFonts w:eastAsiaTheme="minorEastAsia"/>
                <w:szCs w:val="21"/>
              </w:rPr>
            </w:pPr>
            <w:r>
              <w:rPr>
                <w:rFonts w:hint="eastAsia"/>
                <w:szCs w:val="21"/>
              </w:rPr>
              <w:t>ND</w:t>
            </w:r>
          </w:p>
        </w:tc>
        <w:tc>
          <w:tcPr>
            <w:tcW w:w="305" w:type="pct"/>
            <w:vAlign w:val="center"/>
          </w:tcPr>
          <w:p w14:paraId="49584C9F">
            <w:pPr>
              <w:spacing w:before="63" w:line="320" w:lineRule="exact"/>
              <w:ind w:left="5"/>
              <w:jc w:val="center"/>
              <w:rPr>
                <w:rFonts w:eastAsiaTheme="minorEastAsia"/>
                <w:szCs w:val="21"/>
              </w:rPr>
            </w:pPr>
            <w:r>
              <w:rPr>
                <w:rFonts w:hint="eastAsia"/>
                <w:szCs w:val="21"/>
              </w:rPr>
              <w:t>ND</w:t>
            </w:r>
          </w:p>
        </w:tc>
        <w:tc>
          <w:tcPr>
            <w:tcW w:w="370" w:type="pct"/>
            <w:vAlign w:val="center"/>
          </w:tcPr>
          <w:p w14:paraId="09C1BE3F">
            <w:pPr>
              <w:spacing w:before="63" w:line="320" w:lineRule="exact"/>
              <w:ind w:left="5"/>
              <w:jc w:val="center"/>
              <w:rPr>
                <w:rFonts w:eastAsiaTheme="minorEastAsia"/>
                <w:szCs w:val="21"/>
              </w:rPr>
            </w:pPr>
            <w:r>
              <w:rPr>
                <w:rFonts w:hint="eastAsia"/>
                <w:szCs w:val="21"/>
              </w:rPr>
              <w:t>ND</w:t>
            </w:r>
          </w:p>
        </w:tc>
        <w:tc>
          <w:tcPr>
            <w:tcW w:w="370" w:type="pct"/>
            <w:vAlign w:val="center"/>
          </w:tcPr>
          <w:p w14:paraId="3EF562F8">
            <w:pPr>
              <w:spacing w:before="63" w:line="320" w:lineRule="exact"/>
              <w:ind w:left="5"/>
              <w:jc w:val="center"/>
              <w:rPr>
                <w:rFonts w:eastAsiaTheme="minorEastAsia"/>
                <w:szCs w:val="21"/>
              </w:rPr>
            </w:pPr>
            <w:r>
              <w:rPr>
                <w:rFonts w:eastAsiaTheme="minorEastAsia"/>
                <w:szCs w:val="21"/>
              </w:rPr>
              <w:t>1290</w:t>
            </w:r>
          </w:p>
        </w:tc>
      </w:tr>
      <w:tr w14:paraId="195A8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785C94CC">
            <w:pPr>
              <w:spacing w:line="320" w:lineRule="exact"/>
              <w:jc w:val="center"/>
              <w:rPr>
                <w:rFonts w:eastAsiaTheme="minorEastAsia"/>
                <w:szCs w:val="21"/>
              </w:rPr>
            </w:pPr>
            <w:r>
              <w:rPr>
                <w:rFonts w:eastAsiaTheme="minorEastAsia"/>
                <w:szCs w:val="21"/>
              </w:rPr>
              <w:t>甲苯（mg/kg）</w:t>
            </w:r>
          </w:p>
        </w:tc>
        <w:tc>
          <w:tcPr>
            <w:tcW w:w="390" w:type="pct"/>
            <w:vAlign w:val="center"/>
          </w:tcPr>
          <w:p w14:paraId="44E5AB67">
            <w:pPr>
              <w:widowControl/>
              <w:jc w:val="center"/>
              <w:rPr>
                <w:szCs w:val="21"/>
              </w:rPr>
            </w:pPr>
            <w:r>
              <w:rPr>
                <w:rFonts w:hint="eastAsia"/>
                <w:szCs w:val="21"/>
              </w:rPr>
              <w:t>ND</w:t>
            </w:r>
          </w:p>
        </w:tc>
        <w:tc>
          <w:tcPr>
            <w:tcW w:w="389" w:type="pct"/>
            <w:vAlign w:val="center"/>
          </w:tcPr>
          <w:p w14:paraId="6EAE620B">
            <w:pPr>
              <w:spacing w:before="61" w:line="320" w:lineRule="exact"/>
              <w:jc w:val="center"/>
              <w:rPr>
                <w:rFonts w:eastAsiaTheme="minorEastAsia"/>
                <w:szCs w:val="21"/>
              </w:rPr>
            </w:pPr>
            <w:r>
              <w:rPr>
                <w:rFonts w:hint="eastAsia"/>
                <w:szCs w:val="21"/>
              </w:rPr>
              <w:t>ND</w:t>
            </w:r>
          </w:p>
        </w:tc>
        <w:tc>
          <w:tcPr>
            <w:tcW w:w="347" w:type="pct"/>
            <w:vAlign w:val="center"/>
          </w:tcPr>
          <w:p w14:paraId="779671B1">
            <w:pPr>
              <w:spacing w:before="61" w:line="320" w:lineRule="exact"/>
              <w:jc w:val="center"/>
              <w:rPr>
                <w:szCs w:val="21"/>
              </w:rPr>
            </w:pPr>
            <w:r>
              <w:rPr>
                <w:rFonts w:hint="eastAsia"/>
                <w:szCs w:val="21"/>
              </w:rPr>
              <w:t>ND</w:t>
            </w:r>
          </w:p>
        </w:tc>
        <w:tc>
          <w:tcPr>
            <w:tcW w:w="345" w:type="pct"/>
            <w:vAlign w:val="center"/>
          </w:tcPr>
          <w:p w14:paraId="06E7F025">
            <w:pPr>
              <w:spacing w:before="61" w:line="320" w:lineRule="exact"/>
              <w:jc w:val="center"/>
              <w:rPr>
                <w:rFonts w:eastAsiaTheme="minorEastAsia"/>
                <w:szCs w:val="21"/>
              </w:rPr>
            </w:pPr>
            <w:r>
              <w:rPr>
                <w:rFonts w:hint="eastAsia"/>
                <w:szCs w:val="21"/>
              </w:rPr>
              <w:t>ND</w:t>
            </w:r>
          </w:p>
        </w:tc>
        <w:tc>
          <w:tcPr>
            <w:tcW w:w="301" w:type="pct"/>
            <w:vAlign w:val="center"/>
          </w:tcPr>
          <w:p w14:paraId="6759D456">
            <w:pPr>
              <w:spacing w:before="61" w:line="320" w:lineRule="exact"/>
              <w:jc w:val="center"/>
              <w:rPr>
                <w:rFonts w:eastAsiaTheme="minorEastAsia"/>
                <w:szCs w:val="21"/>
              </w:rPr>
            </w:pPr>
            <w:r>
              <w:rPr>
                <w:rFonts w:hint="eastAsia"/>
                <w:szCs w:val="21"/>
              </w:rPr>
              <w:t>ND</w:t>
            </w:r>
          </w:p>
        </w:tc>
        <w:tc>
          <w:tcPr>
            <w:tcW w:w="301" w:type="pct"/>
            <w:vAlign w:val="center"/>
          </w:tcPr>
          <w:p w14:paraId="0A048CAE">
            <w:pPr>
              <w:spacing w:before="61" w:line="320" w:lineRule="exact"/>
              <w:jc w:val="center"/>
              <w:rPr>
                <w:rFonts w:eastAsiaTheme="minorEastAsia"/>
                <w:szCs w:val="21"/>
              </w:rPr>
            </w:pPr>
            <w:r>
              <w:rPr>
                <w:rFonts w:hint="eastAsia"/>
                <w:szCs w:val="21"/>
              </w:rPr>
              <w:t>ND</w:t>
            </w:r>
          </w:p>
        </w:tc>
        <w:tc>
          <w:tcPr>
            <w:tcW w:w="300" w:type="pct"/>
            <w:vAlign w:val="center"/>
          </w:tcPr>
          <w:p w14:paraId="36033219">
            <w:pPr>
              <w:spacing w:before="61" w:line="320" w:lineRule="exact"/>
              <w:jc w:val="center"/>
              <w:rPr>
                <w:rFonts w:eastAsiaTheme="minorEastAsia"/>
                <w:szCs w:val="21"/>
              </w:rPr>
            </w:pPr>
            <w:r>
              <w:rPr>
                <w:rFonts w:hint="eastAsia"/>
                <w:szCs w:val="21"/>
              </w:rPr>
              <w:t>ND</w:t>
            </w:r>
          </w:p>
        </w:tc>
        <w:tc>
          <w:tcPr>
            <w:tcW w:w="300" w:type="pct"/>
            <w:vAlign w:val="center"/>
          </w:tcPr>
          <w:p w14:paraId="342A4159">
            <w:pPr>
              <w:spacing w:before="61" w:line="320" w:lineRule="exact"/>
              <w:jc w:val="center"/>
              <w:rPr>
                <w:rFonts w:eastAsiaTheme="minorEastAsia"/>
                <w:szCs w:val="21"/>
              </w:rPr>
            </w:pPr>
            <w:r>
              <w:rPr>
                <w:rFonts w:hint="eastAsia"/>
                <w:szCs w:val="21"/>
              </w:rPr>
              <w:t>ND</w:t>
            </w:r>
          </w:p>
        </w:tc>
        <w:tc>
          <w:tcPr>
            <w:tcW w:w="302" w:type="pct"/>
            <w:vAlign w:val="center"/>
          </w:tcPr>
          <w:p w14:paraId="7B8042FA">
            <w:pPr>
              <w:spacing w:before="61" w:line="320" w:lineRule="exact"/>
              <w:jc w:val="center"/>
              <w:rPr>
                <w:rFonts w:eastAsiaTheme="minorEastAsia"/>
                <w:szCs w:val="21"/>
              </w:rPr>
            </w:pPr>
            <w:r>
              <w:rPr>
                <w:rFonts w:hint="eastAsia"/>
                <w:szCs w:val="21"/>
              </w:rPr>
              <w:t>ND</w:t>
            </w:r>
          </w:p>
        </w:tc>
        <w:tc>
          <w:tcPr>
            <w:tcW w:w="297" w:type="pct"/>
            <w:vAlign w:val="center"/>
          </w:tcPr>
          <w:p w14:paraId="26E4E9F0">
            <w:pPr>
              <w:spacing w:before="61" w:line="320" w:lineRule="exact"/>
              <w:jc w:val="center"/>
              <w:rPr>
                <w:rFonts w:eastAsiaTheme="minorEastAsia"/>
                <w:szCs w:val="21"/>
              </w:rPr>
            </w:pPr>
            <w:r>
              <w:rPr>
                <w:rFonts w:hint="eastAsia"/>
                <w:szCs w:val="21"/>
              </w:rPr>
              <w:t>ND</w:t>
            </w:r>
          </w:p>
        </w:tc>
        <w:tc>
          <w:tcPr>
            <w:tcW w:w="305" w:type="pct"/>
            <w:vAlign w:val="center"/>
          </w:tcPr>
          <w:p w14:paraId="37E33C84">
            <w:pPr>
              <w:spacing w:before="61" w:line="320" w:lineRule="exact"/>
              <w:jc w:val="center"/>
              <w:rPr>
                <w:rFonts w:eastAsiaTheme="minorEastAsia"/>
                <w:szCs w:val="21"/>
              </w:rPr>
            </w:pPr>
            <w:r>
              <w:rPr>
                <w:rFonts w:hint="eastAsia"/>
                <w:szCs w:val="21"/>
              </w:rPr>
              <w:t>ND</w:t>
            </w:r>
          </w:p>
        </w:tc>
        <w:tc>
          <w:tcPr>
            <w:tcW w:w="370" w:type="pct"/>
            <w:vAlign w:val="center"/>
          </w:tcPr>
          <w:p w14:paraId="07D2A4B6">
            <w:pPr>
              <w:spacing w:before="61" w:line="320" w:lineRule="exact"/>
              <w:jc w:val="center"/>
              <w:rPr>
                <w:rFonts w:eastAsiaTheme="minorEastAsia"/>
                <w:szCs w:val="21"/>
              </w:rPr>
            </w:pPr>
            <w:r>
              <w:rPr>
                <w:rFonts w:hint="eastAsia"/>
                <w:szCs w:val="21"/>
              </w:rPr>
              <w:t>ND</w:t>
            </w:r>
          </w:p>
        </w:tc>
        <w:tc>
          <w:tcPr>
            <w:tcW w:w="370" w:type="pct"/>
            <w:vAlign w:val="center"/>
          </w:tcPr>
          <w:p w14:paraId="47A7DB46">
            <w:pPr>
              <w:spacing w:before="61" w:line="320" w:lineRule="exact"/>
              <w:jc w:val="center"/>
              <w:rPr>
                <w:rFonts w:eastAsiaTheme="minorEastAsia"/>
                <w:szCs w:val="21"/>
              </w:rPr>
            </w:pPr>
            <w:r>
              <w:rPr>
                <w:rFonts w:eastAsiaTheme="minorEastAsia"/>
                <w:szCs w:val="21"/>
              </w:rPr>
              <w:t>1200</w:t>
            </w:r>
          </w:p>
        </w:tc>
      </w:tr>
      <w:tr w14:paraId="77DF1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5DDA88C5">
            <w:pPr>
              <w:spacing w:line="320" w:lineRule="exact"/>
              <w:jc w:val="center"/>
              <w:rPr>
                <w:rFonts w:eastAsiaTheme="minorEastAsia"/>
                <w:szCs w:val="21"/>
              </w:rPr>
            </w:pPr>
            <w:r>
              <w:rPr>
                <w:rFonts w:eastAsiaTheme="minorEastAsia"/>
                <w:szCs w:val="21"/>
              </w:rPr>
              <w:t>间二甲苯+对二甲苯（mg/kg）</w:t>
            </w:r>
          </w:p>
        </w:tc>
        <w:tc>
          <w:tcPr>
            <w:tcW w:w="390" w:type="pct"/>
            <w:vAlign w:val="center"/>
          </w:tcPr>
          <w:p w14:paraId="663948A5">
            <w:pPr>
              <w:widowControl/>
              <w:jc w:val="center"/>
              <w:rPr>
                <w:szCs w:val="21"/>
              </w:rPr>
            </w:pPr>
            <w:r>
              <w:rPr>
                <w:rFonts w:hint="eastAsia"/>
                <w:szCs w:val="21"/>
              </w:rPr>
              <w:t>ND</w:t>
            </w:r>
          </w:p>
        </w:tc>
        <w:tc>
          <w:tcPr>
            <w:tcW w:w="389" w:type="pct"/>
            <w:vAlign w:val="center"/>
          </w:tcPr>
          <w:p w14:paraId="496FC426">
            <w:pPr>
              <w:spacing w:before="61" w:line="320" w:lineRule="exact"/>
              <w:jc w:val="center"/>
              <w:rPr>
                <w:rFonts w:eastAsiaTheme="minorEastAsia"/>
                <w:szCs w:val="21"/>
              </w:rPr>
            </w:pPr>
            <w:r>
              <w:rPr>
                <w:rFonts w:hint="eastAsia"/>
                <w:szCs w:val="21"/>
              </w:rPr>
              <w:t>ND</w:t>
            </w:r>
          </w:p>
        </w:tc>
        <w:tc>
          <w:tcPr>
            <w:tcW w:w="347" w:type="pct"/>
            <w:vAlign w:val="center"/>
          </w:tcPr>
          <w:p w14:paraId="6A28997B">
            <w:pPr>
              <w:spacing w:before="61" w:line="320" w:lineRule="exact"/>
              <w:jc w:val="center"/>
              <w:rPr>
                <w:szCs w:val="21"/>
              </w:rPr>
            </w:pPr>
            <w:r>
              <w:rPr>
                <w:rFonts w:hint="eastAsia"/>
                <w:szCs w:val="21"/>
              </w:rPr>
              <w:t>ND</w:t>
            </w:r>
          </w:p>
        </w:tc>
        <w:tc>
          <w:tcPr>
            <w:tcW w:w="345" w:type="pct"/>
            <w:vAlign w:val="center"/>
          </w:tcPr>
          <w:p w14:paraId="6F952120">
            <w:pPr>
              <w:spacing w:before="61" w:line="320" w:lineRule="exact"/>
              <w:jc w:val="center"/>
              <w:rPr>
                <w:rFonts w:eastAsiaTheme="minorEastAsia"/>
                <w:szCs w:val="21"/>
              </w:rPr>
            </w:pPr>
            <w:r>
              <w:rPr>
                <w:rFonts w:hint="eastAsia"/>
                <w:szCs w:val="21"/>
              </w:rPr>
              <w:t>ND</w:t>
            </w:r>
          </w:p>
        </w:tc>
        <w:tc>
          <w:tcPr>
            <w:tcW w:w="301" w:type="pct"/>
            <w:vAlign w:val="center"/>
          </w:tcPr>
          <w:p w14:paraId="4BDFB9D8">
            <w:pPr>
              <w:spacing w:before="61" w:line="320" w:lineRule="exact"/>
              <w:jc w:val="center"/>
              <w:rPr>
                <w:rFonts w:eastAsiaTheme="minorEastAsia"/>
                <w:szCs w:val="21"/>
              </w:rPr>
            </w:pPr>
            <w:r>
              <w:rPr>
                <w:rFonts w:hint="eastAsia"/>
                <w:szCs w:val="21"/>
              </w:rPr>
              <w:t>ND</w:t>
            </w:r>
          </w:p>
        </w:tc>
        <w:tc>
          <w:tcPr>
            <w:tcW w:w="301" w:type="pct"/>
            <w:vAlign w:val="center"/>
          </w:tcPr>
          <w:p w14:paraId="4C5E2001">
            <w:pPr>
              <w:spacing w:before="61" w:line="320" w:lineRule="exact"/>
              <w:jc w:val="center"/>
              <w:rPr>
                <w:rFonts w:eastAsiaTheme="minorEastAsia"/>
                <w:szCs w:val="21"/>
              </w:rPr>
            </w:pPr>
            <w:r>
              <w:rPr>
                <w:rFonts w:hint="eastAsia"/>
                <w:szCs w:val="21"/>
              </w:rPr>
              <w:t>ND</w:t>
            </w:r>
          </w:p>
        </w:tc>
        <w:tc>
          <w:tcPr>
            <w:tcW w:w="300" w:type="pct"/>
            <w:vAlign w:val="center"/>
          </w:tcPr>
          <w:p w14:paraId="13669A54">
            <w:pPr>
              <w:spacing w:before="61" w:line="320" w:lineRule="exact"/>
              <w:jc w:val="center"/>
              <w:rPr>
                <w:rFonts w:eastAsiaTheme="minorEastAsia"/>
                <w:szCs w:val="21"/>
              </w:rPr>
            </w:pPr>
            <w:r>
              <w:rPr>
                <w:rFonts w:hint="eastAsia"/>
                <w:szCs w:val="21"/>
              </w:rPr>
              <w:t>ND</w:t>
            </w:r>
          </w:p>
        </w:tc>
        <w:tc>
          <w:tcPr>
            <w:tcW w:w="300" w:type="pct"/>
            <w:vAlign w:val="center"/>
          </w:tcPr>
          <w:p w14:paraId="5A12C978">
            <w:pPr>
              <w:spacing w:before="61" w:line="320" w:lineRule="exact"/>
              <w:jc w:val="center"/>
              <w:rPr>
                <w:rFonts w:eastAsiaTheme="minorEastAsia"/>
                <w:szCs w:val="21"/>
              </w:rPr>
            </w:pPr>
            <w:r>
              <w:rPr>
                <w:rFonts w:hint="eastAsia"/>
                <w:szCs w:val="21"/>
              </w:rPr>
              <w:t>ND</w:t>
            </w:r>
          </w:p>
        </w:tc>
        <w:tc>
          <w:tcPr>
            <w:tcW w:w="302" w:type="pct"/>
            <w:vAlign w:val="center"/>
          </w:tcPr>
          <w:p w14:paraId="058F0E21">
            <w:pPr>
              <w:spacing w:before="61" w:line="320" w:lineRule="exact"/>
              <w:jc w:val="center"/>
              <w:rPr>
                <w:rFonts w:eastAsiaTheme="minorEastAsia"/>
                <w:szCs w:val="21"/>
              </w:rPr>
            </w:pPr>
            <w:r>
              <w:rPr>
                <w:rFonts w:hint="eastAsia"/>
                <w:szCs w:val="21"/>
              </w:rPr>
              <w:t>ND</w:t>
            </w:r>
          </w:p>
        </w:tc>
        <w:tc>
          <w:tcPr>
            <w:tcW w:w="297" w:type="pct"/>
            <w:vAlign w:val="center"/>
          </w:tcPr>
          <w:p w14:paraId="4346D583">
            <w:pPr>
              <w:spacing w:before="61" w:line="320" w:lineRule="exact"/>
              <w:jc w:val="center"/>
              <w:rPr>
                <w:rFonts w:eastAsiaTheme="minorEastAsia"/>
                <w:szCs w:val="21"/>
              </w:rPr>
            </w:pPr>
            <w:r>
              <w:rPr>
                <w:rFonts w:hint="eastAsia"/>
                <w:szCs w:val="21"/>
              </w:rPr>
              <w:t>ND</w:t>
            </w:r>
          </w:p>
        </w:tc>
        <w:tc>
          <w:tcPr>
            <w:tcW w:w="305" w:type="pct"/>
            <w:vAlign w:val="center"/>
          </w:tcPr>
          <w:p w14:paraId="2AFAE3A6">
            <w:pPr>
              <w:spacing w:before="61" w:line="320" w:lineRule="exact"/>
              <w:jc w:val="center"/>
              <w:rPr>
                <w:rFonts w:eastAsiaTheme="minorEastAsia"/>
                <w:szCs w:val="21"/>
              </w:rPr>
            </w:pPr>
            <w:r>
              <w:rPr>
                <w:rFonts w:hint="eastAsia"/>
                <w:szCs w:val="21"/>
              </w:rPr>
              <w:t>ND</w:t>
            </w:r>
          </w:p>
        </w:tc>
        <w:tc>
          <w:tcPr>
            <w:tcW w:w="370" w:type="pct"/>
            <w:vAlign w:val="center"/>
          </w:tcPr>
          <w:p w14:paraId="6A5A91AB">
            <w:pPr>
              <w:spacing w:before="61" w:line="320" w:lineRule="exact"/>
              <w:jc w:val="center"/>
              <w:rPr>
                <w:rFonts w:eastAsiaTheme="minorEastAsia"/>
                <w:szCs w:val="21"/>
              </w:rPr>
            </w:pPr>
            <w:r>
              <w:rPr>
                <w:rFonts w:hint="eastAsia"/>
                <w:szCs w:val="21"/>
              </w:rPr>
              <w:t>ND</w:t>
            </w:r>
          </w:p>
        </w:tc>
        <w:tc>
          <w:tcPr>
            <w:tcW w:w="370" w:type="pct"/>
            <w:vAlign w:val="center"/>
          </w:tcPr>
          <w:p w14:paraId="704A3D1C">
            <w:pPr>
              <w:spacing w:before="61" w:line="320" w:lineRule="exact"/>
              <w:jc w:val="center"/>
              <w:rPr>
                <w:rFonts w:eastAsiaTheme="minorEastAsia"/>
                <w:szCs w:val="21"/>
              </w:rPr>
            </w:pPr>
            <w:r>
              <w:rPr>
                <w:rFonts w:eastAsiaTheme="minorEastAsia"/>
                <w:szCs w:val="21"/>
              </w:rPr>
              <w:t>570</w:t>
            </w:r>
          </w:p>
        </w:tc>
      </w:tr>
      <w:tr w14:paraId="01F91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446C64C6">
            <w:pPr>
              <w:spacing w:line="320" w:lineRule="exact"/>
              <w:jc w:val="center"/>
              <w:rPr>
                <w:rFonts w:eastAsiaTheme="minorEastAsia"/>
                <w:szCs w:val="21"/>
              </w:rPr>
            </w:pPr>
            <w:r>
              <w:rPr>
                <w:rFonts w:eastAsiaTheme="minorEastAsia"/>
                <w:szCs w:val="21"/>
              </w:rPr>
              <w:t>邻二甲苯（mg/kg）</w:t>
            </w:r>
          </w:p>
        </w:tc>
        <w:tc>
          <w:tcPr>
            <w:tcW w:w="390" w:type="pct"/>
            <w:vAlign w:val="center"/>
          </w:tcPr>
          <w:p w14:paraId="5EE0829D">
            <w:pPr>
              <w:widowControl/>
              <w:jc w:val="center"/>
              <w:rPr>
                <w:szCs w:val="21"/>
              </w:rPr>
            </w:pPr>
            <w:r>
              <w:rPr>
                <w:rFonts w:hint="eastAsia"/>
                <w:szCs w:val="21"/>
              </w:rPr>
              <w:t>ND</w:t>
            </w:r>
          </w:p>
        </w:tc>
        <w:tc>
          <w:tcPr>
            <w:tcW w:w="389" w:type="pct"/>
            <w:vAlign w:val="center"/>
          </w:tcPr>
          <w:p w14:paraId="11C9E7F0">
            <w:pPr>
              <w:spacing w:before="63" w:line="320" w:lineRule="exact"/>
              <w:ind w:left="5"/>
              <w:jc w:val="center"/>
              <w:rPr>
                <w:rFonts w:eastAsiaTheme="minorEastAsia"/>
                <w:szCs w:val="21"/>
              </w:rPr>
            </w:pPr>
            <w:r>
              <w:rPr>
                <w:rFonts w:hint="eastAsia"/>
                <w:szCs w:val="21"/>
              </w:rPr>
              <w:t>ND</w:t>
            </w:r>
          </w:p>
        </w:tc>
        <w:tc>
          <w:tcPr>
            <w:tcW w:w="347" w:type="pct"/>
            <w:vAlign w:val="center"/>
          </w:tcPr>
          <w:p w14:paraId="78A72097">
            <w:pPr>
              <w:spacing w:before="63" w:line="320" w:lineRule="exact"/>
              <w:ind w:left="5"/>
              <w:jc w:val="center"/>
              <w:rPr>
                <w:szCs w:val="21"/>
              </w:rPr>
            </w:pPr>
            <w:r>
              <w:rPr>
                <w:rFonts w:hint="eastAsia"/>
                <w:szCs w:val="21"/>
              </w:rPr>
              <w:t>ND</w:t>
            </w:r>
          </w:p>
        </w:tc>
        <w:tc>
          <w:tcPr>
            <w:tcW w:w="345" w:type="pct"/>
            <w:vAlign w:val="center"/>
          </w:tcPr>
          <w:p w14:paraId="635B4246">
            <w:pPr>
              <w:spacing w:before="63" w:line="320" w:lineRule="exact"/>
              <w:ind w:left="5"/>
              <w:jc w:val="center"/>
              <w:rPr>
                <w:rFonts w:eastAsiaTheme="minorEastAsia"/>
                <w:szCs w:val="21"/>
              </w:rPr>
            </w:pPr>
            <w:r>
              <w:rPr>
                <w:rFonts w:hint="eastAsia"/>
                <w:szCs w:val="21"/>
              </w:rPr>
              <w:t>ND</w:t>
            </w:r>
          </w:p>
        </w:tc>
        <w:tc>
          <w:tcPr>
            <w:tcW w:w="301" w:type="pct"/>
            <w:vAlign w:val="center"/>
          </w:tcPr>
          <w:p w14:paraId="1A8FC3F7">
            <w:pPr>
              <w:spacing w:before="63" w:line="320" w:lineRule="exact"/>
              <w:ind w:left="5"/>
              <w:jc w:val="center"/>
              <w:rPr>
                <w:rFonts w:eastAsiaTheme="minorEastAsia"/>
                <w:szCs w:val="21"/>
              </w:rPr>
            </w:pPr>
            <w:r>
              <w:rPr>
                <w:rFonts w:hint="eastAsia"/>
                <w:szCs w:val="21"/>
              </w:rPr>
              <w:t>ND</w:t>
            </w:r>
          </w:p>
        </w:tc>
        <w:tc>
          <w:tcPr>
            <w:tcW w:w="301" w:type="pct"/>
            <w:vAlign w:val="center"/>
          </w:tcPr>
          <w:p w14:paraId="68C46C7C">
            <w:pPr>
              <w:spacing w:before="63" w:line="320" w:lineRule="exact"/>
              <w:ind w:left="5"/>
              <w:jc w:val="center"/>
              <w:rPr>
                <w:rFonts w:eastAsiaTheme="minorEastAsia"/>
                <w:szCs w:val="21"/>
              </w:rPr>
            </w:pPr>
            <w:r>
              <w:rPr>
                <w:rFonts w:hint="eastAsia"/>
                <w:szCs w:val="21"/>
              </w:rPr>
              <w:t>ND</w:t>
            </w:r>
          </w:p>
        </w:tc>
        <w:tc>
          <w:tcPr>
            <w:tcW w:w="300" w:type="pct"/>
            <w:vAlign w:val="center"/>
          </w:tcPr>
          <w:p w14:paraId="42E99543">
            <w:pPr>
              <w:spacing w:before="63" w:line="320" w:lineRule="exact"/>
              <w:ind w:left="5"/>
              <w:jc w:val="center"/>
              <w:rPr>
                <w:rFonts w:eastAsiaTheme="minorEastAsia"/>
                <w:szCs w:val="21"/>
              </w:rPr>
            </w:pPr>
            <w:r>
              <w:rPr>
                <w:rFonts w:hint="eastAsia"/>
                <w:szCs w:val="21"/>
              </w:rPr>
              <w:t>ND</w:t>
            </w:r>
          </w:p>
        </w:tc>
        <w:tc>
          <w:tcPr>
            <w:tcW w:w="300" w:type="pct"/>
            <w:vAlign w:val="center"/>
          </w:tcPr>
          <w:p w14:paraId="7BEEB969">
            <w:pPr>
              <w:spacing w:before="63" w:line="320" w:lineRule="exact"/>
              <w:ind w:left="5"/>
              <w:jc w:val="center"/>
              <w:rPr>
                <w:rFonts w:eastAsiaTheme="minorEastAsia"/>
                <w:szCs w:val="21"/>
              </w:rPr>
            </w:pPr>
            <w:r>
              <w:rPr>
                <w:rFonts w:hint="eastAsia"/>
                <w:szCs w:val="21"/>
              </w:rPr>
              <w:t>ND</w:t>
            </w:r>
          </w:p>
        </w:tc>
        <w:tc>
          <w:tcPr>
            <w:tcW w:w="302" w:type="pct"/>
            <w:vAlign w:val="center"/>
          </w:tcPr>
          <w:p w14:paraId="0E0339E1">
            <w:pPr>
              <w:spacing w:before="63" w:line="320" w:lineRule="exact"/>
              <w:ind w:left="5"/>
              <w:jc w:val="center"/>
              <w:rPr>
                <w:rFonts w:eastAsiaTheme="minorEastAsia"/>
                <w:szCs w:val="21"/>
              </w:rPr>
            </w:pPr>
            <w:r>
              <w:rPr>
                <w:rFonts w:hint="eastAsia"/>
                <w:szCs w:val="21"/>
              </w:rPr>
              <w:t>ND</w:t>
            </w:r>
          </w:p>
        </w:tc>
        <w:tc>
          <w:tcPr>
            <w:tcW w:w="297" w:type="pct"/>
            <w:vAlign w:val="center"/>
          </w:tcPr>
          <w:p w14:paraId="26D4DDDF">
            <w:pPr>
              <w:spacing w:before="63" w:line="320" w:lineRule="exact"/>
              <w:ind w:left="5"/>
              <w:jc w:val="center"/>
              <w:rPr>
                <w:rFonts w:eastAsiaTheme="minorEastAsia"/>
                <w:szCs w:val="21"/>
              </w:rPr>
            </w:pPr>
            <w:r>
              <w:rPr>
                <w:rFonts w:hint="eastAsia"/>
                <w:szCs w:val="21"/>
              </w:rPr>
              <w:t>ND</w:t>
            </w:r>
          </w:p>
        </w:tc>
        <w:tc>
          <w:tcPr>
            <w:tcW w:w="305" w:type="pct"/>
            <w:vAlign w:val="center"/>
          </w:tcPr>
          <w:p w14:paraId="4A82F6F1">
            <w:pPr>
              <w:spacing w:before="63" w:line="320" w:lineRule="exact"/>
              <w:ind w:left="5"/>
              <w:jc w:val="center"/>
              <w:rPr>
                <w:rFonts w:eastAsiaTheme="minorEastAsia"/>
                <w:szCs w:val="21"/>
              </w:rPr>
            </w:pPr>
            <w:r>
              <w:rPr>
                <w:rFonts w:hint="eastAsia"/>
                <w:szCs w:val="21"/>
              </w:rPr>
              <w:t>ND</w:t>
            </w:r>
          </w:p>
        </w:tc>
        <w:tc>
          <w:tcPr>
            <w:tcW w:w="370" w:type="pct"/>
            <w:vAlign w:val="center"/>
          </w:tcPr>
          <w:p w14:paraId="435FB3FB">
            <w:pPr>
              <w:spacing w:before="63" w:line="320" w:lineRule="exact"/>
              <w:ind w:left="5"/>
              <w:jc w:val="center"/>
              <w:rPr>
                <w:rFonts w:eastAsiaTheme="minorEastAsia"/>
                <w:szCs w:val="21"/>
              </w:rPr>
            </w:pPr>
            <w:r>
              <w:rPr>
                <w:rFonts w:hint="eastAsia"/>
                <w:szCs w:val="21"/>
              </w:rPr>
              <w:t>ND</w:t>
            </w:r>
          </w:p>
        </w:tc>
        <w:tc>
          <w:tcPr>
            <w:tcW w:w="370" w:type="pct"/>
            <w:vAlign w:val="center"/>
          </w:tcPr>
          <w:p w14:paraId="584C5F5E">
            <w:pPr>
              <w:spacing w:before="63" w:line="320" w:lineRule="exact"/>
              <w:ind w:left="5"/>
              <w:jc w:val="center"/>
              <w:rPr>
                <w:rFonts w:eastAsiaTheme="minorEastAsia"/>
                <w:szCs w:val="21"/>
              </w:rPr>
            </w:pPr>
            <w:r>
              <w:rPr>
                <w:rFonts w:eastAsiaTheme="minorEastAsia"/>
                <w:szCs w:val="21"/>
              </w:rPr>
              <w:t>640</w:t>
            </w:r>
          </w:p>
        </w:tc>
      </w:tr>
      <w:tr w14:paraId="58B67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28383A5A">
            <w:pPr>
              <w:spacing w:line="320" w:lineRule="exact"/>
              <w:jc w:val="center"/>
              <w:rPr>
                <w:rFonts w:eastAsiaTheme="minorEastAsia"/>
                <w:szCs w:val="21"/>
              </w:rPr>
            </w:pPr>
            <w:r>
              <w:rPr>
                <w:rFonts w:eastAsiaTheme="minorEastAsia"/>
                <w:szCs w:val="21"/>
              </w:rPr>
              <w:t>氯乙烯（mg/kg）</w:t>
            </w:r>
          </w:p>
        </w:tc>
        <w:tc>
          <w:tcPr>
            <w:tcW w:w="390" w:type="pct"/>
            <w:vAlign w:val="center"/>
          </w:tcPr>
          <w:p w14:paraId="520AB520">
            <w:pPr>
              <w:widowControl/>
              <w:jc w:val="center"/>
              <w:rPr>
                <w:kern w:val="0"/>
                <w:szCs w:val="21"/>
                <w:lang w:bidi="ar"/>
              </w:rPr>
            </w:pPr>
            <w:r>
              <w:rPr>
                <w:rFonts w:hint="eastAsia"/>
                <w:szCs w:val="21"/>
              </w:rPr>
              <w:t>ND</w:t>
            </w:r>
          </w:p>
        </w:tc>
        <w:tc>
          <w:tcPr>
            <w:tcW w:w="389" w:type="pct"/>
            <w:vAlign w:val="center"/>
          </w:tcPr>
          <w:p w14:paraId="7108415D">
            <w:pPr>
              <w:spacing w:before="61" w:line="320" w:lineRule="exact"/>
              <w:ind w:left="5"/>
              <w:jc w:val="center"/>
              <w:rPr>
                <w:rFonts w:eastAsiaTheme="minorEastAsia"/>
                <w:szCs w:val="21"/>
              </w:rPr>
            </w:pPr>
            <w:r>
              <w:rPr>
                <w:rFonts w:hint="eastAsia"/>
                <w:szCs w:val="21"/>
              </w:rPr>
              <w:t>ND</w:t>
            </w:r>
          </w:p>
        </w:tc>
        <w:tc>
          <w:tcPr>
            <w:tcW w:w="347" w:type="pct"/>
            <w:vAlign w:val="center"/>
          </w:tcPr>
          <w:p w14:paraId="1F1139CD">
            <w:pPr>
              <w:spacing w:before="61" w:line="320" w:lineRule="exact"/>
              <w:ind w:left="5"/>
              <w:jc w:val="center"/>
              <w:rPr>
                <w:szCs w:val="21"/>
              </w:rPr>
            </w:pPr>
            <w:r>
              <w:rPr>
                <w:rFonts w:hint="eastAsia"/>
                <w:szCs w:val="21"/>
              </w:rPr>
              <w:t>ND</w:t>
            </w:r>
          </w:p>
        </w:tc>
        <w:tc>
          <w:tcPr>
            <w:tcW w:w="345" w:type="pct"/>
            <w:vAlign w:val="center"/>
          </w:tcPr>
          <w:p w14:paraId="4BD776BD">
            <w:pPr>
              <w:spacing w:before="61" w:line="320" w:lineRule="exact"/>
              <w:ind w:left="5"/>
              <w:jc w:val="center"/>
              <w:rPr>
                <w:rFonts w:eastAsiaTheme="minorEastAsia"/>
                <w:szCs w:val="21"/>
              </w:rPr>
            </w:pPr>
            <w:r>
              <w:rPr>
                <w:rFonts w:hint="eastAsia"/>
                <w:szCs w:val="21"/>
              </w:rPr>
              <w:t>ND</w:t>
            </w:r>
          </w:p>
        </w:tc>
        <w:tc>
          <w:tcPr>
            <w:tcW w:w="301" w:type="pct"/>
            <w:vAlign w:val="center"/>
          </w:tcPr>
          <w:p w14:paraId="15624AE9">
            <w:pPr>
              <w:spacing w:before="61" w:line="320" w:lineRule="exact"/>
              <w:ind w:left="5"/>
              <w:jc w:val="center"/>
              <w:rPr>
                <w:rFonts w:eastAsiaTheme="minorEastAsia"/>
                <w:szCs w:val="21"/>
              </w:rPr>
            </w:pPr>
            <w:r>
              <w:rPr>
                <w:rFonts w:hint="eastAsia"/>
                <w:szCs w:val="21"/>
              </w:rPr>
              <w:t>ND</w:t>
            </w:r>
          </w:p>
        </w:tc>
        <w:tc>
          <w:tcPr>
            <w:tcW w:w="301" w:type="pct"/>
            <w:vAlign w:val="center"/>
          </w:tcPr>
          <w:p w14:paraId="699751B1">
            <w:pPr>
              <w:spacing w:before="61" w:line="320" w:lineRule="exact"/>
              <w:ind w:left="5"/>
              <w:jc w:val="center"/>
              <w:rPr>
                <w:rFonts w:eastAsiaTheme="minorEastAsia"/>
                <w:szCs w:val="21"/>
              </w:rPr>
            </w:pPr>
            <w:r>
              <w:rPr>
                <w:rFonts w:hint="eastAsia"/>
                <w:szCs w:val="21"/>
              </w:rPr>
              <w:t>ND</w:t>
            </w:r>
          </w:p>
        </w:tc>
        <w:tc>
          <w:tcPr>
            <w:tcW w:w="300" w:type="pct"/>
            <w:vAlign w:val="center"/>
          </w:tcPr>
          <w:p w14:paraId="296E1F1A">
            <w:pPr>
              <w:spacing w:before="61" w:line="320" w:lineRule="exact"/>
              <w:ind w:left="5"/>
              <w:jc w:val="center"/>
              <w:rPr>
                <w:rFonts w:eastAsiaTheme="minorEastAsia"/>
                <w:szCs w:val="21"/>
              </w:rPr>
            </w:pPr>
            <w:r>
              <w:rPr>
                <w:rFonts w:hint="eastAsia"/>
                <w:szCs w:val="21"/>
              </w:rPr>
              <w:t>ND</w:t>
            </w:r>
          </w:p>
        </w:tc>
        <w:tc>
          <w:tcPr>
            <w:tcW w:w="300" w:type="pct"/>
            <w:vAlign w:val="center"/>
          </w:tcPr>
          <w:p w14:paraId="6F4AF8D8">
            <w:pPr>
              <w:spacing w:before="61" w:line="320" w:lineRule="exact"/>
              <w:ind w:left="5"/>
              <w:jc w:val="center"/>
              <w:rPr>
                <w:rFonts w:eastAsiaTheme="minorEastAsia"/>
                <w:szCs w:val="21"/>
              </w:rPr>
            </w:pPr>
            <w:r>
              <w:rPr>
                <w:rFonts w:hint="eastAsia"/>
                <w:szCs w:val="21"/>
              </w:rPr>
              <w:t>ND</w:t>
            </w:r>
          </w:p>
        </w:tc>
        <w:tc>
          <w:tcPr>
            <w:tcW w:w="302" w:type="pct"/>
            <w:vAlign w:val="center"/>
          </w:tcPr>
          <w:p w14:paraId="03E52488">
            <w:pPr>
              <w:spacing w:before="61" w:line="320" w:lineRule="exact"/>
              <w:ind w:left="5"/>
              <w:jc w:val="center"/>
              <w:rPr>
                <w:rFonts w:eastAsiaTheme="minorEastAsia"/>
                <w:szCs w:val="21"/>
              </w:rPr>
            </w:pPr>
            <w:r>
              <w:rPr>
                <w:rFonts w:hint="eastAsia"/>
                <w:szCs w:val="21"/>
              </w:rPr>
              <w:t>ND</w:t>
            </w:r>
          </w:p>
        </w:tc>
        <w:tc>
          <w:tcPr>
            <w:tcW w:w="297" w:type="pct"/>
            <w:vAlign w:val="center"/>
          </w:tcPr>
          <w:p w14:paraId="2B53AC6C">
            <w:pPr>
              <w:spacing w:before="61" w:line="320" w:lineRule="exact"/>
              <w:ind w:left="5"/>
              <w:jc w:val="center"/>
              <w:rPr>
                <w:rFonts w:eastAsiaTheme="minorEastAsia"/>
                <w:szCs w:val="21"/>
              </w:rPr>
            </w:pPr>
            <w:r>
              <w:rPr>
                <w:rFonts w:hint="eastAsia"/>
                <w:szCs w:val="21"/>
              </w:rPr>
              <w:t>ND</w:t>
            </w:r>
          </w:p>
        </w:tc>
        <w:tc>
          <w:tcPr>
            <w:tcW w:w="305" w:type="pct"/>
            <w:vAlign w:val="center"/>
          </w:tcPr>
          <w:p w14:paraId="5DC7F7C3">
            <w:pPr>
              <w:spacing w:before="61" w:line="320" w:lineRule="exact"/>
              <w:ind w:left="5"/>
              <w:jc w:val="center"/>
              <w:rPr>
                <w:rFonts w:eastAsiaTheme="minorEastAsia"/>
                <w:szCs w:val="21"/>
              </w:rPr>
            </w:pPr>
            <w:r>
              <w:rPr>
                <w:rFonts w:hint="eastAsia"/>
                <w:szCs w:val="21"/>
              </w:rPr>
              <w:t>ND</w:t>
            </w:r>
          </w:p>
        </w:tc>
        <w:tc>
          <w:tcPr>
            <w:tcW w:w="370" w:type="pct"/>
            <w:vAlign w:val="center"/>
          </w:tcPr>
          <w:p w14:paraId="333959FF">
            <w:pPr>
              <w:spacing w:before="61" w:line="320" w:lineRule="exact"/>
              <w:ind w:left="5"/>
              <w:jc w:val="center"/>
              <w:rPr>
                <w:rFonts w:eastAsiaTheme="minorEastAsia"/>
                <w:szCs w:val="21"/>
              </w:rPr>
            </w:pPr>
            <w:r>
              <w:rPr>
                <w:rFonts w:hint="eastAsia"/>
                <w:szCs w:val="21"/>
              </w:rPr>
              <w:t>ND</w:t>
            </w:r>
          </w:p>
        </w:tc>
        <w:tc>
          <w:tcPr>
            <w:tcW w:w="370" w:type="pct"/>
            <w:vAlign w:val="center"/>
          </w:tcPr>
          <w:p w14:paraId="252104D7">
            <w:pPr>
              <w:spacing w:before="61" w:line="320" w:lineRule="exact"/>
              <w:ind w:left="5"/>
              <w:jc w:val="center"/>
              <w:rPr>
                <w:rFonts w:eastAsiaTheme="minorEastAsia"/>
                <w:szCs w:val="21"/>
              </w:rPr>
            </w:pPr>
            <w:r>
              <w:rPr>
                <w:rFonts w:eastAsiaTheme="minorEastAsia"/>
                <w:szCs w:val="21"/>
              </w:rPr>
              <w:t>0.43</w:t>
            </w:r>
          </w:p>
        </w:tc>
      </w:tr>
      <w:tr w14:paraId="398C1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3" w:type="pct"/>
            <w:vAlign w:val="center"/>
          </w:tcPr>
          <w:p w14:paraId="07D72023">
            <w:pPr>
              <w:spacing w:line="320" w:lineRule="exact"/>
              <w:jc w:val="center"/>
              <w:rPr>
                <w:rFonts w:eastAsiaTheme="minorEastAsia"/>
                <w:szCs w:val="21"/>
              </w:rPr>
            </w:pPr>
            <w:r>
              <w:rPr>
                <w:rFonts w:eastAsiaTheme="minorEastAsia"/>
                <w:szCs w:val="21"/>
              </w:rPr>
              <w:t>备注</w:t>
            </w:r>
          </w:p>
        </w:tc>
        <w:tc>
          <w:tcPr>
            <w:tcW w:w="4317" w:type="pct"/>
            <w:gridSpan w:val="13"/>
          </w:tcPr>
          <w:p w14:paraId="58E9A798">
            <w:pPr>
              <w:spacing w:before="61" w:line="320" w:lineRule="exact"/>
              <w:rPr>
                <w:rFonts w:eastAsiaTheme="minorEastAsia"/>
                <w:szCs w:val="21"/>
              </w:rPr>
            </w:pPr>
            <w:r>
              <w:rPr>
                <w:rFonts w:hint="eastAsia" w:eastAsiaTheme="minorEastAsia"/>
                <w:szCs w:val="21"/>
              </w:rPr>
              <w:t>“ND”表示未检出。</w:t>
            </w:r>
          </w:p>
        </w:tc>
      </w:tr>
    </w:tbl>
    <w:p w14:paraId="7C3E2D07">
      <w:pPr>
        <w:spacing w:line="360" w:lineRule="auto"/>
        <w:ind w:firstLine="422"/>
        <w:jc w:val="center"/>
        <w:rPr>
          <w:rFonts w:eastAsiaTheme="minorEastAsia"/>
          <w:b/>
          <w:szCs w:val="21"/>
        </w:rPr>
        <w:sectPr>
          <w:footerReference r:id="rId9" w:type="default"/>
          <w:pgSz w:w="16838" w:h="11906" w:orient="landscape"/>
          <w:pgMar w:top="1797" w:right="1559" w:bottom="1797" w:left="1559" w:header="851" w:footer="862" w:gutter="0"/>
          <w:cols w:space="425" w:num="1"/>
          <w:docGrid w:type="linesAndChars" w:linePitch="312" w:charSpace="0"/>
        </w:sectPr>
      </w:pPr>
    </w:p>
    <w:p w14:paraId="03AA4873">
      <w:pPr>
        <w:spacing w:line="360" w:lineRule="auto"/>
        <w:ind w:firstLine="422"/>
        <w:jc w:val="center"/>
        <w:rPr>
          <w:rFonts w:eastAsiaTheme="minorEastAsia"/>
          <w:b/>
          <w:bCs/>
          <w:kern w:val="0"/>
          <w:szCs w:val="21"/>
        </w:rPr>
      </w:pPr>
      <w:r>
        <w:rPr>
          <w:rFonts w:eastAsiaTheme="minorEastAsia"/>
          <w:b/>
          <w:szCs w:val="21"/>
        </w:rPr>
        <w:t>表</w:t>
      </w:r>
      <w:r>
        <w:rPr>
          <w:rFonts w:hint="eastAsia" w:eastAsiaTheme="minorEastAsia"/>
          <w:b/>
          <w:szCs w:val="21"/>
        </w:rPr>
        <w:t>3.3</w:t>
      </w:r>
      <w:r>
        <w:rPr>
          <w:rFonts w:eastAsiaTheme="minorEastAsia"/>
          <w:b/>
          <w:szCs w:val="21"/>
        </w:rPr>
        <w:t>.4-</w:t>
      </w:r>
      <w:r>
        <w:rPr>
          <w:rFonts w:hint="eastAsia" w:eastAsiaTheme="minorEastAsia"/>
          <w:b/>
          <w:szCs w:val="21"/>
        </w:rPr>
        <w:t xml:space="preserve">4  </w:t>
      </w:r>
      <w:r>
        <w:rPr>
          <w:rFonts w:eastAsiaTheme="minorEastAsia"/>
          <w:b/>
          <w:bCs/>
          <w:kern w:val="0"/>
          <w:szCs w:val="21"/>
        </w:rPr>
        <w:t xml:space="preserve"> </w:t>
      </w:r>
      <w:r>
        <w:rPr>
          <w:rFonts w:hint="eastAsia" w:eastAsiaTheme="minorEastAsia"/>
          <w:b/>
          <w:bCs/>
          <w:kern w:val="0"/>
          <w:szCs w:val="21"/>
        </w:rPr>
        <w:t>太白顶石材产业区域土壤环境质量建设用地监测结果表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64"/>
        <w:gridCol w:w="1412"/>
        <w:gridCol w:w="930"/>
        <w:gridCol w:w="930"/>
        <w:gridCol w:w="930"/>
        <w:gridCol w:w="931"/>
        <w:gridCol w:w="931"/>
      </w:tblGrid>
      <w:tr w14:paraId="76C43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12" w:space="0"/>
              <w:left w:val="single" w:color="auto" w:sz="12" w:space="0"/>
              <w:bottom w:val="single" w:color="auto" w:sz="6" w:space="0"/>
              <w:right w:val="single" w:color="auto" w:sz="6" w:space="0"/>
              <w:tl2br w:val="single" w:color="auto" w:sz="4" w:space="0"/>
            </w:tcBorders>
            <w:vAlign w:val="center"/>
          </w:tcPr>
          <w:p w14:paraId="55D771C7">
            <w:pPr>
              <w:spacing w:line="320" w:lineRule="exact"/>
              <w:jc w:val="center"/>
              <w:rPr>
                <w:rFonts w:eastAsiaTheme="minorEastAsia"/>
                <w:szCs w:val="21"/>
              </w:rPr>
            </w:pPr>
            <w:r>
              <w:rPr>
                <w:rFonts w:eastAsiaTheme="minorEastAsia"/>
                <w:szCs w:val="21"/>
              </w:rPr>
              <w:t xml:space="preserve">                         </w:t>
            </w:r>
            <w:r>
              <w:rPr>
                <w:rFonts w:hint="eastAsia" w:eastAsiaTheme="minorEastAsia"/>
                <w:szCs w:val="21"/>
              </w:rPr>
              <w:t>监测点位</w:t>
            </w:r>
          </w:p>
          <w:p w14:paraId="34592046">
            <w:pPr>
              <w:autoSpaceDE w:val="0"/>
              <w:autoSpaceDN w:val="0"/>
              <w:adjustRightInd w:val="0"/>
              <w:spacing w:after="120" w:line="320" w:lineRule="exact"/>
              <w:rPr>
                <w:rFonts w:eastAsiaTheme="minorEastAsia"/>
                <w:szCs w:val="21"/>
              </w:rPr>
            </w:pPr>
            <w:r>
              <w:rPr>
                <w:rFonts w:hint="eastAsia" w:eastAsiaTheme="minorEastAsia"/>
                <w:szCs w:val="21"/>
              </w:rPr>
              <w:t>监测项目</w:t>
            </w:r>
          </w:p>
        </w:tc>
        <w:tc>
          <w:tcPr>
            <w:tcW w:w="828" w:type="pct"/>
            <w:tcBorders>
              <w:top w:val="single" w:color="auto" w:sz="12" w:space="0"/>
              <w:left w:val="single" w:color="auto" w:sz="6" w:space="0"/>
              <w:bottom w:val="single" w:color="auto" w:sz="6" w:space="0"/>
              <w:right w:val="single" w:color="auto" w:sz="6" w:space="0"/>
            </w:tcBorders>
            <w:vAlign w:val="center"/>
          </w:tcPr>
          <w:p w14:paraId="729753AC">
            <w:pPr>
              <w:spacing w:line="320" w:lineRule="exact"/>
              <w:jc w:val="center"/>
              <w:rPr>
                <w:rFonts w:eastAsiaTheme="minorEastAsia"/>
                <w:szCs w:val="21"/>
              </w:rPr>
            </w:pPr>
            <w:r>
              <w:rPr>
                <w:rFonts w:eastAsiaTheme="minorEastAsia"/>
                <w:szCs w:val="21"/>
              </w:rPr>
              <w:t>T1</w:t>
            </w:r>
          </w:p>
        </w:tc>
        <w:tc>
          <w:tcPr>
            <w:tcW w:w="545" w:type="pct"/>
            <w:tcBorders>
              <w:top w:val="single" w:color="auto" w:sz="12" w:space="0"/>
              <w:left w:val="single" w:color="auto" w:sz="6" w:space="0"/>
              <w:bottom w:val="single" w:color="auto" w:sz="6" w:space="0"/>
              <w:right w:val="single" w:color="auto" w:sz="6" w:space="0"/>
            </w:tcBorders>
            <w:vAlign w:val="center"/>
          </w:tcPr>
          <w:p w14:paraId="37C85B2F">
            <w:pPr>
              <w:spacing w:line="320" w:lineRule="exact"/>
              <w:jc w:val="center"/>
              <w:rPr>
                <w:rFonts w:eastAsiaTheme="minorEastAsia"/>
                <w:szCs w:val="21"/>
              </w:rPr>
            </w:pPr>
            <w:r>
              <w:rPr>
                <w:rFonts w:eastAsiaTheme="minorEastAsia"/>
                <w:szCs w:val="21"/>
              </w:rPr>
              <w:t>T2</w:t>
            </w:r>
          </w:p>
        </w:tc>
        <w:tc>
          <w:tcPr>
            <w:tcW w:w="545" w:type="pct"/>
            <w:tcBorders>
              <w:top w:val="single" w:color="auto" w:sz="12" w:space="0"/>
              <w:left w:val="single" w:color="auto" w:sz="6" w:space="0"/>
              <w:bottom w:val="single" w:color="auto" w:sz="6" w:space="0"/>
              <w:right w:val="single" w:color="auto" w:sz="6" w:space="0"/>
            </w:tcBorders>
            <w:vAlign w:val="center"/>
          </w:tcPr>
          <w:p w14:paraId="6CBD88D2">
            <w:pPr>
              <w:spacing w:line="320" w:lineRule="exact"/>
              <w:jc w:val="center"/>
              <w:rPr>
                <w:rFonts w:eastAsiaTheme="minorEastAsia"/>
                <w:szCs w:val="21"/>
              </w:rPr>
            </w:pPr>
            <w:r>
              <w:rPr>
                <w:rFonts w:eastAsiaTheme="minorEastAsia"/>
                <w:szCs w:val="21"/>
              </w:rPr>
              <w:t>T4</w:t>
            </w:r>
          </w:p>
        </w:tc>
        <w:tc>
          <w:tcPr>
            <w:tcW w:w="545" w:type="pct"/>
            <w:tcBorders>
              <w:top w:val="single" w:color="auto" w:sz="12" w:space="0"/>
              <w:left w:val="single" w:color="auto" w:sz="6" w:space="0"/>
              <w:bottom w:val="single" w:color="auto" w:sz="6" w:space="0"/>
              <w:right w:val="single" w:color="auto" w:sz="6" w:space="0"/>
            </w:tcBorders>
            <w:vAlign w:val="center"/>
          </w:tcPr>
          <w:p w14:paraId="3021C147">
            <w:pPr>
              <w:spacing w:line="320" w:lineRule="exact"/>
              <w:jc w:val="center"/>
              <w:rPr>
                <w:rFonts w:eastAsiaTheme="minorEastAsia"/>
                <w:szCs w:val="21"/>
              </w:rPr>
            </w:pPr>
            <w:r>
              <w:rPr>
                <w:rFonts w:eastAsiaTheme="minorEastAsia"/>
                <w:szCs w:val="21"/>
              </w:rPr>
              <w:t>T5</w:t>
            </w:r>
          </w:p>
        </w:tc>
        <w:tc>
          <w:tcPr>
            <w:tcW w:w="546" w:type="pct"/>
            <w:tcBorders>
              <w:top w:val="single" w:color="auto" w:sz="12" w:space="0"/>
              <w:left w:val="single" w:color="auto" w:sz="6" w:space="0"/>
              <w:bottom w:val="single" w:color="auto" w:sz="6" w:space="0"/>
              <w:right w:val="single" w:color="auto" w:sz="6" w:space="0"/>
            </w:tcBorders>
            <w:vAlign w:val="center"/>
          </w:tcPr>
          <w:p w14:paraId="3737AC9F">
            <w:pPr>
              <w:spacing w:line="320" w:lineRule="exact"/>
              <w:jc w:val="center"/>
              <w:rPr>
                <w:rFonts w:eastAsiaTheme="minorEastAsia"/>
                <w:szCs w:val="21"/>
              </w:rPr>
            </w:pPr>
            <w:r>
              <w:rPr>
                <w:rFonts w:eastAsiaTheme="minorEastAsia"/>
                <w:szCs w:val="21"/>
              </w:rPr>
              <w:t>T6</w:t>
            </w:r>
          </w:p>
        </w:tc>
        <w:tc>
          <w:tcPr>
            <w:tcW w:w="546" w:type="pct"/>
            <w:tcBorders>
              <w:top w:val="single" w:color="auto" w:sz="12" w:space="0"/>
              <w:left w:val="single" w:color="auto" w:sz="6" w:space="0"/>
              <w:bottom w:val="single" w:color="auto" w:sz="6" w:space="0"/>
              <w:right w:val="single" w:color="auto" w:sz="12" w:space="0"/>
            </w:tcBorders>
            <w:vAlign w:val="center"/>
          </w:tcPr>
          <w:p w14:paraId="30CEAC20">
            <w:pPr>
              <w:spacing w:line="320" w:lineRule="exact"/>
              <w:jc w:val="center"/>
              <w:rPr>
                <w:rFonts w:eastAsiaTheme="minorEastAsia"/>
                <w:szCs w:val="21"/>
              </w:rPr>
            </w:pPr>
            <w:r>
              <w:rPr>
                <w:rFonts w:hint="eastAsia" w:eastAsiaTheme="minorEastAsia"/>
                <w:szCs w:val="21"/>
              </w:rPr>
              <w:t>标准限值</w:t>
            </w:r>
          </w:p>
        </w:tc>
      </w:tr>
      <w:tr w14:paraId="11CAB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5AFB9F8">
            <w:pPr>
              <w:spacing w:line="320" w:lineRule="exact"/>
              <w:jc w:val="center"/>
              <w:rPr>
                <w:rFonts w:eastAsiaTheme="minorEastAsia"/>
                <w:szCs w:val="21"/>
              </w:rPr>
            </w:pPr>
            <w:r>
              <w:rPr>
                <w:rFonts w:eastAsiaTheme="minorEastAsia"/>
                <w:szCs w:val="21"/>
              </w:rPr>
              <w:t>pH</w:t>
            </w:r>
            <w:r>
              <w:rPr>
                <w:rFonts w:hint="eastAsia" w:eastAsiaTheme="minorEastAsia"/>
                <w:szCs w:val="21"/>
              </w:rPr>
              <w:t>值</w:t>
            </w:r>
          </w:p>
        </w:tc>
        <w:tc>
          <w:tcPr>
            <w:tcW w:w="828" w:type="pct"/>
            <w:tcBorders>
              <w:top w:val="single" w:color="auto" w:sz="6" w:space="0"/>
              <w:left w:val="single" w:color="auto" w:sz="6" w:space="0"/>
              <w:bottom w:val="single" w:color="auto" w:sz="6" w:space="0"/>
              <w:right w:val="single" w:color="auto" w:sz="6" w:space="0"/>
            </w:tcBorders>
            <w:vAlign w:val="center"/>
          </w:tcPr>
          <w:p w14:paraId="5EEF669E">
            <w:pPr>
              <w:widowControl/>
              <w:jc w:val="center"/>
              <w:textAlignment w:val="center"/>
              <w:rPr>
                <w:szCs w:val="21"/>
              </w:rPr>
            </w:pPr>
            <w:r>
              <w:rPr>
                <w:szCs w:val="21"/>
              </w:rPr>
              <w:t>8.1</w:t>
            </w:r>
          </w:p>
        </w:tc>
        <w:tc>
          <w:tcPr>
            <w:tcW w:w="545" w:type="pct"/>
            <w:tcBorders>
              <w:top w:val="single" w:color="auto" w:sz="6" w:space="0"/>
              <w:left w:val="single" w:color="auto" w:sz="6" w:space="0"/>
              <w:bottom w:val="single" w:color="auto" w:sz="6" w:space="0"/>
              <w:right w:val="single" w:color="auto" w:sz="6" w:space="0"/>
            </w:tcBorders>
            <w:vAlign w:val="center"/>
          </w:tcPr>
          <w:p w14:paraId="42C86050">
            <w:pPr>
              <w:spacing w:line="320" w:lineRule="exact"/>
              <w:jc w:val="center"/>
              <w:rPr>
                <w:rFonts w:eastAsiaTheme="minorEastAsia"/>
                <w:szCs w:val="21"/>
              </w:rPr>
            </w:pPr>
            <w:r>
              <w:rPr>
                <w:rFonts w:eastAsiaTheme="minorEastAsia"/>
                <w:szCs w:val="21"/>
              </w:rPr>
              <w:t>7.9</w:t>
            </w:r>
          </w:p>
        </w:tc>
        <w:tc>
          <w:tcPr>
            <w:tcW w:w="545" w:type="pct"/>
            <w:tcBorders>
              <w:top w:val="single" w:color="auto" w:sz="6" w:space="0"/>
              <w:left w:val="single" w:color="auto" w:sz="6" w:space="0"/>
              <w:bottom w:val="single" w:color="auto" w:sz="6" w:space="0"/>
              <w:right w:val="single" w:color="auto" w:sz="6" w:space="0"/>
            </w:tcBorders>
            <w:vAlign w:val="center"/>
          </w:tcPr>
          <w:p w14:paraId="1E6003EF">
            <w:pPr>
              <w:spacing w:line="320" w:lineRule="exact"/>
              <w:jc w:val="center"/>
              <w:rPr>
                <w:rFonts w:eastAsiaTheme="minorEastAsia"/>
                <w:szCs w:val="21"/>
              </w:rPr>
            </w:pPr>
            <w:r>
              <w:rPr>
                <w:rFonts w:eastAsiaTheme="minorEastAsia"/>
                <w:szCs w:val="21"/>
              </w:rPr>
              <w:t>8.2</w:t>
            </w:r>
          </w:p>
        </w:tc>
        <w:tc>
          <w:tcPr>
            <w:tcW w:w="545" w:type="pct"/>
            <w:tcBorders>
              <w:top w:val="single" w:color="auto" w:sz="6" w:space="0"/>
              <w:left w:val="single" w:color="auto" w:sz="6" w:space="0"/>
              <w:bottom w:val="single" w:color="auto" w:sz="6" w:space="0"/>
              <w:right w:val="single" w:color="auto" w:sz="6" w:space="0"/>
            </w:tcBorders>
            <w:vAlign w:val="center"/>
          </w:tcPr>
          <w:p w14:paraId="7CEFE7F8">
            <w:pPr>
              <w:spacing w:line="320" w:lineRule="exact"/>
              <w:jc w:val="center"/>
              <w:rPr>
                <w:rFonts w:eastAsiaTheme="minorEastAsia"/>
                <w:szCs w:val="21"/>
              </w:rPr>
            </w:pPr>
            <w:r>
              <w:rPr>
                <w:rFonts w:eastAsiaTheme="minorEastAsia"/>
                <w:szCs w:val="21"/>
              </w:rPr>
              <w:t>8.4</w:t>
            </w:r>
          </w:p>
        </w:tc>
        <w:tc>
          <w:tcPr>
            <w:tcW w:w="546" w:type="pct"/>
            <w:tcBorders>
              <w:top w:val="single" w:color="auto" w:sz="6" w:space="0"/>
              <w:left w:val="single" w:color="auto" w:sz="6" w:space="0"/>
              <w:bottom w:val="single" w:color="auto" w:sz="6" w:space="0"/>
              <w:right w:val="single" w:color="auto" w:sz="6" w:space="0"/>
            </w:tcBorders>
            <w:vAlign w:val="center"/>
          </w:tcPr>
          <w:p w14:paraId="3684288B">
            <w:pPr>
              <w:spacing w:line="320" w:lineRule="exact"/>
              <w:jc w:val="center"/>
              <w:rPr>
                <w:rFonts w:eastAsiaTheme="minorEastAsia"/>
                <w:szCs w:val="21"/>
              </w:rPr>
            </w:pPr>
            <w:r>
              <w:rPr>
                <w:rFonts w:eastAsiaTheme="minorEastAsia"/>
                <w:szCs w:val="21"/>
              </w:rPr>
              <w:t>8.0</w:t>
            </w:r>
          </w:p>
        </w:tc>
        <w:tc>
          <w:tcPr>
            <w:tcW w:w="546" w:type="pct"/>
            <w:tcBorders>
              <w:top w:val="single" w:color="auto" w:sz="6" w:space="0"/>
              <w:left w:val="single" w:color="auto" w:sz="6" w:space="0"/>
              <w:bottom w:val="single" w:color="auto" w:sz="6" w:space="0"/>
              <w:right w:val="single" w:color="auto" w:sz="12" w:space="0"/>
            </w:tcBorders>
            <w:vAlign w:val="center"/>
          </w:tcPr>
          <w:p w14:paraId="5BCCC448">
            <w:pPr>
              <w:spacing w:line="320" w:lineRule="exact"/>
              <w:jc w:val="center"/>
              <w:rPr>
                <w:rFonts w:eastAsiaTheme="minorEastAsia"/>
                <w:szCs w:val="21"/>
              </w:rPr>
            </w:pPr>
            <w:r>
              <w:rPr>
                <w:rFonts w:eastAsiaTheme="minorEastAsia"/>
                <w:szCs w:val="21"/>
              </w:rPr>
              <w:t>/</w:t>
            </w:r>
          </w:p>
        </w:tc>
      </w:tr>
      <w:tr w14:paraId="21190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2930EEB">
            <w:pPr>
              <w:spacing w:line="320" w:lineRule="exact"/>
              <w:jc w:val="center"/>
              <w:rPr>
                <w:rFonts w:eastAsiaTheme="minorEastAsia"/>
                <w:szCs w:val="21"/>
              </w:rPr>
            </w:pPr>
            <w:r>
              <w:rPr>
                <w:rFonts w:hint="eastAsia" w:eastAsiaTheme="minorEastAsia"/>
                <w:szCs w:val="21"/>
              </w:rPr>
              <w:t>石油烃（</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3711A75">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98648E6">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03E4E0E">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5A84552">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7315BDF">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49592DA4">
            <w:pPr>
              <w:spacing w:line="320" w:lineRule="exact"/>
              <w:jc w:val="center"/>
              <w:rPr>
                <w:rFonts w:eastAsiaTheme="minorEastAsia"/>
                <w:szCs w:val="21"/>
              </w:rPr>
            </w:pPr>
            <w:r>
              <w:rPr>
                <w:rFonts w:eastAsiaTheme="minorEastAsia"/>
                <w:szCs w:val="21"/>
              </w:rPr>
              <w:t>4500</w:t>
            </w:r>
          </w:p>
        </w:tc>
      </w:tr>
      <w:tr w14:paraId="6C66D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421B330B">
            <w:pPr>
              <w:spacing w:line="320" w:lineRule="exact"/>
              <w:jc w:val="center"/>
              <w:rPr>
                <w:rFonts w:eastAsiaTheme="minorEastAsia"/>
                <w:szCs w:val="21"/>
              </w:rPr>
            </w:pPr>
            <w:r>
              <w:rPr>
                <w:rFonts w:hint="eastAsia" w:eastAsiaTheme="minorEastAsia"/>
                <w:szCs w:val="21"/>
              </w:rPr>
              <w:t>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3C8EB995">
            <w:pPr>
              <w:widowControl/>
              <w:jc w:val="center"/>
              <w:textAlignment w:val="center"/>
              <w:rPr>
                <w:szCs w:val="21"/>
              </w:rPr>
            </w:pPr>
            <w:r>
              <w:rPr>
                <w:szCs w:val="21"/>
              </w:rPr>
              <w:t>6.68</w:t>
            </w:r>
          </w:p>
        </w:tc>
        <w:tc>
          <w:tcPr>
            <w:tcW w:w="545" w:type="pct"/>
            <w:tcBorders>
              <w:top w:val="single" w:color="auto" w:sz="6" w:space="0"/>
              <w:left w:val="single" w:color="auto" w:sz="6" w:space="0"/>
              <w:bottom w:val="single" w:color="auto" w:sz="6" w:space="0"/>
              <w:right w:val="single" w:color="auto" w:sz="6" w:space="0"/>
            </w:tcBorders>
            <w:vAlign w:val="center"/>
          </w:tcPr>
          <w:p w14:paraId="5E2607C8">
            <w:pPr>
              <w:spacing w:line="320" w:lineRule="exact"/>
              <w:jc w:val="center"/>
              <w:rPr>
                <w:rFonts w:eastAsiaTheme="minorEastAsia"/>
                <w:szCs w:val="21"/>
              </w:rPr>
            </w:pPr>
            <w:r>
              <w:rPr>
                <w:rFonts w:eastAsiaTheme="minorEastAsia"/>
                <w:szCs w:val="21"/>
              </w:rPr>
              <w:t>6.04</w:t>
            </w:r>
          </w:p>
        </w:tc>
        <w:tc>
          <w:tcPr>
            <w:tcW w:w="545" w:type="pct"/>
            <w:tcBorders>
              <w:top w:val="single" w:color="auto" w:sz="6" w:space="0"/>
              <w:left w:val="single" w:color="auto" w:sz="6" w:space="0"/>
              <w:bottom w:val="single" w:color="auto" w:sz="6" w:space="0"/>
              <w:right w:val="single" w:color="auto" w:sz="6" w:space="0"/>
            </w:tcBorders>
            <w:vAlign w:val="center"/>
          </w:tcPr>
          <w:p w14:paraId="67FB62BC">
            <w:pPr>
              <w:spacing w:line="320" w:lineRule="exact"/>
              <w:jc w:val="center"/>
              <w:rPr>
                <w:rFonts w:eastAsiaTheme="minorEastAsia"/>
                <w:szCs w:val="21"/>
              </w:rPr>
            </w:pPr>
            <w:r>
              <w:rPr>
                <w:rFonts w:eastAsiaTheme="minorEastAsia"/>
                <w:szCs w:val="21"/>
              </w:rPr>
              <w:t>5.84</w:t>
            </w:r>
          </w:p>
        </w:tc>
        <w:tc>
          <w:tcPr>
            <w:tcW w:w="545" w:type="pct"/>
            <w:tcBorders>
              <w:top w:val="single" w:color="auto" w:sz="6" w:space="0"/>
              <w:left w:val="single" w:color="auto" w:sz="6" w:space="0"/>
              <w:bottom w:val="single" w:color="auto" w:sz="6" w:space="0"/>
              <w:right w:val="single" w:color="auto" w:sz="6" w:space="0"/>
            </w:tcBorders>
            <w:vAlign w:val="center"/>
          </w:tcPr>
          <w:p w14:paraId="1AE967F7">
            <w:pPr>
              <w:spacing w:line="320" w:lineRule="exact"/>
              <w:jc w:val="center"/>
              <w:rPr>
                <w:rFonts w:eastAsiaTheme="minorEastAsia"/>
                <w:szCs w:val="21"/>
              </w:rPr>
            </w:pPr>
            <w:r>
              <w:rPr>
                <w:rFonts w:eastAsiaTheme="minorEastAsia"/>
                <w:szCs w:val="21"/>
              </w:rPr>
              <w:t>6.09</w:t>
            </w:r>
          </w:p>
        </w:tc>
        <w:tc>
          <w:tcPr>
            <w:tcW w:w="546" w:type="pct"/>
            <w:tcBorders>
              <w:top w:val="single" w:color="auto" w:sz="6" w:space="0"/>
              <w:left w:val="single" w:color="auto" w:sz="6" w:space="0"/>
              <w:bottom w:val="single" w:color="auto" w:sz="6" w:space="0"/>
              <w:right w:val="single" w:color="auto" w:sz="6" w:space="0"/>
            </w:tcBorders>
            <w:vAlign w:val="center"/>
          </w:tcPr>
          <w:p w14:paraId="3971CB5A">
            <w:pPr>
              <w:spacing w:line="320" w:lineRule="exact"/>
              <w:jc w:val="center"/>
              <w:rPr>
                <w:rFonts w:eastAsiaTheme="minorEastAsia"/>
                <w:szCs w:val="21"/>
              </w:rPr>
            </w:pPr>
            <w:r>
              <w:rPr>
                <w:rFonts w:eastAsiaTheme="minorEastAsia"/>
                <w:szCs w:val="21"/>
              </w:rPr>
              <w:t>5.75</w:t>
            </w:r>
          </w:p>
        </w:tc>
        <w:tc>
          <w:tcPr>
            <w:tcW w:w="546" w:type="pct"/>
            <w:tcBorders>
              <w:top w:val="single" w:color="auto" w:sz="6" w:space="0"/>
              <w:left w:val="single" w:color="auto" w:sz="6" w:space="0"/>
              <w:bottom w:val="single" w:color="auto" w:sz="6" w:space="0"/>
              <w:right w:val="single" w:color="auto" w:sz="12" w:space="0"/>
            </w:tcBorders>
            <w:vAlign w:val="center"/>
          </w:tcPr>
          <w:p w14:paraId="67E3712A">
            <w:pPr>
              <w:spacing w:line="320" w:lineRule="exact"/>
              <w:jc w:val="center"/>
              <w:rPr>
                <w:rFonts w:eastAsiaTheme="minorEastAsia"/>
                <w:szCs w:val="21"/>
              </w:rPr>
            </w:pPr>
            <w:r>
              <w:rPr>
                <w:rFonts w:eastAsiaTheme="minorEastAsia"/>
                <w:szCs w:val="21"/>
              </w:rPr>
              <w:t>60</w:t>
            </w:r>
          </w:p>
        </w:tc>
      </w:tr>
      <w:tr w14:paraId="0E04E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5B28DEB">
            <w:pPr>
              <w:spacing w:line="320" w:lineRule="exact"/>
              <w:jc w:val="center"/>
              <w:rPr>
                <w:rFonts w:eastAsiaTheme="minorEastAsia"/>
                <w:szCs w:val="21"/>
              </w:rPr>
            </w:pPr>
            <w:r>
              <w:rPr>
                <w:rFonts w:hint="eastAsia" w:eastAsiaTheme="minorEastAsia"/>
                <w:szCs w:val="21"/>
              </w:rPr>
              <w:t>镉（</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EF6C944">
            <w:pPr>
              <w:widowControl/>
              <w:jc w:val="center"/>
              <w:textAlignment w:val="center"/>
              <w:rPr>
                <w:szCs w:val="21"/>
              </w:rPr>
            </w:pPr>
            <w:r>
              <w:rPr>
                <w:szCs w:val="21"/>
              </w:rPr>
              <w:t>0.14</w:t>
            </w:r>
          </w:p>
        </w:tc>
        <w:tc>
          <w:tcPr>
            <w:tcW w:w="545" w:type="pct"/>
            <w:tcBorders>
              <w:top w:val="single" w:color="auto" w:sz="6" w:space="0"/>
              <w:left w:val="single" w:color="auto" w:sz="6" w:space="0"/>
              <w:bottom w:val="single" w:color="auto" w:sz="6" w:space="0"/>
              <w:right w:val="single" w:color="auto" w:sz="6" w:space="0"/>
            </w:tcBorders>
            <w:vAlign w:val="center"/>
          </w:tcPr>
          <w:p w14:paraId="743E61C9">
            <w:pPr>
              <w:spacing w:line="320" w:lineRule="exact"/>
              <w:jc w:val="center"/>
              <w:rPr>
                <w:rFonts w:eastAsiaTheme="minorEastAsia"/>
                <w:szCs w:val="21"/>
              </w:rPr>
            </w:pPr>
            <w:r>
              <w:rPr>
                <w:rFonts w:eastAsiaTheme="minorEastAsia"/>
                <w:szCs w:val="21"/>
              </w:rPr>
              <w:t>0.07</w:t>
            </w:r>
          </w:p>
        </w:tc>
        <w:tc>
          <w:tcPr>
            <w:tcW w:w="545" w:type="pct"/>
            <w:tcBorders>
              <w:top w:val="single" w:color="auto" w:sz="6" w:space="0"/>
              <w:left w:val="single" w:color="auto" w:sz="6" w:space="0"/>
              <w:bottom w:val="single" w:color="auto" w:sz="6" w:space="0"/>
              <w:right w:val="single" w:color="auto" w:sz="6" w:space="0"/>
            </w:tcBorders>
            <w:vAlign w:val="center"/>
          </w:tcPr>
          <w:p w14:paraId="2CE7E340">
            <w:pPr>
              <w:spacing w:line="320" w:lineRule="exact"/>
              <w:jc w:val="center"/>
              <w:rPr>
                <w:rFonts w:eastAsiaTheme="minorEastAsia"/>
                <w:szCs w:val="21"/>
              </w:rPr>
            </w:pPr>
            <w:r>
              <w:rPr>
                <w:rFonts w:eastAsiaTheme="minorEastAsia"/>
                <w:szCs w:val="21"/>
              </w:rPr>
              <w:t>0.10</w:t>
            </w:r>
          </w:p>
        </w:tc>
        <w:tc>
          <w:tcPr>
            <w:tcW w:w="545" w:type="pct"/>
            <w:tcBorders>
              <w:top w:val="single" w:color="auto" w:sz="6" w:space="0"/>
              <w:left w:val="single" w:color="auto" w:sz="6" w:space="0"/>
              <w:bottom w:val="single" w:color="auto" w:sz="6" w:space="0"/>
              <w:right w:val="single" w:color="auto" w:sz="6" w:space="0"/>
            </w:tcBorders>
            <w:vAlign w:val="center"/>
          </w:tcPr>
          <w:p w14:paraId="45E29B51">
            <w:pPr>
              <w:spacing w:line="320" w:lineRule="exact"/>
              <w:jc w:val="center"/>
              <w:rPr>
                <w:rFonts w:eastAsiaTheme="minorEastAsia"/>
                <w:szCs w:val="21"/>
              </w:rPr>
            </w:pPr>
            <w:r>
              <w:rPr>
                <w:rFonts w:eastAsiaTheme="minorEastAsia"/>
                <w:szCs w:val="21"/>
              </w:rPr>
              <w:t>0.07</w:t>
            </w:r>
          </w:p>
        </w:tc>
        <w:tc>
          <w:tcPr>
            <w:tcW w:w="546" w:type="pct"/>
            <w:tcBorders>
              <w:top w:val="single" w:color="auto" w:sz="6" w:space="0"/>
              <w:left w:val="single" w:color="auto" w:sz="6" w:space="0"/>
              <w:bottom w:val="single" w:color="auto" w:sz="6" w:space="0"/>
              <w:right w:val="single" w:color="auto" w:sz="6" w:space="0"/>
            </w:tcBorders>
            <w:vAlign w:val="center"/>
          </w:tcPr>
          <w:p w14:paraId="4A8A5AFB">
            <w:pPr>
              <w:spacing w:line="320" w:lineRule="exact"/>
              <w:jc w:val="center"/>
              <w:rPr>
                <w:rFonts w:eastAsiaTheme="minorEastAsia"/>
                <w:szCs w:val="21"/>
              </w:rPr>
            </w:pPr>
            <w:r>
              <w:rPr>
                <w:rFonts w:eastAsiaTheme="minorEastAsia"/>
                <w:szCs w:val="21"/>
              </w:rPr>
              <w:t>0.18</w:t>
            </w:r>
          </w:p>
        </w:tc>
        <w:tc>
          <w:tcPr>
            <w:tcW w:w="546" w:type="pct"/>
            <w:tcBorders>
              <w:top w:val="single" w:color="auto" w:sz="6" w:space="0"/>
              <w:left w:val="single" w:color="auto" w:sz="6" w:space="0"/>
              <w:bottom w:val="single" w:color="auto" w:sz="6" w:space="0"/>
              <w:right w:val="single" w:color="auto" w:sz="12" w:space="0"/>
            </w:tcBorders>
            <w:vAlign w:val="center"/>
          </w:tcPr>
          <w:p w14:paraId="4FE1E917">
            <w:pPr>
              <w:spacing w:line="320" w:lineRule="exact"/>
              <w:jc w:val="center"/>
              <w:rPr>
                <w:rFonts w:eastAsiaTheme="minorEastAsia"/>
                <w:szCs w:val="21"/>
              </w:rPr>
            </w:pPr>
            <w:r>
              <w:rPr>
                <w:rFonts w:eastAsiaTheme="minorEastAsia"/>
                <w:szCs w:val="21"/>
              </w:rPr>
              <w:t>65</w:t>
            </w:r>
          </w:p>
        </w:tc>
      </w:tr>
      <w:tr w14:paraId="76C35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6F1A811A">
            <w:pPr>
              <w:spacing w:line="320" w:lineRule="exact"/>
              <w:jc w:val="center"/>
              <w:rPr>
                <w:rFonts w:eastAsiaTheme="minorEastAsia"/>
                <w:szCs w:val="21"/>
              </w:rPr>
            </w:pPr>
            <w:r>
              <w:rPr>
                <w:rFonts w:hint="eastAsia" w:eastAsiaTheme="minorEastAsia"/>
                <w:szCs w:val="21"/>
              </w:rPr>
              <w:t>六价铬（</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AD1DF66">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FC38D6E">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CC5B853">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42D57A1">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21BD9112">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6361E07">
            <w:pPr>
              <w:spacing w:line="320" w:lineRule="exact"/>
              <w:jc w:val="center"/>
              <w:rPr>
                <w:rFonts w:eastAsiaTheme="minorEastAsia"/>
                <w:szCs w:val="21"/>
              </w:rPr>
            </w:pPr>
            <w:r>
              <w:rPr>
                <w:rFonts w:eastAsiaTheme="minorEastAsia"/>
                <w:szCs w:val="21"/>
              </w:rPr>
              <w:t>5.7</w:t>
            </w:r>
          </w:p>
        </w:tc>
      </w:tr>
      <w:tr w14:paraId="7BDC9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4A6CED7">
            <w:pPr>
              <w:spacing w:line="320" w:lineRule="exact"/>
              <w:jc w:val="center"/>
              <w:rPr>
                <w:rFonts w:eastAsiaTheme="minorEastAsia"/>
                <w:szCs w:val="21"/>
              </w:rPr>
            </w:pPr>
            <w:r>
              <w:rPr>
                <w:rFonts w:hint="eastAsia" w:eastAsiaTheme="minorEastAsia"/>
                <w:szCs w:val="21"/>
              </w:rPr>
              <w:t>铜（</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D804AB1">
            <w:pPr>
              <w:widowControl/>
              <w:jc w:val="center"/>
              <w:textAlignment w:val="center"/>
              <w:rPr>
                <w:szCs w:val="21"/>
              </w:rPr>
            </w:pPr>
            <w:r>
              <w:rPr>
                <w:szCs w:val="21"/>
              </w:rPr>
              <w:t>39</w:t>
            </w:r>
          </w:p>
        </w:tc>
        <w:tc>
          <w:tcPr>
            <w:tcW w:w="545" w:type="pct"/>
            <w:tcBorders>
              <w:top w:val="single" w:color="auto" w:sz="6" w:space="0"/>
              <w:left w:val="single" w:color="auto" w:sz="6" w:space="0"/>
              <w:bottom w:val="single" w:color="auto" w:sz="6" w:space="0"/>
              <w:right w:val="single" w:color="auto" w:sz="6" w:space="0"/>
            </w:tcBorders>
            <w:vAlign w:val="center"/>
          </w:tcPr>
          <w:p w14:paraId="299BD77A">
            <w:pPr>
              <w:spacing w:line="320" w:lineRule="exact"/>
              <w:jc w:val="center"/>
              <w:rPr>
                <w:rFonts w:eastAsiaTheme="minorEastAsia"/>
                <w:szCs w:val="21"/>
              </w:rPr>
            </w:pPr>
            <w:r>
              <w:rPr>
                <w:rFonts w:eastAsiaTheme="minorEastAsia"/>
                <w:szCs w:val="21"/>
              </w:rPr>
              <w:t>50</w:t>
            </w:r>
          </w:p>
        </w:tc>
        <w:tc>
          <w:tcPr>
            <w:tcW w:w="545" w:type="pct"/>
            <w:tcBorders>
              <w:top w:val="single" w:color="auto" w:sz="6" w:space="0"/>
              <w:left w:val="single" w:color="auto" w:sz="6" w:space="0"/>
              <w:bottom w:val="single" w:color="auto" w:sz="6" w:space="0"/>
              <w:right w:val="single" w:color="auto" w:sz="6" w:space="0"/>
            </w:tcBorders>
            <w:vAlign w:val="center"/>
          </w:tcPr>
          <w:p w14:paraId="6EF693B4">
            <w:pPr>
              <w:spacing w:line="320" w:lineRule="exact"/>
              <w:jc w:val="center"/>
              <w:rPr>
                <w:rFonts w:eastAsiaTheme="minorEastAsia"/>
                <w:szCs w:val="21"/>
              </w:rPr>
            </w:pPr>
            <w:r>
              <w:rPr>
                <w:rFonts w:eastAsiaTheme="minorEastAsia"/>
                <w:szCs w:val="21"/>
              </w:rPr>
              <w:t>36</w:t>
            </w:r>
          </w:p>
        </w:tc>
        <w:tc>
          <w:tcPr>
            <w:tcW w:w="545" w:type="pct"/>
            <w:tcBorders>
              <w:top w:val="single" w:color="auto" w:sz="6" w:space="0"/>
              <w:left w:val="single" w:color="auto" w:sz="6" w:space="0"/>
              <w:bottom w:val="single" w:color="auto" w:sz="6" w:space="0"/>
              <w:right w:val="single" w:color="auto" w:sz="6" w:space="0"/>
            </w:tcBorders>
            <w:vAlign w:val="center"/>
          </w:tcPr>
          <w:p w14:paraId="10221FC6">
            <w:pPr>
              <w:spacing w:line="320" w:lineRule="exact"/>
              <w:jc w:val="center"/>
              <w:rPr>
                <w:rFonts w:eastAsiaTheme="minorEastAsia"/>
                <w:szCs w:val="21"/>
              </w:rPr>
            </w:pPr>
            <w:r>
              <w:rPr>
                <w:rFonts w:eastAsiaTheme="minorEastAsia"/>
                <w:szCs w:val="21"/>
              </w:rPr>
              <w:t>24</w:t>
            </w:r>
          </w:p>
        </w:tc>
        <w:tc>
          <w:tcPr>
            <w:tcW w:w="546" w:type="pct"/>
            <w:tcBorders>
              <w:top w:val="single" w:color="auto" w:sz="6" w:space="0"/>
              <w:left w:val="single" w:color="auto" w:sz="6" w:space="0"/>
              <w:bottom w:val="single" w:color="auto" w:sz="6" w:space="0"/>
              <w:right w:val="single" w:color="auto" w:sz="6" w:space="0"/>
            </w:tcBorders>
            <w:vAlign w:val="center"/>
          </w:tcPr>
          <w:p w14:paraId="75787ECA">
            <w:pPr>
              <w:spacing w:line="320" w:lineRule="exact"/>
              <w:jc w:val="center"/>
              <w:rPr>
                <w:rFonts w:eastAsiaTheme="minorEastAsia"/>
                <w:szCs w:val="21"/>
              </w:rPr>
            </w:pPr>
            <w:r>
              <w:rPr>
                <w:rFonts w:eastAsiaTheme="minorEastAsia"/>
                <w:szCs w:val="21"/>
              </w:rPr>
              <w:t>26</w:t>
            </w:r>
          </w:p>
        </w:tc>
        <w:tc>
          <w:tcPr>
            <w:tcW w:w="546" w:type="pct"/>
            <w:tcBorders>
              <w:top w:val="single" w:color="auto" w:sz="6" w:space="0"/>
              <w:left w:val="single" w:color="auto" w:sz="6" w:space="0"/>
              <w:bottom w:val="single" w:color="auto" w:sz="6" w:space="0"/>
              <w:right w:val="single" w:color="auto" w:sz="12" w:space="0"/>
            </w:tcBorders>
            <w:vAlign w:val="center"/>
          </w:tcPr>
          <w:p w14:paraId="3CBA6E0E">
            <w:pPr>
              <w:spacing w:line="320" w:lineRule="exact"/>
              <w:jc w:val="center"/>
              <w:rPr>
                <w:rFonts w:eastAsiaTheme="minorEastAsia"/>
                <w:szCs w:val="21"/>
              </w:rPr>
            </w:pPr>
            <w:r>
              <w:rPr>
                <w:rFonts w:eastAsiaTheme="minorEastAsia"/>
                <w:szCs w:val="21"/>
              </w:rPr>
              <w:t>18000</w:t>
            </w:r>
          </w:p>
        </w:tc>
      </w:tr>
      <w:tr w14:paraId="603D1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2E0C490">
            <w:pPr>
              <w:spacing w:line="320" w:lineRule="exact"/>
              <w:jc w:val="center"/>
              <w:rPr>
                <w:rFonts w:eastAsiaTheme="minorEastAsia"/>
                <w:szCs w:val="21"/>
              </w:rPr>
            </w:pPr>
            <w:r>
              <w:rPr>
                <w:rFonts w:hint="eastAsia" w:eastAsiaTheme="minorEastAsia"/>
                <w:szCs w:val="21"/>
              </w:rPr>
              <w:t>铅（</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1DD0F88">
            <w:pPr>
              <w:widowControl/>
              <w:jc w:val="center"/>
              <w:textAlignment w:val="center"/>
              <w:rPr>
                <w:szCs w:val="21"/>
              </w:rPr>
            </w:pPr>
            <w:r>
              <w:rPr>
                <w:szCs w:val="21"/>
              </w:rPr>
              <w:t>31</w:t>
            </w:r>
          </w:p>
        </w:tc>
        <w:tc>
          <w:tcPr>
            <w:tcW w:w="545" w:type="pct"/>
            <w:tcBorders>
              <w:top w:val="single" w:color="auto" w:sz="6" w:space="0"/>
              <w:left w:val="single" w:color="auto" w:sz="6" w:space="0"/>
              <w:bottom w:val="single" w:color="auto" w:sz="6" w:space="0"/>
              <w:right w:val="single" w:color="auto" w:sz="6" w:space="0"/>
            </w:tcBorders>
            <w:vAlign w:val="center"/>
          </w:tcPr>
          <w:p w14:paraId="47BDBE0D">
            <w:pPr>
              <w:spacing w:line="320" w:lineRule="exact"/>
              <w:jc w:val="center"/>
              <w:rPr>
                <w:rFonts w:eastAsiaTheme="minorEastAsia"/>
                <w:szCs w:val="21"/>
              </w:rPr>
            </w:pPr>
            <w:r>
              <w:rPr>
                <w:rFonts w:eastAsiaTheme="minorEastAsia"/>
                <w:szCs w:val="21"/>
              </w:rPr>
              <w:t>38</w:t>
            </w:r>
          </w:p>
        </w:tc>
        <w:tc>
          <w:tcPr>
            <w:tcW w:w="545" w:type="pct"/>
            <w:tcBorders>
              <w:top w:val="single" w:color="auto" w:sz="6" w:space="0"/>
              <w:left w:val="single" w:color="auto" w:sz="6" w:space="0"/>
              <w:bottom w:val="single" w:color="auto" w:sz="6" w:space="0"/>
              <w:right w:val="single" w:color="auto" w:sz="6" w:space="0"/>
            </w:tcBorders>
            <w:vAlign w:val="center"/>
          </w:tcPr>
          <w:p w14:paraId="16126673">
            <w:pPr>
              <w:spacing w:line="320" w:lineRule="exact"/>
              <w:jc w:val="center"/>
              <w:rPr>
                <w:rFonts w:eastAsiaTheme="minorEastAsia"/>
                <w:szCs w:val="21"/>
              </w:rPr>
            </w:pPr>
            <w:r>
              <w:rPr>
                <w:rFonts w:eastAsiaTheme="minorEastAsia"/>
                <w:szCs w:val="21"/>
              </w:rPr>
              <w:t>41</w:t>
            </w:r>
          </w:p>
        </w:tc>
        <w:tc>
          <w:tcPr>
            <w:tcW w:w="545" w:type="pct"/>
            <w:tcBorders>
              <w:top w:val="single" w:color="auto" w:sz="6" w:space="0"/>
              <w:left w:val="single" w:color="auto" w:sz="6" w:space="0"/>
              <w:bottom w:val="single" w:color="auto" w:sz="6" w:space="0"/>
              <w:right w:val="single" w:color="auto" w:sz="6" w:space="0"/>
            </w:tcBorders>
            <w:vAlign w:val="center"/>
          </w:tcPr>
          <w:p w14:paraId="418DC64F">
            <w:pPr>
              <w:spacing w:line="320" w:lineRule="exact"/>
              <w:jc w:val="center"/>
              <w:rPr>
                <w:rFonts w:eastAsiaTheme="minorEastAsia"/>
                <w:szCs w:val="21"/>
              </w:rPr>
            </w:pPr>
            <w:r>
              <w:rPr>
                <w:rFonts w:eastAsiaTheme="minorEastAsia"/>
                <w:szCs w:val="21"/>
              </w:rPr>
              <w:t>31</w:t>
            </w:r>
          </w:p>
        </w:tc>
        <w:tc>
          <w:tcPr>
            <w:tcW w:w="546" w:type="pct"/>
            <w:tcBorders>
              <w:top w:val="single" w:color="auto" w:sz="6" w:space="0"/>
              <w:left w:val="single" w:color="auto" w:sz="6" w:space="0"/>
              <w:bottom w:val="single" w:color="auto" w:sz="6" w:space="0"/>
              <w:right w:val="single" w:color="auto" w:sz="6" w:space="0"/>
            </w:tcBorders>
            <w:vAlign w:val="center"/>
          </w:tcPr>
          <w:p w14:paraId="6DDA46A7">
            <w:pPr>
              <w:spacing w:line="320" w:lineRule="exact"/>
              <w:jc w:val="center"/>
              <w:rPr>
                <w:rFonts w:eastAsiaTheme="minorEastAsia"/>
                <w:szCs w:val="21"/>
              </w:rPr>
            </w:pPr>
            <w:r>
              <w:rPr>
                <w:rFonts w:eastAsiaTheme="minorEastAsia"/>
                <w:szCs w:val="21"/>
              </w:rPr>
              <w:t>38</w:t>
            </w:r>
          </w:p>
        </w:tc>
        <w:tc>
          <w:tcPr>
            <w:tcW w:w="546" w:type="pct"/>
            <w:tcBorders>
              <w:top w:val="single" w:color="auto" w:sz="6" w:space="0"/>
              <w:left w:val="single" w:color="auto" w:sz="6" w:space="0"/>
              <w:bottom w:val="single" w:color="auto" w:sz="6" w:space="0"/>
              <w:right w:val="single" w:color="auto" w:sz="12" w:space="0"/>
            </w:tcBorders>
            <w:vAlign w:val="center"/>
          </w:tcPr>
          <w:p w14:paraId="2CA89E80">
            <w:pPr>
              <w:spacing w:line="320" w:lineRule="exact"/>
              <w:jc w:val="center"/>
              <w:rPr>
                <w:rFonts w:eastAsiaTheme="minorEastAsia"/>
                <w:szCs w:val="21"/>
              </w:rPr>
            </w:pPr>
            <w:r>
              <w:rPr>
                <w:rFonts w:eastAsiaTheme="minorEastAsia"/>
                <w:szCs w:val="21"/>
              </w:rPr>
              <w:t>800</w:t>
            </w:r>
          </w:p>
        </w:tc>
      </w:tr>
      <w:tr w14:paraId="28306C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13E3110C">
            <w:pPr>
              <w:spacing w:line="320" w:lineRule="exact"/>
              <w:jc w:val="center"/>
              <w:rPr>
                <w:rFonts w:eastAsiaTheme="minorEastAsia"/>
                <w:szCs w:val="21"/>
              </w:rPr>
            </w:pPr>
            <w:r>
              <w:rPr>
                <w:rFonts w:hint="eastAsia" w:eastAsiaTheme="minorEastAsia"/>
                <w:szCs w:val="21"/>
              </w:rPr>
              <w:t>汞（</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62276B3">
            <w:pPr>
              <w:widowControl/>
              <w:jc w:val="center"/>
              <w:textAlignment w:val="center"/>
              <w:rPr>
                <w:szCs w:val="21"/>
              </w:rPr>
            </w:pPr>
            <w:r>
              <w:rPr>
                <w:szCs w:val="21"/>
              </w:rPr>
              <w:t>0.058</w:t>
            </w:r>
          </w:p>
        </w:tc>
        <w:tc>
          <w:tcPr>
            <w:tcW w:w="545" w:type="pct"/>
            <w:tcBorders>
              <w:top w:val="single" w:color="auto" w:sz="6" w:space="0"/>
              <w:left w:val="single" w:color="auto" w:sz="6" w:space="0"/>
              <w:bottom w:val="single" w:color="auto" w:sz="6" w:space="0"/>
              <w:right w:val="single" w:color="auto" w:sz="6" w:space="0"/>
            </w:tcBorders>
            <w:vAlign w:val="center"/>
          </w:tcPr>
          <w:p w14:paraId="785FECCA">
            <w:pPr>
              <w:spacing w:line="320" w:lineRule="exact"/>
              <w:jc w:val="center"/>
              <w:rPr>
                <w:rFonts w:eastAsiaTheme="minorEastAsia"/>
                <w:szCs w:val="21"/>
              </w:rPr>
            </w:pPr>
            <w:r>
              <w:rPr>
                <w:rFonts w:eastAsiaTheme="minorEastAsia"/>
                <w:szCs w:val="21"/>
              </w:rPr>
              <w:t>0.042</w:t>
            </w:r>
          </w:p>
        </w:tc>
        <w:tc>
          <w:tcPr>
            <w:tcW w:w="545" w:type="pct"/>
            <w:tcBorders>
              <w:top w:val="single" w:color="auto" w:sz="6" w:space="0"/>
              <w:left w:val="single" w:color="auto" w:sz="6" w:space="0"/>
              <w:bottom w:val="single" w:color="auto" w:sz="6" w:space="0"/>
              <w:right w:val="single" w:color="auto" w:sz="6" w:space="0"/>
            </w:tcBorders>
            <w:vAlign w:val="center"/>
          </w:tcPr>
          <w:p w14:paraId="55117F27">
            <w:pPr>
              <w:spacing w:line="320" w:lineRule="exact"/>
              <w:jc w:val="center"/>
              <w:rPr>
                <w:rFonts w:eastAsiaTheme="minorEastAsia"/>
                <w:szCs w:val="21"/>
              </w:rPr>
            </w:pPr>
            <w:r>
              <w:rPr>
                <w:rFonts w:eastAsiaTheme="minorEastAsia"/>
                <w:szCs w:val="21"/>
              </w:rPr>
              <w:t>0.039</w:t>
            </w:r>
          </w:p>
        </w:tc>
        <w:tc>
          <w:tcPr>
            <w:tcW w:w="545" w:type="pct"/>
            <w:tcBorders>
              <w:top w:val="single" w:color="auto" w:sz="6" w:space="0"/>
              <w:left w:val="single" w:color="auto" w:sz="6" w:space="0"/>
              <w:bottom w:val="single" w:color="auto" w:sz="6" w:space="0"/>
              <w:right w:val="single" w:color="auto" w:sz="6" w:space="0"/>
            </w:tcBorders>
            <w:vAlign w:val="center"/>
          </w:tcPr>
          <w:p w14:paraId="51C6198D">
            <w:pPr>
              <w:spacing w:line="320" w:lineRule="exact"/>
              <w:jc w:val="center"/>
              <w:rPr>
                <w:rFonts w:eastAsiaTheme="minorEastAsia"/>
                <w:szCs w:val="21"/>
              </w:rPr>
            </w:pPr>
            <w:r>
              <w:rPr>
                <w:rFonts w:eastAsiaTheme="minorEastAsia"/>
                <w:szCs w:val="21"/>
              </w:rPr>
              <w:t>0.048</w:t>
            </w:r>
          </w:p>
        </w:tc>
        <w:tc>
          <w:tcPr>
            <w:tcW w:w="546" w:type="pct"/>
            <w:tcBorders>
              <w:top w:val="single" w:color="auto" w:sz="6" w:space="0"/>
              <w:left w:val="single" w:color="auto" w:sz="6" w:space="0"/>
              <w:bottom w:val="single" w:color="auto" w:sz="6" w:space="0"/>
              <w:right w:val="single" w:color="auto" w:sz="6" w:space="0"/>
            </w:tcBorders>
            <w:vAlign w:val="center"/>
          </w:tcPr>
          <w:p w14:paraId="2395B2C0">
            <w:pPr>
              <w:spacing w:line="320" w:lineRule="exact"/>
              <w:jc w:val="center"/>
              <w:rPr>
                <w:rFonts w:eastAsiaTheme="minorEastAsia"/>
                <w:szCs w:val="21"/>
              </w:rPr>
            </w:pPr>
            <w:r>
              <w:rPr>
                <w:rFonts w:eastAsiaTheme="minorEastAsia"/>
                <w:szCs w:val="21"/>
              </w:rPr>
              <w:t>0.051</w:t>
            </w:r>
          </w:p>
        </w:tc>
        <w:tc>
          <w:tcPr>
            <w:tcW w:w="546" w:type="pct"/>
            <w:tcBorders>
              <w:top w:val="single" w:color="auto" w:sz="6" w:space="0"/>
              <w:left w:val="single" w:color="auto" w:sz="6" w:space="0"/>
              <w:bottom w:val="single" w:color="auto" w:sz="6" w:space="0"/>
              <w:right w:val="single" w:color="auto" w:sz="12" w:space="0"/>
            </w:tcBorders>
            <w:vAlign w:val="center"/>
          </w:tcPr>
          <w:p w14:paraId="4B88E140">
            <w:pPr>
              <w:spacing w:line="320" w:lineRule="exact"/>
              <w:jc w:val="center"/>
              <w:rPr>
                <w:rFonts w:eastAsiaTheme="minorEastAsia"/>
                <w:szCs w:val="21"/>
              </w:rPr>
            </w:pPr>
            <w:r>
              <w:rPr>
                <w:rFonts w:eastAsiaTheme="minorEastAsia"/>
                <w:szCs w:val="21"/>
              </w:rPr>
              <w:t>38</w:t>
            </w:r>
          </w:p>
        </w:tc>
      </w:tr>
      <w:tr w14:paraId="32812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5545502">
            <w:pPr>
              <w:spacing w:line="320" w:lineRule="exact"/>
              <w:jc w:val="center"/>
              <w:rPr>
                <w:rFonts w:eastAsiaTheme="minorEastAsia"/>
                <w:szCs w:val="21"/>
              </w:rPr>
            </w:pPr>
            <w:r>
              <w:rPr>
                <w:rFonts w:hint="eastAsia" w:eastAsiaTheme="minorEastAsia"/>
                <w:szCs w:val="21"/>
              </w:rPr>
              <w:t>镍（</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3AA8D78F">
            <w:pPr>
              <w:widowControl/>
              <w:jc w:val="center"/>
              <w:textAlignment w:val="center"/>
              <w:rPr>
                <w:szCs w:val="21"/>
              </w:rPr>
            </w:pPr>
            <w:r>
              <w:rPr>
                <w:szCs w:val="21"/>
              </w:rPr>
              <w:t>22</w:t>
            </w:r>
          </w:p>
        </w:tc>
        <w:tc>
          <w:tcPr>
            <w:tcW w:w="545" w:type="pct"/>
            <w:tcBorders>
              <w:top w:val="single" w:color="auto" w:sz="6" w:space="0"/>
              <w:left w:val="single" w:color="auto" w:sz="6" w:space="0"/>
              <w:bottom w:val="single" w:color="auto" w:sz="6" w:space="0"/>
              <w:right w:val="single" w:color="auto" w:sz="6" w:space="0"/>
            </w:tcBorders>
            <w:vAlign w:val="center"/>
          </w:tcPr>
          <w:p w14:paraId="4B61D222">
            <w:pPr>
              <w:spacing w:line="320" w:lineRule="exact"/>
              <w:jc w:val="center"/>
              <w:rPr>
                <w:rFonts w:eastAsiaTheme="minorEastAsia"/>
                <w:szCs w:val="21"/>
              </w:rPr>
            </w:pPr>
            <w:r>
              <w:rPr>
                <w:rFonts w:eastAsiaTheme="minorEastAsia"/>
                <w:szCs w:val="21"/>
              </w:rPr>
              <w:t>50</w:t>
            </w:r>
          </w:p>
        </w:tc>
        <w:tc>
          <w:tcPr>
            <w:tcW w:w="545" w:type="pct"/>
            <w:tcBorders>
              <w:top w:val="single" w:color="auto" w:sz="6" w:space="0"/>
              <w:left w:val="single" w:color="auto" w:sz="6" w:space="0"/>
              <w:bottom w:val="single" w:color="auto" w:sz="6" w:space="0"/>
              <w:right w:val="single" w:color="auto" w:sz="6" w:space="0"/>
            </w:tcBorders>
            <w:vAlign w:val="center"/>
          </w:tcPr>
          <w:p w14:paraId="58B5C929">
            <w:pPr>
              <w:spacing w:line="320" w:lineRule="exact"/>
              <w:jc w:val="center"/>
              <w:rPr>
                <w:rFonts w:eastAsiaTheme="minorEastAsia"/>
                <w:szCs w:val="21"/>
              </w:rPr>
            </w:pPr>
            <w:r>
              <w:rPr>
                <w:rFonts w:eastAsiaTheme="minorEastAsia"/>
                <w:szCs w:val="21"/>
              </w:rPr>
              <w:t>45</w:t>
            </w:r>
          </w:p>
        </w:tc>
        <w:tc>
          <w:tcPr>
            <w:tcW w:w="545" w:type="pct"/>
            <w:tcBorders>
              <w:top w:val="single" w:color="auto" w:sz="6" w:space="0"/>
              <w:left w:val="single" w:color="auto" w:sz="6" w:space="0"/>
              <w:bottom w:val="single" w:color="auto" w:sz="6" w:space="0"/>
              <w:right w:val="single" w:color="auto" w:sz="6" w:space="0"/>
            </w:tcBorders>
            <w:vAlign w:val="center"/>
          </w:tcPr>
          <w:p w14:paraId="3C462626">
            <w:pPr>
              <w:spacing w:line="320" w:lineRule="exact"/>
              <w:jc w:val="center"/>
              <w:rPr>
                <w:rFonts w:eastAsiaTheme="minorEastAsia"/>
                <w:szCs w:val="21"/>
              </w:rPr>
            </w:pPr>
            <w:r>
              <w:rPr>
                <w:rFonts w:eastAsiaTheme="minorEastAsia"/>
                <w:szCs w:val="21"/>
              </w:rPr>
              <w:t>37</w:t>
            </w:r>
          </w:p>
        </w:tc>
        <w:tc>
          <w:tcPr>
            <w:tcW w:w="546" w:type="pct"/>
            <w:tcBorders>
              <w:top w:val="single" w:color="auto" w:sz="6" w:space="0"/>
              <w:left w:val="single" w:color="auto" w:sz="6" w:space="0"/>
              <w:bottom w:val="single" w:color="auto" w:sz="6" w:space="0"/>
              <w:right w:val="single" w:color="auto" w:sz="6" w:space="0"/>
            </w:tcBorders>
            <w:vAlign w:val="center"/>
          </w:tcPr>
          <w:p w14:paraId="06D05872">
            <w:pPr>
              <w:spacing w:line="320" w:lineRule="exact"/>
              <w:jc w:val="center"/>
              <w:rPr>
                <w:rFonts w:eastAsiaTheme="minorEastAsia"/>
                <w:szCs w:val="21"/>
              </w:rPr>
            </w:pPr>
            <w:r>
              <w:rPr>
                <w:rFonts w:eastAsiaTheme="minorEastAsia"/>
                <w:szCs w:val="21"/>
              </w:rPr>
              <w:t>25</w:t>
            </w:r>
          </w:p>
        </w:tc>
        <w:tc>
          <w:tcPr>
            <w:tcW w:w="546" w:type="pct"/>
            <w:tcBorders>
              <w:top w:val="single" w:color="auto" w:sz="6" w:space="0"/>
              <w:left w:val="single" w:color="auto" w:sz="6" w:space="0"/>
              <w:bottom w:val="single" w:color="auto" w:sz="6" w:space="0"/>
              <w:right w:val="single" w:color="auto" w:sz="12" w:space="0"/>
            </w:tcBorders>
            <w:vAlign w:val="center"/>
          </w:tcPr>
          <w:p w14:paraId="61CB2AE2">
            <w:pPr>
              <w:spacing w:line="320" w:lineRule="exact"/>
              <w:jc w:val="center"/>
              <w:rPr>
                <w:rFonts w:eastAsiaTheme="minorEastAsia"/>
                <w:szCs w:val="21"/>
              </w:rPr>
            </w:pPr>
            <w:r>
              <w:rPr>
                <w:rFonts w:eastAsiaTheme="minorEastAsia"/>
                <w:szCs w:val="21"/>
              </w:rPr>
              <w:t>900</w:t>
            </w:r>
          </w:p>
        </w:tc>
      </w:tr>
      <w:tr w14:paraId="25B2B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6C693B1C">
            <w:pPr>
              <w:spacing w:line="320" w:lineRule="exact"/>
              <w:jc w:val="center"/>
              <w:rPr>
                <w:rFonts w:eastAsiaTheme="minorEastAsia"/>
                <w:szCs w:val="21"/>
              </w:rPr>
            </w:pPr>
            <w:r>
              <w:rPr>
                <w:rFonts w:hint="eastAsia" w:eastAsiaTheme="minorEastAsia"/>
                <w:szCs w:val="21"/>
              </w:rPr>
              <w:t>硝基苯（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416E900">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FD57C04">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6F97D36">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F1AAD35">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7C302FAB">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13F236FB">
            <w:pPr>
              <w:spacing w:before="63" w:line="320" w:lineRule="exact"/>
              <w:ind w:left="5"/>
              <w:jc w:val="center"/>
              <w:rPr>
                <w:rFonts w:eastAsiaTheme="minorEastAsia"/>
                <w:szCs w:val="21"/>
              </w:rPr>
            </w:pPr>
            <w:r>
              <w:rPr>
                <w:rFonts w:eastAsiaTheme="minorEastAsia"/>
                <w:szCs w:val="21"/>
              </w:rPr>
              <w:t>76</w:t>
            </w:r>
          </w:p>
        </w:tc>
      </w:tr>
      <w:tr w14:paraId="21638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18ACE500">
            <w:pPr>
              <w:spacing w:line="320" w:lineRule="exact"/>
              <w:jc w:val="center"/>
              <w:rPr>
                <w:rFonts w:eastAsiaTheme="minorEastAsia"/>
                <w:szCs w:val="21"/>
              </w:rPr>
            </w:pPr>
            <w:r>
              <w:rPr>
                <w:rFonts w:hint="eastAsia" w:eastAsiaTheme="minorEastAsia"/>
                <w:szCs w:val="21"/>
              </w:rPr>
              <w:t>苯胺（</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D98156B">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FD45887">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C4344B2">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258D5EF">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355F67A5">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91811BB">
            <w:pPr>
              <w:spacing w:before="61" w:line="320" w:lineRule="exact"/>
              <w:jc w:val="center"/>
              <w:rPr>
                <w:rFonts w:eastAsiaTheme="minorEastAsia"/>
                <w:szCs w:val="21"/>
              </w:rPr>
            </w:pPr>
            <w:r>
              <w:rPr>
                <w:rFonts w:eastAsiaTheme="minorEastAsia"/>
                <w:szCs w:val="21"/>
              </w:rPr>
              <w:t>260</w:t>
            </w:r>
          </w:p>
        </w:tc>
      </w:tr>
      <w:tr w14:paraId="334D0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E26E4CA">
            <w:pPr>
              <w:spacing w:line="320" w:lineRule="exact"/>
              <w:jc w:val="center"/>
              <w:rPr>
                <w:rFonts w:eastAsiaTheme="minorEastAsia"/>
                <w:szCs w:val="21"/>
              </w:rPr>
            </w:pPr>
            <w:r>
              <w:rPr>
                <w:rFonts w:hint="eastAsia" w:eastAsiaTheme="minorEastAsia"/>
                <w:szCs w:val="21"/>
              </w:rPr>
              <w:t>苯并</w:t>
            </w:r>
            <w:r>
              <w:rPr>
                <w:rFonts w:eastAsiaTheme="minorEastAsia"/>
                <w:szCs w:val="21"/>
              </w:rPr>
              <w:t>[a]</w:t>
            </w:r>
            <w:r>
              <w:rPr>
                <w:rFonts w:hint="eastAsia" w:eastAsiaTheme="minorEastAsia"/>
                <w:szCs w:val="21"/>
              </w:rPr>
              <w:t>蒽（</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D06D00F">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DE9BBD0">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3065EB5">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9E6EEC8">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5C6B7FDA">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64C5887F">
            <w:pPr>
              <w:spacing w:before="61" w:line="320" w:lineRule="exact"/>
              <w:jc w:val="center"/>
              <w:rPr>
                <w:rFonts w:eastAsiaTheme="minorEastAsia"/>
                <w:szCs w:val="21"/>
              </w:rPr>
            </w:pPr>
            <w:r>
              <w:rPr>
                <w:rFonts w:eastAsiaTheme="minorEastAsia"/>
                <w:szCs w:val="21"/>
              </w:rPr>
              <w:t>15</w:t>
            </w:r>
          </w:p>
        </w:tc>
      </w:tr>
      <w:tr w14:paraId="08CA9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322F6144">
            <w:pPr>
              <w:spacing w:line="320" w:lineRule="exact"/>
              <w:jc w:val="center"/>
              <w:rPr>
                <w:rFonts w:eastAsiaTheme="minorEastAsia"/>
                <w:szCs w:val="21"/>
              </w:rPr>
            </w:pPr>
            <w:r>
              <w:rPr>
                <w:rFonts w:hint="eastAsia" w:eastAsiaTheme="minorEastAsia"/>
                <w:szCs w:val="21"/>
              </w:rPr>
              <w:t>苯并</w:t>
            </w:r>
            <w:r>
              <w:rPr>
                <w:rFonts w:eastAsiaTheme="minorEastAsia"/>
                <w:szCs w:val="21"/>
              </w:rPr>
              <w:t>[a]</w:t>
            </w:r>
            <w:r>
              <w:rPr>
                <w:rFonts w:hint="eastAsia" w:eastAsiaTheme="minorEastAsia"/>
                <w:szCs w:val="21"/>
              </w:rPr>
              <w:t>芘（</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7B3FDBB">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2E224A0">
            <w:pPr>
              <w:spacing w:before="63"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4C74B06">
            <w:pPr>
              <w:spacing w:before="63"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F2E8485">
            <w:pPr>
              <w:spacing w:before="63"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765621A2">
            <w:pPr>
              <w:spacing w:before="63"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069BEAA8">
            <w:pPr>
              <w:spacing w:before="63" w:line="320" w:lineRule="exact"/>
              <w:jc w:val="center"/>
              <w:rPr>
                <w:rFonts w:eastAsiaTheme="minorEastAsia"/>
                <w:szCs w:val="21"/>
              </w:rPr>
            </w:pPr>
            <w:r>
              <w:rPr>
                <w:rFonts w:eastAsiaTheme="minorEastAsia"/>
                <w:szCs w:val="21"/>
              </w:rPr>
              <w:t>1.5</w:t>
            </w:r>
          </w:p>
        </w:tc>
      </w:tr>
      <w:tr w14:paraId="41DDD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EED1EDA">
            <w:pPr>
              <w:spacing w:line="320" w:lineRule="exact"/>
              <w:jc w:val="center"/>
              <w:rPr>
                <w:rFonts w:eastAsiaTheme="minorEastAsia"/>
                <w:szCs w:val="21"/>
              </w:rPr>
            </w:pPr>
            <w:r>
              <w:rPr>
                <w:rFonts w:hint="eastAsia" w:eastAsiaTheme="minorEastAsia"/>
                <w:szCs w:val="21"/>
              </w:rPr>
              <w:t>苯并</w:t>
            </w:r>
            <w:r>
              <w:rPr>
                <w:rFonts w:eastAsiaTheme="minorEastAsia"/>
                <w:szCs w:val="21"/>
              </w:rPr>
              <w:t>[b]</w:t>
            </w:r>
            <w:r>
              <w:rPr>
                <w:rFonts w:hint="eastAsia" w:eastAsiaTheme="minorEastAsia"/>
                <w:szCs w:val="21"/>
              </w:rPr>
              <w:t>荧蒽（</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CE4E6A7">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4DC2776">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CF9D4C5">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82C0D68">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69F32E2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BFB82B4">
            <w:pPr>
              <w:spacing w:before="61" w:line="320" w:lineRule="exact"/>
              <w:jc w:val="center"/>
              <w:rPr>
                <w:rFonts w:eastAsiaTheme="minorEastAsia"/>
                <w:szCs w:val="21"/>
              </w:rPr>
            </w:pPr>
            <w:r>
              <w:rPr>
                <w:rFonts w:eastAsiaTheme="minorEastAsia"/>
                <w:szCs w:val="21"/>
              </w:rPr>
              <w:t>15</w:t>
            </w:r>
          </w:p>
        </w:tc>
      </w:tr>
      <w:tr w14:paraId="41776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FAECF5A">
            <w:pPr>
              <w:spacing w:line="320" w:lineRule="exact"/>
              <w:jc w:val="center"/>
              <w:rPr>
                <w:rFonts w:eastAsiaTheme="minorEastAsia"/>
                <w:szCs w:val="21"/>
              </w:rPr>
            </w:pPr>
            <w:r>
              <w:rPr>
                <w:rFonts w:hint="eastAsia" w:eastAsiaTheme="minorEastAsia"/>
                <w:szCs w:val="21"/>
              </w:rPr>
              <w:t>苯并</w:t>
            </w:r>
            <w:r>
              <w:rPr>
                <w:rFonts w:eastAsiaTheme="minorEastAsia"/>
                <w:szCs w:val="21"/>
              </w:rPr>
              <w:t>[k]</w:t>
            </w:r>
            <w:r>
              <w:rPr>
                <w:rFonts w:hint="eastAsia" w:eastAsiaTheme="minorEastAsia"/>
                <w:szCs w:val="21"/>
              </w:rPr>
              <w:t>荧蒽（</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163CCDC">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D288B17">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824EED5">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E73AFD0">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FC3E3F5">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339F609">
            <w:pPr>
              <w:spacing w:before="61" w:line="320" w:lineRule="exact"/>
              <w:jc w:val="center"/>
              <w:rPr>
                <w:rFonts w:eastAsiaTheme="minorEastAsia"/>
                <w:szCs w:val="21"/>
              </w:rPr>
            </w:pPr>
            <w:r>
              <w:rPr>
                <w:rFonts w:eastAsiaTheme="minorEastAsia"/>
                <w:szCs w:val="21"/>
              </w:rPr>
              <w:t>151</w:t>
            </w:r>
          </w:p>
        </w:tc>
      </w:tr>
      <w:tr w14:paraId="5D185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E3AE209">
            <w:pPr>
              <w:spacing w:line="320" w:lineRule="exact"/>
              <w:jc w:val="center"/>
              <w:rPr>
                <w:rFonts w:eastAsiaTheme="minorEastAsia"/>
                <w:szCs w:val="21"/>
              </w:rPr>
            </w:pPr>
            <w:r>
              <w:rPr>
                <w:rFonts w:hint="eastAsia" w:eastAsiaTheme="minorEastAsia"/>
                <w:szCs w:val="21"/>
              </w:rPr>
              <w:t>䓛（</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356A0DFE">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96B7066">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9A8C748">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1CCEC13">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52A7DD2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AE98D82">
            <w:pPr>
              <w:spacing w:before="61" w:line="320" w:lineRule="exact"/>
              <w:jc w:val="center"/>
              <w:rPr>
                <w:rFonts w:eastAsiaTheme="minorEastAsia"/>
                <w:szCs w:val="21"/>
              </w:rPr>
            </w:pPr>
            <w:r>
              <w:rPr>
                <w:rFonts w:eastAsiaTheme="minorEastAsia"/>
                <w:szCs w:val="21"/>
              </w:rPr>
              <w:t>1293</w:t>
            </w:r>
          </w:p>
        </w:tc>
      </w:tr>
      <w:tr w14:paraId="1F42B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53EBDEF">
            <w:pPr>
              <w:spacing w:line="320" w:lineRule="exact"/>
              <w:jc w:val="center"/>
              <w:rPr>
                <w:rFonts w:eastAsiaTheme="minorEastAsia"/>
                <w:szCs w:val="21"/>
              </w:rPr>
            </w:pPr>
            <w:r>
              <w:rPr>
                <w:rFonts w:hint="eastAsia" w:eastAsiaTheme="minorEastAsia"/>
                <w:szCs w:val="21"/>
              </w:rPr>
              <w:t>二苯并</w:t>
            </w:r>
            <w:r>
              <w:rPr>
                <w:rFonts w:eastAsiaTheme="minorEastAsia"/>
                <w:szCs w:val="21"/>
              </w:rPr>
              <w:t>[a</w:t>
            </w:r>
            <w:r>
              <w:rPr>
                <w:rFonts w:hint="eastAsia" w:eastAsiaTheme="minorEastAsia"/>
                <w:szCs w:val="21"/>
              </w:rPr>
              <w:t>，</w:t>
            </w:r>
            <w:r>
              <w:rPr>
                <w:rFonts w:eastAsiaTheme="minorEastAsia"/>
                <w:szCs w:val="21"/>
              </w:rPr>
              <w:t>h]</w:t>
            </w:r>
            <w:r>
              <w:rPr>
                <w:rFonts w:hint="eastAsia" w:eastAsiaTheme="minorEastAsia"/>
                <w:szCs w:val="21"/>
              </w:rPr>
              <w:t>蒽（</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92C576F">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E93084A">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E68CD80">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6310B87">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71C845BF">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E3F9C01">
            <w:pPr>
              <w:spacing w:before="61" w:line="320" w:lineRule="exact"/>
              <w:jc w:val="center"/>
              <w:rPr>
                <w:rFonts w:eastAsiaTheme="minorEastAsia"/>
                <w:szCs w:val="21"/>
              </w:rPr>
            </w:pPr>
            <w:r>
              <w:rPr>
                <w:rFonts w:eastAsiaTheme="minorEastAsia"/>
                <w:szCs w:val="21"/>
              </w:rPr>
              <w:t>1.5</w:t>
            </w:r>
          </w:p>
        </w:tc>
      </w:tr>
      <w:tr w14:paraId="36E7EC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D889A56">
            <w:pPr>
              <w:spacing w:line="320" w:lineRule="exact"/>
              <w:jc w:val="center"/>
              <w:rPr>
                <w:rFonts w:eastAsiaTheme="minorEastAsia"/>
                <w:szCs w:val="21"/>
              </w:rPr>
            </w:pPr>
            <w:r>
              <w:rPr>
                <w:rFonts w:hint="eastAsia" w:eastAsiaTheme="minorEastAsia"/>
                <w:szCs w:val="21"/>
              </w:rPr>
              <w:t>茚并</w:t>
            </w:r>
            <w:r>
              <w:rPr>
                <w:rFonts w:eastAsiaTheme="minorEastAsia"/>
                <w:szCs w:val="21"/>
              </w:rPr>
              <w:t>[1,2,3-cd]</w:t>
            </w:r>
            <w:r>
              <w:rPr>
                <w:rFonts w:hint="eastAsia" w:eastAsiaTheme="minorEastAsia"/>
                <w:szCs w:val="21"/>
              </w:rPr>
              <w:t>芘（</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FCD967C">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00D5F7A">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43F882D">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423A5B6">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7215C38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6DF907F">
            <w:pPr>
              <w:spacing w:before="61" w:line="320" w:lineRule="exact"/>
              <w:jc w:val="center"/>
              <w:rPr>
                <w:rFonts w:eastAsiaTheme="minorEastAsia"/>
                <w:szCs w:val="21"/>
              </w:rPr>
            </w:pPr>
            <w:r>
              <w:rPr>
                <w:rFonts w:eastAsiaTheme="minorEastAsia"/>
                <w:szCs w:val="21"/>
              </w:rPr>
              <w:t>15</w:t>
            </w:r>
          </w:p>
        </w:tc>
      </w:tr>
      <w:tr w14:paraId="0970B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63F97721">
            <w:pPr>
              <w:spacing w:line="320" w:lineRule="exact"/>
              <w:jc w:val="center"/>
              <w:rPr>
                <w:rFonts w:eastAsiaTheme="minorEastAsia"/>
                <w:szCs w:val="21"/>
              </w:rPr>
            </w:pPr>
            <w:r>
              <w:rPr>
                <w:rFonts w:hint="eastAsia" w:eastAsiaTheme="minorEastAsia"/>
                <w:szCs w:val="21"/>
              </w:rPr>
              <w:t>萘（</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134B306">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2227EBA">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DCA7FCC">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B622339">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A5C3D41">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0BC87B2B">
            <w:pPr>
              <w:spacing w:before="61" w:line="320" w:lineRule="exact"/>
              <w:jc w:val="center"/>
              <w:rPr>
                <w:rFonts w:eastAsiaTheme="minorEastAsia"/>
                <w:szCs w:val="21"/>
              </w:rPr>
            </w:pPr>
            <w:r>
              <w:rPr>
                <w:rFonts w:eastAsiaTheme="minorEastAsia"/>
                <w:szCs w:val="21"/>
              </w:rPr>
              <w:t>70</w:t>
            </w:r>
          </w:p>
        </w:tc>
      </w:tr>
      <w:tr w14:paraId="5F6AA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15CCE1D3">
            <w:pPr>
              <w:spacing w:line="320" w:lineRule="exact"/>
              <w:jc w:val="center"/>
              <w:rPr>
                <w:rFonts w:eastAsiaTheme="minorEastAsia"/>
                <w:szCs w:val="21"/>
              </w:rPr>
            </w:pPr>
            <w:r>
              <w:rPr>
                <w:rFonts w:eastAsiaTheme="minorEastAsia"/>
                <w:szCs w:val="21"/>
              </w:rPr>
              <w:t>2-</w:t>
            </w:r>
            <w:r>
              <w:rPr>
                <w:rFonts w:hint="eastAsia" w:eastAsiaTheme="minorEastAsia"/>
                <w:szCs w:val="21"/>
              </w:rPr>
              <w:t>氯酚（</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39AECB22">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640BAD9">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ACE07E8">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4016D9B">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F6681DF">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8826CD5">
            <w:pPr>
              <w:spacing w:before="61" w:line="320" w:lineRule="exact"/>
              <w:jc w:val="center"/>
              <w:rPr>
                <w:rFonts w:eastAsiaTheme="minorEastAsia"/>
                <w:szCs w:val="21"/>
              </w:rPr>
            </w:pPr>
            <w:r>
              <w:rPr>
                <w:rFonts w:eastAsiaTheme="minorEastAsia"/>
                <w:szCs w:val="21"/>
              </w:rPr>
              <w:t>2256</w:t>
            </w:r>
          </w:p>
        </w:tc>
      </w:tr>
      <w:tr w14:paraId="42A95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44189A9">
            <w:pPr>
              <w:spacing w:line="320" w:lineRule="exact"/>
              <w:jc w:val="center"/>
              <w:rPr>
                <w:rFonts w:eastAsiaTheme="minorEastAsia"/>
                <w:szCs w:val="21"/>
              </w:rPr>
            </w:pPr>
            <w:r>
              <w:rPr>
                <w:rFonts w:hint="eastAsia" w:eastAsiaTheme="minorEastAsia"/>
                <w:szCs w:val="21"/>
              </w:rPr>
              <w:t>四氯化碳（</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4FC62A6">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6651588">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808FA9E">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074592F">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45E9ACD">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6BEAB10A">
            <w:pPr>
              <w:spacing w:line="320" w:lineRule="exact"/>
              <w:jc w:val="center"/>
              <w:rPr>
                <w:rFonts w:eastAsiaTheme="minorEastAsia"/>
                <w:szCs w:val="21"/>
              </w:rPr>
            </w:pPr>
            <w:r>
              <w:rPr>
                <w:rFonts w:eastAsiaTheme="minorEastAsia"/>
                <w:szCs w:val="21"/>
              </w:rPr>
              <w:t>2.8</w:t>
            </w:r>
          </w:p>
        </w:tc>
      </w:tr>
      <w:tr w14:paraId="7BED5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3C338E3F">
            <w:pPr>
              <w:spacing w:line="320" w:lineRule="exact"/>
              <w:jc w:val="center"/>
              <w:rPr>
                <w:rFonts w:eastAsiaTheme="minorEastAsia"/>
                <w:szCs w:val="21"/>
              </w:rPr>
            </w:pPr>
            <w:r>
              <w:rPr>
                <w:rFonts w:hint="eastAsia" w:eastAsiaTheme="minorEastAsia"/>
                <w:szCs w:val="21"/>
              </w:rPr>
              <w:t>氯仿（</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28C7195">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6C108E3">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19E9E42">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D558B95">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36DA9DD3">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340785E4">
            <w:pPr>
              <w:spacing w:line="320" w:lineRule="exact"/>
              <w:jc w:val="center"/>
              <w:rPr>
                <w:rFonts w:eastAsiaTheme="minorEastAsia"/>
                <w:szCs w:val="21"/>
              </w:rPr>
            </w:pPr>
            <w:r>
              <w:rPr>
                <w:rFonts w:eastAsiaTheme="minorEastAsia"/>
                <w:szCs w:val="21"/>
              </w:rPr>
              <w:t>0.9</w:t>
            </w:r>
          </w:p>
        </w:tc>
      </w:tr>
      <w:tr w14:paraId="5BE83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1F9B74E1">
            <w:pPr>
              <w:spacing w:line="320" w:lineRule="exact"/>
              <w:jc w:val="center"/>
              <w:rPr>
                <w:rFonts w:eastAsiaTheme="minorEastAsia"/>
                <w:szCs w:val="21"/>
              </w:rPr>
            </w:pPr>
            <w:r>
              <w:rPr>
                <w:rFonts w:hint="eastAsia" w:eastAsiaTheme="minorEastAsia"/>
                <w:szCs w:val="21"/>
              </w:rPr>
              <w:t>氯甲烷（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1702BB9">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174A861">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DD98954">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13B9FF1">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76EDD123">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28F5EAD">
            <w:pPr>
              <w:spacing w:line="320" w:lineRule="exact"/>
              <w:jc w:val="center"/>
              <w:rPr>
                <w:rFonts w:eastAsiaTheme="minorEastAsia"/>
                <w:szCs w:val="21"/>
              </w:rPr>
            </w:pPr>
            <w:r>
              <w:rPr>
                <w:rFonts w:eastAsiaTheme="minorEastAsia"/>
                <w:szCs w:val="21"/>
              </w:rPr>
              <w:t>37</w:t>
            </w:r>
          </w:p>
        </w:tc>
      </w:tr>
      <w:tr w14:paraId="36500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672F32AD">
            <w:pPr>
              <w:spacing w:line="320" w:lineRule="exact"/>
              <w:jc w:val="center"/>
              <w:rPr>
                <w:rFonts w:eastAsiaTheme="minorEastAsia"/>
                <w:szCs w:val="21"/>
              </w:rPr>
            </w:pPr>
            <w:r>
              <w:rPr>
                <w:rFonts w:eastAsiaTheme="minorEastAsia"/>
                <w:szCs w:val="21"/>
              </w:rPr>
              <w:t>1,1-</w:t>
            </w:r>
            <w:r>
              <w:rPr>
                <w:rFonts w:hint="eastAsia" w:eastAsiaTheme="minorEastAsia"/>
                <w:szCs w:val="21"/>
              </w:rPr>
              <w:t>二氯乙烷（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3A4695B">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268C1C4">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6F976E0">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02CCFD0">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566E27E0">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0808E0D">
            <w:pPr>
              <w:spacing w:line="320" w:lineRule="exact"/>
              <w:jc w:val="center"/>
              <w:rPr>
                <w:rFonts w:eastAsiaTheme="minorEastAsia"/>
                <w:szCs w:val="21"/>
              </w:rPr>
            </w:pPr>
            <w:r>
              <w:rPr>
                <w:rFonts w:eastAsiaTheme="minorEastAsia"/>
                <w:szCs w:val="21"/>
              </w:rPr>
              <w:t>9</w:t>
            </w:r>
          </w:p>
        </w:tc>
      </w:tr>
      <w:tr w14:paraId="1FB11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72F76AF">
            <w:pPr>
              <w:spacing w:line="320" w:lineRule="exact"/>
              <w:jc w:val="center"/>
              <w:rPr>
                <w:rFonts w:eastAsiaTheme="minorEastAsia"/>
                <w:szCs w:val="21"/>
              </w:rPr>
            </w:pPr>
            <w:r>
              <w:rPr>
                <w:rFonts w:eastAsiaTheme="minorEastAsia"/>
                <w:szCs w:val="21"/>
              </w:rPr>
              <w:t>1,2-</w:t>
            </w:r>
            <w:r>
              <w:rPr>
                <w:rFonts w:hint="eastAsia" w:eastAsiaTheme="minorEastAsia"/>
                <w:szCs w:val="21"/>
              </w:rPr>
              <w:t>二氯乙烷（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F78EF21">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09DF0A3">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8B9BA58">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0FA4F59">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5BAD835">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699A4E7A">
            <w:pPr>
              <w:spacing w:line="320" w:lineRule="exact"/>
              <w:jc w:val="center"/>
              <w:rPr>
                <w:rFonts w:eastAsiaTheme="minorEastAsia"/>
                <w:szCs w:val="21"/>
              </w:rPr>
            </w:pPr>
            <w:r>
              <w:rPr>
                <w:rFonts w:eastAsiaTheme="minorEastAsia"/>
                <w:szCs w:val="21"/>
              </w:rPr>
              <w:t>5</w:t>
            </w:r>
          </w:p>
        </w:tc>
      </w:tr>
      <w:tr w14:paraId="3EA17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47A922C0">
            <w:pPr>
              <w:spacing w:line="320" w:lineRule="exact"/>
              <w:jc w:val="center"/>
              <w:rPr>
                <w:rFonts w:eastAsiaTheme="minorEastAsia"/>
                <w:szCs w:val="21"/>
              </w:rPr>
            </w:pPr>
            <w:r>
              <w:rPr>
                <w:rFonts w:eastAsiaTheme="minorEastAsia"/>
                <w:szCs w:val="21"/>
              </w:rPr>
              <w:t>1,1-</w:t>
            </w:r>
            <w:r>
              <w:rPr>
                <w:rFonts w:hint="eastAsia" w:eastAsiaTheme="minorEastAsia"/>
                <w:szCs w:val="21"/>
              </w:rPr>
              <w:t>二氯乙烯（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54AB46E">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9C98A70">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3E96AFE">
            <w:pPr>
              <w:spacing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57D2432">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36477E23">
            <w:pPr>
              <w:spacing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74B7485">
            <w:pPr>
              <w:spacing w:line="320" w:lineRule="exact"/>
              <w:jc w:val="center"/>
              <w:rPr>
                <w:rFonts w:eastAsiaTheme="minorEastAsia"/>
                <w:szCs w:val="21"/>
              </w:rPr>
            </w:pPr>
            <w:r>
              <w:rPr>
                <w:rFonts w:eastAsiaTheme="minorEastAsia"/>
                <w:szCs w:val="21"/>
              </w:rPr>
              <w:t>66</w:t>
            </w:r>
          </w:p>
        </w:tc>
      </w:tr>
      <w:tr w14:paraId="28E9B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3F657C06">
            <w:pPr>
              <w:spacing w:line="320" w:lineRule="exact"/>
              <w:jc w:val="center"/>
              <w:rPr>
                <w:rFonts w:eastAsiaTheme="minorEastAsia"/>
                <w:szCs w:val="21"/>
              </w:rPr>
            </w:pPr>
            <w:r>
              <w:rPr>
                <w:rFonts w:hint="eastAsia" w:eastAsiaTheme="minorEastAsia"/>
                <w:szCs w:val="21"/>
              </w:rPr>
              <w:t>顺</w:t>
            </w:r>
            <w:r>
              <w:rPr>
                <w:rFonts w:eastAsiaTheme="minorEastAsia"/>
                <w:szCs w:val="21"/>
              </w:rPr>
              <w:t>-1,2-</w:t>
            </w:r>
            <w:r>
              <w:rPr>
                <w:rFonts w:hint="eastAsia" w:eastAsiaTheme="minorEastAsia"/>
                <w:szCs w:val="21"/>
              </w:rPr>
              <w:t>二氯乙烯（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F110C07">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39F133D">
            <w:pPr>
              <w:spacing w:before="63"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29CF29F">
            <w:pPr>
              <w:spacing w:before="63"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17AE621">
            <w:pPr>
              <w:spacing w:before="63"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C3AE4C3">
            <w:pPr>
              <w:spacing w:before="63"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36D64AFB">
            <w:pPr>
              <w:spacing w:before="63" w:line="320" w:lineRule="exact"/>
              <w:jc w:val="center"/>
              <w:rPr>
                <w:rFonts w:eastAsiaTheme="minorEastAsia"/>
                <w:szCs w:val="21"/>
              </w:rPr>
            </w:pPr>
            <w:r>
              <w:rPr>
                <w:rFonts w:eastAsiaTheme="minorEastAsia"/>
                <w:szCs w:val="21"/>
              </w:rPr>
              <w:t>596</w:t>
            </w:r>
          </w:p>
        </w:tc>
      </w:tr>
      <w:tr w14:paraId="63D83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58831133">
            <w:pPr>
              <w:spacing w:line="320" w:lineRule="exact"/>
              <w:jc w:val="center"/>
              <w:rPr>
                <w:rFonts w:eastAsiaTheme="minorEastAsia"/>
                <w:szCs w:val="21"/>
              </w:rPr>
            </w:pPr>
            <w:r>
              <w:rPr>
                <w:rFonts w:hint="eastAsia" w:eastAsiaTheme="minorEastAsia"/>
                <w:szCs w:val="21"/>
              </w:rPr>
              <w:t>反</w:t>
            </w:r>
            <w:r>
              <w:rPr>
                <w:rFonts w:eastAsiaTheme="minorEastAsia"/>
                <w:szCs w:val="21"/>
              </w:rPr>
              <w:t>-1,2-</w:t>
            </w:r>
            <w:r>
              <w:rPr>
                <w:rFonts w:hint="eastAsia" w:eastAsiaTheme="minorEastAsia"/>
                <w:szCs w:val="21"/>
              </w:rPr>
              <w:t>二氯乙烯（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2492A13">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919A4C8">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FF99D52">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A351B0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2E9FAD97">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DC37E63">
            <w:pPr>
              <w:spacing w:before="61" w:line="320" w:lineRule="exact"/>
              <w:jc w:val="center"/>
              <w:rPr>
                <w:rFonts w:eastAsiaTheme="minorEastAsia"/>
                <w:szCs w:val="21"/>
              </w:rPr>
            </w:pPr>
            <w:r>
              <w:rPr>
                <w:rFonts w:eastAsiaTheme="minorEastAsia"/>
                <w:szCs w:val="21"/>
              </w:rPr>
              <w:t>54</w:t>
            </w:r>
          </w:p>
        </w:tc>
      </w:tr>
      <w:tr w14:paraId="43D6C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7595CBF">
            <w:pPr>
              <w:spacing w:line="320" w:lineRule="exact"/>
              <w:jc w:val="center"/>
              <w:rPr>
                <w:rFonts w:eastAsiaTheme="minorEastAsia"/>
                <w:szCs w:val="21"/>
              </w:rPr>
            </w:pPr>
            <w:r>
              <w:rPr>
                <w:rFonts w:hint="eastAsia" w:eastAsiaTheme="minorEastAsia"/>
                <w:szCs w:val="21"/>
              </w:rPr>
              <w:t>二氯甲烷（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FF16B19">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1FAE7B7">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2095223">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B62E8A8">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36ED06FC">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674ACC00">
            <w:pPr>
              <w:spacing w:before="61" w:line="320" w:lineRule="exact"/>
              <w:jc w:val="center"/>
              <w:rPr>
                <w:rFonts w:eastAsiaTheme="minorEastAsia"/>
                <w:szCs w:val="21"/>
              </w:rPr>
            </w:pPr>
            <w:r>
              <w:rPr>
                <w:rFonts w:eastAsiaTheme="minorEastAsia"/>
                <w:szCs w:val="21"/>
              </w:rPr>
              <w:t>616</w:t>
            </w:r>
          </w:p>
        </w:tc>
      </w:tr>
      <w:tr w14:paraId="00055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4FD0DB09">
            <w:pPr>
              <w:spacing w:line="320" w:lineRule="exact"/>
              <w:jc w:val="center"/>
              <w:rPr>
                <w:rFonts w:eastAsiaTheme="minorEastAsia"/>
                <w:szCs w:val="21"/>
              </w:rPr>
            </w:pPr>
            <w:r>
              <w:rPr>
                <w:rFonts w:eastAsiaTheme="minorEastAsia"/>
                <w:szCs w:val="21"/>
              </w:rPr>
              <w:t>1,2-</w:t>
            </w:r>
            <w:r>
              <w:rPr>
                <w:rFonts w:hint="eastAsia" w:eastAsiaTheme="minorEastAsia"/>
                <w:szCs w:val="21"/>
              </w:rPr>
              <w:t>二氯丙烷（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092B085E">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3569C01">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67819E5">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9D2855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111C5627">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F7295C9">
            <w:pPr>
              <w:spacing w:before="61" w:line="320" w:lineRule="exact"/>
              <w:jc w:val="center"/>
              <w:rPr>
                <w:rFonts w:eastAsiaTheme="minorEastAsia"/>
                <w:szCs w:val="21"/>
              </w:rPr>
            </w:pPr>
            <w:r>
              <w:rPr>
                <w:rFonts w:eastAsiaTheme="minorEastAsia"/>
                <w:szCs w:val="21"/>
              </w:rPr>
              <w:t>5</w:t>
            </w:r>
          </w:p>
        </w:tc>
      </w:tr>
      <w:tr w14:paraId="6BF1B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556D56C2">
            <w:pPr>
              <w:spacing w:line="320" w:lineRule="exact"/>
              <w:jc w:val="center"/>
              <w:rPr>
                <w:rFonts w:eastAsiaTheme="minorEastAsia"/>
                <w:szCs w:val="21"/>
              </w:rPr>
            </w:pPr>
            <w:r>
              <w:rPr>
                <w:rFonts w:eastAsiaTheme="minorEastAsia"/>
                <w:szCs w:val="21"/>
              </w:rPr>
              <w:t>1,1,1,2-</w:t>
            </w:r>
            <w:r>
              <w:rPr>
                <w:rFonts w:hint="eastAsia" w:eastAsiaTheme="minorEastAsia"/>
                <w:szCs w:val="21"/>
              </w:rPr>
              <w:t>四氯乙烷（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1137E32">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AE92D13">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33B81EE">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B988639">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E1AFDAE">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43575CD5">
            <w:pPr>
              <w:spacing w:before="63" w:line="320" w:lineRule="exact"/>
              <w:ind w:left="5"/>
              <w:jc w:val="center"/>
              <w:rPr>
                <w:rFonts w:eastAsiaTheme="minorEastAsia"/>
                <w:szCs w:val="21"/>
              </w:rPr>
            </w:pPr>
            <w:r>
              <w:rPr>
                <w:rFonts w:eastAsiaTheme="minorEastAsia"/>
                <w:szCs w:val="21"/>
              </w:rPr>
              <w:t>10</w:t>
            </w:r>
          </w:p>
        </w:tc>
      </w:tr>
      <w:tr w14:paraId="1FD47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6ECCD86">
            <w:pPr>
              <w:spacing w:line="320" w:lineRule="exact"/>
              <w:jc w:val="center"/>
              <w:rPr>
                <w:rFonts w:eastAsiaTheme="minorEastAsia"/>
                <w:szCs w:val="21"/>
              </w:rPr>
            </w:pPr>
            <w:r>
              <w:rPr>
                <w:rFonts w:eastAsiaTheme="minorEastAsia"/>
                <w:szCs w:val="21"/>
              </w:rPr>
              <w:t>1,1,2,2-</w:t>
            </w:r>
            <w:r>
              <w:rPr>
                <w:rFonts w:hint="eastAsia" w:eastAsiaTheme="minorEastAsia"/>
                <w:szCs w:val="21"/>
              </w:rPr>
              <w:t>四氯乙烷（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0C0F8720">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EE08463">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92E6834">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8BAC85D">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82B8CB7">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294DA8D">
            <w:pPr>
              <w:spacing w:before="61" w:line="320" w:lineRule="exact"/>
              <w:ind w:left="5"/>
              <w:jc w:val="center"/>
              <w:rPr>
                <w:rFonts w:eastAsiaTheme="minorEastAsia"/>
                <w:szCs w:val="21"/>
              </w:rPr>
            </w:pPr>
            <w:r>
              <w:rPr>
                <w:rFonts w:eastAsiaTheme="minorEastAsia"/>
                <w:szCs w:val="21"/>
              </w:rPr>
              <w:t>6.8</w:t>
            </w:r>
          </w:p>
        </w:tc>
      </w:tr>
      <w:tr w14:paraId="5FDAE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ECD905F">
            <w:pPr>
              <w:spacing w:line="320" w:lineRule="exact"/>
              <w:jc w:val="center"/>
              <w:rPr>
                <w:rFonts w:eastAsiaTheme="minorEastAsia"/>
                <w:szCs w:val="21"/>
              </w:rPr>
            </w:pPr>
            <w:r>
              <w:rPr>
                <w:rFonts w:hint="eastAsia" w:eastAsiaTheme="minorEastAsia"/>
                <w:szCs w:val="21"/>
              </w:rPr>
              <w:t>四氯乙烯（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0E87F462">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6BB3B42">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7B04F48">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4E10D6C">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C80AAAA">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68AA054">
            <w:pPr>
              <w:spacing w:before="61" w:line="320" w:lineRule="exact"/>
              <w:jc w:val="center"/>
              <w:rPr>
                <w:rFonts w:eastAsiaTheme="minorEastAsia"/>
                <w:szCs w:val="21"/>
              </w:rPr>
            </w:pPr>
            <w:r>
              <w:rPr>
                <w:rFonts w:eastAsiaTheme="minorEastAsia"/>
                <w:szCs w:val="21"/>
              </w:rPr>
              <w:t>53</w:t>
            </w:r>
          </w:p>
        </w:tc>
      </w:tr>
      <w:tr w14:paraId="79068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2A8953C">
            <w:pPr>
              <w:spacing w:line="320" w:lineRule="exact"/>
              <w:jc w:val="center"/>
              <w:rPr>
                <w:rFonts w:eastAsiaTheme="minorEastAsia"/>
                <w:szCs w:val="21"/>
              </w:rPr>
            </w:pPr>
            <w:r>
              <w:rPr>
                <w:rFonts w:eastAsiaTheme="minorEastAsia"/>
                <w:szCs w:val="21"/>
              </w:rPr>
              <w:t>1,1,1-</w:t>
            </w:r>
            <w:r>
              <w:rPr>
                <w:rFonts w:hint="eastAsia" w:eastAsiaTheme="minorEastAsia"/>
                <w:szCs w:val="21"/>
              </w:rPr>
              <w:t>三氯乙烷（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8109183">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DA76FD8">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A53B036">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FAA1B2C">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EEA901B">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A1D0B9C">
            <w:pPr>
              <w:spacing w:before="61" w:line="320" w:lineRule="exact"/>
              <w:jc w:val="center"/>
              <w:rPr>
                <w:rFonts w:eastAsiaTheme="minorEastAsia"/>
                <w:szCs w:val="21"/>
              </w:rPr>
            </w:pPr>
            <w:r>
              <w:rPr>
                <w:rFonts w:eastAsiaTheme="minorEastAsia"/>
                <w:szCs w:val="21"/>
              </w:rPr>
              <w:t>840</w:t>
            </w:r>
          </w:p>
        </w:tc>
      </w:tr>
      <w:tr w14:paraId="0853F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512773FE">
            <w:pPr>
              <w:spacing w:line="320" w:lineRule="exact"/>
              <w:jc w:val="center"/>
              <w:rPr>
                <w:rFonts w:eastAsiaTheme="minorEastAsia"/>
                <w:szCs w:val="21"/>
              </w:rPr>
            </w:pPr>
            <w:r>
              <w:rPr>
                <w:rFonts w:eastAsiaTheme="minorEastAsia"/>
                <w:szCs w:val="21"/>
              </w:rPr>
              <w:t>1,1,2-</w:t>
            </w:r>
            <w:r>
              <w:rPr>
                <w:rFonts w:hint="eastAsia" w:eastAsiaTheme="minorEastAsia"/>
                <w:szCs w:val="21"/>
              </w:rPr>
              <w:t>三氯乙烷（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3B52FD86">
            <w:pPr>
              <w:widowControl/>
              <w:jc w:val="center"/>
              <w:textAlignment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8E58068">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1E0A997">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A246F0F">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6272384">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1E1892FE">
            <w:pPr>
              <w:spacing w:before="61" w:line="320" w:lineRule="exact"/>
              <w:ind w:left="5"/>
              <w:jc w:val="center"/>
              <w:rPr>
                <w:rFonts w:eastAsiaTheme="minorEastAsia"/>
                <w:szCs w:val="21"/>
              </w:rPr>
            </w:pPr>
            <w:r>
              <w:rPr>
                <w:rFonts w:eastAsiaTheme="minorEastAsia"/>
                <w:szCs w:val="21"/>
              </w:rPr>
              <w:t>2.8</w:t>
            </w:r>
          </w:p>
        </w:tc>
      </w:tr>
      <w:tr w14:paraId="18A9B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7DC83F4">
            <w:pPr>
              <w:spacing w:line="320" w:lineRule="exact"/>
              <w:jc w:val="center"/>
              <w:rPr>
                <w:rFonts w:eastAsiaTheme="minorEastAsia"/>
                <w:szCs w:val="21"/>
              </w:rPr>
            </w:pPr>
            <w:r>
              <w:rPr>
                <w:rFonts w:hint="eastAsia" w:eastAsiaTheme="minorEastAsia"/>
                <w:szCs w:val="21"/>
              </w:rPr>
              <w:t>三氯乙烯（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091E307">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92A199A">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B14095B">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BDE11F5">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19F8642A">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5635A69">
            <w:pPr>
              <w:spacing w:before="63" w:line="320" w:lineRule="exact"/>
              <w:ind w:left="5"/>
              <w:jc w:val="center"/>
              <w:rPr>
                <w:rFonts w:eastAsiaTheme="minorEastAsia"/>
                <w:szCs w:val="21"/>
              </w:rPr>
            </w:pPr>
            <w:r>
              <w:rPr>
                <w:rFonts w:eastAsiaTheme="minorEastAsia"/>
                <w:szCs w:val="21"/>
              </w:rPr>
              <w:t>2.8</w:t>
            </w:r>
          </w:p>
        </w:tc>
      </w:tr>
      <w:tr w14:paraId="4AAFF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64B9F35A">
            <w:pPr>
              <w:spacing w:line="320" w:lineRule="exact"/>
              <w:jc w:val="center"/>
              <w:rPr>
                <w:rFonts w:eastAsiaTheme="minorEastAsia"/>
                <w:szCs w:val="21"/>
              </w:rPr>
            </w:pPr>
            <w:r>
              <w:rPr>
                <w:rFonts w:eastAsiaTheme="minorEastAsia"/>
                <w:szCs w:val="21"/>
              </w:rPr>
              <w:t>1,2,3-</w:t>
            </w:r>
            <w:r>
              <w:rPr>
                <w:rFonts w:hint="eastAsia" w:eastAsiaTheme="minorEastAsia"/>
                <w:szCs w:val="21"/>
              </w:rPr>
              <w:t>三氯丙烷（</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9440AC9">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10ADEA8">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68F803A">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786919D">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281A2594">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058F194B">
            <w:pPr>
              <w:spacing w:before="63" w:line="320" w:lineRule="exact"/>
              <w:ind w:left="5"/>
              <w:jc w:val="center"/>
              <w:rPr>
                <w:rFonts w:eastAsiaTheme="minorEastAsia"/>
                <w:szCs w:val="21"/>
              </w:rPr>
            </w:pPr>
            <w:r>
              <w:rPr>
                <w:rFonts w:eastAsiaTheme="minorEastAsia"/>
                <w:szCs w:val="21"/>
              </w:rPr>
              <w:t>0.5</w:t>
            </w:r>
          </w:p>
        </w:tc>
      </w:tr>
      <w:tr w14:paraId="1E7F2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F3D73B2">
            <w:pPr>
              <w:spacing w:line="320" w:lineRule="exact"/>
              <w:jc w:val="center"/>
              <w:rPr>
                <w:rFonts w:eastAsiaTheme="minorEastAsia"/>
                <w:szCs w:val="21"/>
              </w:rPr>
            </w:pPr>
            <w:r>
              <w:rPr>
                <w:rFonts w:hint="eastAsia" w:eastAsiaTheme="minorEastAsia"/>
                <w:szCs w:val="21"/>
              </w:rPr>
              <w:t>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8F40466">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56B7CA4">
            <w:pPr>
              <w:spacing w:before="63" w:line="320" w:lineRule="exact"/>
              <w:ind w:right="1"/>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A96BA8B">
            <w:pPr>
              <w:spacing w:before="63" w:line="320" w:lineRule="exact"/>
              <w:ind w:right="1"/>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CA95FB9">
            <w:pPr>
              <w:spacing w:before="63" w:line="320" w:lineRule="exact"/>
              <w:ind w:right="1"/>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FC2EE36">
            <w:pPr>
              <w:spacing w:before="63" w:line="320" w:lineRule="exact"/>
              <w:ind w:right="1"/>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4D336070">
            <w:pPr>
              <w:spacing w:before="63" w:line="320" w:lineRule="exact"/>
              <w:ind w:right="1"/>
              <w:jc w:val="center"/>
              <w:rPr>
                <w:rFonts w:eastAsiaTheme="minorEastAsia"/>
                <w:szCs w:val="21"/>
              </w:rPr>
            </w:pPr>
            <w:r>
              <w:rPr>
                <w:rFonts w:eastAsiaTheme="minorEastAsia"/>
                <w:szCs w:val="21"/>
              </w:rPr>
              <w:t>4</w:t>
            </w:r>
          </w:p>
        </w:tc>
      </w:tr>
      <w:tr w14:paraId="571D0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0764659">
            <w:pPr>
              <w:spacing w:line="320" w:lineRule="exact"/>
              <w:jc w:val="center"/>
              <w:rPr>
                <w:rFonts w:eastAsiaTheme="minorEastAsia"/>
                <w:szCs w:val="21"/>
              </w:rPr>
            </w:pPr>
            <w:r>
              <w:rPr>
                <w:rFonts w:hint="eastAsia" w:eastAsiaTheme="minorEastAsia"/>
                <w:szCs w:val="21"/>
              </w:rPr>
              <w:t>氯苯（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72379E7">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AB6D6DE">
            <w:pPr>
              <w:spacing w:before="62"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DAECD2D">
            <w:pPr>
              <w:spacing w:before="62"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FBA5C83">
            <w:pPr>
              <w:spacing w:before="62"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2B49781E">
            <w:pPr>
              <w:spacing w:before="62"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46A771A">
            <w:pPr>
              <w:spacing w:before="62" w:line="320" w:lineRule="exact"/>
              <w:ind w:left="5"/>
              <w:jc w:val="center"/>
              <w:rPr>
                <w:rFonts w:eastAsiaTheme="minorEastAsia"/>
                <w:szCs w:val="21"/>
              </w:rPr>
            </w:pPr>
            <w:r>
              <w:rPr>
                <w:rFonts w:eastAsiaTheme="minorEastAsia"/>
                <w:szCs w:val="21"/>
              </w:rPr>
              <w:t>270</w:t>
            </w:r>
          </w:p>
        </w:tc>
      </w:tr>
      <w:tr w14:paraId="1F554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1591979">
            <w:pPr>
              <w:spacing w:line="320" w:lineRule="exact"/>
              <w:jc w:val="center"/>
              <w:rPr>
                <w:rFonts w:eastAsiaTheme="minorEastAsia"/>
                <w:szCs w:val="21"/>
              </w:rPr>
            </w:pPr>
            <w:r>
              <w:rPr>
                <w:rFonts w:eastAsiaTheme="minorEastAsia"/>
                <w:szCs w:val="21"/>
              </w:rPr>
              <w:t>1,2-</w:t>
            </w:r>
            <w:r>
              <w:rPr>
                <w:rFonts w:hint="eastAsia" w:eastAsiaTheme="minorEastAsia"/>
                <w:szCs w:val="21"/>
              </w:rPr>
              <w:t>二氯苯（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40636106">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B9E782C">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A220570">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A648B4B">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3B717216">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F3DB68F">
            <w:pPr>
              <w:spacing w:before="63" w:line="320" w:lineRule="exact"/>
              <w:ind w:left="5"/>
              <w:jc w:val="center"/>
              <w:rPr>
                <w:rFonts w:eastAsiaTheme="minorEastAsia"/>
                <w:szCs w:val="21"/>
              </w:rPr>
            </w:pPr>
            <w:r>
              <w:rPr>
                <w:rFonts w:eastAsiaTheme="minorEastAsia"/>
                <w:szCs w:val="21"/>
              </w:rPr>
              <w:t>560</w:t>
            </w:r>
          </w:p>
        </w:tc>
      </w:tr>
      <w:tr w14:paraId="2B711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DC2E278">
            <w:pPr>
              <w:spacing w:line="320" w:lineRule="exact"/>
              <w:jc w:val="center"/>
              <w:rPr>
                <w:rFonts w:eastAsiaTheme="minorEastAsia"/>
                <w:szCs w:val="21"/>
              </w:rPr>
            </w:pPr>
            <w:r>
              <w:rPr>
                <w:rFonts w:eastAsiaTheme="minorEastAsia"/>
                <w:szCs w:val="21"/>
              </w:rPr>
              <w:t>1,4-</w:t>
            </w:r>
            <w:r>
              <w:rPr>
                <w:rFonts w:hint="eastAsia" w:eastAsiaTheme="minorEastAsia"/>
                <w:szCs w:val="21"/>
              </w:rPr>
              <w:t>二氯苯（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9A23329">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084CA5D">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3A06F3D">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B478EED">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574F70D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1B50939">
            <w:pPr>
              <w:spacing w:before="61" w:line="320" w:lineRule="exact"/>
              <w:jc w:val="center"/>
              <w:rPr>
                <w:rFonts w:eastAsiaTheme="minorEastAsia"/>
                <w:szCs w:val="21"/>
              </w:rPr>
            </w:pPr>
            <w:r>
              <w:rPr>
                <w:rFonts w:eastAsiaTheme="minorEastAsia"/>
                <w:szCs w:val="21"/>
              </w:rPr>
              <w:t>20</w:t>
            </w:r>
          </w:p>
        </w:tc>
      </w:tr>
      <w:tr w14:paraId="7CE78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2D0854E5">
            <w:pPr>
              <w:spacing w:line="320" w:lineRule="exact"/>
              <w:jc w:val="center"/>
              <w:rPr>
                <w:rFonts w:eastAsiaTheme="minorEastAsia"/>
                <w:szCs w:val="21"/>
              </w:rPr>
            </w:pPr>
            <w:r>
              <w:rPr>
                <w:rFonts w:hint="eastAsia" w:eastAsiaTheme="minorEastAsia"/>
                <w:szCs w:val="21"/>
              </w:rPr>
              <w:t>乙苯（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2A203741">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FF55AF0">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DB24C6F">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254B291">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0D6217B">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DF03B98">
            <w:pPr>
              <w:spacing w:before="61" w:line="320" w:lineRule="exact"/>
              <w:jc w:val="center"/>
              <w:rPr>
                <w:rFonts w:eastAsiaTheme="minorEastAsia"/>
                <w:szCs w:val="21"/>
              </w:rPr>
            </w:pPr>
            <w:r>
              <w:rPr>
                <w:rFonts w:eastAsiaTheme="minorEastAsia"/>
                <w:szCs w:val="21"/>
              </w:rPr>
              <w:t>28</w:t>
            </w:r>
          </w:p>
        </w:tc>
      </w:tr>
      <w:tr w14:paraId="47DA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76B141A4">
            <w:pPr>
              <w:spacing w:line="320" w:lineRule="exact"/>
              <w:jc w:val="center"/>
              <w:rPr>
                <w:rFonts w:eastAsiaTheme="minorEastAsia"/>
                <w:szCs w:val="21"/>
              </w:rPr>
            </w:pPr>
            <w:r>
              <w:rPr>
                <w:rFonts w:hint="eastAsia" w:eastAsiaTheme="minorEastAsia"/>
                <w:szCs w:val="21"/>
              </w:rPr>
              <w:t>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732829A2">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32CDD972">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CB1416A">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FD74BD4">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29D2276F">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9226F8C">
            <w:pPr>
              <w:spacing w:before="63" w:line="320" w:lineRule="exact"/>
              <w:ind w:left="5"/>
              <w:jc w:val="center"/>
              <w:rPr>
                <w:rFonts w:eastAsiaTheme="minorEastAsia"/>
                <w:szCs w:val="21"/>
              </w:rPr>
            </w:pPr>
            <w:r>
              <w:rPr>
                <w:rFonts w:eastAsiaTheme="minorEastAsia"/>
                <w:szCs w:val="21"/>
              </w:rPr>
              <w:t>1290</w:t>
            </w:r>
          </w:p>
        </w:tc>
      </w:tr>
      <w:tr w14:paraId="3A254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4A9FA6B">
            <w:pPr>
              <w:spacing w:line="320" w:lineRule="exact"/>
              <w:jc w:val="center"/>
              <w:rPr>
                <w:rFonts w:eastAsiaTheme="minorEastAsia"/>
                <w:szCs w:val="21"/>
              </w:rPr>
            </w:pPr>
            <w:r>
              <w:rPr>
                <w:rFonts w:hint="eastAsia" w:eastAsiaTheme="minorEastAsia"/>
                <w:szCs w:val="21"/>
              </w:rPr>
              <w:t>甲苯（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6D4FA2C5">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A2C38EF">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76CE69C">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53EDF78">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1D54E76F">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721904AB">
            <w:pPr>
              <w:spacing w:before="61" w:line="320" w:lineRule="exact"/>
              <w:jc w:val="center"/>
              <w:rPr>
                <w:rFonts w:eastAsiaTheme="minorEastAsia"/>
                <w:szCs w:val="21"/>
              </w:rPr>
            </w:pPr>
            <w:r>
              <w:rPr>
                <w:rFonts w:eastAsiaTheme="minorEastAsia"/>
                <w:szCs w:val="21"/>
              </w:rPr>
              <w:t>1200</w:t>
            </w:r>
          </w:p>
        </w:tc>
      </w:tr>
      <w:tr w14:paraId="6C125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45A23BBF">
            <w:pPr>
              <w:spacing w:line="320" w:lineRule="exact"/>
              <w:jc w:val="center"/>
              <w:rPr>
                <w:rFonts w:eastAsiaTheme="minorEastAsia"/>
                <w:szCs w:val="21"/>
              </w:rPr>
            </w:pPr>
            <w:r>
              <w:rPr>
                <w:rFonts w:hint="eastAsia" w:eastAsiaTheme="minorEastAsia"/>
                <w:szCs w:val="21"/>
              </w:rPr>
              <w:t>间二甲苯</w:t>
            </w:r>
            <w:r>
              <w:rPr>
                <w:rFonts w:eastAsiaTheme="minorEastAsia"/>
                <w:szCs w:val="21"/>
              </w:rPr>
              <w:t>+</w:t>
            </w:r>
            <w:r>
              <w:rPr>
                <w:rFonts w:hint="eastAsia" w:eastAsiaTheme="minorEastAsia"/>
                <w:szCs w:val="21"/>
              </w:rPr>
              <w:t>对二甲苯（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444FAA3D">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CA61D83">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4EFA85E">
            <w:pPr>
              <w:spacing w:before="61" w:line="320" w:lineRule="exact"/>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7B1279C4">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AF9EA4C">
            <w:pPr>
              <w:spacing w:before="61" w:line="320" w:lineRule="exact"/>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24C07E2F">
            <w:pPr>
              <w:spacing w:before="61" w:line="320" w:lineRule="exact"/>
              <w:jc w:val="center"/>
              <w:rPr>
                <w:rFonts w:eastAsiaTheme="minorEastAsia"/>
                <w:szCs w:val="21"/>
              </w:rPr>
            </w:pPr>
            <w:r>
              <w:rPr>
                <w:rFonts w:eastAsiaTheme="minorEastAsia"/>
                <w:szCs w:val="21"/>
              </w:rPr>
              <w:t>570</w:t>
            </w:r>
          </w:p>
        </w:tc>
      </w:tr>
      <w:tr w14:paraId="1F588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3ABB0CF">
            <w:pPr>
              <w:spacing w:line="320" w:lineRule="exact"/>
              <w:jc w:val="center"/>
              <w:rPr>
                <w:rFonts w:eastAsiaTheme="minorEastAsia"/>
                <w:szCs w:val="21"/>
              </w:rPr>
            </w:pPr>
            <w:r>
              <w:rPr>
                <w:rFonts w:hint="eastAsia" w:eastAsiaTheme="minorEastAsia"/>
                <w:szCs w:val="21"/>
              </w:rPr>
              <w:t>邻二甲苯（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10B6AE26">
            <w:pPr>
              <w:widowControl/>
              <w:jc w:val="center"/>
              <w:rPr>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645E62A4">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5C394CAF">
            <w:pPr>
              <w:spacing w:before="63"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1B62ABF2">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0ABEC932">
            <w:pPr>
              <w:spacing w:before="63"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659B804">
            <w:pPr>
              <w:spacing w:before="63" w:line="320" w:lineRule="exact"/>
              <w:ind w:left="5"/>
              <w:jc w:val="center"/>
              <w:rPr>
                <w:rFonts w:eastAsiaTheme="minorEastAsia"/>
                <w:szCs w:val="21"/>
              </w:rPr>
            </w:pPr>
            <w:r>
              <w:rPr>
                <w:rFonts w:eastAsiaTheme="minorEastAsia"/>
                <w:szCs w:val="21"/>
              </w:rPr>
              <w:t>640</w:t>
            </w:r>
          </w:p>
        </w:tc>
      </w:tr>
      <w:tr w14:paraId="54DFF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6" w:space="0"/>
              <w:right w:val="single" w:color="auto" w:sz="6" w:space="0"/>
            </w:tcBorders>
            <w:vAlign w:val="center"/>
          </w:tcPr>
          <w:p w14:paraId="0A75BA8B">
            <w:pPr>
              <w:spacing w:line="320" w:lineRule="exact"/>
              <w:jc w:val="center"/>
              <w:rPr>
                <w:rFonts w:eastAsiaTheme="minorEastAsia"/>
                <w:szCs w:val="21"/>
              </w:rPr>
            </w:pPr>
            <w:r>
              <w:rPr>
                <w:rFonts w:hint="eastAsia" w:eastAsiaTheme="minorEastAsia"/>
                <w:szCs w:val="21"/>
              </w:rPr>
              <w:t>氯乙烯（</w:t>
            </w:r>
            <w:r>
              <w:rPr>
                <w:rFonts w:eastAsiaTheme="minorEastAsia"/>
                <w:szCs w:val="21"/>
              </w:rPr>
              <w:t>mg/kg</w:t>
            </w:r>
            <w:r>
              <w:rPr>
                <w:rFonts w:hint="eastAsia" w:eastAsiaTheme="minorEastAsia"/>
                <w:szCs w:val="21"/>
              </w:rPr>
              <w:t>）</w:t>
            </w:r>
          </w:p>
        </w:tc>
        <w:tc>
          <w:tcPr>
            <w:tcW w:w="828" w:type="pct"/>
            <w:tcBorders>
              <w:top w:val="single" w:color="auto" w:sz="6" w:space="0"/>
              <w:left w:val="single" w:color="auto" w:sz="6" w:space="0"/>
              <w:bottom w:val="single" w:color="auto" w:sz="6" w:space="0"/>
              <w:right w:val="single" w:color="auto" w:sz="6" w:space="0"/>
            </w:tcBorders>
            <w:vAlign w:val="center"/>
          </w:tcPr>
          <w:p w14:paraId="55E2FC25">
            <w:pPr>
              <w:widowControl/>
              <w:jc w:val="center"/>
              <w:rPr>
                <w:kern w:val="0"/>
                <w:szCs w:val="21"/>
                <w:lang w:bidi="ar"/>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49D761D4">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24955983">
            <w:pPr>
              <w:spacing w:before="61" w:line="320" w:lineRule="exact"/>
              <w:ind w:left="5"/>
              <w:jc w:val="center"/>
              <w:rPr>
                <w:rFonts w:eastAsiaTheme="minorEastAsia"/>
                <w:szCs w:val="21"/>
              </w:rPr>
            </w:pPr>
            <w:r>
              <w:rPr>
                <w:szCs w:val="21"/>
              </w:rPr>
              <w:t>ND</w:t>
            </w:r>
          </w:p>
        </w:tc>
        <w:tc>
          <w:tcPr>
            <w:tcW w:w="545" w:type="pct"/>
            <w:tcBorders>
              <w:top w:val="single" w:color="auto" w:sz="6" w:space="0"/>
              <w:left w:val="single" w:color="auto" w:sz="6" w:space="0"/>
              <w:bottom w:val="single" w:color="auto" w:sz="6" w:space="0"/>
              <w:right w:val="single" w:color="auto" w:sz="6" w:space="0"/>
            </w:tcBorders>
            <w:vAlign w:val="center"/>
          </w:tcPr>
          <w:p w14:paraId="0CCB3350">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6" w:space="0"/>
            </w:tcBorders>
            <w:vAlign w:val="center"/>
          </w:tcPr>
          <w:p w14:paraId="4A433D4A">
            <w:pPr>
              <w:spacing w:before="61" w:line="320" w:lineRule="exact"/>
              <w:ind w:left="5"/>
              <w:jc w:val="center"/>
              <w:rPr>
                <w:rFonts w:eastAsiaTheme="minorEastAsia"/>
                <w:szCs w:val="21"/>
              </w:rPr>
            </w:pPr>
            <w:r>
              <w:rPr>
                <w:szCs w:val="21"/>
              </w:rPr>
              <w:t>ND</w:t>
            </w:r>
          </w:p>
        </w:tc>
        <w:tc>
          <w:tcPr>
            <w:tcW w:w="546" w:type="pct"/>
            <w:tcBorders>
              <w:top w:val="single" w:color="auto" w:sz="6" w:space="0"/>
              <w:left w:val="single" w:color="auto" w:sz="6" w:space="0"/>
              <w:bottom w:val="single" w:color="auto" w:sz="6" w:space="0"/>
              <w:right w:val="single" w:color="auto" w:sz="12" w:space="0"/>
            </w:tcBorders>
            <w:vAlign w:val="center"/>
          </w:tcPr>
          <w:p w14:paraId="52A36831">
            <w:pPr>
              <w:spacing w:before="61" w:line="320" w:lineRule="exact"/>
              <w:ind w:left="5"/>
              <w:jc w:val="center"/>
              <w:rPr>
                <w:rFonts w:eastAsiaTheme="minorEastAsia"/>
                <w:szCs w:val="21"/>
              </w:rPr>
            </w:pPr>
            <w:r>
              <w:rPr>
                <w:rFonts w:eastAsiaTheme="minorEastAsia"/>
                <w:szCs w:val="21"/>
              </w:rPr>
              <w:t>0.43</w:t>
            </w:r>
          </w:p>
        </w:tc>
      </w:tr>
      <w:tr w14:paraId="018AB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445" w:type="pct"/>
            <w:tcBorders>
              <w:top w:val="single" w:color="auto" w:sz="6" w:space="0"/>
              <w:left w:val="single" w:color="auto" w:sz="12" w:space="0"/>
              <w:bottom w:val="single" w:color="auto" w:sz="12" w:space="0"/>
              <w:right w:val="single" w:color="auto" w:sz="6" w:space="0"/>
            </w:tcBorders>
            <w:vAlign w:val="center"/>
          </w:tcPr>
          <w:p w14:paraId="349C56A1">
            <w:pPr>
              <w:spacing w:line="320" w:lineRule="exact"/>
              <w:jc w:val="center"/>
              <w:rPr>
                <w:rFonts w:eastAsiaTheme="minorEastAsia"/>
                <w:szCs w:val="21"/>
              </w:rPr>
            </w:pPr>
            <w:r>
              <w:rPr>
                <w:rFonts w:hint="eastAsia" w:eastAsiaTheme="minorEastAsia"/>
                <w:szCs w:val="21"/>
              </w:rPr>
              <w:t>备注</w:t>
            </w:r>
          </w:p>
        </w:tc>
        <w:tc>
          <w:tcPr>
            <w:tcW w:w="3555" w:type="pct"/>
            <w:gridSpan w:val="6"/>
            <w:tcBorders>
              <w:top w:val="single" w:color="auto" w:sz="6" w:space="0"/>
              <w:left w:val="single" w:color="auto" w:sz="6" w:space="0"/>
              <w:bottom w:val="single" w:color="auto" w:sz="12" w:space="0"/>
              <w:right w:val="single" w:color="auto" w:sz="12" w:space="0"/>
            </w:tcBorders>
            <w:vAlign w:val="center"/>
          </w:tcPr>
          <w:p w14:paraId="3CD2CD65">
            <w:pPr>
              <w:spacing w:before="61" w:line="320" w:lineRule="exact"/>
              <w:rPr>
                <w:rFonts w:eastAsiaTheme="minorEastAsia"/>
                <w:szCs w:val="21"/>
              </w:rPr>
            </w:pPr>
            <w:r>
              <w:rPr>
                <w:rFonts w:hint="eastAsia" w:eastAsiaTheme="minorEastAsia"/>
                <w:szCs w:val="21"/>
              </w:rPr>
              <w:t>“</w:t>
            </w:r>
            <w:r>
              <w:rPr>
                <w:rFonts w:eastAsiaTheme="minorEastAsia"/>
                <w:szCs w:val="21"/>
              </w:rPr>
              <w:t>ND</w:t>
            </w:r>
            <w:r>
              <w:rPr>
                <w:rFonts w:hint="eastAsia" w:eastAsiaTheme="minorEastAsia"/>
                <w:szCs w:val="21"/>
              </w:rPr>
              <w:t>”表示未检出。</w:t>
            </w:r>
          </w:p>
        </w:tc>
      </w:tr>
    </w:tbl>
    <w:p w14:paraId="10464545">
      <w:pPr>
        <w:spacing w:line="360" w:lineRule="auto"/>
        <w:ind w:firstLine="422"/>
        <w:jc w:val="center"/>
        <w:rPr>
          <w:rFonts w:eastAsiaTheme="minorEastAsia"/>
          <w:b/>
          <w:bCs/>
          <w:kern w:val="0"/>
          <w:szCs w:val="21"/>
        </w:rPr>
      </w:pPr>
      <w:r>
        <w:rPr>
          <w:rFonts w:eastAsiaTheme="minorEastAsia"/>
          <w:b/>
          <w:szCs w:val="21"/>
        </w:rPr>
        <w:t>表</w:t>
      </w:r>
      <w:r>
        <w:rPr>
          <w:rFonts w:hint="eastAsia" w:eastAsiaTheme="minorEastAsia"/>
          <w:b/>
          <w:szCs w:val="21"/>
        </w:rPr>
        <w:t>3.3</w:t>
      </w:r>
      <w:r>
        <w:rPr>
          <w:rFonts w:eastAsiaTheme="minorEastAsia"/>
          <w:b/>
          <w:szCs w:val="21"/>
        </w:rPr>
        <w:t>.4-</w:t>
      </w:r>
      <w:r>
        <w:rPr>
          <w:rFonts w:hint="eastAsia" w:eastAsiaTheme="minorEastAsia"/>
          <w:b/>
          <w:szCs w:val="21"/>
        </w:rPr>
        <w:t>5</w:t>
      </w:r>
      <w:r>
        <w:rPr>
          <w:rFonts w:hint="eastAsia" w:eastAsiaTheme="minorEastAsia"/>
          <w:b/>
          <w:bCs/>
          <w:kern w:val="0"/>
          <w:szCs w:val="21"/>
        </w:rPr>
        <w:t xml:space="preserve">  草店石材产业区域</w:t>
      </w:r>
      <w:r>
        <w:rPr>
          <w:rFonts w:eastAsiaTheme="minorEastAsia"/>
          <w:b/>
          <w:bCs/>
          <w:kern w:val="0"/>
          <w:szCs w:val="21"/>
        </w:rPr>
        <w:t>土壤环境质量建设用地监测结果表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60"/>
        <w:gridCol w:w="2101"/>
        <w:gridCol w:w="1383"/>
        <w:gridCol w:w="1384"/>
      </w:tblGrid>
      <w:tr w14:paraId="068EB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tcBorders>
              <w:tl2br w:val="single" w:color="auto" w:sz="4" w:space="0"/>
            </w:tcBorders>
            <w:vAlign w:val="center"/>
          </w:tcPr>
          <w:p w14:paraId="52BBD1E5">
            <w:pPr>
              <w:spacing w:line="320" w:lineRule="exact"/>
              <w:jc w:val="center"/>
              <w:rPr>
                <w:rFonts w:eastAsiaTheme="minorEastAsia"/>
                <w:szCs w:val="21"/>
              </w:rPr>
            </w:pPr>
            <w:r>
              <w:rPr>
                <w:rFonts w:hint="eastAsia" w:eastAsiaTheme="minorEastAsia"/>
                <w:szCs w:val="21"/>
              </w:rPr>
              <w:t xml:space="preserve">                                         </w:t>
            </w:r>
            <w:r>
              <w:rPr>
                <w:rFonts w:eastAsiaTheme="minorEastAsia"/>
                <w:szCs w:val="21"/>
              </w:rPr>
              <w:t>监测点位</w:t>
            </w:r>
          </w:p>
          <w:p w14:paraId="7F2A7F0F">
            <w:pPr>
              <w:autoSpaceDE w:val="0"/>
              <w:autoSpaceDN w:val="0"/>
              <w:adjustRightInd w:val="0"/>
              <w:spacing w:after="120" w:line="320" w:lineRule="exact"/>
              <w:rPr>
                <w:rFonts w:eastAsiaTheme="minorEastAsia"/>
                <w:szCs w:val="21"/>
              </w:rPr>
            </w:pPr>
            <w:r>
              <w:rPr>
                <w:rFonts w:eastAsiaTheme="minorEastAsia"/>
                <w:szCs w:val="21"/>
              </w:rPr>
              <w:t>监测项目</w:t>
            </w:r>
            <w:r>
              <w:rPr>
                <w:rFonts w:hint="eastAsia" w:eastAsiaTheme="minorEastAsia"/>
                <w:szCs w:val="21"/>
              </w:rPr>
              <w:t xml:space="preserve">   </w:t>
            </w:r>
          </w:p>
        </w:tc>
        <w:tc>
          <w:tcPr>
            <w:tcW w:w="1232" w:type="pct"/>
            <w:vAlign w:val="center"/>
          </w:tcPr>
          <w:p w14:paraId="43D9B32A">
            <w:pPr>
              <w:spacing w:line="320" w:lineRule="exact"/>
              <w:jc w:val="center"/>
              <w:rPr>
                <w:rFonts w:eastAsiaTheme="minorEastAsia"/>
                <w:szCs w:val="21"/>
              </w:rPr>
            </w:pPr>
            <w:r>
              <w:rPr>
                <w:rFonts w:eastAsiaTheme="minorEastAsia"/>
                <w:szCs w:val="21"/>
              </w:rPr>
              <w:t>T</w:t>
            </w:r>
            <w:r>
              <w:rPr>
                <w:rFonts w:hint="eastAsia" w:eastAsiaTheme="minorEastAsia"/>
                <w:szCs w:val="21"/>
              </w:rPr>
              <w:t>1</w:t>
            </w:r>
          </w:p>
        </w:tc>
        <w:tc>
          <w:tcPr>
            <w:tcW w:w="811" w:type="pct"/>
            <w:vAlign w:val="center"/>
          </w:tcPr>
          <w:p w14:paraId="1283168B">
            <w:pPr>
              <w:spacing w:line="320" w:lineRule="exact"/>
              <w:jc w:val="center"/>
              <w:rPr>
                <w:rFonts w:eastAsiaTheme="minorEastAsia"/>
                <w:szCs w:val="21"/>
              </w:rPr>
            </w:pPr>
            <w:r>
              <w:rPr>
                <w:rFonts w:eastAsiaTheme="minorEastAsia"/>
                <w:szCs w:val="21"/>
              </w:rPr>
              <w:t>T</w:t>
            </w:r>
            <w:r>
              <w:rPr>
                <w:rFonts w:hint="eastAsia" w:eastAsiaTheme="minorEastAsia"/>
                <w:szCs w:val="21"/>
              </w:rPr>
              <w:t>2</w:t>
            </w:r>
          </w:p>
        </w:tc>
        <w:tc>
          <w:tcPr>
            <w:tcW w:w="811" w:type="pct"/>
            <w:vAlign w:val="center"/>
          </w:tcPr>
          <w:p w14:paraId="07FC685B">
            <w:pPr>
              <w:spacing w:line="320" w:lineRule="exact"/>
              <w:jc w:val="center"/>
              <w:rPr>
                <w:rFonts w:eastAsiaTheme="minorEastAsia"/>
                <w:szCs w:val="21"/>
              </w:rPr>
            </w:pPr>
            <w:r>
              <w:rPr>
                <w:rFonts w:eastAsiaTheme="minorEastAsia"/>
                <w:szCs w:val="21"/>
              </w:rPr>
              <w:t>标准限值</w:t>
            </w:r>
          </w:p>
        </w:tc>
      </w:tr>
      <w:tr w14:paraId="42007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2F364700">
            <w:pPr>
              <w:spacing w:line="320" w:lineRule="exact"/>
              <w:jc w:val="center"/>
              <w:rPr>
                <w:rFonts w:eastAsiaTheme="minorEastAsia"/>
                <w:szCs w:val="21"/>
              </w:rPr>
            </w:pPr>
            <w:r>
              <w:rPr>
                <w:rFonts w:eastAsiaTheme="minorEastAsia"/>
                <w:szCs w:val="21"/>
              </w:rPr>
              <w:t>pH值</w:t>
            </w:r>
          </w:p>
        </w:tc>
        <w:tc>
          <w:tcPr>
            <w:tcW w:w="1232" w:type="pct"/>
            <w:vAlign w:val="center"/>
          </w:tcPr>
          <w:p w14:paraId="19E759A9">
            <w:pPr>
              <w:widowControl/>
              <w:jc w:val="center"/>
              <w:textAlignment w:val="center"/>
              <w:rPr>
                <w:szCs w:val="21"/>
              </w:rPr>
            </w:pPr>
            <w:r>
              <w:rPr>
                <w:rFonts w:hint="eastAsia"/>
                <w:szCs w:val="21"/>
              </w:rPr>
              <w:t>8.0</w:t>
            </w:r>
          </w:p>
        </w:tc>
        <w:tc>
          <w:tcPr>
            <w:tcW w:w="811" w:type="pct"/>
            <w:vAlign w:val="center"/>
          </w:tcPr>
          <w:p w14:paraId="17BAD032">
            <w:pPr>
              <w:spacing w:line="320" w:lineRule="exact"/>
              <w:jc w:val="center"/>
              <w:rPr>
                <w:rFonts w:eastAsiaTheme="minorEastAsia"/>
                <w:szCs w:val="21"/>
              </w:rPr>
            </w:pPr>
            <w:r>
              <w:rPr>
                <w:rFonts w:hint="eastAsia" w:eastAsiaTheme="minorEastAsia"/>
                <w:szCs w:val="21"/>
              </w:rPr>
              <w:t>8.2</w:t>
            </w:r>
          </w:p>
        </w:tc>
        <w:tc>
          <w:tcPr>
            <w:tcW w:w="811" w:type="pct"/>
            <w:vAlign w:val="center"/>
          </w:tcPr>
          <w:p w14:paraId="6E5A9C90">
            <w:pPr>
              <w:spacing w:line="320" w:lineRule="exact"/>
              <w:jc w:val="center"/>
              <w:rPr>
                <w:rFonts w:eastAsiaTheme="minorEastAsia"/>
                <w:szCs w:val="21"/>
              </w:rPr>
            </w:pPr>
            <w:r>
              <w:rPr>
                <w:rFonts w:hint="eastAsia" w:eastAsiaTheme="minorEastAsia"/>
                <w:szCs w:val="21"/>
              </w:rPr>
              <w:t>/</w:t>
            </w:r>
          </w:p>
        </w:tc>
      </w:tr>
      <w:tr w14:paraId="0E67A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0329625">
            <w:pPr>
              <w:spacing w:line="320" w:lineRule="exact"/>
              <w:jc w:val="center"/>
              <w:rPr>
                <w:rFonts w:eastAsiaTheme="minorEastAsia"/>
                <w:szCs w:val="21"/>
              </w:rPr>
            </w:pPr>
            <w:r>
              <w:rPr>
                <w:rFonts w:eastAsiaTheme="minorEastAsia"/>
                <w:szCs w:val="21"/>
              </w:rPr>
              <w:t>石油烃（mg/kg）</w:t>
            </w:r>
          </w:p>
        </w:tc>
        <w:tc>
          <w:tcPr>
            <w:tcW w:w="1232" w:type="pct"/>
            <w:vAlign w:val="center"/>
          </w:tcPr>
          <w:p w14:paraId="3BE6C733">
            <w:pPr>
              <w:widowControl/>
              <w:jc w:val="center"/>
              <w:textAlignment w:val="center"/>
              <w:rPr>
                <w:szCs w:val="21"/>
              </w:rPr>
            </w:pPr>
            <w:r>
              <w:rPr>
                <w:rFonts w:hint="eastAsia"/>
                <w:szCs w:val="21"/>
              </w:rPr>
              <w:t>ND</w:t>
            </w:r>
          </w:p>
        </w:tc>
        <w:tc>
          <w:tcPr>
            <w:tcW w:w="811" w:type="pct"/>
            <w:vAlign w:val="center"/>
          </w:tcPr>
          <w:p w14:paraId="26F4C795">
            <w:pPr>
              <w:spacing w:line="320" w:lineRule="exact"/>
              <w:jc w:val="center"/>
              <w:rPr>
                <w:rFonts w:eastAsiaTheme="minorEastAsia"/>
                <w:szCs w:val="21"/>
              </w:rPr>
            </w:pPr>
            <w:r>
              <w:rPr>
                <w:rFonts w:hint="eastAsia"/>
                <w:szCs w:val="21"/>
              </w:rPr>
              <w:t>ND</w:t>
            </w:r>
          </w:p>
        </w:tc>
        <w:tc>
          <w:tcPr>
            <w:tcW w:w="811" w:type="pct"/>
            <w:vAlign w:val="center"/>
          </w:tcPr>
          <w:p w14:paraId="1F5D9936">
            <w:pPr>
              <w:spacing w:line="320" w:lineRule="exact"/>
              <w:jc w:val="center"/>
              <w:rPr>
                <w:rFonts w:eastAsiaTheme="minorEastAsia"/>
                <w:szCs w:val="21"/>
              </w:rPr>
            </w:pPr>
            <w:r>
              <w:rPr>
                <w:rFonts w:hint="eastAsia" w:eastAsiaTheme="minorEastAsia"/>
                <w:szCs w:val="21"/>
              </w:rPr>
              <w:t>4500</w:t>
            </w:r>
          </w:p>
        </w:tc>
      </w:tr>
      <w:tr w14:paraId="42648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2EBE0A01">
            <w:pPr>
              <w:spacing w:line="320" w:lineRule="exact"/>
              <w:jc w:val="center"/>
              <w:rPr>
                <w:rFonts w:eastAsiaTheme="minorEastAsia"/>
                <w:szCs w:val="21"/>
              </w:rPr>
            </w:pPr>
            <w:r>
              <w:rPr>
                <w:rFonts w:eastAsiaTheme="minorEastAsia"/>
                <w:szCs w:val="21"/>
              </w:rPr>
              <w:t>砷（mg/kg）</w:t>
            </w:r>
          </w:p>
        </w:tc>
        <w:tc>
          <w:tcPr>
            <w:tcW w:w="1232" w:type="pct"/>
            <w:vAlign w:val="center"/>
          </w:tcPr>
          <w:p w14:paraId="50AAF4F5">
            <w:pPr>
              <w:widowControl/>
              <w:jc w:val="center"/>
              <w:textAlignment w:val="center"/>
              <w:rPr>
                <w:szCs w:val="21"/>
              </w:rPr>
            </w:pPr>
            <w:r>
              <w:rPr>
                <w:rFonts w:hint="eastAsia"/>
                <w:szCs w:val="21"/>
              </w:rPr>
              <w:t>6.97</w:t>
            </w:r>
          </w:p>
        </w:tc>
        <w:tc>
          <w:tcPr>
            <w:tcW w:w="811" w:type="pct"/>
            <w:vAlign w:val="center"/>
          </w:tcPr>
          <w:p w14:paraId="1902FA0F">
            <w:pPr>
              <w:spacing w:line="320" w:lineRule="exact"/>
              <w:jc w:val="center"/>
              <w:rPr>
                <w:rFonts w:eastAsiaTheme="minorEastAsia"/>
                <w:szCs w:val="21"/>
              </w:rPr>
            </w:pPr>
            <w:r>
              <w:rPr>
                <w:rFonts w:hint="eastAsia" w:eastAsiaTheme="minorEastAsia"/>
                <w:szCs w:val="21"/>
              </w:rPr>
              <w:t>6.64</w:t>
            </w:r>
          </w:p>
        </w:tc>
        <w:tc>
          <w:tcPr>
            <w:tcW w:w="811" w:type="pct"/>
            <w:vAlign w:val="center"/>
          </w:tcPr>
          <w:p w14:paraId="3F4CAB42">
            <w:pPr>
              <w:spacing w:line="320" w:lineRule="exact"/>
              <w:jc w:val="center"/>
              <w:rPr>
                <w:rFonts w:eastAsiaTheme="minorEastAsia"/>
                <w:szCs w:val="21"/>
              </w:rPr>
            </w:pPr>
            <w:r>
              <w:rPr>
                <w:rFonts w:eastAsiaTheme="minorEastAsia"/>
                <w:szCs w:val="21"/>
              </w:rPr>
              <w:t>60</w:t>
            </w:r>
          </w:p>
        </w:tc>
      </w:tr>
      <w:tr w14:paraId="544AC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718A945">
            <w:pPr>
              <w:spacing w:line="320" w:lineRule="exact"/>
              <w:jc w:val="center"/>
              <w:rPr>
                <w:rFonts w:eastAsiaTheme="minorEastAsia"/>
                <w:szCs w:val="21"/>
              </w:rPr>
            </w:pPr>
            <w:r>
              <w:rPr>
                <w:rFonts w:eastAsiaTheme="minorEastAsia"/>
                <w:szCs w:val="21"/>
              </w:rPr>
              <w:t>镉（mg/kg）</w:t>
            </w:r>
          </w:p>
        </w:tc>
        <w:tc>
          <w:tcPr>
            <w:tcW w:w="1232" w:type="pct"/>
            <w:vAlign w:val="center"/>
          </w:tcPr>
          <w:p w14:paraId="03C0917F">
            <w:pPr>
              <w:widowControl/>
              <w:jc w:val="center"/>
              <w:textAlignment w:val="center"/>
              <w:rPr>
                <w:szCs w:val="21"/>
              </w:rPr>
            </w:pPr>
            <w:r>
              <w:rPr>
                <w:rFonts w:hint="eastAsia"/>
                <w:szCs w:val="21"/>
              </w:rPr>
              <w:t>0.13</w:t>
            </w:r>
          </w:p>
        </w:tc>
        <w:tc>
          <w:tcPr>
            <w:tcW w:w="811" w:type="pct"/>
            <w:vAlign w:val="center"/>
          </w:tcPr>
          <w:p w14:paraId="56BE4040">
            <w:pPr>
              <w:spacing w:line="320" w:lineRule="exact"/>
              <w:jc w:val="center"/>
              <w:rPr>
                <w:rFonts w:eastAsiaTheme="minorEastAsia"/>
                <w:szCs w:val="21"/>
              </w:rPr>
            </w:pPr>
            <w:r>
              <w:rPr>
                <w:rFonts w:hint="eastAsia" w:eastAsiaTheme="minorEastAsia"/>
                <w:szCs w:val="21"/>
              </w:rPr>
              <w:t>0.13</w:t>
            </w:r>
          </w:p>
        </w:tc>
        <w:tc>
          <w:tcPr>
            <w:tcW w:w="811" w:type="pct"/>
            <w:vAlign w:val="center"/>
          </w:tcPr>
          <w:p w14:paraId="34DF675D">
            <w:pPr>
              <w:spacing w:line="320" w:lineRule="exact"/>
              <w:jc w:val="center"/>
              <w:rPr>
                <w:rFonts w:eastAsiaTheme="minorEastAsia"/>
                <w:szCs w:val="21"/>
              </w:rPr>
            </w:pPr>
            <w:r>
              <w:rPr>
                <w:rFonts w:eastAsiaTheme="minorEastAsia"/>
                <w:szCs w:val="21"/>
              </w:rPr>
              <w:t>65</w:t>
            </w:r>
          </w:p>
        </w:tc>
      </w:tr>
      <w:tr w14:paraId="76656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205F41E8">
            <w:pPr>
              <w:spacing w:line="320" w:lineRule="exact"/>
              <w:jc w:val="center"/>
              <w:rPr>
                <w:rFonts w:eastAsiaTheme="minorEastAsia"/>
                <w:szCs w:val="21"/>
              </w:rPr>
            </w:pPr>
            <w:r>
              <w:rPr>
                <w:rFonts w:eastAsiaTheme="minorEastAsia"/>
                <w:szCs w:val="21"/>
              </w:rPr>
              <w:t>六价铬（mg/kg）</w:t>
            </w:r>
          </w:p>
        </w:tc>
        <w:tc>
          <w:tcPr>
            <w:tcW w:w="1232" w:type="pct"/>
            <w:vAlign w:val="center"/>
          </w:tcPr>
          <w:p w14:paraId="6A1A47E9">
            <w:pPr>
              <w:widowControl/>
              <w:jc w:val="center"/>
              <w:textAlignment w:val="center"/>
              <w:rPr>
                <w:szCs w:val="21"/>
              </w:rPr>
            </w:pPr>
            <w:r>
              <w:rPr>
                <w:rFonts w:hint="eastAsia"/>
                <w:szCs w:val="21"/>
              </w:rPr>
              <w:t>ND</w:t>
            </w:r>
          </w:p>
        </w:tc>
        <w:tc>
          <w:tcPr>
            <w:tcW w:w="811" w:type="pct"/>
            <w:vAlign w:val="center"/>
          </w:tcPr>
          <w:p w14:paraId="58579BAA">
            <w:pPr>
              <w:spacing w:line="320" w:lineRule="exact"/>
              <w:jc w:val="center"/>
              <w:rPr>
                <w:rFonts w:eastAsiaTheme="minorEastAsia"/>
                <w:szCs w:val="21"/>
              </w:rPr>
            </w:pPr>
            <w:r>
              <w:rPr>
                <w:rFonts w:hint="eastAsia"/>
                <w:szCs w:val="21"/>
              </w:rPr>
              <w:t>ND</w:t>
            </w:r>
          </w:p>
        </w:tc>
        <w:tc>
          <w:tcPr>
            <w:tcW w:w="811" w:type="pct"/>
            <w:vAlign w:val="center"/>
          </w:tcPr>
          <w:p w14:paraId="3E56710D">
            <w:pPr>
              <w:spacing w:line="320" w:lineRule="exact"/>
              <w:jc w:val="center"/>
              <w:rPr>
                <w:rFonts w:eastAsiaTheme="minorEastAsia"/>
                <w:szCs w:val="21"/>
              </w:rPr>
            </w:pPr>
            <w:r>
              <w:rPr>
                <w:rFonts w:eastAsiaTheme="minorEastAsia"/>
                <w:szCs w:val="21"/>
              </w:rPr>
              <w:t>5.7</w:t>
            </w:r>
          </w:p>
        </w:tc>
      </w:tr>
      <w:tr w14:paraId="73B06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8D57888">
            <w:pPr>
              <w:spacing w:line="320" w:lineRule="exact"/>
              <w:jc w:val="center"/>
              <w:rPr>
                <w:rFonts w:eastAsiaTheme="minorEastAsia"/>
                <w:szCs w:val="21"/>
              </w:rPr>
            </w:pPr>
            <w:r>
              <w:rPr>
                <w:rFonts w:eastAsiaTheme="minorEastAsia"/>
                <w:szCs w:val="21"/>
              </w:rPr>
              <w:t>铜（mg/kg）</w:t>
            </w:r>
          </w:p>
        </w:tc>
        <w:tc>
          <w:tcPr>
            <w:tcW w:w="1232" w:type="pct"/>
            <w:vAlign w:val="center"/>
          </w:tcPr>
          <w:p w14:paraId="1DFA8D5A">
            <w:pPr>
              <w:widowControl/>
              <w:jc w:val="center"/>
              <w:textAlignment w:val="center"/>
              <w:rPr>
                <w:szCs w:val="21"/>
              </w:rPr>
            </w:pPr>
            <w:r>
              <w:rPr>
                <w:rFonts w:hint="eastAsia"/>
                <w:szCs w:val="21"/>
              </w:rPr>
              <w:t>35</w:t>
            </w:r>
          </w:p>
        </w:tc>
        <w:tc>
          <w:tcPr>
            <w:tcW w:w="811" w:type="pct"/>
            <w:vAlign w:val="center"/>
          </w:tcPr>
          <w:p w14:paraId="4E8A02AF">
            <w:pPr>
              <w:spacing w:line="320" w:lineRule="exact"/>
              <w:jc w:val="center"/>
              <w:rPr>
                <w:rFonts w:eastAsiaTheme="minorEastAsia"/>
                <w:szCs w:val="21"/>
              </w:rPr>
            </w:pPr>
            <w:r>
              <w:rPr>
                <w:rFonts w:hint="eastAsia" w:eastAsiaTheme="minorEastAsia"/>
                <w:szCs w:val="21"/>
              </w:rPr>
              <w:t>23</w:t>
            </w:r>
          </w:p>
        </w:tc>
        <w:tc>
          <w:tcPr>
            <w:tcW w:w="811" w:type="pct"/>
            <w:vAlign w:val="center"/>
          </w:tcPr>
          <w:p w14:paraId="3D985B8A">
            <w:pPr>
              <w:spacing w:line="320" w:lineRule="exact"/>
              <w:jc w:val="center"/>
              <w:rPr>
                <w:rFonts w:eastAsiaTheme="minorEastAsia"/>
                <w:szCs w:val="21"/>
              </w:rPr>
            </w:pPr>
            <w:r>
              <w:rPr>
                <w:rFonts w:eastAsiaTheme="minorEastAsia"/>
                <w:szCs w:val="21"/>
              </w:rPr>
              <w:t>18000</w:t>
            </w:r>
          </w:p>
        </w:tc>
      </w:tr>
      <w:tr w14:paraId="2C3A9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085020C5">
            <w:pPr>
              <w:spacing w:line="320" w:lineRule="exact"/>
              <w:jc w:val="center"/>
              <w:rPr>
                <w:rFonts w:eastAsiaTheme="minorEastAsia"/>
                <w:szCs w:val="21"/>
              </w:rPr>
            </w:pPr>
            <w:r>
              <w:rPr>
                <w:rFonts w:eastAsiaTheme="minorEastAsia"/>
                <w:szCs w:val="21"/>
              </w:rPr>
              <w:t>铅（mg/kg）</w:t>
            </w:r>
          </w:p>
        </w:tc>
        <w:tc>
          <w:tcPr>
            <w:tcW w:w="1232" w:type="pct"/>
            <w:vAlign w:val="center"/>
          </w:tcPr>
          <w:p w14:paraId="5D915148">
            <w:pPr>
              <w:widowControl/>
              <w:jc w:val="center"/>
              <w:textAlignment w:val="center"/>
              <w:rPr>
                <w:szCs w:val="21"/>
              </w:rPr>
            </w:pPr>
            <w:r>
              <w:rPr>
                <w:rFonts w:hint="eastAsia"/>
                <w:szCs w:val="21"/>
              </w:rPr>
              <w:t>46</w:t>
            </w:r>
          </w:p>
        </w:tc>
        <w:tc>
          <w:tcPr>
            <w:tcW w:w="811" w:type="pct"/>
            <w:vAlign w:val="center"/>
          </w:tcPr>
          <w:p w14:paraId="7E095BB4">
            <w:pPr>
              <w:spacing w:line="320" w:lineRule="exact"/>
              <w:jc w:val="center"/>
              <w:rPr>
                <w:rFonts w:eastAsiaTheme="minorEastAsia"/>
                <w:szCs w:val="21"/>
              </w:rPr>
            </w:pPr>
            <w:r>
              <w:rPr>
                <w:rFonts w:hint="eastAsia" w:eastAsiaTheme="minorEastAsia"/>
                <w:szCs w:val="21"/>
              </w:rPr>
              <w:t>41</w:t>
            </w:r>
          </w:p>
        </w:tc>
        <w:tc>
          <w:tcPr>
            <w:tcW w:w="811" w:type="pct"/>
            <w:vAlign w:val="center"/>
          </w:tcPr>
          <w:p w14:paraId="7BD02F07">
            <w:pPr>
              <w:spacing w:line="320" w:lineRule="exact"/>
              <w:jc w:val="center"/>
              <w:rPr>
                <w:rFonts w:eastAsiaTheme="minorEastAsia"/>
                <w:szCs w:val="21"/>
              </w:rPr>
            </w:pPr>
            <w:r>
              <w:rPr>
                <w:rFonts w:eastAsiaTheme="minorEastAsia"/>
                <w:szCs w:val="21"/>
              </w:rPr>
              <w:t>800</w:t>
            </w:r>
          </w:p>
        </w:tc>
      </w:tr>
      <w:tr w14:paraId="5EF98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3419AE06">
            <w:pPr>
              <w:spacing w:line="320" w:lineRule="exact"/>
              <w:jc w:val="center"/>
              <w:rPr>
                <w:rFonts w:eastAsiaTheme="minorEastAsia"/>
                <w:szCs w:val="21"/>
              </w:rPr>
            </w:pPr>
            <w:r>
              <w:rPr>
                <w:rFonts w:eastAsiaTheme="minorEastAsia"/>
                <w:szCs w:val="21"/>
              </w:rPr>
              <w:t>汞（mg/kg）</w:t>
            </w:r>
          </w:p>
        </w:tc>
        <w:tc>
          <w:tcPr>
            <w:tcW w:w="1232" w:type="pct"/>
            <w:vAlign w:val="center"/>
          </w:tcPr>
          <w:p w14:paraId="70A8F334">
            <w:pPr>
              <w:widowControl/>
              <w:jc w:val="center"/>
              <w:textAlignment w:val="center"/>
              <w:rPr>
                <w:szCs w:val="21"/>
              </w:rPr>
            </w:pPr>
            <w:r>
              <w:rPr>
                <w:rFonts w:hint="eastAsia"/>
                <w:szCs w:val="21"/>
              </w:rPr>
              <w:t>0.011</w:t>
            </w:r>
          </w:p>
        </w:tc>
        <w:tc>
          <w:tcPr>
            <w:tcW w:w="811" w:type="pct"/>
            <w:vAlign w:val="center"/>
          </w:tcPr>
          <w:p w14:paraId="4342AA0C">
            <w:pPr>
              <w:spacing w:line="320" w:lineRule="exact"/>
              <w:jc w:val="center"/>
              <w:rPr>
                <w:rFonts w:eastAsiaTheme="minorEastAsia"/>
                <w:szCs w:val="21"/>
              </w:rPr>
            </w:pPr>
            <w:r>
              <w:rPr>
                <w:rFonts w:hint="eastAsia" w:eastAsiaTheme="minorEastAsia"/>
                <w:szCs w:val="21"/>
              </w:rPr>
              <w:t>0.020</w:t>
            </w:r>
          </w:p>
        </w:tc>
        <w:tc>
          <w:tcPr>
            <w:tcW w:w="811" w:type="pct"/>
            <w:vAlign w:val="center"/>
          </w:tcPr>
          <w:p w14:paraId="325FA072">
            <w:pPr>
              <w:spacing w:line="320" w:lineRule="exact"/>
              <w:jc w:val="center"/>
              <w:rPr>
                <w:rFonts w:eastAsiaTheme="minorEastAsia"/>
                <w:szCs w:val="21"/>
              </w:rPr>
            </w:pPr>
            <w:r>
              <w:rPr>
                <w:rFonts w:eastAsiaTheme="minorEastAsia"/>
                <w:szCs w:val="21"/>
              </w:rPr>
              <w:t>38</w:t>
            </w:r>
          </w:p>
        </w:tc>
      </w:tr>
      <w:tr w14:paraId="378FC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04C0D677">
            <w:pPr>
              <w:spacing w:line="320" w:lineRule="exact"/>
              <w:jc w:val="center"/>
              <w:rPr>
                <w:rFonts w:eastAsiaTheme="minorEastAsia"/>
                <w:szCs w:val="21"/>
              </w:rPr>
            </w:pPr>
            <w:r>
              <w:rPr>
                <w:rFonts w:eastAsiaTheme="minorEastAsia"/>
                <w:szCs w:val="21"/>
              </w:rPr>
              <w:t>镍（mg/kg）</w:t>
            </w:r>
          </w:p>
        </w:tc>
        <w:tc>
          <w:tcPr>
            <w:tcW w:w="1232" w:type="pct"/>
            <w:vAlign w:val="center"/>
          </w:tcPr>
          <w:p w14:paraId="1D243BB2">
            <w:pPr>
              <w:widowControl/>
              <w:jc w:val="center"/>
              <w:textAlignment w:val="center"/>
              <w:rPr>
                <w:szCs w:val="21"/>
              </w:rPr>
            </w:pPr>
            <w:r>
              <w:rPr>
                <w:rFonts w:hint="eastAsia"/>
                <w:szCs w:val="21"/>
              </w:rPr>
              <w:t>28</w:t>
            </w:r>
          </w:p>
        </w:tc>
        <w:tc>
          <w:tcPr>
            <w:tcW w:w="811" w:type="pct"/>
            <w:vAlign w:val="center"/>
          </w:tcPr>
          <w:p w14:paraId="1579D67E">
            <w:pPr>
              <w:spacing w:line="320" w:lineRule="exact"/>
              <w:jc w:val="center"/>
              <w:rPr>
                <w:rFonts w:eastAsiaTheme="minorEastAsia"/>
                <w:szCs w:val="21"/>
              </w:rPr>
            </w:pPr>
            <w:r>
              <w:rPr>
                <w:rFonts w:hint="eastAsia" w:eastAsiaTheme="minorEastAsia"/>
                <w:szCs w:val="21"/>
              </w:rPr>
              <w:t>38</w:t>
            </w:r>
          </w:p>
        </w:tc>
        <w:tc>
          <w:tcPr>
            <w:tcW w:w="811" w:type="pct"/>
            <w:vAlign w:val="center"/>
          </w:tcPr>
          <w:p w14:paraId="27B4F078">
            <w:pPr>
              <w:spacing w:line="320" w:lineRule="exact"/>
              <w:jc w:val="center"/>
              <w:rPr>
                <w:rFonts w:eastAsiaTheme="minorEastAsia"/>
                <w:szCs w:val="21"/>
              </w:rPr>
            </w:pPr>
            <w:r>
              <w:rPr>
                <w:rFonts w:eastAsiaTheme="minorEastAsia"/>
                <w:szCs w:val="21"/>
              </w:rPr>
              <w:t>900</w:t>
            </w:r>
          </w:p>
        </w:tc>
      </w:tr>
      <w:tr w14:paraId="5E0B9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D182C52">
            <w:pPr>
              <w:spacing w:line="320" w:lineRule="exact"/>
              <w:jc w:val="center"/>
              <w:rPr>
                <w:rFonts w:eastAsiaTheme="minorEastAsia"/>
                <w:szCs w:val="21"/>
              </w:rPr>
            </w:pPr>
            <w:r>
              <w:rPr>
                <w:rFonts w:eastAsiaTheme="minorEastAsia"/>
                <w:szCs w:val="21"/>
              </w:rPr>
              <w:t>硝基苯（mg/kg）</w:t>
            </w:r>
          </w:p>
        </w:tc>
        <w:tc>
          <w:tcPr>
            <w:tcW w:w="1232" w:type="pct"/>
            <w:vAlign w:val="center"/>
          </w:tcPr>
          <w:p w14:paraId="098543B4">
            <w:pPr>
              <w:widowControl/>
              <w:jc w:val="center"/>
              <w:rPr>
                <w:szCs w:val="21"/>
              </w:rPr>
            </w:pPr>
            <w:r>
              <w:rPr>
                <w:rFonts w:hint="eastAsia"/>
                <w:szCs w:val="21"/>
              </w:rPr>
              <w:t>ND</w:t>
            </w:r>
          </w:p>
        </w:tc>
        <w:tc>
          <w:tcPr>
            <w:tcW w:w="811" w:type="pct"/>
            <w:vAlign w:val="center"/>
          </w:tcPr>
          <w:p w14:paraId="670B56D0">
            <w:pPr>
              <w:spacing w:before="63" w:line="320" w:lineRule="exact"/>
              <w:ind w:left="5"/>
              <w:jc w:val="center"/>
              <w:rPr>
                <w:rFonts w:eastAsiaTheme="minorEastAsia"/>
                <w:szCs w:val="21"/>
              </w:rPr>
            </w:pPr>
            <w:r>
              <w:rPr>
                <w:rFonts w:hint="eastAsia"/>
                <w:szCs w:val="21"/>
              </w:rPr>
              <w:t>ND</w:t>
            </w:r>
          </w:p>
        </w:tc>
        <w:tc>
          <w:tcPr>
            <w:tcW w:w="811" w:type="pct"/>
            <w:vAlign w:val="center"/>
          </w:tcPr>
          <w:p w14:paraId="29737687">
            <w:pPr>
              <w:spacing w:before="63" w:line="320" w:lineRule="exact"/>
              <w:ind w:left="5"/>
              <w:jc w:val="center"/>
              <w:rPr>
                <w:rFonts w:eastAsiaTheme="minorEastAsia"/>
                <w:szCs w:val="21"/>
              </w:rPr>
            </w:pPr>
            <w:r>
              <w:rPr>
                <w:rFonts w:eastAsiaTheme="minorEastAsia"/>
                <w:szCs w:val="21"/>
              </w:rPr>
              <w:t>76</w:t>
            </w:r>
          </w:p>
        </w:tc>
      </w:tr>
      <w:tr w14:paraId="4A6B3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93107B4">
            <w:pPr>
              <w:spacing w:line="320" w:lineRule="exact"/>
              <w:jc w:val="center"/>
              <w:rPr>
                <w:rFonts w:eastAsiaTheme="minorEastAsia"/>
                <w:szCs w:val="21"/>
              </w:rPr>
            </w:pPr>
            <w:r>
              <w:rPr>
                <w:rFonts w:eastAsiaTheme="minorEastAsia"/>
                <w:szCs w:val="21"/>
              </w:rPr>
              <w:t>苯胺（mg/kg）</w:t>
            </w:r>
          </w:p>
        </w:tc>
        <w:tc>
          <w:tcPr>
            <w:tcW w:w="1232" w:type="pct"/>
            <w:vAlign w:val="center"/>
          </w:tcPr>
          <w:p w14:paraId="13366C8E">
            <w:pPr>
              <w:widowControl/>
              <w:jc w:val="center"/>
              <w:rPr>
                <w:szCs w:val="21"/>
              </w:rPr>
            </w:pPr>
            <w:r>
              <w:rPr>
                <w:rFonts w:hint="eastAsia"/>
                <w:szCs w:val="21"/>
              </w:rPr>
              <w:t>ND</w:t>
            </w:r>
          </w:p>
        </w:tc>
        <w:tc>
          <w:tcPr>
            <w:tcW w:w="811" w:type="pct"/>
            <w:vAlign w:val="center"/>
          </w:tcPr>
          <w:p w14:paraId="574EDEF2">
            <w:pPr>
              <w:spacing w:before="61" w:line="320" w:lineRule="exact"/>
              <w:jc w:val="center"/>
              <w:rPr>
                <w:rFonts w:eastAsiaTheme="minorEastAsia"/>
                <w:szCs w:val="21"/>
              </w:rPr>
            </w:pPr>
            <w:r>
              <w:rPr>
                <w:rFonts w:hint="eastAsia"/>
                <w:szCs w:val="21"/>
              </w:rPr>
              <w:t>ND</w:t>
            </w:r>
          </w:p>
        </w:tc>
        <w:tc>
          <w:tcPr>
            <w:tcW w:w="811" w:type="pct"/>
            <w:vAlign w:val="center"/>
          </w:tcPr>
          <w:p w14:paraId="6443FC7F">
            <w:pPr>
              <w:spacing w:before="61" w:line="320" w:lineRule="exact"/>
              <w:jc w:val="center"/>
              <w:rPr>
                <w:rFonts w:eastAsiaTheme="minorEastAsia"/>
                <w:szCs w:val="21"/>
              </w:rPr>
            </w:pPr>
            <w:r>
              <w:rPr>
                <w:rFonts w:eastAsiaTheme="minorEastAsia"/>
                <w:szCs w:val="21"/>
              </w:rPr>
              <w:t>260</w:t>
            </w:r>
          </w:p>
        </w:tc>
      </w:tr>
      <w:tr w14:paraId="3ECC7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3DD85530">
            <w:pPr>
              <w:spacing w:line="320" w:lineRule="exact"/>
              <w:jc w:val="center"/>
              <w:rPr>
                <w:rFonts w:eastAsiaTheme="minorEastAsia"/>
                <w:szCs w:val="21"/>
              </w:rPr>
            </w:pPr>
            <w:r>
              <w:rPr>
                <w:rFonts w:eastAsiaTheme="minorEastAsia"/>
                <w:szCs w:val="21"/>
              </w:rPr>
              <w:t>苯并[a]蒽（mg/kg）</w:t>
            </w:r>
          </w:p>
        </w:tc>
        <w:tc>
          <w:tcPr>
            <w:tcW w:w="1232" w:type="pct"/>
            <w:vAlign w:val="center"/>
          </w:tcPr>
          <w:p w14:paraId="0EA3AC2C">
            <w:pPr>
              <w:widowControl/>
              <w:jc w:val="center"/>
              <w:rPr>
                <w:szCs w:val="21"/>
              </w:rPr>
            </w:pPr>
            <w:r>
              <w:rPr>
                <w:rFonts w:hint="eastAsia"/>
                <w:szCs w:val="21"/>
              </w:rPr>
              <w:t>ND</w:t>
            </w:r>
          </w:p>
        </w:tc>
        <w:tc>
          <w:tcPr>
            <w:tcW w:w="811" w:type="pct"/>
            <w:vAlign w:val="center"/>
          </w:tcPr>
          <w:p w14:paraId="50815137">
            <w:pPr>
              <w:spacing w:before="61" w:line="320" w:lineRule="exact"/>
              <w:jc w:val="center"/>
              <w:rPr>
                <w:rFonts w:eastAsiaTheme="minorEastAsia"/>
                <w:szCs w:val="21"/>
              </w:rPr>
            </w:pPr>
            <w:r>
              <w:rPr>
                <w:rFonts w:hint="eastAsia"/>
                <w:szCs w:val="21"/>
              </w:rPr>
              <w:t>ND</w:t>
            </w:r>
          </w:p>
        </w:tc>
        <w:tc>
          <w:tcPr>
            <w:tcW w:w="811" w:type="pct"/>
            <w:vAlign w:val="center"/>
          </w:tcPr>
          <w:p w14:paraId="72718251">
            <w:pPr>
              <w:spacing w:before="61" w:line="320" w:lineRule="exact"/>
              <w:jc w:val="center"/>
              <w:rPr>
                <w:rFonts w:eastAsiaTheme="minorEastAsia"/>
                <w:szCs w:val="21"/>
              </w:rPr>
            </w:pPr>
            <w:r>
              <w:rPr>
                <w:rFonts w:eastAsiaTheme="minorEastAsia"/>
                <w:szCs w:val="21"/>
              </w:rPr>
              <w:t>15</w:t>
            </w:r>
          </w:p>
        </w:tc>
      </w:tr>
      <w:tr w14:paraId="18FD1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1A918E50">
            <w:pPr>
              <w:spacing w:line="320" w:lineRule="exact"/>
              <w:jc w:val="center"/>
              <w:rPr>
                <w:rFonts w:eastAsiaTheme="minorEastAsia"/>
                <w:szCs w:val="21"/>
              </w:rPr>
            </w:pPr>
            <w:r>
              <w:rPr>
                <w:rFonts w:eastAsiaTheme="minorEastAsia"/>
                <w:szCs w:val="21"/>
              </w:rPr>
              <w:t>苯并[a]芘（mg/kg）</w:t>
            </w:r>
          </w:p>
        </w:tc>
        <w:tc>
          <w:tcPr>
            <w:tcW w:w="1232" w:type="pct"/>
            <w:vAlign w:val="center"/>
          </w:tcPr>
          <w:p w14:paraId="48CA251E">
            <w:pPr>
              <w:widowControl/>
              <w:jc w:val="center"/>
              <w:rPr>
                <w:szCs w:val="21"/>
              </w:rPr>
            </w:pPr>
            <w:r>
              <w:rPr>
                <w:rFonts w:hint="eastAsia"/>
                <w:szCs w:val="21"/>
              </w:rPr>
              <w:t>ND</w:t>
            </w:r>
          </w:p>
        </w:tc>
        <w:tc>
          <w:tcPr>
            <w:tcW w:w="811" w:type="pct"/>
            <w:vAlign w:val="center"/>
          </w:tcPr>
          <w:p w14:paraId="33BA20CD">
            <w:pPr>
              <w:spacing w:before="63" w:line="320" w:lineRule="exact"/>
              <w:jc w:val="center"/>
              <w:rPr>
                <w:rFonts w:eastAsiaTheme="minorEastAsia"/>
                <w:szCs w:val="21"/>
              </w:rPr>
            </w:pPr>
            <w:r>
              <w:rPr>
                <w:rFonts w:hint="eastAsia"/>
                <w:szCs w:val="21"/>
              </w:rPr>
              <w:t>ND</w:t>
            </w:r>
          </w:p>
        </w:tc>
        <w:tc>
          <w:tcPr>
            <w:tcW w:w="811" w:type="pct"/>
            <w:vAlign w:val="center"/>
          </w:tcPr>
          <w:p w14:paraId="32614B4B">
            <w:pPr>
              <w:spacing w:before="63" w:line="320" w:lineRule="exact"/>
              <w:jc w:val="center"/>
              <w:rPr>
                <w:rFonts w:eastAsiaTheme="minorEastAsia"/>
                <w:szCs w:val="21"/>
              </w:rPr>
            </w:pPr>
            <w:r>
              <w:rPr>
                <w:rFonts w:eastAsiaTheme="minorEastAsia"/>
                <w:szCs w:val="21"/>
              </w:rPr>
              <w:t>1.5</w:t>
            </w:r>
          </w:p>
        </w:tc>
      </w:tr>
      <w:tr w14:paraId="3F53A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139FB21">
            <w:pPr>
              <w:spacing w:line="320" w:lineRule="exact"/>
              <w:jc w:val="center"/>
              <w:rPr>
                <w:rFonts w:eastAsiaTheme="minorEastAsia"/>
                <w:szCs w:val="21"/>
              </w:rPr>
            </w:pPr>
            <w:r>
              <w:rPr>
                <w:rFonts w:eastAsiaTheme="minorEastAsia"/>
                <w:szCs w:val="21"/>
              </w:rPr>
              <w:t>苯并[b]荧蒽（mg/kg）</w:t>
            </w:r>
          </w:p>
        </w:tc>
        <w:tc>
          <w:tcPr>
            <w:tcW w:w="1232" w:type="pct"/>
            <w:vAlign w:val="center"/>
          </w:tcPr>
          <w:p w14:paraId="075C047A">
            <w:pPr>
              <w:widowControl/>
              <w:jc w:val="center"/>
              <w:rPr>
                <w:szCs w:val="21"/>
              </w:rPr>
            </w:pPr>
            <w:r>
              <w:rPr>
                <w:rFonts w:hint="eastAsia"/>
                <w:szCs w:val="21"/>
              </w:rPr>
              <w:t>ND</w:t>
            </w:r>
          </w:p>
        </w:tc>
        <w:tc>
          <w:tcPr>
            <w:tcW w:w="811" w:type="pct"/>
            <w:vAlign w:val="center"/>
          </w:tcPr>
          <w:p w14:paraId="02C18D7D">
            <w:pPr>
              <w:spacing w:before="61" w:line="320" w:lineRule="exact"/>
              <w:jc w:val="center"/>
              <w:rPr>
                <w:rFonts w:eastAsiaTheme="minorEastAsia"/>
                <w:szCs w:val="21"/>
              </w:rPr>
            </w:pPr>
            <w:r>
              <w:rPr>
                <w:rFonts w:hint="eastAsia"/>
                <w:szCs w:val="21"/>
              </w:rPr>
              <w:t>ND</w:t>
            </w:r>
          </w:p>
        </w:tc>
        <w:tc>
          <w:tcPr>
            <w:tcW w:w="811" w:type="pct"/>
            <w:vAlign w:val="center"/>
          </w:tcPr>
          <w:p w14:paraId="52B7EE40">
            <w:pPr>
              <w:spacing w:before="61" w:line="320" w:lineRule="exact"/>
              <w:jc w:val="center"/>
              <w:rPr>
                <w:rFonts w:eastAsiaTheme="minorEastAsia"/>
                <w:szCs w:val="21"/>
              </w:rPr>
            </w:pPr>
            <w:r>
              <w:rPr>
                <w:rFonts w:eastAsiaTheme="minorEastAsia"/>
                <w:szCs w:val="21"/>
              </w:rPr>
              <w:t>15</w:t>
            </w:r>
          </w:p>
        </w:tc>
      </w:tr>
      <w:tr w14:paraId="63A3D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12A04C65">
            <w:pPr>
              <w:spacing w:line="320" w:lineRule="exact"/>
              <w:jc w:val="center"/>
              <w:rPr>
                <w:rFonts w:eastAsiaTheme="minorEastAsia"/>
                <w:szCs w:val="21"/>
              </w:rPr>
            </w:pPr>
            <w:r>
              <w:rPr>
                <w:rFonts w:eastAsiaTheme="minorEastAsia"/>
                <w:szCs w:val="21"/>
              </w:rPr>
              <w:t>苯并[k]荧蒽（mg/kg）</w:t>
            </w:r>
          </w:p>
        </w:tc>
        <w:tc>
          <w:tcPr>
            <w:tcW w:w="1232" w:type="pct"/>
            <w:vAlign w:val="center"/>
          </w:tcPr>
          <w:p w14:paraId="3AE62165">
            <w:pPr>
              <w:widowControl/>
              <w:jc w:val="center"/>
              <w:rPr>
                <w:szCs w:val="21"/>
              </w:rPr>
            </w:pPr>
            <w:r>
              <w:rPr>
                <w:rFonts w:hint="eastAsia"/>
                <w:szCs w:val="21"/>
              </w:rPr>
              <w:t>ND</w:t>
            </w:r>
          </w:p>
        </w:tc>
        <w:tc>
          <w:tcPr>
            <w:tcW w:w="811" w:type="pct"/>
            <w:vAlign w:val="center"/>
          </w:tcPr>
          <w:p w14:paraId="45E23157">
            <w:pPr>
              <w:spacing w:before="61" w:line="320" w:lineRule="exact"/>
              <w:jc w:val="center"/>
              <w:rPr>
                <w:rFonts w:eastAsiaTheme="minorEastAsia"/>
                <w:szCs w:val="21"/>
              </w:rPr>
            </w:pPr>
            <w:r>
              <w:rPr>
                <w:rFonts w:hint="eastAsia"/>
                <w:szCs w:val="21"/>
              </w:rPr>
              <w:t>ND</w:t>
            </w:r>
          </w:p>
        </w:tc>
        <w:tc>
          <w:tcPr>
            <w:tcW w:w="811" w:type="pct"/>
            <w:vAlign w:val="center"/>
          </w:tcPr>
          <w:p w14:paraId="660DBF56">
            <w:pPr>
              <w:spacing w:before="61" w:line="320" w:lineRule="exact"/>
              <w:jc w:val="center"/>
              <w:rPr>
                <w:rFonts w:eastAsiaTheme="minorEastAsia"/>
                <w:szCs w:val="21"/>
              </w:rPr>
            </w:pPr>
            <w:r>
              <w:rPr>
                <w:rFonts w:eastAsiaTheme="minorEastAsia"/>
                <w:szCs w:val="21"/>
              </w:rPr>
              <w:t>151</w:t>
            </w:r>
          </w:p>
        </w:tc>
      </w:tr>
      <w:tr w14:paraId="6A78F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685BAE4">
            <w:pPr>
              <w:spacing w:line="320" w:lineRule="exact"/>
              <w:jc w:val="center"/>
              <w:rPr>
                <w:rFonts w:eastAsiaTheme="minorEastAsia"/>
                <w:szCs w:val="21"/>
              </w:rPr>
            </w:pPr>
            <w:r>
              <w:rPr>
                <w:rFonts w:eastAsiaTheme="minorEastAsia"/>
                <w:szCs w:val="21"/>
              </w:rPr>
              <w:t>䓛（mg/kg）</w:t>
            </w:r>
          </w:p>
        </w:tc>
        <w:tc>
          <w:tcPr>
            <w:tcW w:w="1232" w:type="pct"/>
            <w:vAlign w:val="center"/>
          </w:tcPr>
          <w:p w14:paraId="4E1B004F">
            <w:pPr>
              <w:widowControl/>
              <w:jc w:val="center"/>
              <w:rPr>
                <w:szCs w:val="21"/>
              </w:rPr>
            </w:pPr>
            <w:r>
              <w:rPr>
                <w:rFonts w:hint="eastAsia"/>
                <w:szCs w:val="21"/>
              </w:rPr>
              <w:t>ND</w:t>
            </w:r>
          </w:p>
        </w:tc>
        <w:tc>
          <w:tcPr>
            <w:tcW w:w="811" w:type="pct"/>
            <w:vAlign w:val="center"/>
          </w:tcPr>
          <w:p w14:paraId="713AD0FB">
            <w:pPr>
              <w:spacing w:before="61" w:line="320" w:lineRule="exact"/>
              <w:jc w:val="center"/>
              <w:rPr>
                <w:rFonts w:eastAsiaTheme="minorEastAsia"/>
                <w:szCs w:val="21"/>
              </w:rPr>
            </w:pPr>
            <w:r>
              <w:rPr>
                <w:rFonts w:hint="eastAsia"/>
                <w:szCs w:val="21"/>
              </w:rPr>
              <w:t>ND</w:t>
            </w:r>
          </w:p>
        </w:tc>
        <w:tc>
          <w:tcPr>
            <w:tcW w:w="811" w:type="pct"/>
            <w:vAlign w:val="center"/>
          </w:tcPr>
          <w:p w14:paraId="198B6D68">
            <w:pPr>
              <w:spacing w:before="61" w:line="320" w:lineRule="exact"/>
              <w:jc w:val="center"/>
              <w:rPr>
                <w:rFonts w:eastAsiaTheme="minorEastAsia"/>
                <w:szCs w:val="21"/>
              </w:rPr>
            </w:pPr>
            <w:r>
              <w:rPr>
                <w:rFonts w:eastAsiaTheme="minorEastAsia"/>
                <w:szCs w:val="21"/>
              </w:rPr>
              <w:t>1293</w:t>
            </w:r>
          </w:p>
        </w:tc>
      </w:tr>
      <w:tr w14:paraId="73E66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DED092D">
            <w:pPr>
              <w:spacing w:line="320" w:lineRule="exact"/>
              <w:jc w:val="center"/>
              <w:rPr>
                <w:rFonts w:eastAsiaTheme="minorEastAsia"/>
                <w:szCs w:val="21"/>
              </w:rPr>
            </w:pPr>
            <w:r>
              <w:rPr>
                <w:rFonts w:eastAsiaTheme="minorEastAsia"/>
                <w:szCs w:val="21"/>
              </w:rPr>
              <w:t>二苯并[a，h]蒽（mg/kg）</w:t>
            </w:r>
          </w:p>
        </w:tc>
        <w:tc>
          <w:tcPr>
            <w:tcW w:w="1232" w:type="pct"/>
            <w:vAlign w:val="center"/>
          </w:tcPr>
          <w:p w14:paraId="637B76D4">
            <w:pPr>
              <w:widowControl/>
              <w:jc w:val="center"/>
              <w:rPr>
                <w:szCs w:val="21"/>
              </w:rPr>
            </w:pPr>
            <w:r>
              <w:rPr>
                <w:rFonts w:hint="eastAsia"/>
                <w:szCs w:val="21"/>
              </w:rPr>
              <w:t>ND</w:t>
            </w:r>
          </w:p>
        </w:tc>
        <w:tc>
          <w:tcPr>
            <w:tcW w:w="811" w:type="pct"/>
            <w:vAlign w:val="center"/>
          </w:tcPr>
          <w:p w14:paraId="35D32F59">
            <w:pPr>
              <w:spacing w:before="61" w:line="320" w:lineRule="exact"/>
              <w:jc w:val="center"/>
              <w:rPr>
                <w:rFonts w:eastAsiaTheme="minorEastAsia"/>
                <w:szCs w:val="21"/>
              </w:rPr>
            </w:pPr>
            <w:r>
              <w:rPr>
                <w:rFonts w:hint="eastAsia"/>
                <w:szCs w:val="21"/>
              </w:rPr>
              <w:t>ND</w:t>
            </w:r>
          </w:p>
        </w:tc>
        <w:tc>
          <w:tcPr>
            <w:tcW w:w="811" w:type="pct"/>
            <w:vAlign w:val="center"/>
          </w:tcPr>
          <w:p w14:paraId="56765767">
            <w:pPr>
              <w:spacing w:before="61" w:line="320" w:lineRule="exact"/>
              <w:jc w:val="center"/>
              <w:rPr>
                <w:rFonts w:eastAsiaTheme="minorEastAsia"/>
                <w:szCs w:val="21"/>
              </w:rPr>
            </w:pPr>
            <w:r>
              <w:rPr>
                <w:rFonts w:eastAsiaTheme="minorEastAsia"/>
                <w:szCs w:val="21"/>
              </w:rPr>
              <w:t>1.5</w:t>
            </w:r>
          </w:p>
        </w:tc>
      </w:tr>
      <w:tr w14:paraId="3E455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1881719D">
            <w:pPr>
              <w:spacing w:line="320" w:lineRule="exact"/>
              <w:jc w:val="center"/>
              <w:rPr>
                <w:rFonts w:eastAsiaTheme="minorEastAsia"/>
                <w:szCs w:val="21"/>
              </w:rPr>
            </w:pPr>
            <w:r>
              <w:rPr>
                <w:rFonts w:eastAsiaTheme="minorEastAsia"/>
                <w:szCs w:val="21"/>
              </w:rPr>
              <w:t>茚并[1,2,3-cd]芘（mg/kg）</w:t>
            </w:r>
          </w:p>
        </w:tc>
        <w:tc>
          <w:tcPr>
            <w:tcW w:w="1232" w:type="pct"/>
            <w:vAlign w:val="center"/>
          </w:tcPr>
          <w:p w14:paraId="1FA09FD0">
            <w:pPr>
              <w:widowControl/>
              <w:jc w:val="center"/>
              <w:rPr>
                <w:szCs w:val="21"/>
              </w:rPr>
            </w:pPr>
            <w:r>
              <w:rPr>
                <w:rFonts w:hint="eastAsia"/>
                <w:szCs w:val="21"/>
              </w:rPr>
              <w:t>ND</w:t>
            </w:r>
          </w:p>
        </w:tc>
        <w:tc>
          <w:tcPr>
            <w:tcW w:w="811" w:type="pct"/>
            <w:vAlign w:val="center"/>
          </w:tcPr>
          <w:p w14:paraId="481191B2">
            <w:pPr>
              <w:spacing w:before="61" w:line="320" w:lineRule="exact"/>
              <w:jc w:val="center"/>
              <w:rPr>
                <w:rFonts w:eastAsiaTheme="minorEastAsia"/>
                <w:szCs w:val="21"/>
              </w:rPr>
            </w:pPr>
            <w:r>
              <w:rPr>
                <w:rFonts w:hint="eastAsia"/>
                <w:szCs w:val="21"/>
              </w:rPr>
              <w:t>ND</w:t>
            </w:r>
          </w:p>
        </w:tc>
        <w:tc>
          <w:tcPr>
            <w:tcW w:w="811" w:type="pct"/>
            <w:vAlign w:val="center"/>
          </w:tcPr>
          <w:p w14:paraId="367AA407">
            <w:pPr>
              <w:spacing w:before="61" w:line="320" w:lineRule="exact"/>
              <w:jc w:val="center"/>
              <w:rPr>
                <w:rFonts w:eastAsiaTheme="minorEastAsia"/>
                <w:szCs w:val="21"/>
              </w:rPr>
            </w:pPr>
            <w:r>
              <w:rPr>
                <w:rFonts w:eastAsiaTheme="minorEastAsia"/>
                <w:szCs w:val="21"/>
              </w:rPr>
              <w:t>15</w:t>
            </w:r>
          </w:p>
        </w:tc>
      </w:tr>
      <w:tr w14:paraId="413C4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12DBB35C">
            <w:pPr>
              <w:spacing w:line="320" w:lineRule="exact"/>
              <w:jc w:val="center"/>
              <w:rPr>
                <w:rFonts w:eastAsiaTheme="minorEastAsia"/>
                <w:szCs w:val="21"/>
              </w:rPr>
            </w:pPr>
            <w:r>
              <w:rPr>
                <w:rFonts w:eastAsiaTheme="minorEastAsia"/>
                <w:szCs w:val="21"/>
              </w:rPr>
              <w:t>萘（mg/kg）</w:t>
            </w:r>
          </w:p>
        </w:tc>
        <w:tc>
          <w:tcPr>
            <w:tcW w:w="1232" w:type="pct"/>
            <w:vAlign w:val="center"/>
          </w:tcPr>
          <w:p w14:paraId="26823A8A">
            <w:pPr>
              <w:widowControl/>
              <w:jc w:val="center"/>
              <w:rPr>
                <w:szCs w:val="21"/>
              </w:rPr>
            </w:pPr>
            <w:r>
              <w:rPr>
                <w:rFonts w:hint="eastAsia"/>
                <w:szCs w:val="21"/>
              </w:rPr>
              <w:t>ND</w:t>
            </w:r>
          </w:p>
        </w:tc>
        <w:tc>
          <w:tcPr>
            <w:tcW w:w="811" w:type="pct"/>
            <w:vAlign w:val="center"/>
          </w:tcPr>
          <w:p w14:paraId="6BCACF34">
            <w:pPr>
              <w:spacing w:before="61" w:line="320" w:lineRule="exact"/>
              <w:jc w:val="center"/>
              <w:rPr>
                <w:rFonts w:eastAsiaTheme="minorEastAsia"/>
                <w:szCs w:val="21"/>
              </w:rPr>
            </w:pPr>
            <w:r>
              <w:rPr>
                <w:rFonts w:hint="eastAsia"/>
                <w:szCs w:val="21"/>
              </w:rPr>
              <w:t>ND</w:t>
            </w:r>
          </w:p>
        </w:tc>
        <w:tc>
          <w:tcPr>
            <w:tcW w:w="811" w:type="pct"/>
            <w:vAlign w:val="center"/>
          </w:tcPr>
          <w:p w14:paraId="23E1E8DC">
            <w:pPr>
              <w:spacing w:before="61" w:line="320" w:lineRule="exact"/>
              <w:jc w:val="center"/>
              <w:rPr>
                <w:rFonts w:eastAsiaTheme="minorEastAsia"/>
                <w:szCs w:val="21"/>
              </w:rPr>
            </w:pPr>
            <w:r>
              <w:rPr>
                <w:rFonts w:eastAsiaTheme="minorEastAsia"/>
                <w:szCs w:val="21"/>
              </w:rPr>
              <w:t>70</w:t>
            </w:r>
          </w:p>
        </w:tc>
      </w:tr>
      <w:tr w14:paraId="7944E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A4D0156">
            <w:pPr>
              <w:spacing w:line="320" w:lineRule="exact"/>
              <w:jc w:val="center"/>
              <w:rPr>
                <w:rFonts w:eastAsiaTheme="minorEastAsia"/>
                <w:szCs w:val="21"/>
              </w:rPr>
            </w:pPr>
            <w:r>
              <w:rPr>
                <w:rFonts w:eastAsiaTheme="minorEastAsia"/>
                <w:szCs w:val="21"/>
              </w:rPr>
              <w:t>2-氯酚（mg/kg）</w:t>
            </w:r>
          </w:p>
        </w:tc>
        <w:tc>
          <w:tcPr>
            <w:tcW w:w="1232" w:type="pct"/>
            <w:vAlign w:val="center"/>
          </w:tcPr>
          <w:p w14:paraId="1F9283A1">
            <w:pPr>
              <w:widowControl/>
              <w:jc w:val="center"/>
              <w:rPr>
                <w:szCs w:val="21"/>
              </w:rPr>
            </w:pPr>
            <w:r>
              <w:rPr>
                <w:rFonts w:hint="eastAsia"/>
                <w:szCs w:val="21"/>
              </w:rPr>
              <w:t>ND</w:t>
            </w:r>
          </w:p>
        </w:tc>
        <w:tc>
          <w:tcPr>
            <w:tcW w:w="811" w:type="pct"/>
            <w:vAlign w:val="center"/>
          </w:tcPr>
          <w:p w14:paraId="336AEC97">
            <w:pPr>
              <w:spacing w:before="61" w:line="320" w:lineRule="exact"/>
              <w:jc w:val="center"/>
              <w:rPr>
                <w:rFonts w:eastAsiaTheme="minorEastAsia"/>
                <w:szCs w:val="21"/>
              </w:rPr>
            </w:pPr>
            <w:r>
              <w:rPr>
                <w:rFonts w:hint="eastAsia"/>
                <w:szCs w:val="21"/>
              </w:rPr>
              <w:t>ND</w:t>
            </w:r>
          </w:p>
        </w:tc>
        <w:tc>
          <w:tcPr>
            <w:tcW w:w="811" w:type="pct"/>
            <w:vAlign w:val="center"/>
          </w:tcPr>
          <w:p w14:paraId="1F2AE098">
            <w:pPr>
              <w:spacing w:before="61" w:line="320" w:lineRule="exact"/>
              <w:jc w:val="center"/>
              <w:rPr>
                <w:rFonts w:eastAsiaTheme="minorEastAsia"/>
                <w:szCs w:val="21"/>
              </w:rPr>
            </w:pPr>
            <w:r>
              <w:rPr>
                <w:rFonts w:eastAsiaTheme="minorEastAsia"/>
                <w:szCs w:val="21"/>
              </w:rPr>
              <w:t>2256</w:t>
            </w:r>
          </w:p>
        </w:tc>
      </w:tr>
      <w:tr w14:paraId="683BC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3CF9C1E">
            <w:pPr>
              <w:spacing w:line="320" w:lineRule="exact"/>
              <w:jc w:val="center"/>
              <w:rPr>
                <w:rFonts w:eastAsiaTheme="minorEastAsia"/>
                <w:szCs w:val="21"/>
              </w:rPr>
            </w:pPr>
            <w:r>
              <w:rPr>
                <w:rFonts w:eastAsiaTheme="minorEastAsia"/>
                <w:szCs w:val="21"/>
              </w:rPr>
              <w:t>四氯化碳（mg/kg）</w:t>
            </w:r>
          </w:p>
        </w:tc>
        <w:tc>
          <w:tcPr>
            <w:tcW w:w="1232" w:type="pct"/>
            <w:vAlign w:val="center"/>
          </w:tcPr>
          <w:p w14:paraId="78823FAA">
            <w:pPr>
              <w:widowControl/>
              <w:jc w:val="center"/>
              <w:textAlignment w:val="center"/>
              <w:rPr>
                <w:szCs w:val="21"/>
              </w:rPr>
            </w:pPr>
            <w:r>
              <w:rPr>
                <w:rFonts w:hint="eastAsia"/>
                <w:szCs w:val="21"/>
              </w:rPr>
              <w:t>ND</w:t>
            </w:r>
          </w:p>
        </w:tc>
        <w:tc>
          <w:tcPr>
            <w:tcW w:w="811" w:type="pct"/>
            <w:vAlign w:val="center"/>
          </w:tcPr>
          <w:p w14:paraId="29602540">
            <w:pPr>
              <w:spacing w:line="320" w:lineRule="exact"/>
              <w:jc w:val="center"/>
              <w:rPr>
                <w:rFonts w:eastAsiaTheme="minorEastAsia"/>
                <w:szCs w:val="21"/>
              </w:rPr>
            </w:pPr>
            <w:r>
              <w:rPr>
                <w:rFonts w:hint="eastAsia"/>
                <w:szCs w:val="21"/>
              </w:rPr>
              <w:t>ND</w:t>
            </w:r>
          </w:p>
        </w:tc>
        <w:tc>
          <w:tcPr>
            <w:tcW w:w="811" w:type="pct"/>
            <w:vAlign w:val="center"/>
          </w:tcPr>
          <w:p w14:paraId="1776F4A0">
            <w:pPr>
              <w:spacing w:line="320" w:lineRule="exact"/>
              <w:jc w:val="center"/>
              <w:rPr>
                <w:rFonts w:eastAsiaTheme="minorEastAsia"/>
                <w:szCs w:val="21"/>
              </w:rPr>
            </w:pPr>
            <w:r>
              <w:rPr>
                <w:rFonts w:eastAsiaTheme="minorEastAsia"/>
                <w:szCs w:val="21"/>
              </w:rPr>
              <w:t>2.8</w:t>
            </w:r>
          </w:p>
        </w:tc>
      </w:tr>
      <w:tr w14:paraId="58CD8C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5A853C0">
            <w:pPr>
              <w:spacing w:line="320" w:lineRule="exact"/>
              <w:jc w:val="center"/>
              <w:rPr>
                <w:rFonts w:eastAsiaTheme="minorEastAsia"/>
                <w:szCs w:val="21"/>
              </w:rPr>
            </w:pPr>
            <w:r>
              <w:rPr>
                <w:rFonts w:eastAsiaTheme="minorEastAsia"/>
                <w:szCs w:val="21"/>
              </w:rPr>
              <w:t>氯仿（mg/kg）</w:t>
            </w:r>
          </w:p>
        </w:tc>
        <w:tc>
          <w:tcPr>
            <w:tcW w:w="1232" w:type="pct"/>
            <w:vAlign w:val="center"/>
          </w:tcPr>
          <w:p w14:paraId="737867DC">
            <w:pPr>
              <w:widowControl/>
              <w:jc w:val="center"/>
              <w:textAlignment w:val="center"/>
              <w:rPr>
                <w:szCs w:val="21"/>
              </w:rPr>
            </w:pPr>
            <w:r>
              <w:rPr>
                <w:rFonts w:hint="eastAsia"/>
                <w:szCs w:val="21"/>
              </w:rPr>
              <w:t>ND</w:t>
            </w:r>
          </w:p>
        </w:tc>
        <w:tc>
          <w:tcPr>
            <w:tcW w:w="811" w:type="pct"/>
            <w:vAlign w:val="center"/>
          </w:tcPr>
          <w:p w14:paraId="0D40FCE2">
            <w:pPr>
              <w:spacing w:line="320" w:lineRule="exact"/>
              <w:jc w:val="center"/>
              <w:rPr>
                <w:rFonts w:eastAsiaTheme="minorEastAsia"/>
                <w:szCs w:val="21"/>
              </w:rPr>
            </w:pPr>
            <w:r>
              <w:rPr>
                <w:rFonts w:hint="eastAsia"/>
                <w:szCs w:val="21"/>
              </w:rPr>
              <w:t>ND</w:t>
            </w:r>
          </w:p>
        </w:tc>
        <w:tc>
          <w:tcPr>
            <w:tcW w:w="811" w:type="pct"/>
            <w:vAlign w:val="center"/>
          </w:tcPr>
          <w:p w14:paraId="5DB579BB">
            <w:pPr>
              <w:spacing w:line="320" w:lineRule="exact"/>
              <w:jc w:val="center"/>
              <w:rPr>
                <w:rFonts w:eastAsiaTheme="minorEastAsia"/>
                <w:szCs w:val="21"/>
              </w:rPr>
            </w:pPr>
            <w:r>
              <w:rPr>
                <w:rFonts w:eastAsiaTheme="minorEastAsia"/>
                <w:szCs w:val="21"/>
              </w:rPr>
              <w:t>0.9</w:t>
            </w:r>
          </w:p>
        </w:tc>
      </w:tr>
      <w:tr w14:paraId="696BE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29A7667">
            <w:pPr>
              <w:spacing w:line="320" w:lineRule="exact"/>
              <w:jc w:val="center"/>
              <w:rPr>
                <w:rFonts w:eastAsiaTheme="minorEastAsia"/>
                <w:szCs w:val="21"/>
              </w:rPr>
            </w:pPr>
            <w:r>
              <w:rPr>
                <w:rFonts w:eastAsiaTheme="minorEastAsia"/>
                <w:szCs w:val="21"/>
              </w:rPr>
              <w:t>氯甲烷（mg/kg）</w:t>
            </w:r>
          </w:p>
        </w:tc>
        <w:tc>
          <w:tcPr>
            <w:tcW w:w="1232" w:type="pct"/>
            <w:vAlign w:val="center"/>
          </w:tcPr>
          <w:p w14:paraId="7383332C">
            <w:pPr>
              <w:widowControl/>
              <w:jc w:val="center"/>
              <w:textAlignment w:val="center"/>
              <w:rPr>
                <w:szCs w:val="21"/>
              </w:rPr>
            </w:pPr>
            <w:r>
              <w:rPr>
                <w:rFonts w:hint="eastAsia"/>
                <w:szCs w:val="21"/>
              </w:rPr>
              <w:t>ND</w:t>
            </w:r>
          </w:p>
        </w:tc>
        <w:tc>
          <w:tcPr>
            <w:tcW w:w="811" w:type="pct"/>
            <w:vAlign w:val="center"/>
          </w:tcPr>
          <w:p w14:paraId="0B62D988">
            <w:pPr>
              <w:spacing w:line="320" w:lineRule="exact"/>
              <w:jc w:val="center"/>
              <w:rPr>
                <w:rFonts w:eastAsiaTheme="minorEastAsia"/>
                <w:szCs w:val="21"/>
              </w:rPr>
            </w:pPr>
            <w:r>
              <w:rPr>
                <w:rFonts w:hint="eastAsia"/>
                <w:szCs w:val="21"/>
              </w:rPr>
              <w:t>ND</w:t>
            </w:r>
          </w:p>
        </w:tc>
        <w:tc>
          <w:tcPr>
            <w:tcW w:w="811" w:type="pct"/>
            <w:vAlign w:val="center"/>
          </w:tcPr>
          <w:p w14:paraId="2B643065">
            <w:pPr>
              <w:spacing w:line="320" w:lineRule="exact"/>
              <w:jc w:val="center"/>
              <w:rPr>
                <w:rFonts w:eastAsiaTheme="minorEastAsia"/>
                <w:szCs w:val="21"/>
              </w:rPr>
            </w:pPr>
            <w:r>
              <w:rPr>
                <w:rFonts w:eastAsiaTheme="minorEastAsia"/>
                <w:szCs w:val="21"/>
              </w:rPr>
              <w:t>37</w:t>
            </w:r>
          </w:p>
        </w:tc>
      </w:tr>
      <w:tr w14:paraId="0469A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2A7401DE">
            <w:pPr>
              <w:spacing w:line="320" w:lineRule="exact"/>
              <w:jc w:val="center"/>
              <w:rPr>
                <w:rFonts w:eastAsiaTheme="minorEastAsia"/>
                <w:szCs w:val="21"/>
              </w:rPr>
            </w:pPr>
            <w:r>
              <w:rPr>
                <w:rFonts w:eastAsiaTheme="minorEastAsia"/>
                <w:szCs w:val="21"/>
              </w:rPr>
              <w:t>1,1-二氯乙烷（mg/kg）</w:t>
            </w:r>
          </w:p>
        </w:tc>
        <w:tc>
          <w:tcPr>
            <w:tcW w:w="1232" w:type="pct"/>
            <w:vAlign w:val="center"/>
          </w:tcPr>
          <w:p w14:paraId="32F8550C">
            <w:pPr>
              <w:widowControl/>
              <w:jc w:val="center"/>
              <w:textAlignment w:val="center"/>
              <w:rPr>
                <w:szCs w:val="21"/>
              </w:rPr>
            </w:pPr>
            <w:r>
              <w:rPr>
                <w:rFonts w:hint="eastAsia"/>
                <w:szCs w:val="21"/>
              </w:rPr>
              <w:t>ND</w:t>
            </w:r>
          </w:p>
        </w:tc>
        <w:tc>
          <w:tcPr>
            <w:tcW w:w="811" w:type="pct"/>
            <w:vAlign w:val="center"/>
          </w:tcPr>
          <w:p w14:paraId="2FAA79D7">
            <w:pPr>
              <w:spacing w:line="320" w:lineRule="exact"/>
              <w:jc w:val="center"/>
              <w:rPr>
                <w:rFonts w:eastAsiaTheme="minorEastAsia"/>
                <w:szCs w:val="21"/>
              </w:rPr>
            </w:pPr>
            <w:r>
              <w:rPr>
                <w:rFonts w:hint="eastAsia"/>
                <w:szCs w:val="21"/>
              </w:rPr>
              <w:t>ND</w:t>
            </w:r>
          </w:p>
        </w:tc>
        <w:tc>
          <w:tcPr>
            <w:tcW w:w="811" w:type="pct"/>
            <w:vAlign w:val="center"/>
          </w:tcPr>
          <w:p w14:paraId="1237C1F2">
            <w:pPr>
              <w:spacing w:line="320" w:lineRule="exact"/>
              <w:jc w:val="center"/>
              <w:rPr>
                <w:rFonts w:eastAsiaTheme="minorEastAsia"/>
                <w:szCs w:val="21"/>
              </w:rPr>
            </w:pPr>
            <w:r>
              <w:rPr>
                <w:rFonts w:eastAsiaTheme="minorEastAsia"/>
                <w:szCs w:val="21"/>
              </w:rPr>
              <w:t>9</w:t>
            </w:r>
          </w:p>
        </w:tc>
      </w:tr>
      <w:tr w14:paraId="5018A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B20A3C3">
            <w:pPr>
              <w:spacing w:line="320" w:lineRule="exact"/>
              <w:jc w:val="center"/>
              <w:rPr>
                <w:rFonts w:eastAsiaTheme="minorEastAsia"/>
                <w:szCs w:val="21"/>
              </w:rPr>
            </w:pPr>
            <w:r>
              <w:rPr>
                <w:rFonts w:eastAsiaTheme="minorEastAsia"/>
                <w:szCs w:val="21"/>
              </w:rPr>
              <w:t>1,2-二氯乙烷（mg/kg）</w:t>
            </w:r>
          </w:p>
        </w:tc>
        <w:tc>
          <w:tcPr>
            <w:tcW w:w="1232" w:type="pct"/>
            <w:vAlign w:val="center"/>
          </w:tcPr>
          <w:p w14:paraId="7C2FB28B">
            <w:pPr>
              <w:widowControl/>
              <w:jc w:val="center"/>
              <w:textAlignment w:val="center"/>
              <w:rPr>
                <w:szCs w:val="21"/>
              </w:rPr>
            </w:pPr>
            <w:r>
              <w:rPr>
                <w:rFonts w:hint="eastAsia"/>
                <w:szCs w:val="21"/>
              </w:rPr>
              <w:t>ND</w:t>
            </w:r>
          </w:p>
        </w:tc>
        <w:tc>
          <w:tcPr>
            <w:tcW w:w="811" w:type="pct"/>
            <w:vAlign w:val="center"/>
          </w:tcPr>
          <w:p w14:paraId="33972B8D">
            <w:pPr>
              <w:spacing w:line="320" w:lineRule="exact"/>
              <w:jc w:val="center"/>
              <w:rPr>
                <w:rFonts w:eastAsiaTheme="minorEastAsia"/>
                <w:szCs w:val="21"/>
              </w:rPr>
            </w:pPr>
            <w:r>
              <w:rPr>
                <w:rFonts w:hint="eastAsia"/>
                <w:szCs w:val="21"/>
              </w:rPr>
              <w:t>ND</w:t>
            </w:r>
          </w:p>
        </w:tc>
        <w:tc>
          <w:tcPr>
            <w:tcW w:w="811" w:type="pct"/>
            <w:vAlign w:val="center"/>
          </w:tcPr>
          <w:p w14:paraId="1AE6447C">
            <w:pPr>
              <w:spacing w:line="320" w:lineRule="exact"/>
              <w:jc w:val="center"/>
              <w:rPr>
                <w:rFonts w:eastAsiaTheme="minorEastAsia"/>
                <w:szCs w:val="21"/>
              </w:rPr>
            </w:pPr>
            <w:r>
              <w:rPr>
                <w:rFonts w:eastAsiaTheme="minorEastAsia"/>
                <w:szCs w:val="21"/>
              </w:rPr>
              <w:t>5</w:t>
            </w:r>
          </w:p>
        </w:tc>
      </w:tr>
      <w:tr w14:paraId="73658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9922522">
            <w:pPr>
              <w:spacing w:line="320" w:lineRule="exact"/>
              <w:jc w:val="center"/>
              <w:rPr>
                <w:rFonts w:eastAsiaTheme="minorEastAsia"/>
                <w:szCs w:val="21"/>
              </w:rPr>
            </w:pPr>
            <w:r>
              <w:rPr>
                <w:rFonts w:eastAsiaTheme="minorEastAsia"/>
                <w:szCs w:val="21"/>
              </w:rPr>
              <w:t>1,1-二氯乙烯（mg/kg）</w:t>
            </w:r>
          </w:p>
        </w:tc>
        <w:tc>
          <w:tcPr>
            <w:tcW w:w="1232" w:type="pct"/>
            <w:vAlign w:val="center"/>
          </w:tcPr>
          <w:p w14:paraId="15F9B120">
            <w:pPr>
              <w:widowControl/>
              <w:jc w:val="center"/>
              <w:textAlignment w:val="center"/>
              <w:rPr>
                <w:szCs w:val="21"/>
              </w:rPr>
            </w:pPr>
            <w:r>
              <w:rPr>
                <w:rFonts w:hint="eastAsia"/>
                <w:szCs w:val="21"/>
              </w:rPr>
              <w:t>ND</w:t>
            </w:r>
          </w:p>
        </w:tc>
        <w:tc>
          <w:tcPr>
            <w:tcW w:w="811" w:type="pct"/>
            <w:vAlign w:val="center"/>
          </w:tcPr>
          <w:p w14:paraId="5BC17A00">
            <w:pPr>
              <w:spacing w:line="320" w:lineRule="exact"/>
              <w:jc w:val="center"/>
              <w:rPr>
                <w:rFonts w:eastAsiaTheme="minorEastAsia"/>
                <w:szCs w:val="21"/>
              </w:rPr>
            </w:pPr>
            <w:r>
              <w:rPr>
                <w:rFonts w:hint="eastAsia"/>
                <w:szCs w:val="21"/>
              </w:rPr>
              <w:t>ND</w:t>
            </w:r>
          </w:p>
        </w:tc>
        <w:tc>
          <w:tcPr>
            <w:tcW w:w="811" w:type="pct"/>
            <w:vAlign w:val="center"/>
          </w:tcPr>
          <w:p w14:paraId="43B18413">
            <w:pPr>
              <w:spacing w:line="320" w:lineRule="exact"/>
              <w:jc w:val="center"/>
              <w:rPr>
                <w:rFonts w:eastAsiaTheme="minorEastAsia"/>
                <w:szCs w:val="21"/>
              </w:rPr>
            </w:pPr>
            <w:r>
              <w:rPr>
                <w:rFonts w:eastAsiaTheme="minorEastAsia"/>
                <w:szCs w:val="21"/>
              </w:rPr>
              <w:t>66</w:t>
            </w:r>
          </w:p>
        </w:tc>
      </w:tr>
      <w:tr w14:paraId="7299B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EE3B5B7">
            <w:pPr>
              <w:spacing w:line="320" w:lineRule="exact"/>
              <w:jc w:val="center"/>
              <w:rPr>
                <w:rFonts w:eastAsiaTheme="minorEastAsia"/>
                <w:szCs w:val="21"/>
              </w:rPr>
            </w:pPr>
            <w:r>
              <w:rPr>
                <w:rFonts w:eastAsiaTheme="minorEastAsia"/>
                <w:szCs w:val="21"/>
              </w:rPr>
              <w:t>顺-1,2-二氯乙烯（mg/kg）</w:t>
            </w:r>
          </w:p>
        </w:tc>
        <w:tc>
          <w:tcPr>
            <w:tcW w:w="1232" w:type="pct"/>
            <w:vAlign w:val="center"/>
          </w:tcPr>
          <w:p w14:paraId="4CE29E14">
            <w:pPr>
              <w:widowControl/>
              <w:jc w:val="center"/>
              <w:textAlignment w:val="center"/>
              <w:rPr>
                <w:szCs w:val="21"/>
              </w:rPr>
            </w:pPr>
            <w:r>
              <w:rPr>
                <w:rFonts w:hint="eastAsia"/>
                <w:szCs w:val="21"/>
              </w:rPr>
              <w:t>ND</w:t>
            </w:r>
          </w:p>
        </w:tc>
        <w:tc>
          <w:tcPr>
            <w:tcW w:w="811" w:type="pct"/>
            <w:vAlign w:val="center"/>
          </w:tcPr>
          <w:p w14:paraId="34A89969">
            <w:pPr>
              <w:spacing w:before="63" w:line="320" w:lineRule="exact"/>
              <w:jc w:val="center"/>
              <w:rPr>
                <w:rFonts w:eastAsiaTheme="minorEastAsia"/>
                <w:szCs w:val="21"/>
              </w:rPr>
            </w:pPr>
            <w:r>
              <w:rPr>
                <w:rFonts w:hint="eastAsia"/>
                <w:szCs w:val="21"/>
              </w:rPr>
              <w:t>ND</w:t>
            </w:r>
          </w:p>
        </w:tc>
        <w:tc>
          <w:tcPr>
            <w:tcW w:w="811" w:type="pct"/>
            <w:vAlign w:val="center"/>
          </w:tcPr>
          <w:p w14:paraId="66E70300">
            <w:pPr>
              <w:spacing w:before="63" w:line="320" w:lineRule="exact"/>
              <w:jc w:val="center"/>
              <w:rPr>
                <w:rFonts w:eastAsiaTheme="minorEastAsia"/>
                <w:szCs w:val="21"/>
              </w:rPr>
            </w:pPr>
            <w:r>
              <w:rPr>
                <w:rFonts w:eastAsiaTheme="minorEastAsia"/>
                <w:szCs w:val="21"/>
              </w:rPr>
              <w:t>596</w:t>
            </w:r>
          </w:p>
        </w:tc>
      </w:tr>
      <w:tr w14:paraId="7F5B3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ED98556">
            <w:pPr>
              <w:spacing w:line="320" w:lineRule="exact"/>
              <w:jc w:val="center"/>
              <w:rPr>
                <w:rFonts w:eastAsiaTheme="minorEastAsia"/>
                <w:szCs w:val="21"/>
              </w:rPr>
            </w:pPr>
            <w:r>
              <w:rPr>
                <w:rFonts w:eastAsiaTheme="minorEastAsia"/>
                <w:szCs w:val="21"/>
              </w:rPr>
              <w:t>反-1,2-二氯乙烯（mg/kg）</w:t>
            </w:r>
          </w:p>
        </w:tc>
        <w:tc>
          <w:tcPr>
            <w:tcW w:w="1232" w:type="pct"/>
            <w:vAlign w:val="center"/>
          </w:tcPr>
          <w:p w14:paraId="3199BE8D">
            <w:pPr>
              <w:widowControl/>
              <w:jc w:val="center"/>
              <w:textAlignment w:val="center"/>
              <w:rPr>
                <w:szCs w:val="21"/>
              </w:rPr>
            </w:pPr>
            <w:r>
              <w:rPr>
                <w:rFonts w:hint="eastAsia"/>
                <w:szCs w:val="21"/>
              </w:rPr>
              <w:t>ND</w:t>
            </w:r>
          </w:p>
        </w:tc>
        <w:tc>
          <w:tcPr>
            <w:tcW w:w="811" w:type="pct"/>
            <w:vAlign w:val="center"/>
          </w:tcPr>
          <w:p w14:paraId="7315CA14">
            <w:pPr>
              <w:spacing w:before="61" w:line="320" w:lineRule="exact"/>
              <w:jc w:val="center"/>
              <w:rPr>
                <w:rFonts w:eastAsiaTheme="minorEastAsia"/>
                <w:szCs w:val="21"/>
              </w:rPr>
            </w:pPr>
            <w:r>
              <w:rPr>
                <w:rFonts w:hint="eastAsia"/>
                <w:szCs w:val="21"/>
              </w:rPr>
              <w:t>ND</w:t>
            </w:r>
          </w:p>
        </w:tc>
        <w:tc>
          <w:tcPr>
            <w:tcW w:w="811" w:type="pct"/>
            <w:vAlign w:val="center"/>
          </w:tcPr>
          <w:p w14:paraId="6EA04DB6">
            <w:pPr>
              <w:spacing w:before="61" w:line="320" w:lineRule="exact"/>
              <w:jc w:val="center"/>
              <w:rPr>
                <w:rFonts w:eastAsiaTheme="minorEastAsia"/>
                <w:szCs w:val="21"/>
              </w:rPr>
            </w:pPr>
            <w:r>
              <w:rPr>
                <w:rFonts w:eastAsiaTheme="minorEastAsia"/>
                <w:szCs w:val="21"/>
              </w:rPr>
              <w:t>54</w:t>
            </w:r>
          </w:p>
        </w:tc>
      </w:tr>
      <w:tr w14:paraId="7D0B2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4C80324">
            <w:pPr>
              <w:spacing w:line="320" w:lineRule="exact"/>
              <w:jc w:val="center"/>
              <w:rPr>
                <w:rFonts w:eastAsiaTheme="minorEastAsia"/>
                <w:szCs w:val="21"/>
              </w:rPr>
            </w:pPr>
            <w:r>
              <w:rPr>
                <w:rFonts w:eastAsiaTheme="minorEastAsia"/>
                <w:szCs w:val="21"/>
              </w:rPr>
              <w:t>二氯甲烷（mg/kg）</w:t>
            </w:r>
          </w:p>
        </w:tc>
        <w:tc>
          <w:tcPr>
            <w:tcW w:w="1232" w:type="pct"/>
            <w:vAlign w:val="center"/>
          </w:tcPr>
          <w:p w14:paraId="17ACB0F5">
            <w:pPr>
              <w:widowControl/>
              <w:jc w:val="center"/>
              <w:textAlignment w:val="center"/>
              <w:rPr>
                <w:szCs w:val="21"/>
              </w:rPr>
            </w:pPr>
            <w:r>
              <w:rPr>
                <w:rFonts w:hint="eastAsia"/>
                <w:szCs w:val="21"/>
              </w:rPr>
              <w:t>ND</w:t>
            </w:r>
          </w:p>
        </w:tc>
        <w:tc>
          <w:tcPr>
            <w:tcW w:w="811" w:type="pct"/>
            <w:vAlign w:val="center"/>
          </w:tcPr>
          <w:p w14:paraId="756E6139">
            <w:pPr>
              <w:spacing w:before="61" w:line="320" w:lineRule="exact"/>
              <w:jc w:val="center"/>
              <w:rPr>
                <w:rFonts w:eastAsiaTheme="minorEastAsia"/>
                <w:szCs w:val="21"/>
              </w:rPr>
            </w:pPr>
            <w:r>
              <w:rPr>
                <w:rFonts w:hint="eastAsia"/>
                <w:szCs w:val="21"/>
              </w:rPr>
              <w:t>ND</w:t>
            </w:r>
          </w:p>
        </w:tc>
        <w:tc>
          <w:tcPr>
            <w:tcW w:w="811" w:type="pct"/>
            <w:vAlign w:val="center"/>
          </w:tcPr>
          <w:p w14:paraId="6D31D7CC">
            <w:pPr>
              <w:spacing w:before="61" w:line="320" w:lineRule="exact"/>
              <w:jc w:val="center"/>
              <w:rPr>
                <w:rFonts w:eastAsiaTheme="minorEastAsia"/>
                <w:szCs w:val="21"/>
              </w:rPr>
            </w:pPr>
            <w:r>
              <w:rPr>
                <w:rFonts w:eastAsiaTheme="minorEastAsia"/>
                <w:szCs w:val="21"/>
              </w:rPr>
              <w:t>616</w:t>
            </w:r>
          </w:p>
        </w:tc>
      </w:tr>
      <w:tr w14:paraId="67DB1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EE2FD42">
            <w:pPr>
              <w:spacing w:line="320" w:lineRule="exact"/>
              <w:jc w:val="center"/>
              <w:rPr>
                <w:rFonts w:eastAsiaTheme="minorEastAsia"/>
                <w:szCs w:val="21"/>
              </w:rPr>
            </w:pPr>
            <w:r>
              <w:rPr>
                <w:rFonts w:eastAsiaTheme="minorEastAsia"/>
                <w:szCs w:val="21"/>
              </w:rPr>
              <w:t>1,2-二氯丙烷（mg/kg）</w:t>
            </w:r>
          </w:p>
        </w:tc>
        <w:tc>
          <w:tcPr>
            <w:tcW w:w="1232" w:type="pct"/>
            <w:vAlign w:val="center"/>
          </w:tcPr>
          <w:p w14:paraId="74D980E3">
            <w:pPr>
              <w:widowControl/>
              <w:jc w:val="center"/>
              <w:textAlignment w:val="center"/>
              <w:rPr>
                <w:szCs w:val="21"/>
              </w:rPr>
            </w:pPr>
            <w:r>
              <w:rPr>
                <w:rFonts w:hint="eastAsia"/>
                <w:szCs w:val="21"/>
              </w:rPr>
              <w:t>ND</w:t>
            </w:r>
          </w:p>
        </w:tc>
        <w:tc>
          <w:tcPr>
            <w:tcW w:w="811" w:type="pct"/>
            <w:vAlign w:val="center"/>
          </w:tcPr>
          <w:p w14:paraId="2C9B6974">
            <w:pPr>
              <w:spacing w:before="61" w:line="320" w:lineRule="exact"/>
              <w:jc w:val="center"/>
              <w:rPr>
                <w:rFonts w:eastAsiaTheme="minorEastAsia"/>
                <w:szCs w:val="21"/>
              </w:rPr>
            </w:pPr>
            <w:r>
              <w:rPr>
                <w:rFonts w:hint="eastAsia"/>
                <w:szCs w:val="21"/>
              </w:rPr>
              <w:t>ND</w:t>
            </w:r>
          </w:p>
        </w:tc>
        <w:tc>
          <w:tcPr>
            <w:tcW w:w="811" w:type="pct"/>
            <w:vAlign w:val="center"/>
          </w:tcPr>
          <w:p w14:paraId="72E4AF37">
            <w:pPr>
              <w:spacing w:before="61" w:line="320" w:lineRule="exact"/>
              <w:jc w:val="center"/>
              <w:rPr>
                <w:rFonts w:eastAsiaTheme="minorEastAsia"/>
                <w:szCs w:val="21"/>
              </w:rPr>
            </w:pPr>
            <w:r>
              <w:rPr>
                <w:rFonts w:eastAsiaTheme="minorEastAsia"/>
                <w:szCs w:val="21"/>
              </w:rPr>
              <w:t>5</w:t>
            </w:r>
          </w:p>
        </w:tc>
      </w:tr>
      <w:tr w14:paraId="3041C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284BFE3">
            <w:pPr>
              <w:spacing w:line="320" w:lineRule="exact"/>
              <w:jc w:val="center"/>
              <w:rPr>
                <w:rFonts w:eastAsiaTheme="minorEastAsia"/>
                <w:szCs w:val="21"/>
              </w:rPr>
            </w:pPr>
            <w:r>
              <w:rPr>
                <w:rFonts w:eastAsiaTheme="minorEastAsia"/>
                <w:szCs w:val="21"/>
              </w:rPr>
              <w:t>1,1,1,2-四氯乙烷（mg/kg）</w:t>
            </w:r>
          </w:p>
        </w:tc>
        <w:tc>
          <w:tcPr>
            <w:tcW w:w="1232" w:type="pct"/>
            <w:vAlign w:val="center"/>
          </w:tcPr>
          <w:p w14:paraId="5CCD3333">
            <w:pPr>
              <w:widowControl/>
              <w:jc w:val="center"/>
              <w:textAlignment w:val="center"/>
              <w:rPr>
                <w:szCs w:val="21"/>
              </w:rPr>
            </w:pPr>
            <w:r>
              <w:rPr>
                <w:rFonts w:hint="eastAsia"/>
                <w:szCs w:val="21"/>
              </w:rPr>
              <w:t>ND</w:t>
            </w:r>
          </w:p>
        </w:tc>
        <w:tc>
          <w:tcPr>
            <w:tcW w:w="811" w:type="pct"/>
            <w:vAlign w:val="center"/>
          </w:tcPr>
          <w:p w14:paraId="679B17C4">
            <w:pPr>
              <w:spacing w:before="63" w:line="320" w:lineRule="exact"/>
              <w:ind w:left="5"/>
              <w:jc w:val="center"/>
              <w:rPr>
                <w:rFonts w:eastAsiaTheme="minorEastAsia"/>
                <w:szCs w:val="21"/>
              </w:rPr>
            </w:pPr>
            <w:r>
              <w:rPr>
                <w:rFonts w:hint="eastAsia"/>
                <w:szCs w:val="21"/>
              </w:rPr>
              <w:t>ND</w:t>
            </w:r>
          </w:p>
        </w:tc>
        <w:tc>
          <w:tcPr>
            <w:tcW w:w="811" w:type="pct"/>
            <w:vAlign w:val="center"/>
          </w:tcPr>
          <w:p w14:paraId="75267CED">
            <w:pPr>
              <w:spacing w:before="63" w:line="320" w:lineRule="exact"/>
              <w:ind w:left="5"/>
              <w:jc w:val="center"/>
              <w:rPr>
                <w:rFonts w:eastAsiaTheme="minorEastAsia"/>
                <w:szCs w:val="21"/>
              </w:rPr>
            </w:pPr>
            <w:r>
              <w:rPr>
                <w:rFonts w:eastAsiaTheme="minorEastAsia"/>
                <w:szCs w:val="21"/>
              </w:rPr>
              <w:t>10</w:t>
            </w:r>
          </w:p>
        </w:tc>
      </w:tr>
      <w:tr w14:paraId="3B55A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CC5EF1E">
            <w:pPr>
              <w:spacing w:line="320" w:lineRule="exact"/>
              <w:jc w:val="center"/>
              <w:rPr>
                <w:rFonts w:eastAsiaTheme="minorEastAsia"/>
                <w:szCs w:val="21"/>
              </w:rPr>
            </w:pPr>
            <w:r>
              <w:rPr>
                <w:rFonts w:eastAsiaTheme="minorEastAsia"/>
                <w:szCs w:val="21"/>
              </w:rPr>
              <w:t>1,1,2,2-四氯乙烷（mg/kg）</w:t>
            </w:r>
          </w:p>
        </w:tc>
        <w:tc>
          <w:tcPr>
            <w:tcW w:w="1232" w:type="pct"/>
            <w:vAlign w:val="center"/>
          </w:tcPr>
          <w:p w14:paraId="505C645D">
            <w:pPr>
              <w:widowControl/>
              <w:jc w:val="center"/>
              <w:textAlignment w:val="center"/>
              <w:rPr>
                <w:szCs w:val="21"/>
              </w:rPr>
            </w:pPr>
            <w:r>
              <w:rPr>
                <w:rFonts w:hint="eastAsia"/>
                <w:szCs w:val="21"/>
              </w:rPr>
              <w:t>ND</w:t>
            </w:r>
          </w:p>
        </w:tc>
        <w:tc>
          <w:tcPr>
            <w:tcW w:w="811" w:type="pct"/>
            <w:vAlign w:val="center"/>
          </w:tcPr>
          <w:p w14:paraId="7EB0743C">
            <w:pPr>
              <w:spacing w:before="61" w:line="320" w:lineRule="exact"/>
              <w:ind w:left="5"/>
              <w:jc w:val="center"/>
              <w:rPr>
                <w:rFonts w:eastAsiaTheme="minorEastAsia"/>
                <w:szCs w:val="21"/>
              </w:rPr>
            </w:pPr>
            <w:r>
              <w:rPr>
                <w:rFonts w:hint="eastAsia"/>
                <w:szCs w:val="21"/>
              </w:rPr>
              <w:t>ND</w:t>
            </w:r>
          </w:p>
        </w:tc>
        <w:tc>
          <w:tcPr>
            <w:tcW w:w="811" w:type="pct"/>
            <w:vAlign w:val="center"/>
          </w:tcPr>
          <w:p w14:paraId="2568EFD8">
            <w:pPr>
              <w:spacing w:before="61" w:line="320" w:lineRule="exact"/>
              <w:ind w:left="5"/>
              <w:jc w:val="center"/>
              <w:rPr>
                <w:rFonts w:eastAsiaTheme="minorEastAsia"/>
                <w:szCs w:val="21"/>
              </w:rPr>
            </w:pPr>
            <w:r>
              <w:rPr>
                <w:rFonts w:eastAsiaTheme="minorEastAsia"/>
                <w:szCs w:val="21"/>
              </w:rPr>
              <w:t>6.8</w:t>
            </w:r>
          </w:p>
        </w:tc>
      </w:tr>
      <w:tr w14:paraId="384A0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CA496A3">
            <w:pPr>
              <w:spacing w:line="320" w:lineRule="exact"/>
              <w:jc w:val="center"/>
              <w:rPr>
                <w:rFonts w:eastAsiaTheme="minorEastAsia"/>
                <w:szCs w:val="21"/>
              </w:rPr>
            </w:pPr>
            <w:r>
              <w:rPr>
                <w:rFonts w:eastAsiaTheme="minorEastAsia"/>
                <w:szCs w:val="21"/>
              </w:rPr>
              <w:t>四氯乙烯（mg/kg）</w:t>
            </w:r>
          </w:p>
        </w:tc>
        <w:tc>
          <w:tcPr>
            <w:tcW w:w="1232" w:type="pct"/>
            <w:vAlign w:val="center"/>
          </w:tcPr>
          <w:p w14:paraId="1A85F8B9">
            <w:pPr>
              <w:widowControl/>
              <w:jc w:val="center"/>
              <w:textAlignment w:val="center"/>
              <w:rPr>
                <w:szCs w:val="21"/>
              </w:rPr>
            </w:pPr>
            <w:r>
              <w:rPr>
                <w:rFonts w:hint="eastAsia"/>
                <w:szCs w:val="21"/>
              </w:rPr>
              <w:t>ND</w:t>
            </w:r>
          </w:p>
        </w:tc>
        <w:tc>
          <w:tcPr>
            <w:tcW w:w="811" w:type="pct"/>
            <w:vAlign w:val="center"/>
          </w:tcPr>
          <w:p w14:paraId="24785F85">
            <w:pPr>
              <w:spacing w:before="61" w:line="320" w:lineRule="exact"/>
              <w:jc w:val="center"/>
              <w:rPr>
                <w:rFonts w:eastAsiaTheme="minorEastAsia"/>
                <w:szCs w:val="21"/>
              </w:rPr>
            </w:pPr>
            <w:r>
              <w:rPr>
                <w:rFonts w:hint="eastAsia"/>
                <w:szCs w:val="21"/>
              </w:rPr>
              <w:t>ND</w:t>
            </w:r>
          </w:p>
        </w:tc>
        <w:tc>
          <w:tcPr>
            <w:tcW w:w="811" w:type="pct"/>
            <w:vAlign w:val="center"/>
          </w:tcPr>
          <w:p w14:paraId="394657E5">
            <w:pPr>
              <w:spacing w:before="61" w:line="320" w:lineRule="exact"/>
              <w:jc w:val="center"/>
              <w:rPr>
                <w:rFonts w:eastAsiaTheme="minorEastAsia"/>
                <w:szCs w:val="21"/>
              </w:rPr>
            </w:pPr>
            <w:r>
              <w:rPr>
                <w:rFonts w:eastAsiaTheme="minorEastAsia"/>
                <w:szCs w:val="21"/>
              </w:rPr>
              <w:t>53</w:t>
            </w:r>
          </w:p>
        </w:tc>
      </w:tr>
      <w:tr w14:paraId="1DB16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3C0E7D5F">
            <w:pPr>
              <w:spacing w:line="320" w:lineRule="exact"/>
              <w:jc w:val="center"/>
              <w:rPr>
                <w:rFonts w:eastAsiaTheme="minorEastAsia"/>
                <w:szCs w:val="21"/>
              </w:rPr>
            </w:pPr>
            <w:r>
              <w:rPr>
                <w:rFonts w:eastAsiaTheme="minorEastAsia"/>
                <w:szCs w:val="21"/>
              </w:rPr>
              <w:t>1,1,1-三氯乙烷（mg/kg）</w:t>
            </w:r>
          </w:p>
        </w:tc>
        <w:tc>
          <w:tcPr>
            <w:tcW w:w="1232" w:type="pct"/>
            <w:vAlign w:val="center"/>
          </w:tcPr>
          <w:p w14:paraId="1C4EE8B0">
            <w:pPr>
              <w:widowControl/>
              <w:jc w:val="center"/>
              <w:textAlignment w:val="center"/>
              <w:rPr>
                <w:szCs w:val="21"/>
              </w:rPr>
            </w:pPr>
            <w:r>
              <w:rPr>
                <w:rFonts w:hint="eastAsia"/>
                <w:szCs w:val="21"/>
              </w:rPr>
              <w:t>ND</w:t>
            </w:r>
          </w:p>
        </w:tc>
        <w:tc>
          <w:tcPr>
            <w:tcW w:w="811" w:type="pct"/>
            <w:vAlign w:val="center"/>
          </w:tcPr>
          <w:p w14:paraId="321A7A12">
            <w:pPr>
              <w:spacing w:before="61" w:line="320" w:lineRule="exact"/>
              <w:jc w:val="center"/>
              <w:rPr>
                <w:rFonts w:eastAsiaTheme="minorEastAsia"/>
                <w:szCs w:val="21"/>
              </w:rPr>
            </w:pPr>
            <w:r>
              <w:rPr>
                <w:rFonts w:hint="eastAsia"/>
                <w:szCs w:val="21"/>
              </w:rPr>
              <w:t>ND</w:t>
            </w:r>
          </w:p>
        </w:tc>
        <w:tc>
          <w:tcPr>
            <w:tcW w:w="811" w:type="pct"/>
            <w:vAlign w:val="center"/>
          </w:tcPr>
          <w:p w14:paraId="25F4A81C">
            <w:pPr>
              <w:spacing w:before="61" w:line="320" w:lineRule="exact"/>
              <w:jc w:val="center"/>
              <w:rPr>
                <w:rFonts w:eastAsiaTheme="minorEastAsia"/>
                <w:szCs w:val="21"/>
              </w:rPr>
            </w:pPr>
            <w:r>
              <w:rPr>
                <w:rFonts w:eastAsiaTheme="minorEastAsia"/>
                <w:szCs w:val="21"/>
              </w:rPr>
              <w:t>840</w:t>
            </w:r>
          </w:p>
        </w:tc>
      </w:tr>
      <w:tr w14:paraId="660E83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5DFF7DB">
            <w:pPr>
              <w:spacing w:line="320" w:lineRule="exact"/>
              <w:jc w:val="center"/>
              <w:rPr>
                <w:rFonts w:eastAsiaTheme="minorEastAsia"/>
                <w:szCs w:val="21"/>
              </w:rPr>
            </w:pPr>
            <w:r>
              <w:rPr>
                <w:rFonts w:eastAsiaTheme="minorEastAsia"/>
                <w:szCs w:val="21"/>
              </w:rPr>
              <w:t>1,1,2-三氯乙烷（mg/kg）</w:t>
            </w:r>
          </w:p>
        </w:tc>
        <w:tc>
          <w:tcPr>
            <w:tcW w:w="1232" w:type="pct"/>
            <w:vAlign w:val="center"/>
          </w:tcPr>
          <w:p w14:paraId="7C1F76A9">
            <w:pPr>
              <w:widowControl/>
              <w:jc w:val="center"/>
              <w:textAlignment w:val="center"/>
              <w:rPr>
                <w:szCs w:val="21"/>
              </w:rPr>
            </w:pPr>
            <w:r>
              <w:rPr>
                <w:rFonts w:hint="eastAsia"/>
                <w:szCs w:val="21"/>
              </w:rPr>
              <w:t>ND</w:t>
            </w:r>
          </w:p>
        </w:tc>
        <w:tc>
          <w:tcPr>
            <w:tcW w:w="811" w:type="pct"/>
            <w:vAlign w:val="center"/>
          </w:tcPr>
          <w:p w14:paraId="2A834BDA">
            <w:pPr>
              <w:spacing w:before="61" w:line="320" w:lineRule="exact"/>
              <w:ind w:left="5"/>
              <w:jc w:val="center"/>
              <w:rPr>
                <w:rFonts w:eastAsiaTheme="minorEastAsia"/>
                <w:szCs w:val="21"/>
              </w:rPr>
            </w:pPr>
            <w:r>
              <w:rPr>
                <w:rFonts w:hint="eastAsia"/>
                <w:szCs w:val="21"/>
              </w:rPr>
              <w:t>ND</w:t>
            </w:r>
          </w:p>
        </w:tc>
        <w:tc>
          <w:tcPr>
            <w:tcW w:w="811" w:type="pct"/>
            <w:vAlign w:val="center"/>
          </w:tcPr>
          <w:p w14:paraId="4243AEE4">
            <w:pPr>
              <w:spacing w:before="61" w:line="320" w:lineRule="exact"/>
              <w:ind w:left="5"/>
              <w:jc w:val="center"/>
              <w:rPr>
                <w:rFonts w:eastAsiaTheme="minorEastAsia"/>
                <w:szCs w:val="21"/>
              </w:rPr>
            </w:pPr>
            <w:r>
              <w:rPr>
                <w:rFonts w:eastAsiaTheme="minorEastAsia"/>
                <w:szCs w:val="21"/>
              </w:rPr>
              <w:t>2.8</w:t>
            </w:r>
          </w:p>
        </w:tc>
      </w:tr>
      <w:tr w14:paraId="2B5A2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883495F">
            <w:pPr>
              <w:spacing w:line="320" w:lineRule="exact"/>
              <w:jc w:val="center"/>
              <w:rPr>
                <w:rFonts w:eastAsiaTheme="minorEastAsia"/>
                <w:szCs w:val="21"/>
              </w:rPr>
            </w:pPr>
            <w:r>
              <w:rPr>
                <w:rFonts w:eastAsiaTheme="minorEastAsia"/>
                <w:szCs w:val="21"/>
              </w:rPr>
              <w:t>三氯乙烯（mg/kg）</w:t>
            </w:r>
          </w:p>
        </w:tc>
        <w:tc>
          <w:tcPr>
            <w:tcW w:w="1232" w:type="pct"/>
            <w:vAlign w:val="center"/>
          </w:tcPr>
          <w:p w14:paraId="01E48E60">
            <w:pPr>
              <w:widowControl/>
              <w:jc w:val="center"/>
              <w:rPr>
                <w:szCs w:val="21"/>
              </w:rPr>
            </w:pPr>
            <w:r>
              <w:rPr>
                <w:rFonts w:hint="eastAsia"/>
                <w:szCs w:val="21"/>
              </w:rPr>
              <w:t>ND</w:t>
            </w:r>
          </w:p>
        </w:tc>
        <w:tc>
          <w:tcPr>
            <w:tcW w:w="811" w:type="pct"/>
            <w:vAlign w:val="center"/>
          </w:tcPr>
          <w:p w14:paraId="6D7C5543">
            <w:pPr>
              <w:spacing w:before="63" w:line="320" w:lineRule="exact"/>
              <w:ind w:left="5"/>
              <w:jc w:val="center"/>
              <w:rPr>
                <w:rFonts w:eastAsiaTheme="minorEastAsia"/>
                <w:szCs w:val="21"/>
              </w:rPr>
            </w:pPr>
            <w:r>
              <w:rPr>
                <w:rFonts w:hint="eastAsia"/>
                <w:szCs w:val="21"/>
              </w:rPr>
              <w:t>ND</w:t>
            </w:r>
          </w:p>
        </w:tc>
        <w:tc>
          <w:tcPr>
            <w:tcW w:w="811" w:type="pct"/>
            <w:vAlign w:val="center"/>
          </w:tcPr>
          <w:p w14:paraId="19640EC2">
            <w:pPr>
              <w:spacing w:before="63" w:line="320" w:lineRule="exact"/>
              <w:ind w:left="5"/>
              <w:jc w:val="center"/>
              <w:rPr>
                <w:rFonts w:eastAsiaTheme="minorEastAsia"/>
                <w:szCs w:val="21"/>
              </w:rPr>
            </w:pPr>
            <w:r>
              <w:rPr>
                <w:rFonts w:eastAsiaTheme="minorEastAsia"/>
                <w:szCs w:val="21"/>
              </w:rPr>
              <w:t>2.8</w:t>
            </w:r>
          </w:p>
        </w:tc>
      </w:tr>
      <w:tr w14:paraId="129E1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8B7E9DA">
            <w:pPr>
              <w:spacing w:line="320" w:lineRule="exact"/>
              <w:jc w:val="center"/>
              <w:rPr>
                <w:rFonts w:eastAsiaTheme="minorEastAsia"/>
                <w:szCs w:val="21"/>
              </w:rPr>
            </w:pPr>
            <w:r>
              <w:rPr>
                <w:rFonts w:eastAsiaTheme="minorEastAsia"/>
                <w:szCs w:val="21"/>
              </w:rPr>
              <w:t>1,2,3-三氯丙烷（mg/kg）</w:t>
            </w:r>
          </w:p>
        </w:tc>
        <w:tc>
          <w:tcPr>
            <w:tcW w:w="1232" w:type="pct"/>
            <w:vAlign w:val="center"/>
          </w:tcPr>
          <w:p w14:paraId="314F216E">
            <w:pPr>
              <w:widowControl/>
              <w:jc w:val="center"/>
              <w:rPr>
                <w:szCs w:val="21"/>
              </w:rPr>
            </w:pPr>
            <w:r>
              <w:rPr>
                <w:rFonts w:hint="eastAsia"/>
                <w:szCs w:val="21"/>
              </w:rPr>
              <w:t>ND</w:t>
            </w:r>
          </w:p>
        </w:tc>
        <w:tc>
          <w:tcPr>
            <w:tcW w:w="811" w:type="pct"/>
            <w:vAlign w:val="center"/>
          </w:tcPr>
          <w:p w14:paraId="40CDBC2B">
            <w:pPr>
              <w:spacing w:before="63" w:line="320" w:lineRule="exact"/>
              <w:ind w:left="5"/>
              <w:jc w:val="center"/>
              <w:rPr>
                <w:rFonts w:eastAsiaTheme="minorEastAsia"/>
                <w:szCs w:val="21"/>
              </w:rPr>
            </w:pPr>
            <w:r>
              <w:rPr>
                <w:rFonts w:hint="eastAsia"/>
                <w:szCs w:val="21"/>
              </w:rPr>
              <w:t>ND</w:t>
            </w:r>
          </w:p>
        </w:tc>
        <w:tc>
          <w:tcPr>
            <w:tcW w:w="811" w:type="pct"/>
            <w:vAlign w:val="center"/>
          </w:tcPr>
          <w:p w14:paraId="2687BA71">
            <w:pPr>
              <w:spacing w:before="63" w:line="320" w:lineRule="exact"/>
              <w:ind w:left="5"/>
              <w:jc w:val="center"/>
              <w:rPr>
                <w:rFonts w:eastAsiaTheme="minorEastAsia"/>
                <w:szCs w:val="21"/>
              </w:rPr>
            </w:pPr>
            <w:r>
              <w:rPr>
                <w:rFonts w:eastAsiaTheme="minorEastAsia"/>
                <w:szCs w:val="21"/>
              </w:rPr>
              <w:t>0.5</w:t>
            </w:r>
          </w:p>
        </w:tc>
      </w:tr>
      <w:tr w14:paraId="2E0FC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26F07D6C">
            <w:pPr>
              <w:spacing w:line="320" w:lineRule="exact"/>
              <w:jc w:val="center"/>
              <w:rPr>
                <w:rFonts w:eastAsiaTheme="minorEastAsia"/>
                <w:szCs w:val="21"/>
              </w:rPr>
            </w:pPr>
            <w:r>
              <w:rPr>
                <w:rFonts w:eastAsiaTheme="minorEastAsia"/>
                <w:szCs w:val="21"/>
              </w:rPr>
              <w:t>苯（mg/kg）</w:t>
            </w:r>
          </w:p>
        </w:tc>
        <w:tc>
          <w:tcPr>
            <w:tcW w:w="1232" w:type="pct"/>
            <w:vAlign w:val="center"/>
          </w:tcPr>
          <w:p w14:paraId="466A751C">
            <w:pPr>
              <w:widowControl/>
              <w:jc w:val="center"/>
              <w:rPr>
                <w:szCs w:val="21"/>
              </w:rPr>
            </w:pPr>
            <w:r>
              <w:rPr>
                <w:rFonts w:hint="eastAsia"/>
                <w:szCs w:val="21"/>
              </w:rPr>
              <w:t>ND</w:t>
            </w:r>
          </w:p>
        </w:tc>
        <w:tc>
          <w:tcPr>
            <w:tcW w:w="811" w:type="pct"/>
            <w:vAlign w:val="center"/>
          </w:tcPr>
          <w:p w14:paraId="0FC4BC9E">
            <w:pPr>
              <w:spacing w:before="63" w:line="320" w:lineRule="exact"/>
              <w:ind w:right="1"/>
              <w:jc w:val="center"/>
              <w:rPr>
                <w:rFonts w:eastAsiaTheme="minorEastAsia"/>
                <w:szCs w:val="21"/>
              </w:rPr>
            </w:pPr>
            <w:r>
              <w:rPr>
                <w:rFonts w:hint="eastAsia"/>
                <w:szCs w:val="21"/>
              </w:rPr>
              <w:t>ND</w:t>
            </w:r>
          </w:p>
        </w:tc>
        <w:tc>
          <w:tcPr>
            <w:tcW w:w="811" w:type="pct"/>
            <w:vAlign w:val="center"/>
          </w:tcPr>
          <w:p w14:paraId="24F65B96">
            <w:pPr>
              <w:spacing w:before="63" w:line="320" w:lineRule="exact"/>
              <w:ind w:right="1"/>
              <w:jc w:val="center"/>
              <w:rPr>
                <w:rFonts w:eastAsiaTheme="minorEastAsia"/>
                <w:szCs w:val="21"/>
              </w:rPr>
            </w:pPr>
            <w:r>
              <w:rPr>
                <w:rFonts w:eastAsiaTheme="minorEastAsia"/>
                <w:szCs w:val="21"/>
              </w:rPr>
              <w:t>4</w:t>
            </w:r>
          </w:p>
        </w:tc>
      </w:tr>
      <w:tr w14:paraId="75CAD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3922C8C3">
            <w:pPr>
              <w:spacing w:line="320" w:lineRule="exact"/>
              <w:jc w:val="center"/>
              <w:rPr>
                <w:rFonts w:eastAsiaTheme="minorEastAsia"/>
                <w:szCs w:val="21"/>
              </w:rPr>
            </w:pPr>
            <w:r>
              <w:rPr>
                <w:rFonts w:eastAsiaTheme="minorEastAsia"/>
                <w:szCs w:val="21"/>
              </w:rPr>
              <w:t>氯苯（mg/kg）</w:t>
            </w:r>
          </w:p>
        </w:tc>
        <w:tc>
          <w:tcPr>
            <w:tcW w:w="1232" w:type="pct"/>
            <w:vAlign w:val="center"/>
          </w:tcPr>
          <w:p w14:paraId="60731E77">
            <w:pPr>
              <w:widowControl/>
              <w:jc w:val="center"/>
              <w:rPr>
                <w:szCs w:val="21"/>
              </w:rPr>
            </w:pPr>
            <w:r>
              <w:rPr>
                <w:rFonts w:hint="eastAsia"/>
                <w:szCs w:val="21"/>
              </w:rPr>
              <w:t>ND</w:t>
            </w:r>
          </w:p>
        </w:tc>
        <w:tc>
          <w:tcPr>
            <w:tcW w:w="811" w:type="pct"/>
            <w:vAlign w:val="center"/>
          </w:tcPr>
          <w:p w14:paraId="490B10CF">
            <w:pPr>
              <w:spacing w:before="62" w:line="320" w:lineRule="exact"/>
              <w:ind w:left="5"/>
              <w:jc w:val="center"/>
              <w:rPr>
                <w:rFonts w:eastAsiaTheme="minorEastAsia"/>
                <w:szCs w:val="21"/>
              </w:rPr>
            </w:pPr>
            <w:r>
              <w:rPr>
                <w:rFonts w:hint="eastAsia"/>
                <w:szCs w:val="21"/>
              </w:rPr>
              <w:t>ND</w:t>
            </w:r>
          </w:p>
        </w:tc>
        <w:tc>
          <w:tcPr>
            <w:tcW w:w="811" w:type="pct"/>
            <w:vAlign w:val="center"/>
          </w:tcPr>
          <w:p w14:paraId="3AA8D791">
            <w:pPr>
              <w:spacing w:before="62" w:line="320" w:lineRule="exact"/>
              <w:ind w:left="5"/>
              <w:jc w:val="center"/>
              <w:rPr>
                <w:rFonts w:eastAsiaTheme="minorEastAsia"/>
                <w:szCs w:val="21"/>
              </w:rPr>
            </w:pPr>
            <w:r>
              <w:rPr>
                <w:rFonts w:eastAsiaTheme="minorEastAsia"/>
                <w:szCs w:val="21"/>
              </w:rPr>
              <w:t>270</w:t>
            </w:r>
          </w:p>
        </w:tc>
      </w:tr>
      <w:tr w14:paraId="03C1A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1083ECF6">
            <w:pPr>
              <w:spacing w:line="320" w:lineRule="exact"/>
              <w:jc w:val="center"/>
              <w:rPr>
                <w:rFonts w:eastAsiaTheme="minorEastAsia"/>
                <w:szCs w:val="21"/>
              </w:rPr>
            </w:pPr>
            <w:r>
              <w:rPr>
                <w:rFonts w:eastAsiaTheme="minorEastAsia"/>
                <w:szCs w:val="21"/>
              </w:rPr>
              <w:t>1,2-二氯苯（mg/kg）</w:t>
            </w:r>
          </w:p>
        </w:tc>
        <w:tc>
          <w:tcPr>
            <w:tcW w:w="1232" w:type="pct"/>
            <w:vAlign w:val="center"/>
          </w:tcPr>
          <w:p w14:paraId="15BDE32B">
            <w:pPr>
              <w:widowControl/>
              <w:jc w:val="center"/>
              <w:rPr>
                <w:szCs w:val="21"/>
              </w:rPr>
            </w:pPr>
            <w:r>
              <w:rPr>
                <w:rFonts w:hint="eastAsia"/>
                <w:szCs w:val="21"/>
              </w:rPr>
              <w:t>ND</w:t>
            </w:r>
          </w:p>
        </w:tc>
        <w:tc>
          <w:tcPr>
            <w:tcW w:w="811" w:type="pct"/>
            <w:vAlign w:val="center"/>
          </w:tcPr>
          <w:p w14:paraId="6B2C9EAF">
            <w:pPr>
              <w:spacing w:before="63" w:line="320" w:lineRule="exact"/>
              <w:ind w:left="5"/>
              <w:jc w:val="center"/>
              <w:rPr>
                <w:rFonts w:eastAsiaTheme="minorEastAsia"/>
                <w:szCs w:val="21"/>
              </w:rPr>
            </w:pPr>
            <w:r>
              <w:rPr>
                <w:rFonts w:hint="eastAsia"/>
                <w:szCs w:val="21"/>
              </w:rPr>
              <w:t>ND</w:t>
            </w:r>
          </w:p>
        </w:tc>
        <w:tc>
          <w:tcPr>
            <w:tcW w:w="811" w:type="pct"/>
            <w:vAlign w:val="center"/>
          </w:tcPr>
          <w:p w14:paraId="10105D08">
            <w:pPr>
              <w:spacing w:before="63" w:line="320" w:lineRule="exact"/>
              <w:ind w:left="5"/>
              <w:jc w:val="center"/>
              <w:rPr>
                <w:rFonts w:eastAsiaTheme="minorEastAsia"/>
                <w:szCs w:val="21"/>
              </w:rPr>
            </w:pPr>
            <w:r>
              <w:rPr>
                <w:rFonts w:eastAsiaTheme="minorEastAsia"/>
                <w:szCs w:val="21"/>
              </w:rPr>
              <w:t>560</w:t>
            </w:r>
          </w:p>
        </w:tc>
      </w:tr>
      <w:tr w14:paraId="4137A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0B3CD394">
            <w:pPr>
              <w:spacing w:line="320" w:lineRule="exact"/>
              <w:jc w:val="center"/>
              <w:rPr>
                <w:rFonts w:eastAsiaTheme="minorEastAsia"/>
                <w:szCs w:val="21"/>
              </w:rPr>
            </w:pPr>
            <w:r>
              <w:rPr>
                <w:rFonts w:eastAsiaTheme="minorEastAsia"/>
                <w:szCs w:val="21"/>
              </w:rPr>
              <w:t>1,4-二氯苯（mg/kg）</w:t>
            </w:r>
          </w:p>
        </w:tc>
        <w:tc>
          <w:tcPr>
            <w:tcW w:w="1232" w:type="pct"/>
            <w:vAlign w:val="center"/>
          </w:tcPr>
          <w:p w14:paraId="7F09F8D4">
            <w:pPr>
              <w:widowControl/>
              <w:jc w:val="center"/>
              <w:rPr>
                <w:szCs w:val="21"/>
              </w:rPr>
            </w:pPr>
            <w:r>
              <w:rPr>
                <w:rFonts w:hint="eastAsia"/>
                <w:szCs w:val="21"/>
              </w:rPr>
              <w:t>ND</w:t>
            </w:r>
          </w:p>
        </w:tc>
        <w:tc>
          <w:tcPr>
            <w:tcW w:w="811" w:type="pct"/>
            <w:vAlign w:val="center"/>
          </w:tcPr>
          <w:p w14:paraId="2A7C8671">
            <w:pPr>
              <w:spacing w:before="61" w:line="320" w:lineRule="exact"/>
              <w:jc w:val="center"/>
              <w:rPr>
                <w:rFonts w:eastAsiaTheme="minorEastAsia"/>
                <w:szCs w:val="21"/>
              </w:rPr>
            </w:pPr>
            <w:r>
              <w:rPr>
                <w:rFonts w:hint="eastAsia"/>
                <w:szCs w:val="21"/>
              </w:rPr>
              <w:t>ND</w:t>
            </w:r>
          </w:p>
        </w:tc>
        <w:tc>
          <w:tcPr>
            <w:tcW w:w="811" w:type="pct"/>
            <w:vAlign w:val="center"/>
          </w:tcPr>
          <w:p w14:paraId="4EE40945">
            <w:pPr>
              <w:spacing w:before="61" w:line="320" w:lineRule="exact"/>
              <w:jc w:val="center"/>
              <w:rPr>
                <w:rFonts w:eastAsiaTheme="minorEastAsia"/>
                <w:szCs w:val="21"/>
              </w:rPr>
            </w:pPr>
            <w:r>
              <w:rPr>
                <w:rFonts w:eastAsiaTheme="minorEastAsia"/>
                <w:szCs w:val="21"/>
              </w:rPr>
              <w:t>20</w:t>
            </w:r>
          </w:p>
        </w:tc>
      </w:tr>
      <w:tr w14:paraId="39FD2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AF053A6">
            <w:pPr>
              <w:spacing w:line="320" w:lineRule="exact"/>
              <w:jc w:val="center"/>
              <w:rPr>
                <w:rFonts w:eastAsiaTheme="minorEastAsia"/>
                <w:szCs w:val="21"/>
              </w:rPr>
            </w:pPr>
            <w:r>
              <w:rPr>
                <w:rFonts w:eastAsiaTheme="minorEastAsia"/>
                <w:szCs w:val="21"/>
              </w:rPr>
              <w:t>乙苯（mg/kg）</w:t>
            </w:r>
          </w:p>
        </w:tc>
        <w:tc>
          <w:tcPr>
            <w:tcW w:w="1232" w:type="pct"/>
            <w:vAlign w:val="center"/>
          </w:tcPr>
          <w:p w14:paraId="2611BF55">
            <w:pPr>
              <w:widowControl/>
              <w:jc w:val="center"/>
              <w:rPr>
                <w:szCs w:val="21"/>
              </w:rPr>
            </w:pPr>
            <w:r>
              <w:rPr>
                <w:rFonts w:hint="eastAsia"/>
                <w:szCs w:val="21"/>
              </w:rPr>
              <w:t>ND</w:t>
            </w:r>
          </w:p>
        </w:tc>
        <w:tc>
          <w:tcPr>
            <w:tcW w:w="811" w:type="pct"/>
            <w:vAlign w:val="center"/>
          </w:tcPr>
          <w:p w14:paraId="67B71831">
            <w:pPr>
              <w:spacing w:before="61" w:line="320" w:lineRule="exact"/>
              <w:jc w:val="center"/>
              <w:rPr>
                <w:rFonts w:eastAsiaTheme="minorEastAsia"/>
                <w:szCs w:val="21"/>
              </w:rPr>
            </w:pPr>
            <w:r>
              <w:rPr>
                <w:rFonts w:hint="eastAsia"/>
                <w:szCs w:val="21"/>
              </w:rPr>
              <w:t>ND</w:t>
            </w:r>
          </w:p>
        </w:tc>
        <w:tc>
          <w:tcPr>
            <w:tcW w:w="811" w:type="pct"/>
            <w:vAlign w:val="center"/>
          </w:tcPr>
          <w:p w14:paraId="341D1695">
            <w:pPr>
              <w:spacing w:before="61" w:line="320" w:lineRule="exact"/>
              <w:jc w:val="center"/>
              <w:rPr>
                <w:rFonts w:eastAsiaTheme="minorEastAsia"/>
                <w:szCs w:val="21"/>
              </w:rPr>
            </w:pPr>
            <w:r>
              <w:rPr>
                <w:rFonts w:eastAsiaTheme="minorEastAsia"/>
                <w:szCs w:val="21"/>
              </w:rPr>
              <w:t>28</w:t>
            </w:r>
          </w:p>
        </w:tc>
      </w:tr>
      <w:tr w14:paraId="6B2E60D7">
        <w:tblPrEx>
          <w:tblCellMar>
            <w:top w:w="0" w:type="dxa"/>
            <w:left w:w="108" w:type="dxa"/>
            <w:bottom w:w="0" w:type="dxa"/>
            <w:right w:w="108" w:type="dxa"/>
          </w:tblCellMar>
        </w:tblPrEx>
        <w:trPr>
          <w:trHeight w:val="369" w:hRule="atLeast"/>
          <w:jc w:val="center"/>
        </w:trPr>
        <w:tc>
          <w:tcPr>
            <w:tcW w:w="2146" w:type="pct"/>
            <w:vAlign w:val="center"/>
          </w:tcPr>
          <w:p w14:paraId="7CF39598">
            <w:pPr>
              <w:spacing w:line="320" w:lineRule="exact"/>
              <w:jc w:val="center"/>
              <w:rPr>
                <w:rFonts w:eastAsiaTheme="minorEastAsia"/>
                <w:szCs w:val="21"/>
              </w:rPr>
            </w:pPr>
            <w:r>
              <w:rPr>
                <w:rFonts w:eastAsiaTheme="minorEastAsia"/>
                <w:szCs w:val="21"/>
              </w:rPr>
              <w:t>苯乙烯（mg/kg）</w:t>
            </w:r>
          </w:p>
        </w:tc>
        <w:tc>
          <w:tcPr>
            <w:tcW w:w="1232" w:type="pct"/>
            <w:vAlign w:val="center"/>
          </w:tcPr>
          <w:p w14:paraId="740C1152">
            <w:pPr>
              <w:widowControl/>
              <w:jc w:val="center"/>
              <w:rPr>
                <w:szCs w:val="21"/>
              </w:rPr>
            </w:pPr>
            <w:r>
              <w:rPr>
                <w:rFonts w:hint="eastAsia"/>
                <w:szCs w:val="21"/>
              </w:rPr>
              <w:t>ND</w:t>
            </w:r>
          </w:p>
        </w:tc>
        <w:tc>
          <w:tcPr>
            <w:tcW w:w="811" w:type="pct"/>
            <w:vAlign w:val="center"/>
          </w:tcPr>
          <w:p w14:paraId="7E52A0AF">
            <w:pPr>
              <w:spacing w:before="63" w:line="320" w:lineRule="exact"/>
              <w:ind w:left="5"/>
              <w:jc w:val="center"/>
              <w:rPr>
                <w:rFonts w:eastAsiaTheme="minorEastAsia"/>
                <w:szCs w:val="21"/>
              </w:rPr>
            </w:pPr>
            <w:r>
              <w:rPr>
                <w:rFonts w:hint="eastAsia"/>
                <w:szCs w:val="21"/>
              </w:rPr>
              <w:t>ND</w:t>
            </w:r>
          </w:p>
        </w:tc>
        <w:tc>
          <w:tcPr>
            <w:tcW w:w="811" w:type="pct"/>
            <w:vAlign w:val="center"/>
          </w:tcPr>
          <w:p w14:paraId="3E41A3B0">
            <w:pPr>
              <w:spacing w:before="63" w:line="320" w:lineRule="exact"/>
              <w:ind w:left="5"/>
              <w:jc w:val="center"/>
              <w:rPr>
                <w:rFonts w:eastAsiaTheme="minorEastAsia"/>
                <w:szCs w:val="21"/>
              </w:rPr>
            </w:pPr>
            <w:r>
              <w:rPr>
                <w:rFonts w:eastAsiaTheme="minorEastAsia"/>
                <w:szCs w:val="21"/>
              </w:rPr>
              <w:t>1290</w:t>
            </w:r>
          </w:p>
        </w:tc>
      </w:tr>
      <w:tr w14:paraId="4B7FF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FB29F79">
            <w:pPr>
              <w:spacing w:line="320" w:lineRule="exact"/>
              <w:jc w:val="center"/>
              <w:rPr>
                <w:rFonts w:eastAsiaTheme="minorEastAsia"/>
                <w:szCs w:val="21"/>
              </w:rPr>
            </w:pPr>
            <w:r>
              <w:rPr>
                <w:rFonts w:eastAsiaTheme="minorEastAsia"/>
                <w:szCs w:val="21"/>
              </w:rPr>
              <w:t>甲苯（mg/kg）</w:t>
            </w:r>
          </w:p>
        </w:tc>
        <w:tc>
          <w:tcPr>
            <w:tcW w:w="1232" w:type="pct"/>
            <w:vAlign w:val="center"/>
          </w:tcPr>
          <w:p w14:paraId="6D8DDEE4">
            <w:pPr>
              <w:widowControl/>
              <w:jc w:val="center"/>
              <w:rPr>
                <w:szCs w:val="21"/>
              </w:rPr>
            </w:pPr>
            <w:r>
              <w:rPr>
                <w:rFonts w:hint="eastAsia"/>
                <w:szCs w:val="21"/>
              </w:rPr>
              <w:t>ND</w:t>
            </w:r>
          </w:p>
        </w:tc>
        <w:tc>
          <w:tcPr>
            <w:tcW w:w="811" w:type="pct"/>
            <w:vAlign w:val="center"/>
          </w:tcPr>
          <w:p w14:paraId="131BD2A3">
            <w:pPr>
              <w:spacing w:before="61" w:line="320" w:lineRule="exact"/>
              <w:jc w:val="center"/>
              <w:rPr>
                <w:rFonts w:eastAsiaTheme="minorEastAsia"/>
                <w:szCs w:val="21"/>
              </w:rPr>
            </w:pPr>
            <w:r>
              <w:rPr>
                <w:rFonts w:hint="eastAsia"/>
                <w:szCs w:val="21"/>
              </w:rPr>
              <w:t>ND</w:t>
            </w:r>
          </w:p>
        </w:tc>
        <w:tc>
          <w:tcPr>
            <w:tcW w:w="811" w:type="pct"/>
            <w:vAlign w:val="center"/>
          </w:tcPr>
          <w:p w14:paraId="38AD3F38">
            <w:pPr>
              <w:spacing w:before="61" w:line="320" w:lineRule="exact"/>
              <w:jc w:val="center"/>
              <w:rPr>
                <w:rFonts w:eastAsiaTheme="minorEastAsia"/>
                <w:szCs w:val="21"/>
              </w:rPr>
            </w:pPr>
            <w:r>
              <w:rPr>
                <w:rFonts w:eastAsiaTheme="minorEastAsia"/>
                <w:szCs w:val="21"/>
              </w:rPr>
              <w:t>1200</w:t>
            </w:r>
          </w:p>
        </w:tc>
      </w:tr>
      <w:tr w14:paraId="1E8A9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68B121F9">
            <w:pPr>
              <w:spacing w:line="320" w:lineRule="exact"/>
              <w:jc w:val="center"/>
              <w:rPr>
                <w:rFonts w:eastAsiaTheme="minorEastAsia"/>
                <w:szCs w:val="21"/>
              </w:rPr>
            </w:pPr>
            <w:r>
              <w:rPr>
                <w:rFonts w:eastAsiaTheme="minorEastAsia"/>
                <w:szCs w:val="21"/>
              </w:rPr>
              <w:t>间二甲苯+对二甲苯（mg/kg）</w:t>
            </w:r>
          </w:p>
        </w:tc>
        <w:tc>
          <w:tcPr>
            <w:tcW w:w="1232" w:type="pct"/>
            <w:vAlign w:val="center"/>
          </w:tcPr>
          <w:p w14:paraId="30DF4324">
            <w:pPr>
              <w:widowControl/>
              <w:jc w:val="center"/>
              <w:rPr>
                <w:szCs w:val="21"/>
              </w:rPr>
            </w:pPr>
            <w:r>
              <w:rPr>
                <w:rFonts w:hint="eastAsia"/>
                <w:szCs w:val="21"/>
              </w:rPr>
              <w:t>ND</w:t>
            </w:r>
          </w:p>
        </w:tc>
        <w:tc>
          <w:tcPr>
            <w:tcW w:w="811" w:type="pct"/>
            <w:vAlign w:val="center"/>
          </w:tcPr>
          <w:p w14:paraId="48659418">
            <w:pPr>
              <w:spacing w:before="61" w:line="320" w:lineRule="exact"/>
              <w:jc w:val="center"/>
              <w:rPr>
                <w:rFonts w:eastAsiaTheme="minorEastAsia"/>
                <w:szCs w:val="21"/>
              </w:rPr>
            </w:pPr>
            <w:r>
              <w:rPr>
                <w:rFonts w:hint="eastAsia"/>
                <w:szCs w:val="21"/>
              </w:rPr>
              <w:t>ND</w:t>
            </w:r>
          </w:p>
        </w:tc>
        <w:tc>
          <w:tcPr>
            <w:tcW w:w="811" w:type="pct"/>
            <w:vAlign w:val="center"/>
          </w:tcPr>
          <w:p w14:paraId="07FCA4EF">
            <w:pPr>
              <w:spacing w:before="61" w:line="320" w:lineRule="exact"/>
              <w:jc w:val="center"/>
              <w:rPr>
                <w:rFonts w:eastAsiaTheme="minorEastAsia"/>
                <w:szCs w:val="21"/>
              </w:rPr>
            </w:pPr>
            <w:r>
              <w:rPr>
                <w:rFonts w:eastAsiaTheme="minorEastAsia"/>
                <w:szCs w:val="21"/>
              </w:rPr>
              <w:t>570</w:t>
            </w:r>
          </w:p>
        </w:tc>
      </w:tr>
      <w:tr w14:paraId="4F88C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45E0E72D">
            <w:pPr>
              <w:spacing w:line="320" w:lineRule="exact"/>
              <w:jc w:val="center"/>
              <w:rPr>
                <w:rFonts w:eastAsiaTheme="minorEastAsia"/>
                <w:szCs w:val="21"/>
              </w:rPr>
            </w:pPr>
            <w:r>
              <w:rPr>
                <w:rFonts w:eastAsiaTheme="minorEastAsia"/>
                <w:szCs w:val="21"/>
              </w:rPr>
              <w:t>邻二甲苯（mg/kg）</w:t>
            </w:r>
          </w:p>
        </w:tc>
        <w:tc>
          <w:tcPr>
            <w:tcW w:w="1232" w:type="pct"/>
            <w:vAlign w:val="center"/>
          </w:tcPr>
          <w:p w14:paraId="018A853E">
            <w:pPr>
              <w:widowControl/>
              <w:jc w:val="center"/>
              <w:rPr>
                <w:szCs w:val="21"/>
              </w:rPr>
            </w:pPr>
            <w:r>
              <w:rPr>
                <w:rFonts w:hint="eastAsia"/>
                <w:szCs w:val="21"/>
              </w:rPr>
              <w:t>ND</w:t>
            </w:r>
          </w:p>
        </w:tc>
        <w:tc>
          <w:tcPr>
            <w:tcW w:w="811" w:type="pct"/>
            <w:vAlign w:val="center"/>
          </w:tcPr>
          <w:p w14:paraId="6447AFF8">
            <w:pPr>
              <w:spacing w:before="63" w:line="320" w:lineRule="exact"/>
              <w:ind w:left="5"/>
              <w:jc w:val="center"/>
              <w:rPr>
                <w:rFonts w:eastAsiaTheme="minorEastAsia"/>
                <w:szCs w:val="21"/>
              </w:rPr>
            </w:pPr>
            <w:r>
              <w:rPr>
                <w:rFonts w:hint="eastAsia"/>
                <w:szCs w:val="21"/>
              </w:rPr>
              <w:t>ND</w:t>
            </w:r>
          </w:p>
        </w:tc>
        <w:tc>
          <w:tcPr>
            <w:tcW w:w="811" w:type="pct"/>
            <w:vAlign w:val="center"/>
          </w:tcPr>
          <w:p w14:paraId="14C6AB75">
            <w:pPr>
              <w:spacing w:before="63" w:line="320" w:lineRule="exact"/>
              <w:ind w:left="5"/>
              <w:jc w:val="center"/>
              <w:rPr>
                <w:rFonts w:eastAsiaTheme="minorEastAsia"/>
                <w:szCs w:val="21"/>
              </w:rPr>
            </w:pPr>
            <w:r>
              <w:rPr>
                <w:rFonts w:eastAsiaTheme="minorEastAsia"/>
                <w:szCs w:val="21"/>
              </w:rPr>
              <w:t>640</w:t>
            </w:r>
          </w:p>
        </w:tc>
      </w:tr>
      <w:tr w14:paraId="6C2E3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5E0F9B43">
            <w:pPr>
              <w:spacing w:line="320" w:lineRule="exact"/>
              <w:jc w:val="center"/>
              <w:rPr>
                <w:rFonts w:eastAsiaTheme="minorEastAsia"/>
                <w:szCs w:val="21"/>
              </w:rPr>
            </w:pPr>
            <w:r>
              <w:rPr>
                <w:rFonts w:eastAsiaTheme="minorEastAsia"/>
                <w:szCs w:val="21"/>
              </w:rPr>
              <w:t>氯乙烯（mg/kg）</w:t>
            </w:r>
          </w:p>
        </w:tc>
        <w:tc>
          <w:tcPr>
            <w:tcW w:w="1232" w:type="pct"/>
            <w:vAlign w:val="center"/>
          </w:tcPr>
          <w:p w14:paraId="7D78844A">
            <w:pPr>
              <w:widowControl/>
              <w:jc w:val="center"/>
              <w:rPr>
                <w:kern w:val="0"/>
                <w:szCs w:val="21"/>
                <w:lang w:bidi="ar"/>
              </w:rPr>
            </w:pPr>
            <w:r>
              <w:rPr>
                <w:rFonts w:hint="eastAsia"/>
                <w:szCs w:val="21"/>
              </w:rPr>
              <w:t>ND</w:t>
            </w:r>
          </w:p>
        </w:tc>
        <w:tc>
          <w:tcPr>
            <w:tcW w:w="811" w:type="pct"/>
            <w:vAlign w:val="center"/>
          </w:tcPr>
          <w:p w14:paraId="239EB54F">
            <w:pPr>
              <w:spacing w:before="61" w:line="320" w:lineRule="exact"/>
              <w:ind w:left="5"/>
              <w:jc w:val="center"/>
              <w:rPr>
                <w:rFonts w:eastAsiaTheme="minorEastAsia"/>
                <w:szCs w:val="21"/>
              </w:rPr>
            </w:pPr>
            <w:r>
              <w:rPr>
                <w:rFonts w:hint="eastAsia"/>
                <w:szCs w:val="21"/>
              </w:rPr>
              <w:t>ND</w:t>
            </w:r>
          </w:p>
        </w:tc>
        <w:tc>
          <w:tcPr>
            <w:tcW w:w="811" w:type="pct"/>
            <w:vAlign w:val="center"/>
          </w:tcPr>
          <w:p w14:paraId="7D0E1294">
            <w:pPr>
              <w:spacing w:before="61" w:line="320" w:lineRule="exact"/>
              <w:ind w:left="5"/>
              <w:jc w:val="center"/>
              <w:rPr>
                <w:rFonts w:eastAsiaTheme="minorEastAsia"/>
                <w:szCs w:val="21"/>
              </w:rPr>
            </w:pPr>
            <w:r>
              <w:rPr>
                <w:rFonts w:eastAsiaTheme="minorEastAsia"/>
                <w:szCs w:val="21"/>
              </w:rPr>
              <w:t>0.43</w:t>
            </w:r>
          </w:p>
        </w:tc>
      </w:tr>
      <w:tr w14:paraId="416A1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146" w:type="pct"/>
            <w:vAlign w:val="center"/>
          </w:tcPr>
          <w:p w14:paraId="7B391186">
            <w:pPr>
              <w:spacing w:line="320" w:lineRule="exact"/>
              <w:jc w:val="center"/>
              <w:rPr>
                <w:rFonts w:eastAsiaTheme="minorEastAsia"/>
                <w:szCs w:val="21"/>
              </w:rPr>
            </w:pPr>
            <w:r>
              <w:rPr>
                <w:rFonts w:eastAsiaTheme="minorEastAsia"/>
                <w:szCs w:val="21"/>
              </w:rPr>
              <w:t>备注</w:t>
            </w:r>
          </w:p>
        </w:tc>
        <w:tc>
          <w:tcPr>
            <w:tcW w:w="2854" w:type="pct"/>
            <w:gridSpan w:val="3"/>
            <w:vAlign w:val="center"/>
          </w:tcPr>
          <w:p w14:paraId="06CFB94C">
            <w:pPr>
              <w:spacing w:before="61" w:line="320" w:lineRule="exact"/>
              <w:rPr>
                <w:rFonts w:eastAsiaTheme="minorEastAsia"/>
                <w:szCs w:val="21"/>
              </w:rPr>
            </w:pPr>
            <w:r>
              <w:rPr>
                <w:rFonts w:hint="eastAsia" w:eastAsiaTheme="minorEastAsia"/>
                <w:szCs w:val="21"/>
              </w:rPr>
              <w:t>“ND”表示未检出。</w:t>
            </w:r>
          </w:p>
        </w:tc>
      </w:tr>
    </w:tbl>
    <w:p w14:paraId="189F8488">
      <w:pPr>
        <w:spacing w:line="360" w:lineRule="auto"/>
        <w:ind w:firstLine="422"/>
        <w:jc w:val="center"/>
        <w:rPr>
          <w:b/>
          <w:szCs w:val="21"/>
        </w:rPr>
      </w:pPr>
      <w:r>
        <w:rPr>
          <w:rFonts w:eastAsiaTheme="minorEastAsia"/>
          <w:b/>
          <w:szCs w:val="21"/>
        </w:rPr>
        <w:t>表</w:t>
      </w:r>
      <w:r>
        <w:rPr>
          <w:rFonts w:hint="eastAsia" w:eastAsiaTheme="minorEastAsia"/>
          <w:b/>
          <w:szCs w:val="21"/>
        </w:rPr>
        <w:t>3.3</w:t>
      </w:r>
      <w:r>
        <w:rPr>
          <w:rFonts w:eastAsiaTheme="minorEastAsia"/>
          <w:b/>
          <w:szCs w:val="21"/>
        </w:rPr>
        <w:t>.4-</w:t>
      </w:r>
      <w:r>
        <w:rPr>
          <w:rFonts w:hint="eastAsia" w:eastAsiaTheme="minorEastAsia"/>
          <w:b/>
          <w:szCs w:val="21"/>
        </w:rPr>
        <w:t>6</w:t>
      </w:r>
      <w:r>
        <w:rPr>
          <w:b/>
          <w:szCs w:val="21"/>
        </w:rPr>
        <w:t xml:space="preserve">  </w:t>
      </w:r>
      <w:r>
        <w:rPr>
          <w:rFonts w:hint="eastAsia"/>
          <w:b/>
          <w:szCs w:val="21"/>
        </w:rPr>
        <w:t xml:space="preserve"> 石材产业集中区农用地土壤环境质量监测结果统计表 </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1"/>
        <w:gridCol w:w="849"/>
        <w:gridCol w:w="849"/>
        <w:gridCol w:w="993"/>
        <w:gridCol w:w="993"/>
        <w:gridCol w:w="993"/>
        <w:gridCol w:w="994"/>
        <w:gridCol w:w="849"/>
        <w:gridCol w:w="1047"/>
      </w:tblGrid>
      <w:tr w14:paraId="4AA20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563" w:type="pct"/>
            <w:vMerge w:val="restart"/>
            <w:noWrap/>
            <w:vAlign w:val="center"/>
          </w:tcPr>
          <w:p w14:paraId="0ED59BF2">
            <w:pPr>
              <w:spacing w:line="320" w:lineRule="exact"/>
              <w:contextualSpacing/>
              <w:jc w:val="center"/>
              <w:rPr>
                <w:szCs w:val="21"/>
              </w:rPr>
            </w:pPr>
            <w:r>
              <w:rPr>
                <w:szCs w:val="21"/>
              </w:rPr>
              <w:t>检测项目</w:t>
            </w:r>
          </w:p>
        </w:tc>
        <w:tc>
          <w:tcPr>
            <w:tcW w:w="498" w:type="pct"/>
            <w:vMerge w:val="restart"/>
            <w:noWrap/>
            <w:vAlign w:val="center"/>
          </w:tcPr>
          <w:p w14:paraId="7E1A30BE">
            <w:pPr>
              <w:spacing w:line="320" w:lineRule="exact"/>
              <w:contextualSpacing/>
              <w:jc w:val="center"/>
              <w:rPr>
                <w:szCs w:val="21"/>
              </w:rPr>
            </w:pPr>
            <w:r>
              <w:rPr>
                <w:szCs w:val="21"/>
              </w:rPr>
              <w:t>标准限值</w:t>
            </w:r>
          </w:p>
        </w:tc>
        <w:tc>
          <w:tcPr>
            <w:tcW w:w="1662" w:type="pct"/>
            <w:gridSpan w:val="3"/>
            <w:vAlign w:val="center"/>
          </w:tcPr>
          <w:p w14:paraId="4970BEAB">
            <w:pPr>
              <w:spacing w:line="320" w:lineRule="exact"/>
              <w:contextualSpacing/>
              <w:jc w:val="center"/>
              <w:rPr>
                <w:szCs w:val="21"/>
              </w:rPr>
            </w:pPr>
            <w:r>
              <w:rPr>
                <w:szCs w:val="21"/>
              </w:rPr>
              <w:t>吴山闽商石材产业园区</w:t>
            </w:r>
          </w:p>
        </w:tc>
        <w:tc>
          <w:tcPr>
            <w:tcW w:w="582" w:type="pct"/>
            <w:vAlign w:val="center"/>
          </w:tcPr>
          <w:p w14:paraId="1F5F22C8">
            <w:pPr>
              <w:spacing w:line="320" w:lineRule="exact"/>
              <w:contextualSpacing/>
              <w:jc w:val="center"/>
              <w:rPr>
                <w:szCs w:val="21"/>
              </w:rPr>
            </w:pPr>
            <w:r>
              <w:rPr>
                <w:szCs w:val="21"/>
              </w:rPr>
              <w:t>万和石材产业园区</w:t>
            </w:r>
          </w:p>
        </w:tc>
        <w:tc>
          <w:tcPr>
            <w:tcW w:w="583" w:type="pct"/>
            <w:vAlign w:val="center"/>
          </w:tcPr>
          <w:p w14:paraId="1B845119">
            <w:pPr>
              <w:spacing w:line="320" w:lineRule="exact"/>
              <w:contextualSpacing/>
              <w:jc w:val="center"/>
              <w:rPr>
                <w:szCs w:val="21"/>
              </w:rPr>
            </w:pPr>
            <w:r>
              <w:rPr>
                <w:szCs w:val="21"/>
              </w:rPr>
              <w:t>太白顶石材产业园区</w:t>
            </w:r>
          </w:p>
        </w:tc>
        <w:tc>
          <w:tcPr>
            <w:tcW w:w="498" w:type="pct"/>
            <w:vAlign w:val="center"/>
          </w:tcPr>
          <w:p w14:paraId="5DE4BFB8">
            <w:pPr>
              <w:spacing w:line="320" w:lineRule="exact"/>
              <w:contextualSpacing/>
              <w:jc w:val="center"/>
              <w:rPr>
                <w:szCs w:val="21"/>
              </w:rPr>
            </w:pPr>
            <w:r>
              <w:rPr>
                <w:szCs w:val="21"/>
              </w:rPr>
              <w:t>草店石材产业园区</w:t>
            </w:r>
          </w:p>
        </w:tc>
        <w:tc>
          <w:tcPr>
            <w:tcW w:w="614" w:type="pct"/>
            <w:vMerge w:val="restart"/>
            <w:noWrap/>
            <w:vAlign w:val="center"/>
          </w:tcPr>
          <w:p w14:paraId="6E415446">
            <w:pPr>
              <w:spacing w:line="320" w:lineRule="exact"/>
              <w:contextualSpacing/>
              <w:jc w:val="center"/>
              <w:rPr>
                <w:szCs w:val="21"/>
              </w:rPr>
            </w:pPr>
            <w:r>
              <w:rPr>
                <w:rFonts w:hint="eastAsia"/>
                <w:szCs w:val="21"/>
              </w:rPr>
              <w:t>单位</w:t>
            </w:r>
          </w:p>
        </w:tc>
      </w:tr>
      <w:tr w14:paraId="39262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563" w:type="pct"/>
            <w:vMerge w:val="continue"/>
            <w:noWrap/>
            <w:vAlign w:val="center"/>
          </w:tcPr>
          <w:p w14:paraId="38D229B3">
            <w:pPr>
              <w:spacing w:line="320" w:lineRule="exact"/>
              <w:contextualSpacing/>
              <w:jc w:val="center"/>
              <w:rPr>
                <w:szCs w:val="21"/>
              </w:rPr>
            </w:pPr>
          </w:p>
        </w:tc>
        <w:tc>
          <w:tcPr>
            <w:tcW w:w="498" w:type="pct"/>
            <w:vMerge w:val="continue"/>
            <w:noWrap/>
            <w:vAlign w:val="center"/>
          </w:tcPr>
          <w:p w14:paraId="41502778">
            <w:pPr>
              <w:spacing w:line="320" w:lineRule="exact"/>
              <w:contextualSpacing/>
              <w:jc w:val="center"/>
              <w:rPr>
                <w:szCs w:val="21"/>
              </w:rPr>
            </w:pPr>
          </w:p>
        </w:tc>
        <w:tc>
          <w:tcPr>
            <w:tcW w:w="498" w:type="pct"/>
            <w:vAlign w:val="center"/>
          </w:tcPr>
          <w:p w14:paraId="6211C959">
            <w:pPr>
              <w:spacing w:line="320" w:lineRule="exact"/>
              <w:contextualSpacing/>
              <w:jc w:val="center"/>
              <w:rPr>
                <w:szCs w:val="21"/>
              </w:rPr>
            </w:pPr>
            <w:r>
              <w:rPr>
                <w:rFonts w:hint="eastAsia"/>
                <w:szCs w:val="21"/>
              </w:rPr>
              <w:t>T8</w:t>
            </w:r>
          </w:p>
        </w:tc>
        <w:tc>
          <w:tcPr>
            <w:tcW w:w="582" w:type="pct"/>
            <w:noWrap/>
            <w:vAlign w:val="center"/>
          </w:tcPr>
          <w:p w14:paraId="2F184E0E">
            <w:pPr>
              <w:spacing w:line="320" w:lineRule="exact"/>
              <w:contextualSpacing/>
              <w:jc w:val="center"/>
              <w:rPr>
                <w:szCs w:val="21"/>
              </w:rPr>
            </w:pPr>
            <w:r>
              <w:rPr>
                <w:rFonts w:hint="eastAsia"/>
                <w:szCs w:val="21"/>
              </w:rPr>
              <w:t>T9</w:t>
            </w:r>
          </w:p>
        </w:tc>
        <w:tc>
          <w:tcPr>
            <w:tcW w:w="582" w:type="pct"/>
            <w:vAlign w:val="center"/>
          </w:tcPr>
          <w:p w14:paraId="0E73930E">
            <w:pPr>
              <w:spacing w:line="320" w:lineRule="exact"/>
              <w:contextualSpacing/>
              <w:jc w:val="center"/>
              <w:rPr>
                <w:szCs w:val="21"/>
              </w:rPr>
            </w:pPr>
            <w:r>
              <w:rPr>
                <w:rFonts w:hint="eastAsia"/>
                <w:szCs w:val="21"/>
              </w:rPr>
              <w:t>T10</w:t>
            </w:r>
          </w:p>
        </w:tc>
        <w:tc>
          <w:tcPr>
            <w:tcW w:w="582" w:type="pct"/>
            <w:vAlign w:val="center"/>
          </w:tcPr>
          <w:p w14:paraId="1D7415ED">
            <w:pPr>
              <w:spacing w:line="320" w:lineRule="exact"/>
              <w:contextualSpacing/>
              <w:jc w:val="center"/>
              <w:rPr>
                <w:szCs w:val="21"/>
              </w:rPr>
            </w:pPr>
            <w:r>
              <w:rPr>
                <w:rFonts w:hint="eastAsia"/>
                <w:szCs w:val="21"/>
              </w:rPr>
              <w:t>T13</w:t>
            </w:r>
          </w:p>
        </w:tc>
        <w:tc>
          <w:tcPr>
            <w:tcW w:w="583" w:type="pct"/>
            <w:vAlign w:val="center"/>
          </w:tcPr>
          <w:p w14:paraId="0C613388">
            <w:pPr>
              <w:spacing w:line="320" w:lineRule="exact"/>
              <w:contextualSpacing/>
              <w:jc w:val="center"/>
              <w:rPr>
                <w:szCs w:val="21"/>
              </w:rPr>
            </w:pPr>
            <w:r>
              <w:rPr>
                <w:szCs w:val="21"/>
              </w:rPr>
              <w:t>T3</w:t>
            </w:r>
          </w:p>
        </w:tc>
        <w:tc>
          <w:tcPr>
            <w:tcW w:w="498" w:type="pct"/>
            <w:vAlign w:val="center"/>
          </w:tcPr>
          <w:p w14:paraId="460FC8AB">
            <w:pPr>
              <w:spacing w:line="320" w:lineRule="exact"/>
              <w:contextualSpacing/>
              <w:jc w:val="center"/>
              <w:rPr>
                <w:szCs w:val="21"/>
              </w:rPr>
            </w:pPr>
            <w:r>
              <w:rPr>
                <w:rFonts w:hint="eastAsia"/>
                <w:szCs w:val="21"/>
              </w:rPr>
              <w:t>T3</w:t>
            </w:r>
          </w:p>
        </w:tc>
        <w:tc>
          <w:tcPr>
            <w:tcW w:w="614" w:type="pct"/>
            <w:vMerge w:val="continue"/>
            <w:noWrap/>
            <w:vAlign w:val="center"/>
          </w:tcPr>
          <w:p w14:paraId="2F169FD6">
            <w:pPr>
              <w:spacing w:line="320" w:lineRule="exact"/>
              <w:contextualSpacing/>
              <w:jc w:val="center"/>
              <w:rPr>
                <w:szCs w:val="21"/>
              </w:rPr>
            </w:pPr>
          </w:p>
        </w:tc>
      </w:tr>
      <w:tr w14:paraId="24017B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noWrap/>
            <w:vAlign w:val="center"/>
          </w:tcPr>
          <w:p w14:paraId="52522EF9">
            <w:pPr>
              <w:spacing w:line="320" w:lineRule="exact"/>
              <w:contextualSpacing/>
              <w:jc w:val="center"/>
              <w:rPr>
                <w:szCs w:val="21"/>
              </w:rPr>
            </w:pPr>
            <w:r>
              <w:rPr>
                <w:rFonts w:hint="eastAsia"/>
                <w:szCs w:val="21"/>
              </w:rPr>
              <w:t>p</w:t>
            </w:r>
            <w:r>
              <w:rPr>
                <w:szCs w:val="21"/>
              </w:rPr>
              <w:t>H</w:t>
            </w:r>
          </w:p>
        </w:tc>
        <w:tc>
          <w:tcPr>
            <w:tcW w:w="498" w:type="pct"/>
            <w:noWrap/>
            <w:vAlign w:val="center"/>
          </w:tcPr>
          <w:p w14:paraId="742B1B8C">
            <w:pPr>
              <w:spacing w:line="320" w:lineRule="exact"/>
              <w:contextualSpacing/>
              <w:jc w:val="center"/>
              <w:rPr>
                <w:szCs w:val="21"/>
              </w:rPr>
            </w:pPr>
            <w:r>
              <w:rPr>
                <w:szCs w:val="21"/>
              </w:rPr>
              <w:t>/</w:t>
            </w:r>
          </w:p>
        </w:tc>
        <w:tc>
          <w:tcPr>
            <w:tcW w:w="498" w:type="pct"/>
            <w:vAlign w:val="center"/>
          </w:tcPr>
          <w:p w14:paraId="2E5D2EA7">
            <w:pPr>
              <w:widowControl/>
              <w:jc w:val="center"/>
              <w:rPr>
                <w:szCs w:val="21"/>
              </w:rPr>
            </w:pPr>
            <w:r>
              <w:rPr>
                <w:rFonts w:hint="eastAsia"/>
                <w:szCs w:val="21"/>
              </w:rPr>
              <w:t>7.8</w:t>
            </w:r>
          </w:p>
        </w:tc>
        <w:tc>
          <w:tcPr>
            <w:tcW w:w="582" w:type="pct"/>
            <w:noWrap/>
            <w:vAlign w:val="center"/>
          </w:tcPr>
          <w:p w14:paraId="1FBDFD17">
            <w:pPr>
              <w:jc w:val="center"/>
              <w:rPr>
                <w:szCs w:val="21"/>
              </w:rPr>
            </w:pPr>
            <w:r>
              <w:rPr>
                <w:rFonts w:hint="eastAsia"/>
                <w:szCs w:val="21"/>
              </w:rPr>
              <w:t>8.2</w:t>
            </w:r>
          </w:p>
        </w:tc>
        <w:tc>
          <w:tcPr>
            <w:tcW w:w="582" w:type="pct"/>
            <w:vAlign w:val="center"/>
          </w:tcPr>
          <w:p w14:paraId="6E576FFC">
            <w:pPr>
              <w:jc w:val="center"/>
              <w:rPr>
                <w:szCs w:val="21"/>
              </w:rPr>
            </w:pPr>
            <w:r>
              <w:rPr>
                <w:rFonts w:hint="eastAsia"/>
                <w:szCs w:val="21"/>
              </w:rPr>
              <w:t>8.4</w:t>
            </w:r>
          </w:p>
        </w:tc>
        <w:tc>
          <w:tcPr>
            <w:tcW w:w="582" w:type="pct"/>
            <w:vAlign w:val="center"/>
          </w:tcPr>
          <w:p w14:paraId="213CE8E7">
            <w:pPr>
              <w:widowControl/>
              <w:jc w:val="center"/>
              <w:rPr>
                <w:szCs w:val="21"/>
              </w:rPr>
            </w:pPr>
            <w:r>
              <w:rPr>
                <w:rFonts w:hint="eastAsia"/>
                <w:szCs w:val="21"/>
              </w:rPr>
              <w:t>8.3</w:t>
            </w:r>
          </w:p>
        </w:tc>
        <w:tc>
          <w:tcPr>
            <w:tcW w:w="583" w:type="pct"/>
            <w:vAlign w:val="center"/>
          </w:tcPr>
          <w:p w14:paraId="7FC648E3">
            <w:pPr>
              <w:widowControl/>
              <w:jc w:val="center"/>
              <w:rPr>
                <w:szCs w:val="21"/>
              </w:rPr>
            </w:pPr>
            <w:r>
              <w:rPr>
                <w:szCs w:val="21"/>
              </w:rPr>
              <w:t>8.3</w:t>
            </w:r>
          </w:p>
        </w:tc>
        <w:tc>
          <w:tcPr>
            <w:tcW w:w="498" w:type="pct"/>
            <w:vAlign w:val="center"/>
          </w:tcPr>
          <w:p w14:paraId="67D546C7">
            <w:pPr>
              <w:jc w:val="center"/>
              <w:rPr>
                <w:szCs w:val="21"/>
              </w:rPr>
            </w:pPr>
            <w:r>
              <w:rPr>
                <w:rFonts w:hint="eastAsia"/>
                <w:szCs w:val="21"/>
              </w:rPr>
              <w:t>7.9</w:t>
            </w:r>
          </w:p>
        </w:tc>
        <w:tc>
          <w:tcPr>
            <w:tcW w:w="614" w:type="pct"/>
            <w:noWrap/>
            <w:vAlign w:val="center"/>
          </w:tcPr>
          <w:p w14:paraId="0D4405E3">
            <w:pPr>
              <w:spacing w:line="320" w:lineRule="exact"/>
              <w:contextualSpacing/>
              <w:jc w:val="center"/>
              <w:rPr>
                <w:szCs w:val="21"/>
              </w:rPr>
            </w:pPr>
            <w:r>
              <w:rPr>
                <w:rFonts w:hint="eastAsia"/>
                <w:szCs w:val="21"/>
              </w:rPr>
              <w:t>无量纲</w:t>
            </w:r>
          </w:p>
        </w:tc>
      </w:tr>
      <w:tr w14:paraId="34906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4D006691">
            <w:pPr>
              <w:spacing w:line="320" w:lineRule="exact"/>
              <w:contextualSpacing/>
              <w:jc w:val="center"/>
              <w:rPr>
                <w:szCs w:val="21"/>
              </w:rPr>
            </w:pPr>
            <w:r>
              <w:rPr>
                <w:szCs w:val="21"/>
              </w:rPr>
              <w:t>砷</w:t>
            </w:r>
          </w:p>
        </w:tc>
        <w:tc>
          <w:tcPr>
            <w:tcW w:w="498" w:type="pct"/>
            <w:vAlign w:val="center"/>
          </w:tcPr>
          <w:p w14:paraId="30B0A102">
            <w:pPr>
              <w:spacing w:line="320" w:lineRule="exact"/>
              <w:contextualSpacing/>
              <w:jc w:val="center"/>
              <w:rPr>
                <w:szCs w:val="21"/>
              </w:rPr>
            </w:pPr>
            <w:r>
              <w:rPr>
                <w:rFonts w:hint="eastAsia"/>
                <w:szCs w:val="21"/>
              </w:rPr>
              <w:t>25</w:t>
            </w:r>
          </w:p>
        </w:tc>
        <w:tc>
          <w:tcPr>
            <w:tcW w:w="498" w:type="pct"/>
            <w:vAlign w:val="center"/>
          </w:tcPr>
          <w:p w14:paraId="7252EEE8">
            <w:pPr>
              <w:widowControl/>
              <w:jc w:val="center"/>
              <w:rPr>
                <w:szCs w:val="21"/>
              </w:rPr>
            </w:pPr>
            <w:r>
              <w:rPr>
                <w:rFonts w:hint="eastAsia"/>
                <w:szCs w:val="21"/>
              </w:rPr>
              <w:t>7.88</w:t>
            </w:r>
          </w:p>
        </w:tc>
        <w:tc>
          <w:tcPr>
            <w:tcW w:w="582" w:type="pct"/>
            <w:vAlign w:val="center"/>
          </w:tcPr>
          <w:p w14:paraId="59DBCB48">
            <w:pPr>
              <w:jc w:val="center"/>
              <w:rPr>
                <w:szCs w:val="21"/>
              </w:rPr>
            </w:pPr>
            <w:r>
              <w:rPr>
                <w:rFonts w:hint="eastAsia"/>
                <w:szCs w:val="21"/>
              </w:rPr>
              <w:t>7.18</w:t>
            </w:r>
          </w:p>
        </w:tc>
        <w:tc>
          <w:tcPr>
            <w:tcW w:w="582" w:type="pct"/>
            <w:vAlign w:val="center"/>
          </w:tcPr>
          <w:p w14:paraId="02217A53">
            <w:pPr>
              <w:jc w:val="center"/>
              <w:rPr>
                <w:szCs w:val="21"/>
              </w:rPr>
            </w:pPr>
            <w:r>
              <w:rPr>
                <w:rFonts w:hint="eastAsia"/>
                <w:szCs w:val="21"/>
              </w:rPr>
              <w:t>7.27</w:t>
            </w:r>
          </w:p>
        </w:tc>
        <w:tc>
          <w:tcPr>
            <w:tcW w:w="582" w:type="pct"/>
            <w:vAlign w:val="center"/>
          </w:tcPr>
          <w:p w14:paraId="493B766F">
            <w:pPr>
              <w:widowControl/>
              <w:jc w:val="center"/>
              <w:rPr>
                <w:szCs w:val="21"/>
              </w:rPr>
            </w:pPr>
            <w:r>
              <w:rPr>
                <w:rFonts w:hint="eastAsia"/>
                <w:szCs w:val="21"/>
              </w:rPr>
              <w:t>6.03</w:t>
            </w:r>
          </w:p>
        </w:tc>
        <w:tc>
          <w:tcPr>
            <w:tcW w:w="583" w:type="pct"/>
            <w:vAlign w:val="center"/>
          </w:tcPr>
          <w:p w14:paraId="5F0AC7B2">
            <w:pPr>
              <w:widowControl/>
              <w:jc w:val="center"/>
              <w:rPr>
                <w:szCs w:val="21"/>
              </w:rPr>
            </w:pPr>
            <w:r>
              <w:rPr>
                <w:szCs w:val="21"/>
              </w:rPr>
              <w:t>5.97</w:t>
            </w:r>
          </w:p>
        </w:tc>
        <w:tc>
          <w:tcPr>
            <w:tcW w:w="498" w:type="pct"/>
            <w:vAlign w:val="center"/>
          </w:tcPr>
          <w:p w14:paraId="753B27D5">
            <w:pPr>
              <w:jc w:val="center"/>
              <w:rPr>
                <w:szCs w:val="21"/>
              </w:rPr>
            </w:pPr>
            <w:r>
              <w:rPr>
                <w:rFonts w:hint="eastAsia"/>
                <w:szCs w:val="21"/>
              </w:rPr>
              <w:t>7.03</w:t>
            </w:r>
          </w:p>
        </w:tc>
        <w:tc>
          <w:tcPr>
            <w:tcW w:w="614" w:type="pct"/>
            <w:noWrap/>
            <w:vAlign w:val="center"/>
          </w:tcPr>
          <w:p w14:paraId="1B705A37">
            <w:pPr>
              <w:spacing w:line="320" w:lineRule="exact"/>
              <w:contextualSpacing/>
              <w:jc w:val="center"/>
              <w:rPr>
                <w:szCs w:val="21"/>
              </w:rPr>
            </w:pPr>
            <w:r>
              <w:rPr>
                <w:rFonts w:hint="eastAsia"/>
                <w:szCs w:val="21"/>
              </w:rPr>
              <w:t>mg/kg</w:t>
            </w:r>
          </w:p>
        </w:tc>
      </w:tr>
      <w:tr w14:paraId="2F1C4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3D01D7A2">
            <w:pPr>
              <w:spacing w:line="320" w:lineRule="exact"/>
              <w:contextualSpacing/>
              <w:jc w:val="center"/>
              <w:rPr>
                <w:szCs w:val="21"/>
              </w:rPr>
            </w:pPr>
            <w:r>
              <w:rPr>
                <w:rFonts w:hint="eastAsia"/>
                <w:szCs w:val="21"/>
              </w:rPr>
              <w:t>铬</w:t>
            </w:r>
          </w:p>
        </w:tc>
        <w:tc>
          <w:tcPr>
            <w:tcW w:w="498" w:type="pct"/>
            <w:vAlign w:val="center"/>
          </w:tcPr>
          <w:p w14:paraId="6B95DF93">
            <w:pPr>
              <w:spacing w:line="320" w:lineRule="exact"/>
              <w:contextualSpacing/>
              <w:jc w:val="center"/>
              <w:rPr>
                <w:szCs w:val="21"/>
              </w:rPr>
            </w:pPr>
            <w:r>
              <w:rPr>
                <w:rFonts w:hint="eastAsia"/>
                <w:szCs w:val="21"/>
              </w:rPr>
              <w:t>250</w:t>
            </w:r>
          </w:p>
        </w:tc>
        <w:tc>
          <w:tcPr>
            <w:tcW w:w="498" w:type="pct"/>
            <w:vAlign w:val="center"/>
          </w:tcPr>
          <w:p w14:paraId="452A6B47">
            <w:pPr>
              <w:widowControl/>
              <w:jc w:val="center"/>
              <w:rPr>
                <w:szCs w:val="21"/>
              </w:rPr>
            </w:pPr>
            <w:r>
              <w:rPr>
                <w:rFonts w:hint="eastAsia"/>
                <w:szCs w:val="21"/>
              </w:rPr>
              <w:t>43</w:t>
            </w:r>
          </w:p>
        </w:tc>
        <w:tc>
          <w:tcPr>
            <w:tcW w:w="582" w:type="pct"/>
            <w:vAlign w:val="center"/>
          </w:tcPr>
          <w:p w14:paraId="1178D7EB">
            <w:pPr>
              <w:jc w:val="center"/>
              <w:rPr>
                <w:szCs w:val="21"/>
              </w:rPr>
            </w:pPr>
            <w:r>
              <w:rPr>
                <w:rFonts w:hint="eastAsia"/>
                <w:szCs w:val="21"/>
              </w:rPr>
              <w:t>63</w:t>
            </w:r>
          </w:p>
        </w:tc>
        <w:tc>
          <w:tcPr>
            <w:tcW w:w="582" w:type="pct"/>
            <w:vAlign w:val="center"/>
          </w:tcPr>
          <w:p w14:paraId="4E9E9B61">
            <w:pPr>
              <w:jc w:val="center"/>
              <w:rPr>
                <w:szCs w:val="21"/>
              </w:rPr>
            </w:pPr>
            <w:r>
              <w:rPr>
                <w:rFonts w:hint="eastAsia"/>
                <w:szCs w:val="21"/>
              </w:rPr>
              <w:t>42</w:t>
            </w:r>
          </w:p>
        </w:tc>
        <w:tc>
          <w:tcPr>
            <w:tcW w:w="582" w:type="pct"/>
            <w:vAlign w:val="center"/>
          </w:tcPr>
          <w:p w14:paraId="14DBF2E0">
            <w:pPr>
              <w:widowControl/>
              <w:jc w:val="center"/>
              <w:rPr>
                <w:szCs w:val="21"/>
                <w:highlight w:val="yellow"/>
              </w:rPr>
            </w:pPr>
            <w:r>
              <w:rPr>
                <w:rFonts w:hint="eastAsia"/>
                <w:szCs w:val="21"/>
              </w:rPr>
              <w:t>59</w:t>
            </w:r>
          </w:p>
        </w:tc>
        <w:tc>
          <w:tcPr>
            <w:tcW w:w="583" w:type="pct"/>
            <w:vAlign w:val="center"/>
          </w:tcPr>
          <w:p w14:paraId="11A1D05A">
            <w:pPr>
              <w:widowControl/>
              <w:jc w:val="center"/>
              <w:rPr>
                <w:szCs w:val="21"/>
                <w:highlight w:val="yellow"/>
              </w:rPr>
            </w:pPr>
            <w:r>
              <w:rPr>
                <w:szCs w:val="21"/>
              </w:rPr>
              <w:t>42</w:t>
            </w:r>
          </w:p>
        </w:tc>
        <w:tc>
          <w:tcPr>
            <w:tcW w:w="498" w:type="pct"/>
            <w:vAlign w:val="center"/>
          </w:tcPr>
          <w:p w14:paraId="4ED987C8">
            <w:pPr>
              <w:jc w:val="center"/>
              <w:rPr>
                <w:szCs w:val="21"/>
              </w:rPr>
            </w:pPr>
            <w:r>
              <w:rPr>
                <w:rFonts w:hint="eastAsia"/>
                <w:szCs w:val="21"/>
              </w:rPr>
              <w:t>44</w:t>
            </w:r>
          </w:p>
        </w:tc>
        <w:tc>
          <w:tcPr>
            <w:tcW w:w="614" w:type="pct"/>
            <w:noWrap/>
            <w:vAlign w:val="center"/>
          </w:tcPr>
          <w:p w14:paraId="6BF0F886">
            <w:pPr>
              <w:spacing w:line="320" w:lineRule="exact"/>
              <w:contextualSpacing/>
              <w:jc w:val="center"/>
              <w:rPr>
                <w:szCs w:val="21"/>
              </w:rPr>
            </w:pPr>
            <w:r>
              <w:rPr>
                <w:rFonts w:hint="eastAsia"/>
                <w:szCs w:val="21"/>
              </w:rPr>
              <w:t>mg/kg</w:t>
            </w:r>
          </w:p>
        </w:tc>
      </w:tr>
      <w:tr w14:paraId="06781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309141CC">
            <w:pPr>
              <w:spacing w:line="320" w:lineRule="exact"/>
              <w:contextualSpacing/>
              <w:jc w:val="center"/>
              <w:rPr>
                <w:szCs w:val="21"/>
              </w:rPr>
            </w:pPr>
            <w:r>
              <w:rPr>
                <w:szCs w:val="21"/>
              </w:rPr>
              <w:t>镉</w:t>
            </w:r>
          </w:p>
        </w:tc>
        <w:tc>
          <w:tcPr>
            <w:tcW w:w="498" w:type="pct"/>
            <w:vAlign w:val="center"/>
          </w:tcPr>
          <w:p w14:paraId="799DB9F6">
            <w:pPr>
              <w:spacing w:line="320" w:lineRule="exact"/>
              <w:contextualSpacing/>
              <w:jc w:val="center"/>
              <w:rPr>
                <w:szCs w:val="21"/>
              </w:rPr>
            </w:pPr>
            <w:r>
              <w:rPr>
                <w:rFonts w:hint="eastAsia"/>
                <w:szCs w:val="21"/>
              </w:rPr>
              <w:t>0.6</w:t>
            </w:r>
          </w:p>
        </w:tc>
        <w:tc>
          <w:tcPr>
            <w:tcW w:w="498" w:type="pct"/>
            <w:vAlign w:val="center"/>
          </w:tcPr>
          <w:p w14:paraId="6E5561A6">
            <w:pPr>
              <w:widowControl/>
              <w:jc w:val="center"/>
              <w:rPr>
                <w:szCs w:val="21"/>
              </w:rPr>
            </w:pPr>
            <w:r>
              <w:rPr>
                <w:rFonts w:hint="eastAsia"/>
                <w:szCs w:val="21"/>
              </w:rPr>
              <w:t>0.08</w:t>
            </w:r>
          </w:p>
        </w:tc>
        <w:tc>
          <w:tcPr>
            <w:tcW w:w="582" w:type="pct"/>
            <w:vAlign w:val="center"/>
          </w:tcPr>
          <w:p w14:paraId="318ED4A4">
            <w:pPr>
              <w:jc w:val="center"/>
              <w:rPr>
                <w:szCs w:val="21"/>
              </w:rPr>
            </w:pPr>
            <w:r>
              <w:rPr>
                <w:rFonts w:hint="eastAsia"/>
                <w:szCs w:val="21"/>
              </w:rPr>
              <w:t>0.07</w:t>
            </w:r>
          </w:p>
        </w:tc>
        <w:tc>
          <w:tcPr>
            <w:tcW w:w="582" w:type="pct"/>
            <w:vAlign w:val="center"/>
          </w:tcPr>
          <w:p w14:paraId="501DD920">
            <w:pPr>
              <w:jc w:val="center"/>
              <w:rPr>
                <w:szCs w:val="21"/>
              </w:rPr>
            </w:pPr>
            <w:r>
              <w:rPr>
                <w:rFonts w:hint="eastAsia"/>
                <w:szCs w:val="21"/>
              </w:rPr>
              <w:t>0.10</w:t>
            </w:r>
          </w:p>
        </w:tc>
        <w:tc>
          <w:tcPr>
            <w:tcW w:w="582" w:type="pct"/>
            <w:vAlign w:val="center"/>
          </w:tcPr>
          <w:p w14:paraId="191E7821">
            <w:pPr>
              <w:widowControl/>
              <w:jc w:val="center"/>
              <w:rPr>
                <w:szCs w:val="21"/>
              </w:rPr>
            </w:pPr>
            <w:r>
              <w:rPr>
                <w:rFonts w:hint="eastAsia"/>
                <w:szCs w:val="21"/>
              </w:rPr>
              <w:t>0.11</w:t>
            </w:r>
          </w:p>
        </w:tc>
        <w:tc>
          <w:tcPr>
            <w:tcW w:w="583" w:type="pct"/>
            <w:vAlign w:val="center"/>
          </w:tcPr>
          <w:p w14:paraId="6C552496">
            <w:pPr>
              <w:widowControl/>
              <w:jc w:val="center"/>
              <w:rPr>
                <w:szCs w:val="21"/>
              </w:rPr>
            </w:pPr>
            <w:r>
              <w:rPr>
                <w:szCs w:val="21"/>
              </w:rPr>
              <w:t>0.10</w:t>
            </w:r>
          </w:p>
        </w:tc>
        <w:tc>
          <w:tcPr>
            <w:tcW w:w="498" w:type="pct"/>
            <w:vAlign w:val="center"/>
          </w:tcPr>
          <w:p w14:paraId="7F8B5DE8">
            <w:pPr>
              <w:jc w:val="center"/>
              <w:rPr>
                <w:szCs w:val="21"/>
                <w:highlight w:val="yellow"/>
              </w:rPr>
            </w:pPr>
            <w:r>
              <w:rPr>
                <w:rFonts w:hint="eastAsia"/>
                <w:szCs w:val="21"/>
              </w:rPr>
              <w:t>0.10</w:t>
            </w:r>
          </w:p>
        </w:tc>
        <w:tc>
          <w:tcPr>
            <w:tcW w:w="614" w:type="pct"/>
            <w:noWrap/>
            <w:vAlign w:val="center"/>
          </w:tcPr>
          <w:p w14:paraId="32F4915E">
            <w:pPr>
              <w:spacing w:line="320" w:lineRule="exact"/>
              <w:contextualSpacing/>
              <w:jc w:val="center"/>
              <w:rPr>
                <w:szCs w:val="21"/>
              </w:rPr>
            </w:pPr>
            <w:r>
              <w:rPr>
                <w:rFonts w:hint="eastAsia"/>
                <w:szCs w:val="21"/>
              </w:rPr>
              <w:t>mg/kg</w:t>
            </w:r>
          </w:p>
        </w:tc>
      </w:tr>
      <w:tr w14:paraId="686E6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6455E870">
            <w:pPr>
              <w:spacing w:line="320" w:lineRule="exact"/>
              <w:contextualSpacing/>
              <w:jc w:val="center"/>
              <w:rPr>
                <w:szCs w:val="21"/>
              </w:rPr>
            </w:pPr>
            <w:r>
              <w:rPr>
                <w:szCs w:val="21"/>
              </w:rPr>
              <w:t>铜</w:t>
            </w:r>
          </w:p>
        </w:tc>
        <w:tc>
          <w:tcPr>
            <w:tcW w:w="498" w:type="pct"/>
            <w:vAlign w:val="center"/>
          </w:tcPr>
          <w:p w14:paraId="78BB1B5D">
            <w:pPr>
              <w:spacing w:line="320" w:lineRule="exact"/>
              <w:contextualSpacing/>
              <w:jc w:val="center"/>
              <w:rPr>
                <w:szCs w:val="21"/>
              </w:rPr>
            </w:pPr>
            <w:r>
              <w:rPr>
                <w:szCs w:val="21"/>
              </w:rPr>
              <w:t>100</w:t>
            </w:r>
          </w:p>
        </w:tc>
        <w:tc>
          <w:tcPr>
            <w:tcW w:w="498" w:type="pct"/>
            <w:vAlign w:val="center"/>
          </w:tcPr>
          <w:p w14:paraId="127BFC19">
            <w:pPr>
              <w:widowControl/>
              <w:jc w:val="center"/>
              <w:rPr>
                <w:szCs w:val="21"/>
              </w:rPr>
            </w:pPr>
            <w:r>
              <w:rPr>
                <w:rFonts w:hint="eastAsia"/>
                <w:szCs w:val="21"/>
              </w:rPr>
              <w:t>23</w:t>
            </w:r>
          </w:p>
        </w:tc>
        <w:tc>
          <w:tcPr>
            <w:tcW w:w="582" w:type="pct"/>
            <w:vAlign w:val="center"/>
          </w:tcPr>
          <w:p w14:paraId="736482F7">
            <w:pPr>
              <w:jc w:val="center"/>
              <w:rPr>
                <w:szCs w:val="21"/>
              </w:rPr>
            </w:pPr>
            <w:r>
              <w:rPr>
                <w:rFonts w:hint="eastAsia"/>
                <w:szCs w:val="21"/>
              </w:rPr>
              <w:t>32</w:t>
            </w:r>
          </w:p>
        </w:tc>
        <w:tc>
          <w:tcPr>
            <w:tcW w:w="582" w:type="pct"/>
            <w:vAlign w:val="center"/>
          </w:tcPr>
          <w:p w14:paraId="4CEC87B7">
            <w:pPr>
              <w:jc w:val="center"/>
              <w:rPr>
                <w:szCs w:val="21"/>
              </w:rPr>
            </w:pPr>
            <w:r>
              <w:rPr>
                <w:rFonts w:hint="eastAsia"/>
                <w:szCs w:val="21"/>
              </w:rPr>
              <w:t>24</w:t>
            </w:r>
          </w:p>
        </w:tc>
        <w:tc>
          <w:tcPr>
            <w:tcW w:w="582" w:type="pct"/>
            <w:vAlign w:val="center"/>
          </w:tcPr>
          <w:p w14:paraId="57E208B9">
            <w:pPr>
              <w:widowControl/>
              <w:jc w:val="center"/>
              <w:rPr>
                <w:szCs w:val="21"/>
              </w:rPr>
            </w:pPr>
            <w:r>
              <w:rPr>
                <w:rFonts w:hint="eastAsia"/>
                <w:szCs w:val="21"/>
              </w:rPr>
              <w:t>22</w:t>
            </w:r>
          </w:p>
        </w:tc>
        <w:tc>
          <w:tcPr>
            <w:tcW w:w="583" w:type="pct"/>
            <w:vAlign w:val="center"/>
          </w:tcPr>
          <w:p w14:paraId="5051B7BC">
            <w:pPr>
              <w:widowControl/>
              <w:jc w:val="center"/>
              <w:rPr>
                <w:szCs w:val="21"/>
              </w:rPr>
            </w:pPr>
            <w:r>
              <w:rPr>
                <w:szCs w:val="21"/>
              </w:rPr>
              <w:t>33</w:t>
            </w:r>
          </w:p>
        </w:tc>
        <w:tc>
          <w:tcPr>
            <w:tcW w:w="498" w:type="pct"/>
            <w:vAlign w:val="center"/>
          </w:tcPr>
          <w:p w14:paraId="3F9926EE">
            <w:pPr>
              <w:jc w:val="center"/>
              <w:rPr>
                <w:szCs w:val="21"/>
              </w:rPr>
            </w:pPr>
            <w:r>
              <w:rPr>
                <w:rFonts w:hint="eastAsia"/>
                <w:szCs w:val="21"/>
              </w:rPr>
              <w:t>28</w:t>
            </w:r>
          </w:p>
        </w:tc>
        <w:tc>
          <w:tcPr>
            <w:tcW w:w="614" w:type="pct"/>
            <w:noWrap/>
            <w:vAlign w:val="center"/>
          </w:tcPr>
          <w:p w14:paraId="0A0AA3A2">
            <w:pPr>
              <w:spacing w:line="320" w:lineRule="exact"/>
              <w:contextualSpacing/>
              <w:jc w:val="center"/>
              <w:rPr>
                <w:szCs w:val="21"/>
              </w:rPr>
            </w:pPr>
            <w:r>
              <w:rPr>
                <w:rFonts w:hint="eastAsia"/>
                <w:szCs w:val="21"/>
              </w:rPr>
              <w:t>mg/kg</w:t>
            </w:r>
          </w:p>
        </w:tc>
      </w:tr>
      <w:tr w14:paraId="4E49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03F45F5A">
            <w:pPr>
              <w:spacing w:line="320" w:lineRule="exact"/>
              <w:contextualSpacing/>
              <w:jc w:val="center"/>
              <w:rPr>
                <w:szCs w:val="21"/>
              </w:rPr>
            </w:pPr>
            <w:r>
              <w:rPr>
                <w:szCs w:val="21"/>
              </w:rPr>
              <w:t>铅</w:t>
            </w:r>
          </w:p>
        </w:tc>
        <w:tc>
          <w:tcPr>
            <w:tcW w:w="498" w:type="pct"/>
            <w:vAlign w:val="center"/>
          </w:tcPr>
          <w:p w14:paraId="50BA2B91">
            <w:pPr>
              <w:spacing w:line="320" w:lineRule="exact"/>
              <w:contextualSpacing/>
              <w:jc w:val="center"/>
              <w:rPr>
                <w:szCs w:val="21"/>
              </w:rPr>
            </w:pPr>
            <w:r>
              <w:rPr>
                <w:rFonts w:hint="eastAsia"/>
                <w:szCs w:val="21"/>
              </w:rPr>
              <w:t>170</w:t>
            </w:r>
          </w:p>
        </w:tc>
        <w:tc>
          <w:tcPr>
            <w:tcW w:w="498" w:type="pct"/>
            <w:vAlign w:val="center"/>
          </w:tcPr>
          <w:p w14:paraId="3C67CD5C">
            <w:pPr>
              <w:widowControl/>
              <w:jc w:val="center"/>
              <w:textAlignment w:val="center"/>
              <w:rPr>
                <w:szCs w:val="21"/>
              </w:rPr>
            </w:pPr>
            <w:r>
              <w:rPr>
                <w:rFonts w:hint="eastAsia"/>
                <w:szCs w:val="21"/>
              </w:rPr>
              <w:t>30</w:t>
            </w:r>
          </w:p>
        </w:tc>
        <w:tc>
          <w:tcPr>
            <w:tcW w:w="582" w:type="pct"/>
            <w:vAlign w:val="center"/>
          </w:tcPr>
          <w:p w14:paraId="23FCC2CF">
            <w:pPr>
              <w:jc w:val="center"/>
              <w:textAlignment w:val="center"/>
              <w:rPr>
                <w:szCs w:val="21"/>
              </w:rPr>
            </w:pPr>
            <w:r>
              <w:rPr>
                <w:rFonts w:hint="eastAsia"/>
                <w:szCs w:val="21"/>
              </w:rPr>
              <w:t>23</w:t>
            </w:r>
          </w:p>
        </w:tc>
        <w:tc>
          <w:tcPr>
            <w:tcW w:w="582" w:type="pct"/>
            <w:vAlign w:val="center"/>
          </w:tcPr>
          <w:p w14:paraId="5CC67F53">
            <w:pPr>
              <w:jc w:val="center"/>
              <w:textAlignment w:val="center"/>
              <w:rPr>
                <w:szCs w:val="21"/>
              </w:rPr>
            </w:pPr>
            <w:r>
              <w:rPr>
                <w:rFonts w:hint="eastAsia"/>
                <w:szCs w:val="21"/>
              </w:rPr>
              <w:t>24</w:t>
            </w:r>
          </w:p>
        </w:tc>
        <w:tc>
          <w:tcPr>
            <w:tcW w:w="582" w:type="pct"/>
            <w:vAlign w:val="center"/>
          </w:tcPr>
          <w:p w14:paraId="04051102">
            <w:pPr>
              <w:widowControl/>
              <w:jc w:val="center"/>
              <w:textAlignment w:val="center"/>
              <w:rPr>
                <w:szCs w:val="21"/>
              </w:rPr>
            </w:pPr>
            <w:r>
              <w:rPr>
                <w:rFonts w:hint="eastAsia"/>
                <w:szCs w:val="21"/>
              </w:rPr>
              <w:t>23</w:t>
            </w:r>
          </w:p>
        </w:tc>
        <w:tc>
          <w:tcPr>
            <w:tcW w:w="583" w:type="pct"/>
            <w:vAlign w:val="center"/>
          </w:tcPr>
          <w:p w14:paraId="33E163A9">
            <w:pPr>
              <w:widowControl/>
              <w:jc w:val="center"/>
              <w:textAlignment w:val="center"/>
              <w:rPr>
                <w:szCs w:val="21"/>
              </w:rPr>
            </w:pPr>
            <w:r>
              <w:rPr>
                <w:szCs w:val="21"/>
              </w:rPr>
              <w:t>29</w:t>
            </w:r>
          </w:p>
        </w:tc>
        <w:tc>
          <w:tcPr>
            <w:tcW w:w="498" w:type="pct"/>
            <w:vAlign w:val="center"/>
          </w:tcPr>
          <w:p w14:paraId="7B1F5601">
            <w:pPr>
              <w:jc w:val="center"/>
              <w:rPr>
                <w:szCs w:val="21"/>
              </w:rPr>
            </w:pPr>
            <w:r>
              <w:rPr>
                <w:rFonts w:hint="eastAsia"/>
                <w:szCs w:val="21"/>
              </w:rPr>
              <w:t>29</w:t>
            </w:r>
          </w:p>
        </w:tc>
        <w:tc>
          <w:tcPr>
            <w:tcW w:w="614" w:type="pct"/>
            <w:noWrap/>
            <w:vAlign w:val="center"/>
          </w:tcPr>
          <w:p w14:paraId="2B0A4BB0">
            <w:pPr>
              <w:spacing w:line="320" w:lineRule="exact"/>
              <w:contextualSpacing/>
              <w:jc w:val="center"/>
              <w:rPr>
                <w:szCs w:val="21"/>
              </w:rPr>
            </w:pPr>
            <w:r>
              <w:rPr>
                <w:rFonts w:hint="eastAsia"/>
                <w:szCs w:val="21"/>
              </w:rPr>
              <w:t>mg/kg</w:t>
            </w:r>
          </w:p>
        </w:tc>
      </w:tr>
      <w:tr w14:paraId="1DBE9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2C982C38">
            <w:pPr>
              <w:spacing w:line="320" w:lineRule="exact"/>
              <w:contextualSpacing/>
              <w:jc w:val="center"/>
              <w:rPr>
                <w:szCs w:val="21"/>
              </w:rPr>
            </w:pPr>
            <w:r>
              <w:rPr>
                <w:szCs w:val="21"/>
              </w:rPr>
              <w:t>汞</w:t>
            </w:r>
          </w:p>
        </w:tc>
        <w:tc>
          <w:tcPr>
            <w:tcW w:w="498" w:type="pct"/>
            <w:vAlign w:val="center"/>
          </w:tcPr>
          <w:p w14:paraId="0B74413F">
            <w:pPr>
              <w:spacing w:line="320" w:lineRule="exact"/>
              <w:contextualSpacing/>
              <w:jc w:val="center"/>
              <w:rPr>
                <w:szCs w:val="21"/>
              </w:rPr>
            </w:pPr>
            <w:r>
              <w:rPr>
                <w:rFonts w:hint="eastAsia"/>
                <w:szCs w:val="21"/>
              </w:rPr>
              <w:t>3.4</w:t>
            </w:r>
          </w:p>
        </w:tc>
        <w:tc>
          <w:tcPr>
            <w:tcW w:w="498" w:type="pct"/>
            <w:vAlign w:val="center"/>
          </w:tcPr>
          <w:p w14:paraId="5931C654">
            <w:pPr>
              <w:widowControl/>
              <w:jc w:val="center"/>
              <w:textAlignment w:val="center"/>
              <w:rPr>
                <w:szCs w:val="21"/>
              </w:rPr>
            </w:pPr>
            <w:r>
              <w:rPr>
                <w:rFonts w:hint="eastAsia"/>
                <w:szCs w:val="21"/>
              </w:rPr>
              <w:t>0.028</w:t>
            </w:r>
          </w:p>
        </w:tc>
        <w:tc>
          <w:tcPr>
            <w:tcW w:w="582" w:type="pct"/>
            <w:vAlign w:val="center"/>
          </w:tcPr>
          <w:p w14:paraId="6016F8B9">
            <w:pPr>
              <w:jc w:val="center"/>
              <w:textAlignment w:val="center"/>
              <w:rPr>
                <w:szCs w:val="21"/>
              </w:rPr>
            </w:pPr>
            <w:r>
              <w:rPr>
                <w:rFonts w:hint="eastAsia"/>
                <w:szCs w:val="21"/>
              </w:rPr>
              <w:t>0.017</w:t>
            </w:r>
          </w:p>
        </w:tc>
        <w:tc>
          <w:tcPr>
            <w:tcW w:w="582" w:type="pct"/>
            <w:vAlign w:val="center"/>
          </w:tcPr>
          <w:p w14:paraId="1FFA8B40">
            <w:pPr>
              <w:jc w:val="center"/>
              <w:textAlignment w:val="center"/>
              <w:rPr>
                <w:szCs w:val="21"/>
              </w:rPr>
            </w:pPr>
            <w:r>
              <w:rPr>
                <w:rFonts w:hint="eastAsia"/>
                <w:szCs w:val="21"/>
              </w:rPr>
              <w:t>0.016</w:t>
            </w:r>
          </w:p>
        </w:tc>
        <w:tc>
          <w:tcPr>
            <w:tcW w:w="582" w:type="pct"/>
            <w:vAlign w:val="center"/>
          </w:tcPr>
          <w:p w14:paraId="6E5811F8">
            <w:pPr>
              <w:widowControl/>
              <w:jc w:val="center"/>
              <w:textAlignment w:val="center"/>
              <w:rPr>
                <w:szCs w:val="21"/>
              </w:rPr>
            </w:pPr>
            <w:r>
              <w:rPr>
                <w:rFonts w:hint="eastAsia"/>
                <w:szCs w:val="21"/>
              </w:rPr>
              <w:t>0.034</w:t>
            </w:r>
          </w:p>
        </w:tc>
        <w:tc>
          <w:tcPr>
            <w:tcW w:w="583" w:type="pct"/>
            <w:vAlign w:val="center"/>
          </w:tcPr>
          <w:p w14:paraId="7C72266F">
            <w:pPr>
              <w:widowControl/>
              <w:jc w:val="center"/>
              <w:textAlignment w:val="center"/>
              <w:rPr>
                <w:szCs w:val="21"/>
              </w:rPr>
            </w:pPr>
            <w:r>
              <w:rPr>
                <w:szCs w:val="21"/>
              </w:rPr>
              <w:t>0.042</w:t>
            </w:r>
          </w:p>
        </w:tc>
        <w:tc>
          <w:tcPr>
            <w:tcW w:w="498" w:type="pct"/>
            <w:vAlign w:val="center"/>
          </w:tcPr>
          <w:p w14:paraId="3DB6E4FC">
            <w:pPr>
              <w:jc w:val="center"/>
              <w:textAlignment w:val="center"/>
              <w:rPr>
                <w:szCs w:val="21"/>
              </w:rPr>
            </w:pPr>
            <w:r>
              <w:rPr>
                <w:rFonts w:hint="eastAsia"/>
                <w:szCs w:val="21"/>
              </w:rPr>
              <w:t>0.023</w:t>
            </w:r>
          </w:p>
        </w:tc>
        <w:tc>
          <w:tcPr>
            <w:tcW w:w="614" w:type="pct"/>
            <w:noWrap/>
            <w:vAlign w:val="center"/>
          </w:tcPr>
          <w:p w14:paraId="403C2DF6">
            <w:pPr>
              <w:spacing w:line="320" w:lineRule="exact"/>
              <w:contextualSpacing/>
              <w:jc w:val="center"/>
              <w:rPr>
                <w:szCs w:val="21"/>
              </w:rPr>
            </w:pPr>
            <w:r>
              <w:rPr>
                <w:rFonts w:hint="eastAsia"/>
                <w:szCs w:val="21"/>
              </w:rPr>
              <w:t>mg/kg</w:t>
            </w:r>
          </w:p>
        </w:tc>
      </w:tr>
      <w:tr w14:paraId="39AC0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14D9DFD7">
            <w:pPr>
              <w:spacing w:line="320" w:lineRule="exact"/>
              <w:contextualSpacing/>
              <w:jc w:val="center"/>
              <w:rPr>
                <w:szCs w:val="21"/>
              </w:rPr>
            </w:pPr>
            <w:r>
              <w:rPr>
                <w:szCs w:val="21"/>
              </w:rPr>
              <w:t>镍</w:t>
            </w:r>
          </w:p>
        </w:tc>
        <w:tc>
          <w:tcPr>
            <w:tcW w:w="498" w:type="pct"/>
            <w:vAlign w:val="center"/>
          </w:tcPr>
          <w:p w14:paraId="36B5B4F3">
            <w:pPr>
              <w:spacing w:line="320" w:lineRule="exact"/>
              <w:contextualSpacing/>
              <w:jc w:val="center"/>
              <w:rPr>
                <w:szCs w:val="21"/>
              </w:rPr>
            </w:pPr>
            <w:r>
              <w:rPr>
                <w:rFonts w:hint="eastAsia"/>
                <w:szCs w:val="21"/>
              </w:rPr>
              <w:t>190</w:t>
            </w:r>
          </w:p>
        </w:tc>
        <w:tc>
          <w:tcPr>
            <w:tcW w:w="498" w:type="pct"/>
            <w:vAlign w:val="center"/>
          </w:tcPr>
          <w:p w14:paraId="0A416898">
            <w:pPr>
              <w:widowControl/>
              <w:jc w:val="center"/>
              <w:textAlignment w:val="center"/>
              <w:rPr>
                <w:szCs w:val="21"/>
              </w:rPr>
            </w:pPr>
            <w:r>
              <w:rPr>
                <w:rFonts w:hint="eastAsia"/>
                <w:szCs w:val="21"/>
              </w:rPr>
              <w:t>38</w:t>
            </w:r>
          </w:p>
        </w:tc>
        <w:tc>
          <w:tcPr>
            <w:tcW w:w="582" w:type="pct"/>
            <w:vAlign w:val="center"/>
          </w:tcPr>
          <w:p w14:paraId="26CBFE91">
            <w:pPr>
              <w:jc w:val="center"/>
              <w:textAlignment w:val="center"/>
              <w:rPr>
                <w:szCs w:val="21"/>
              </w:rPr>
            </w:pPr>
            <w:r>
              <w:rPr>
                <w:rFonts w:hint="eastAsia"/>
                <w:szCs w:val="21"/>
              </w:rPr>
              <w:t>31</w:t>
            </w:r>
          </w:p>
        </w:tc>
        <w:tc>
          <w:tcPr>
            <w:tcW w:w="582" w:type="pct"/>
            <w:vAlign w:val="center"/>
          </w:tcPr>
          <w:p w14:paraId="5305A28D">
            <w:pPr>
              <w:jc w:val="center"/>
              <w:textAlignment w:val="center"/>
              <w:rPr>
                <w:szCs w:val="21"/>
              </w:rPr>
            </w:pPr>
            <w:r>
              <w:rPr>
                <w:rFonts w:hint="eastAsia"/>
                <w:szCs w:val="21"/>
              </w:rPr>
              <w:t>25</w:t>
            </w:r>
          </w:p>
        </w:tc>
        <w:tc>
          <w:tcPr>
            <w:tcW w:w="582" w:type="pct"/>
            <w:vAlign w:val="center"/>
          </w:tcPr>
          <w:p w14:paraId="6A083E96">
            <w:pPr>
              <w:widowControl/>
              <w:jc w:val="center"/>
              <w:textAlignment w:val="center"/>
              <w:rPr>
                <w:szCs w:val="21"/>
              </w:rPr>
            </w:pPr>
            <w:r>
              <w:rPr>
                <w:rFonts w:hint="eastAsia"/>
                <w:szCs w:val="21"/>
              </w:rPr>
              <w:t>26</w:t>
            </w:r>
          </w:p>
        </w:tc>
        <w:tc>
          <w:tcPr>
            <w:tcW w:w="583" w:type="pct"/>
            <w:vAlign w:val="center"/>
          </w:tcPr>
          <w:p w14:paraId="29EC885C">
            <w:pPr>
              <w:widowControl/>
              <w:jc w:val="center"/>
              <w:textAlignment w:val="center"/>
              <w:rPr>
                <w:szCs w:val="21"/>
              </w:rPr>
            </w:pPr>
            <w:r>
              <w:rPr>
                <w:szCs w:val="21"/>
              </w:rPr>
              <w:t>29</w:t>
            </w:r>
          </w:p>
        </w:tc>
        <w:tc>
          <w:tcPr>
            <w:tcW w:w="498" w:type="pct"/>
            <w:vAlign w:val="center"/>
          </w:tcPr>
          <w:p w14:paraId="484218B1">
            <w:pPr>
              <w:jc w:val="center"/>
              <w:textAlignment w:val="center"/>
              <w:rPr>
                <w:szCs w:val="21"/>
              </w:rPr>
            </w:pPr>
            <w:r>
              <w:rPr>
                <w:rFonts w:hint="eastAsia"/>
                <w:szCs w:val="21"/>
              </w:rPr>
              <w:t>27</w:t>
            </w:r>
          </w:p>
        </w:tc>
        <w:tc>
          <w:tcPr>
            <w:tcW w:w="614" w:type="pct"/>
            <w:noWrap/>
            <w:vAlign w:val="center"/>
          </w:tcPr>
          <w:p w14:paraId="37FC5957">
            <w:pPr>
              <w:spacing w:line="320" w:lineRule="exact"/>
              <w:contextualSpacing/>
              <w:jc w:val="center"/>
              <w:rPr>
                <w:szCs w:val="21"/>
              </w:rPr>
            </w:pPr>
            <w:r>
              <w:rPr>
                <w:rFonts w:hint="eastAsia"/>
                <w:szCs w:val="21"/>
              </w:rPr>
              <w:t>mg/kg</w:t>
            </w:r>
          </w:p>
        </w:tc>
      </w:tr>
      <w:tr w14:paraId="1927F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41A3E29C">
            <w:pPr>
              <w:spacing w:line="320" w:lineRule="exact"/>
              <w:contextualSpacing/>
              <w:jc w:val="center"/>
              <w:rPr>
                <w:szCs w:val="21"/>
              </w:rPr>
            </w:pPr>
            <w:r>
              <w:rPr>
                <w:szCs w:val="21"/>
              </w:rPr>
              <w:t>锌</w:t>
            </w:r>
          </w:p>
        </w:tc>
        <w:tc>
          <w:tcPr>
            <w:tcW w:w="498" w:type="pct"/>
            <w:vAlign w:val="center"/>
          </w:tcPr>
          <w:p w14:paraId="288B7C0F">
            <w:pPr>
              <w:spacing w:line="320" w:lineRule="exact"/>
              <w:contextualSpacing/>
              <w:jc w:val="center"/>
              <w:rPr>
                <w:szCs w:val="21"/>
              </w:rPr>
            </w:pPr>
            <w:r>
              <w:rPr>
                <w:rFonts w:hint="eastAsia"/>
                <w:szCs w:val="21"/>
              </w:rPr>
              <w:t>300</w:t>
            </w:r>
          </w:p>
        </w:tc>
        <w:tc>
          <w:tcPr>
            <w:tcW w:w="498" w:type="pct"/>
            <w:vAlign w:val="center"/>
          </w:tcPr>
          <w:p w14:paraId="4B7326DD">
            <w:pPr>
              <w:widowControl/>
              <w:jc w:val="center"/>
              <w:textAlignment w:val="center"/>
              <w:rPr>
                <w:szCs w:val="21"/>
              </w:rPr>
            </w:pPr>
            <w:r>
              <w:rPr>
                <w:rFonts w:hint="eastAsia"/>
                <w:szCs w:val="21"/>
              </w:rPr>
              <w:t>40</w:t>
            </w:r>
          </w:p>
        </w:tc>
        <w:tc>
          <w:tcPr>
            <w:tcW w:w="582" w:type="pct"/>
            <w:vAlign w:val="center"/>
          </w:tcPr>
          <w:p w14:paraId="012161F9">
            <w:pPr>
              <w:jc w:val="center"/>
              <w:textAlignment w:val="center"/>
              <w:rPr>
                <w:szCs w:val="21"/>
              </w:rPr>
            </w:pPr>
            <w:r>
              <w:rPr>
                <w:rFonts w:hint="eastAsia"/>
                <w:szCs w:val="21"/>
              </w:rPr>
              <w:t>44</w:t>
            </w:r>
          </w:p>
        </w:tc>
        <w:tc>
          <w:tcPr>
            <w:tcW w:w="582" w:type="pct"/>
            <w:vAlign w:val="center"/>
          </w:tcPr>
          <w:p w14:paraId="3F6EA3E7">
            <w:pPr>
              <w:jc w:val="center"/>
              <w:textAlignment w:val="center"/>
              <w:rPr>
                <w:szCs w:val="21"/>
              </w:rPr>
            </w:pPr>
            <w:r>
              <w:rPr>
                <w:rFonts w:hint="eastAsia"/>
                <w:szCs w:val="21"/>
              </w:rPr>
              <w:t>38</w:t>
            </w:r>
          </w:p>
        </w:tc>
        <w:tc>
          <w:tcPr>
            <w:tcW w:w="582" w:type="pct"/>
            <w:vAlign w:val="center"/>
          </w:tcPr>
          <w:p w14:paraId="7ECADD65">
            <w:pPr>
              <w:widowControl/>
              <w:jc w:val="center"/>
              <w:textAlignment w:val="center"/>
              <w:rPr>
                <w:szCs w:val="21"/>
              </w:rPr>
            </w:pPr>
            <w:r>
              <w:rPr>
                <w:rFonts w:hint="eastAsia"/>
                <w:szCs w:val="21"/>
              </w:rPr>
              <w:t>32</w:t>
            </w:r>
          </w:p>
        </w:tc>
        <w:tc>
          <w:tcPr>
            <w:tcW w:w="583" w:type="pct"/>
            <w:vAlign w:val="center"/>
          </w:tcPr>
          <w:p w14:paraId="43811DB2">
            <w:pPr>
              <w:widowControl/>
              <w:jc w:val="center"/>
              <w:textAlignment w:val="center"/>
              <w:rPr>
                <w:szCs w:val="21"/>
              </w:rPr>
            </w:pPr>
            <w:r>
              <w:rPr>
                <w:szCs w:val="21"/>
              </w:rPr>
              <w:t>52</w:t>
            </w:r>
          </w:p>
        </w:tc>
        <w:tc>
          <w:tcPr>
            <w:tcW w:w="498" w:type="pct"/>
            <w:vAlign w:val="center"/>
          </w:tcPr>
          <w:p w14:paraId="26CAACAC">
            <w:pPr>
              <w:jc w:val="center"/>
              <w:textAlignment w:val="center"/>
              <w:rPr>
                <w:szCs w:val="21"/>
              </w:rPr>
            </w:pPr>
            <w:r>
              <w:rPr>
                <w:rFonts w:hint="eastAsia"/>
                <w:szCs w:val="21"/>
              </w:rPr>
              <w:t>43</w:t>
            </w:r>
          </w:p>
        </w:tc>
        <w:tc>
          <w:tcPr>
            <w:tcW w:w="614" w:type="pct"/>
            <w:noWrap/>
            <w:vAlign w:val="center"/>
          </w:tcPr>
          <w:p w14:paraId="5CC7A917">
            <w:pPr>
              <w:spacing w:line="320" w:lineRule="exact"/>
              <w:contextualSpacing/>
              <w:jc w:val="center"/>
              <w:rPr>
                <w:szCs w:val="21"/>
              </w:rPr>
            </w:pPr>
            <w:r>
              <w:rPr>
                <w:rFonts w:hint="eastAsia"/>
                <w:szCs w:val="21"/>
              </w:rPr>
              <w:t>mg/kg</w:t>
            </w:r>
          </w:p>
        </w:tc>
      </w:tr>
      <w:tr w14:paraId="0CC1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563" w:type="pct"/>
            <w:vAlign w:val="center"/>
          </w:tcPr>
          <w:p w14:paraId="1F011318">
            <w:pPr>
              <w:spacing w:line="320" w:lineRule="exact"/>
              <w:contextualSpacing/>
              <w:jc w:val="center"/>
              <w:rPr>
                <w:szCs w:val="21"/>
              </w:rPr>
            </w:pPr>
            <w:r>
              <w:rPr>
                <w:szCs w:val="21"/>
              </w:rPr>
              <w:t>石油烃</w:t>
            </w:r>
          </w:p>
        </w:tc>
        <w:tc>
          <w:tcPr>
            <w:tcW w:w="498" w:type="pct"/>
            <w:vAlign w:val="center"/>
          </w:tcPr>
          <w:p w14:paraId="05CC881A">
            <w:pPr>
              <w:spacing w:line="320" w:lineRule="exact"/>
              <w:contextualSpacing/>
              <w:jc w:val="center"/>
              <w:rPr>
                <w:szCs w:val="21"/>
              </w:rPr>
            </w:pPr>
            <w:r>
              <w:rPr>
                <w:rFonts w:hint="eastAsia"/>
                <w:szCs w:val="21"/>
              </w:rPr>
              <w:t>/</w:t>
            </w:r>
          </w:p>
        </w:tc>
        <w:tc>
          <w:tcPr>
            <w:tcW w:w="498" w:type="pct"/>
            <w:vAlign w:val="center"/>
          </w:tcPr>
          <w:p w14:paraId="6A675D4C">
            <w:pPr>
              <w:widowControl/>
              <w:jc w:val="center"/>
              <w:textAlignment w:val="center"/>
              <w:rPr>
                <w:szCs w:val="21"/>
              </w:rPr>
            </w:pPr>
            <w:r>
              <w:rPr>
                <w:rFonts w:hint="eastAsia"/>
                <w:szCs w:val="21"/>
              </w:rPr>
              <w:t>7</w:t>
            </w:r>
          </w:p>
        </w:tc>
        <w:tc>
          <w:tcPr>
            <w:tcW w:w="582" w:type="pct"/>
            <w:vAlign w:val="center"/>
          </w:tcPr>
          <w:p w14:paraId="6FB7F798">
            <w:pPr>
              <w:jc w:val="center"/>
              <w:textAlignment w:val="center"/>
              <w:rPr>
                <w:szCs w:val="21"/>
              </w:rPr>
            </w:pPr>
            <w:r>
              <w:rPr>
                <w:rFonts w:hint="eastAsia"/>
                <w:szCs w:val="21"/>
              </w:rPr>
              <w:t>未检出</w:t>
            </w:r>
          </w:p>
        </w:tc>
        <w:tc>
          <w:tcPr>
            <w:tcW w:w="582" w:type="pct"/>
            <w:vAlign w:val="center"/>
          </w:tcPr>
          <w:p w14:paraId="38C11760">
            <w:pPr>
              <w:jc w:val="center"/>
              <w:textAlignment w:val="center"/>
              <w:rPr>
                <w:szCs w:val="21"/>
              </w:rPr>
            </w:pPr>
            <w:r>
              <w:rPr>
                <w:rFonts w:hint="eastAsia"/>
                <w:szCs w:val="21"/>
              </w:rPr>
              <w:t>未检出</w:t>
            </w:r>
          </w:p>
        </w:tc>
        <w:tc>
          <w:tcPr>
            <w:tcW w:w="582" w:type="pct"/>
            <w:vAlign w:val="center"/>
          </w:tcPr>
          <w:p w14:paraId="3C3B85AB">
            <w:pPr>
              <w:widowControl/>
              <w:jc w:val="center"/>
              <w:textAlignment w:val="center"/>
              <w:rPr>
                <w:szCs w:val="21"/>
              </w:rPr>
            </w:pPr>
            <w:r>
              <w:rPr>
                <w:rFonts w:hint="eastAsia"/>
                <w:szCs w:val="21"/>
              </w:rPr>
              <w:t>10</w:t>
            </w:r>
          </w:p>
        </w:tc>
        <w:tc>
          <w:tcPr>
            <w:tcW w:w="583" w:type="pct"/>
            <w:vAlign w:val="center"/>
          </w:tcPr>
          <w:p w14:paraId="11F5E1D5">
            <w:pPr>
              <w:widowControl/>
              <w:jc w:val="center"/>
              <w:textAlignment w:val="center"/>
              <w:rPr>
                <w:szCs w:val="21"/>
              </w:rPr>
            </w:pPr>
            <w:r>
              <w:rPr>
                <w:rFonts w:hint="eastAsia"/>
                <w:szCs w:val="21"/>
              </w:rPr>
              <w:t>未检出</w:t>
            </w:r>
          </w:p>
        </w:tc>
        <w:tc>
          <w:tcPr>
            <w:tcW w:w="498" w:type="pct"/>
            <w:vAlign w:val="center"/>
          </w:tcPr>
          <w:p w14:paraId="3627300A">
            <w:pPr>
              <w:jc w:val="center"/>
              <w:textAlignment w:val="center"/>
              <w:rPr>
                <w:szCs w:val="21"/>
              </w:rPr>
            </w:pPr>
            <w:r>
              <w:rPr>
                <w:rFonts w:hint="eastAsia"/>
                <w:szCs w:val="21"/>
              </w:rPr>
              <w:t>未检出</w:t>
            </w:r>
          </w:p>
        </w:tc>
        <w:tc>
          <w:tcPr>
            <w:tcW w:w="614" w:type="pct"/>
            <w:noWrap/>
            <w:vAlign w:val="center"/>
          </w:tcPr>
          <w:p w14:paraId="47466CD6">
            <w:pPr>
              <w:spacing w:line="320" w:lineRule="exact"/>
              <w:contextualSpacing/>
              <w:jc w:val="center"/>
              <w:rPr>
                <w:szCs w:val="21"/>
              </w:rPr>
            </w:pPr>
            <w:r>
              <w:rPr>
                <w:rFonts w:hint="eastAsia"/>
                <w:szCs w:val="21"/>
              </w:rPr>
              <w:t>mg/kg</w:t>
            </w:r>
          </w:p>
        </w:tc>
      </w:tr>
    </w:tbl>
    <w:p w14:paraId="2E67CA01">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由上表可知，</w:t>
      </w:r>
      <w:r>
        <w:rPr>
          <w:rFonts w:hint="eastAsia" w:eastAsiaTheme="minorEastAsia"/>
          <w:kern w:val="20"/>
          <w:sz w:val="24"/>
        </w:rPr>
        <w:t>规划石材产业集中区域</w:t>
      </w:r>
      <w:r>
        <w:rPr>
          <w:rFonts w:eastAsiaTheme="minorEastAsia"/>
          <w:kern w:val="20"/>
          <w:sz w:val="24"/>
        </w:rPr>
        <w:t>建设用地中各监测因子满足《土壤环境质量 建设用地土壤污染风险管控标准》（GB36600-2018）第二类筛选值标准，</w:t>
      </w:r>
      <w:r>
        <w:rPr>
          <w:rFonts w:hint="eastAsia" w:eastAsiaTheme="minorEastAsia"/>
          <w:kern w:val="20"/>
          <w:sz w:val="24"/>
        </w:rPr>
        <w:t>农用地各监测点位土壤环境质量满足《土壤环境质量  农用地土壤污染风险管控标准》（GB15618-2018）中风险筛选值</w:t>
      </w:r>
      <w:r>
        <w:rPr>
          <w:rFonts w:eastAsiaTheme="minorEastAsia"/>
          <w:kern w:val="20"/>
          <w:sz w:val="24"/>
        </w:rPr>
        <w:t>。</w:t>
      </w:r>
    </w:p>
    <w:p w14:paraId="56363EFF">
      <w:pPr>
        <w:keepNext/>
        <w:keepLines/>
        <w:widowControl/>
        <w:numPr>
          <w:ilvl w:val="2"/>
          <w:numId w:val="1"/>
        </w:numPr>
        <w:spacing w:before="120" w:after="120" w:line="360" w:lineRule="auto"/>
        <w:jc w:val="left"/>
        <w:outlineLvl w:val="2"/>
        <w:rPr>
          <w:rFonts w:eastAsiaTheme="minorEastAsia"/>
          <w:b/>
          <w:bCs/>
          <w:sz w:val="24"/>
        </w:rPr>
      </w:pPr>
      <w:bookmarkStart w:id="117" w:name="_Toc206494951"/>
      <w:r>
        <w:rPr>
          <w:rFonts w:hint="eastAsia" w:eastAsiaTheme="minorEastAsia"/>
          <w:b/>
          <w:bCs/>
          <w:sz w:val="24"/>
        </w:rPr>
        <w:t>噪声环境质量现状调查与评价</w:t>
      </w:r>
      <w:bookmarkEnd w:id="117"/>
    </w:p>
    <w:p w14:paraId="7B90BA25">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（1）监测布点</w:t>
      </w:r>
    </w:p>
    <w:p w14:paraId="3F6B9591">
      <w:pPr>
        <w:pStyle w:val="35"/>
        <w:spacing w:after="0" w:line="360" w:lineRule="auto"/>
        <w:ind w:left="0" w:leftChars="0" w:firstLine="480" w:firstLineChars="200"/>
        <w:contextualSpacing/>
        <w:rPr>
          <w:rFonts w:eastAsiaTheme="minorEastAsia"/>
          <w:kern w:val="20"/>
          <w:sz w:val="24"/>
        </w:rPr>
      </w:pPr>
      <w:r>
        <w:rPr>
          <w:rFonts w:hint="eastAsia" w:eastAsiaTheme="minorEastAsia"/>
          <w:kern w:val="20"/>
          <w:sz w:val="24"/>
        </w:rPr>
        <w:t>本次评价</w:t>
      </w:r>
      <w:r>
        <w:rPr>
          <w:rFonts w:eastAsiaTheme="minorEastAsia"/>
          <w:kern w:val="20"/>
          <w:sz w:val="24"/>
        </w:rPr>
        <w:t>委托</w:t>
      </w:r>
      <w:r>
        <w:rPr>
          <w:rFonts w:hint="eastAsia" w:ascii="宋体" w:cs="宋体" w:hAnsiTheme="minorHAnsi"/>
          <w:kern w:val="0"/>
          <w:sz w:val="24"/>
        </w:rPr>
        <w:t>湖北华钧检测有限公司</w:t>
      </w:r>
      <w:r>
        <w:rPr>
          <w:rFonts w:eastAsiaTheme="minorEastAsia"/>
          <w:kern w:val="20"/>
          <w:sz w:val="24"/>
        </w:rPr>
        <w:t>对</w:t>
      </w:r>
      <w:r>
        <w:rPr>
          <w:rFonts w:hint="eastAsia" w:eastAsiaTheme="minorEastAsia"/>
          <w:kern w:val="20"/>
          <w:sz w:val="24"/>
        </w:rPr>
        <w:t>生产加工集聚区的四个加工组团</w:t>
      </w:r>
      <w:r>
        <w:rPr>
          <w:rFonts w:eastAsiaTheme="minorEastAsia"/>
          <w:kern w:val="20"/>
          <w:sz w:val="24"/>
        </w:rPr>
        <w:t>所在区域声环境进行了实测，</w:t>
      </w:r>
      <w:r>
        <w:rPr>
          <w:rFonts w:hint="eastAsia" w:eastAsiaTheme="minorEastAsia"/>
          <w:kern w:val="20"/>
          <w:sz w:val="24"/>
        </w:rPr>
        <w:t>主要为吴山石材产业园、万和石材产业园、草店石材产业园和太白顶石材产业园四个加工组团，</w:t>
      </w:r>
      <w:r>
        <w:rPr>
          <w:rFonts w:eastAsiaTheme="minorEastAsia"/>
          <w:kern w:val="20"/>
          <w:sz w:val="24"/>
        </w:rPr>
        <w:t>区域环境噪声监测点位见下表。</w:t>
      </w:r>
    </w:p>
    <w:p w14:paraId="0C30C4DD">
      <w:pPr>
        <w:widowControl/>
        <w:spacing w:line="360" w:lineRule="auto"/>
        <w:ind w:firstLine="422" w:firstLineChars="200"/>
        <w:contextualSpacing/>
        <w:jc w:val="center"/>
        <w:rPr>
          <w:rFonts w:eastAsiaTheme="minorEastAsia"/>
          <w:b/>
          <w:kern w:val="0"/>
          <w:szCs w:val="21"/>
        </w:rPr>
      </w:pPr>
      <w:r>
        <w:rPr>
          <w:rFonts w:eastAsiaTheme="minorEastAsia"/>
          <w:b/>
          <w:kern w:val="0"/>
          <w:szCs w:val="21"/>
        </w:rPr>
        <w:t>表</w:t>
      </w:r>
      <w:r>
        <w:rPr>
          <w:rFonts w:hint="eastAsia" w:eastAsiaTheme="minorEastAsia"/>
          <w:b/>
          <w:kern w:val="0"/>
          <w:szCs w:val="21"/>
        </w:rPr>
        <w:t>3.3</w:t>
      </w:r>
      <w:r>
        <w:rPr>
          <w:rFonts w:eastAsiaTheme="minorEastAsia"/>
          <w:b/>
          <w:kern w:val="0"/>
          <w:szCs w:val="21"/>
        </w:rPr>
        <w:t>.5-1  规划区域环境噪声监测点位布设情况</w:t>
      </w:r>
    </w:p>
    <w:tbl>
      <w:tblPr>
        <w:tblStyle w:val="88"/>
        <w:tblW w:w="50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378"/>
        <w:gridCol w:w="2636"/>
        <w:gridCol w:w="1700"/>
        <w:gridCol w:w="1798"/>
      </w:tblGrid>
      <w:tr w14:paraId="12B9F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Align w:val="center"/>
          </w:tcPr>
          <w:p w14:paraId="40783EB5">
            <w:pPr>
              <w:spacing w:line="360" w:lineRule="exact"/>
              <w:jc w:val="center"/>
              <w:rPr>
                <w:b/>
                <w:bCs/>
                <w:caps/>
                <w:szCs w:val="21"/>
              </w:rPr>
            </w:pPr>
            <w:r>
              <w:rPr>
                <w:b/>
                <w:bCs/>
                <w:caps/>
                <w:szCs w:val="21"/>
              </w:rPr>
              <w:t>园区位置</w:t>
            </w:r>
          </w:p>
        </w:tc>
        <w:tc>
          <w:tcPr>
            <w:tcW w:w="800" w:type="pct"/>
            <w:vAlign w:val="center"/>
          </w:tcPr>
          <w:p w14:paraId="4169CBBF">
            <w:pPr>
              <w:spacing w:line="360" w:lineRule="exact"/>
              <w:jc w:val="center"/>
              <w:rPr>
                <w:b/>
                <w:bCs/>
                <w:caps/>
                <w:szCs w:val="21"/>
              </w:rPr>
            </w:pPr>
            <w:r>
              <w:rPr>
                <w:b/>
                <w:bCs/>
                <w:caps/>
                <w:szCs w:val="21"/>
              </w:rPr>
              <w:t>点位编号</w:t>
            </w:r>
          </w:p>
        </w:tc>
        <w:tc>
          <w:tcPr>
            <w:tcW w:w="1530" w:type="pct"/>
            <w:vAlign w:val="center"/>
          </w:tcPr>
          <w:p w14:paraId="4CD28E5D">
            <w:pPr>
              <w:spacing w:line="360" w:lineRule="exact"/>
              <w:jc w:val="center"/>
              <w:rPr>
                <w:b/>
                <w:bCs/>
                <w:caps/>
                <w:szCs w:val="21"/>
              </w:rPr>
            </w:pPr>
            <w:r>
              <w:rPr>
                <w:rFonts w:hint="eastAsia"/>
                <w:b/>
                <w:bCs/>
                <w:caps/>
                <w:szCs w:val="21"/>
              </w:rPr>
              <w:t>点位</w:t>
            </w:r>
            <w:r>
              <w:rPr>
                <w:b/>
                <w:bCs/>
                <w:caps/>
                <w:szCs w:val="21"/>
              </w:rPr>
              <w:t>名称</w:t>
            </w:r>
          </w:p>
        </w:tc>
        <w:tc>
          <w:tcPr>
            <w:tcW w:w="987" w:type="pct"/>
            <w:vAlign w:val="center"/>
          </w:tcPr>
          <w:p w14:paraId="20BC7BFD">
            <w:pPr>
              <w:spacing w:line="360" w:lineRule="exact"/>
              <w:jc w:val="center"/>
              <w:rPr>
                <w:b/>
                <w:bCs/>
                <w:caps/>
                <w:szCs w:val="21"/>
              </w:rPr>
            </w:pPr>
            <w:r>
              <w:rPr>
                <w:b/>
                <w:bCs/>
                <w:caps/>
                <w:szCs w:val="21"/>
              </w:rPr>
              <w:t>点位描述</w:t>
            </w:r>
          </w:p>
        </w:tc>
        <w:tc>
          <w:tcPr>
            <w:tcW w:w="1044" w:type="pct"/>
            <w:vAlign w:val="center"/>
          </w:tcPr>
          <w:p w14:paraId="349F61C9">
            <w:pPr>
              <w:spacing w:line="360" w:lineRule="exact"/>
              <w:jc w:val="center"/>
              <w:rPr>
                <w:b/>
                <w:bCs/>
                <w:caps/>
                <w:szCs w:val="21"/>
              </w:rPr>
            </w:pPr>
            <w:r>
              <w:rPr>
                <w:b/>
                <w:bCs/>
                <w:caps/>
                <w:szCs w:val="21"/>
              </w:rPr>
              <w:t>监测内容</w:t>
            </w:r>
          </w:p>
        </w:tc>
      </w:tr>
      <w:tr w14:paraId="5A98A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restart"/>
            <w:tcBorders>
              <w:right w:val="single" w:color="auto" w:sz="4" w:space="0"/>
            </w:tcBorders>
            <w:vAlign w:val="center"/>
          </w:tcPr>
          <w:p w14:paraId="7E3FF05E">
            <w:pPr>
              <w:jc w:val="center"/>
            </w:pPr>
            <w:r>
              <w:rPr>
                <w:szCs w:val="21"/>
              </w:rPr>
              <w:t>吴山闽商石材</w:t>
            </w:r>
          </w:p>
          <w:p w14:paraId="18EF3EFC">
            <w:pPr>
              <w:jc w:val="center"/>
            </w:pPr>
            <w:r>
              <w:rPr>
                <w:szCs w:val="21"/>
              </w:rPr>
              <w:t>产业园</w:t>
            </w:r>
          </w:p>
        </w:tc>
        <w:tc>
          <w:tcPr>
            <w:tcW w:w="800" w:type="pct"/>
            <w:tcBorders>
              <w:left w:val="single" w:color="auto" w:sz="4" w:space="0"/>
            </w:tcBorders>
            <w:vAlign w:val="center"/>
          </w:tcPr>
          <w:p w14:paraId="29478BCE">
            <w:pPr>
              <w:jc w:val="center"/>
            </w:pPr>
            <w:r>
              <w:rPr>
                <w:szCs w:val="21"/>
              </w:rPr>
              <w:t>N</w:t>
            </w:r>
            <w:r>
              <w:rPr>
                <w:rFonts w:hint="eastAsia"/>
                <w:szCs w:val="21"/>
              </w:rPr>
              <w:t>5</w:t>
            </w:r>
          </w:p>
        </w:tc>
        <w:tc>
          <w:tcPr>
            <w:tcW w:w="1530" w:type="pct"/>
            <w:vAlign w:val="center"/>
          </w:tcPr>
          <w:p w14:paraId="65B99644">
            <w:pPr>
              <w:adjustRightInd w:val="0"/>
              <w:snapToGrid w:val="0"/>
              <w:spacing w:line="360" w:lineRule="exact"/>
              <w:ind w:left="-28"/>
              <w:jc w:val="center"/>
              <w:rPr>
                <w:szCs w:val="21"/>
              </w:rPr>
            </w:pPr>
            <w:r>
              <w:rPr>
                <w:szCs w:val="21"/>
              </w:rPr>
              <w:t>园区</w:t>
            </w:r>
            <w:r>
              <w:rPr>
                <w:rFonts w:hint="eastAsia"/>
                <w:szCs w:val="21"/>
              </w:rPr>
              <w:t>东南侧界外1m处交通噪声</w:t>
            </w:r>
          </w:p>
        </w:tc>
        <w:tc>
          <w:tcPr>
            <w:tcW w:w="987" w:type="pct"/>
            <w:vAlign w:val="center"/>
          </w:tcPr>
          <w:p w14:paraId="26ACC157">
            <w:pPr>
              <w:spacing w:line="360" w:lineRule="exact"/>
              <w:jc w:val="center"/>
              <w:rPr>
                <w:szCs w:val="21"/>
              </w:rPr>
            </w:pPr>
            <w:r>
              <w:rPr>
                <w:rFonts w:hint="eastAsia"/>
                <w:szCs w:val="21"/>
              </w:rPr>
              <w:t>交通噪声</w:t>
            </w:r>
          </w:p>
        </w:tc>
        <w:tc>
          <w:tcPr>
            <w:tcW w:w="1044" w:type="pct"/>
            <w:vMerge w:val="restart"/>
            <w:vAlign w:val="center"/>
          </w:tcPr>
          <w:p w14:paraId="7D905731">
            <w:pPr>
              <w:spacing w:line="360" w:lineRule="exact"/>
              <w:jc w:val="center"/>
              <w:rPr>
                <w:szCs w:val="21"/>
              </w:rPr>
            </w:pPr>
            <w:r>
              <w:rPr>
                <w:szCs w:val="21"/>
              </w:rPr>
              <w:t>等效连续A声级（LAeq）</w:t>
            </w:r>
          </w:p>
        </w:tc>
      </w:tr>
      <w:tr w14:paraId="2C6A2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tcBorders>
              <w:right w:val="single" w:color="auto" w:sz="4" w:space="0"/>
            </w:tcBorders>
            <w:vAlign w:val="center"/>
          </w:tcPr>
          <w:p w14:paraId="2FFB75C9">
            <w:pPr>
              <w:jc w:val="center"/>
            </w:pPr>
          </w:p>
        </w:tc>
        <w:tc>
          <w:tcPr>
            <w:tcW w:w="800" w:type="pct"/>
            <w:tcBorders>
              <w:left w:val="single" w:color="auto" w:sz="4" w:space="0"/>
            </w:tcBorders>
            <w:vAlign w:val="center"/>
          </w:tcPr>
          <w:p w14:paraId="642A4E71">
            <w:pPr>
              <w:jc w:val="center"/>
            </w:pPr>
            <w:r>
              <w:rPr>
                <w:szCs w:val="21"/>
              </w:rPr>
              <w:t>N</w:t>
            </w:r>
            <w:r>
              <w:rPr>
                <w:rFonts w:hint="eastAsia"/>
                <w:szCs w:val="21"/>
              </w:rPr>
              <w:t>6</w:t>
            </w:r>
          </w:p>
        </w:tc>
        <w:tc>
          <w:tcPr>
            <w:tcW w:w="1530" w:type="pct"/>
            <w:vAlign w:val="center"/>
          </w:tcPr>
          <w:p w14:paraId="42132724">
            <w:pPr>
              <w:adjustRightInd w:val="0"/>
              <w:snapToGrid w:val="0"/>
              <w:spacing w:line="360" w:lineRule="exact"/>
              <w:ind w:left="-28"/>
              <w:jc w:val="center"/>
              <w:rPr>
                <w:szCs w:val="21"/>
              </w:rPr>
            </w:pPr>
            <w:r>
              <w:rPr>
                <w:rFonts w:hint="eastAsia"/>
                <w:szCs w:val="21"/>
              </w:rPr>
              <w:t>园区南</w:t>
            </w:r>
            <w:r>
              <w:rPr>
                <w:szCs w:val="21"/>
              </w:rPr>
              <w:t>侧居民点</w:t>
            </w:r>
            <w:r>
              <w:rPr>
                <w:rFonts w:hint="eastAsia"/>
                <w:szCs w:val="21"/>
              </w:rPr>
              <w:t>肖家塆</w:t>
            </w:r>
          </w:p>
        </w:tc>
        <w:tc>
          <w:tcPr>
            <w:tcW w:w="987" w:type="pct"/>
            <w:vAlign w:val="center"/>
          </w:tcPr>
          <w:p w14:paraId="4F11C2C4">
            <w:pPr>
              <w:spacing w:line="360" w:lineRule="exact"/>
              <w:jc w:val="center"/>
              <w:rPr>
                <w:szCs w:val="21"/>
              </w:rPr>
            </w:pPr>
            <w:r>
              <w:rPr>
                <w:rFonts w:hint="eastAsia"/>
                <w:szCs w:val="21"/>
              </w:rPr>
              <w:t>敏感点噪声</w:t>
            </w:r>
          </w:p>
        </w:tc>
        <w:tc>
          <w:tcPr>
            <w:tcW w:w="1044" w:type="pct"/>
            <w:vMerge w:val="continue"/>
            <w:vAlign w:val="center"/>
          </w:tcPr>
          <w:p w14:paraId="04704D2F">
            <w:pPr>
              <w:spacing w:line="360" w:lineRule="exact"/>
              <w:jc w:val="center"/>
              <w:rPr>
                <w:szCs w:val="21"/>
              </w:rPr>
            </w:pPr>
          </w:p>
        </w:tc>
      </w:tr>
      <w:tr w14:paraId="3627B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tcBorders>
              <w:right w:val="single" w:color="auto" w:sz="4" w:space="0"/>
            </w:tcBorders>
            <w:vAlign w:val="center"/>
          </w:tcPr>
          <w:p w14:paraId="09A4FE4D">
            <w:pPr>
              <w:jc w:val="center"/>
              <w:rPr>
                <w:szCs w:val="21"/>
              </w:rPr>
            </w:pPr>
          </w:p>
        </w:tc>
        <w:tc>
          <w:tcPr>
            <w:tcW w:w="800" w:type="pct"/>
            <w:tcBorders>
              <w:left w:val="single" w:color="auto" w:sz="4" w:space="0"/>
            </w:tcBorders>
            <w:vAlign w:val="center"/>
          </w:tcPr>
          <w:p w14:paraId="141F98FC">
            <w:pPr>
              <w:jc w:val="center"/>
              <w:rPr>
                <w:szCs w:val="21"/>
              </w:rPr>
            </w:pPr>
            <w:r>
              <w:rPr>
                <w:szCs w:val="21"/>
              </w:rPr>
              <w:t>N</w:t>
            </w:r>
            <w:r>
              <w:rPr>
                <w:rFonts w:hint="eastAsia"/>
                <w:szCs w:val="21"/>
              </w:rPr>
              <w:t>7</w:t>
            </w:r>
          </w:p>
        </w:tc>
        <w:tc>
          <w:tcPr>
            <w:tcW w:w="1530" w:type="pct"/>
            <w:vAlign w:val="center"/>
          </w:tcPr>
          <w:p w14:paraId="70B4E04D">
            <w:pPr>
              <w:adjustRightInd w:val="0"/>
              <w:snapToGrid w:val="0"/>
              <w:spacing w:line="360" w:lineRule="exact"/>
              <w:ind w:left="-28"/>
              <w:jc w:val="center"/>
              <w:rPr>
                <w:szCs w:val="21"/>
              </w:rPr>
            </w:pPr>
            <w:r>
              <w:rPr>
                <w:szCs w:val="21"/>
              </w:rPr>
              <w:t>园区企业边界监测点</w:t>
            </w:r>
          </w:p>
        </w:tc>
        <w:tc>
          <w:tcPr>
            <w:tcW w:w="987" w:type="pct"/>
            <w:vAlign w:val="center"/>
          </w:tcPr>
          <w:p w14:paraId="7EBF5B82">
            <w:pPr>
              <w:spacing w:line="360" w:lineRule="exact"/>
              <w:jc w:val="center"/>
              <w:rPr>
                <w:szCs w:val="21"/>
              </w:rPr>
            </w:pPr>
            <w:r>
              <w:rPr>
                <w:rFonts w:hint="eastAsia"/>
                <w:szCs w:val="21"/>
              </w:rPr>
              <w:t>现状生产噪声</w:t>
            </w:r>
          </w:p>
        </w:tc>
        <w:tc>
          <w:tcPr>
            <w:tcW w:w="1044" w:type="pct"/>
            <w:vMerge w:val="continue"/>
            <w:vAlign w:val="center"/>
          </w:tcPr>
          <w:p w14:paraId="00D1B3B5">
            <w:pPr>
              <w:spacing w:line="360" w:lineRule="exact"/>
              <w:jc w:val="center"/>
              <w:rPr>
                <w:szCs w:val="21"/>
              </w:rPr>
            </w:pPr>
          </w:p>
        </w:tc>
      </w:tr>
      <w:tr w14:paraId="75417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tcBorders>
              <w:right w:val="single" w:color="auto" w:sz="4" w:space="0"/>
            </w:tcBorders>
            <w:vAlign w:val="center"/>
          </w:tcPr>
          <w:p w14:paraId="39545A38">
            <w:pPr>
              <w:jc w:val="center"/>
              <w:rPr>
                <w:szCs w:val="21"/>
              </w:rPr>
            </w:pPr>
          </w:p>
        </w:tc>
        <w:tc>
          <w:tcPr>
            <w:tcW w:w="800" w:type="pct"/>
            <w:tcBorders>
              <w:left w:val="single" w:color="auto" w:sz="4" w:space="0"/>
            </w:tcBorders>
            <w:vAlign w:val="center"/>
          </w:tcPr>
          <w:p w14:paraId="3EF481DE">
            <w:pPr>
              <w:jc w:val="center"/>
              <w:rPr>
                <w:szCs w:val="21"/>
              </w:rPr>
            </w:pPr>
            <w:r>
              <w:rPr>
                <w:rFonts w:hint="eastAsia"/>
                <w:szCs w:val="21"/>
              </w:rPr>
              <w:t>N19</w:t>
            </w:r>
          </w:p>
        </w:tc>
        <w:tc>
          <w:tcPr>
            <w:tcW w:w="1530" w:type="pct"/>
            <w:vAlign w:val="center"/>
          </w:tcPr>
          <w:p w14:paraId="43254580">
            <w:pPr>
              <w:adjustRightInd w:val="0"/>
              <w:snapToGrid w:val="0"/>
              <w:spacing w:line="360" w:lineRule="exact"/>
              <w:ind w:left="-28"/>
              <w:jc w:val="center"/>
              <w:rPr>
                <w:szCs w:val="21"/>
              </w:rPr>
            </w:pPr>
            <w:r>
              <w:rPr>
                <w:szCs w:val="21"/>
              </w:rPr>
              <w:t>园区西北侧空地监测点</w:t>
            </w:r>
          </w:p>
        </w:tc>
        <w:tc>
          <w:tcPr>
            <w:tcW w:w="987" w:type="pct"/>
            <w:vMerge w:val="restart"/>
            <w:vAlign w:val="center"/>
          </w:tcPr>
          <w:p w14:paraId="1BE8AF82">
            <w:pPr>
              <w:spacing w:line="360" w:lineRule="exact"/>
              <w:jc w:val="center"/>
              <w:rPr>
                <w:szCs w:val="21"/>
              </w:rPr>
            </w:pPr>
            <w:r>
              <w:rPr>
                <w:rFonts w:hint="eastAsia"/>
                <w:szCs w:val="21"/>
              </w:rPr>
              <w:t>背景噪声</w:t>
            </w:r>
          </w:p>
        </w:tc>
        <w:tc>
          <w:tcPr>
            <w:tcW w:w="1044" w:type="pct"/>
            <w:vMerge w:val="continue"/>
            <w:vAlign w:val="center"/>
          </w:tcPr>
          <w:p w14:paraId="5F7A46DC">
            <w:pPr>
              <w:spacing w:line="360" w:lineRule="exact"/>
              <w:jc w:val="center"/>
              <w:rPr>
                <w:szCs w:val="21"/>
              </w:rPr>
            </w:pPr>
          </w:p>
        </w:tc>
      </w:tr>
      <w:tr w14:paraId="69B70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tcBorders>
              <w:right w:val="single" w:color="auto" w:sz="4" w:space="0"/>
            </w:tcBorders>
            <w:vAlign w:val="center"/>
          </w:tcPr>
          <w:p w14:paraId="7A5478B3">
            <w:pPr>
              <w:jc w:val="center"/>
              <w:rPr>
                <w:szCs w:val="21"/>
              </w:rPr>
            </w:pPr>
          </w:p>
        </w:tc>
        <w:tc>
          <w:tcPr>
            <w:tcW w:w="800" w:type="pct"/>
            <w:tcBorders>
              <w:left w:val="single" w:color="auto" w:sz="4" w:space="0"/>
              <w:bottom w:val="single" w:color="auto" w:sz="4" w:space="0"/>
            </w:tcBorders>
            <w:vAlign w:val="center"/>
          </w:tcPr>
          <w:p w14:paraId="664005F3">
            <w:pPr>
              <w:jc w:val="center"/>
              <w:rPr>
                <w:szCs w:val="21"/>
              </w:rPr>
            </w:pPr>
            <w:r>
              <w:rPr>
                <w:rFonts w:hint="eastAsia"/>
                <w:szCs w:val="21"/>
              </w:rPr>
              <w:t>N20</w:t>
            </w:r>
          </w:p>
        </w:tc>
        <w:tc>
          <w:tcPr>
            <w:tcW w:w="1530" w:type="pct"/>
            <w:vAlign w:val="center"/>
          </w:tcPr>
          <w:p w14:paraId="67D6CF45">
            <w:pPr>
              <w:adjustRightInd w:val="0"/>
              <w:snapToGrid w:val="0"/>
              <w:spacing w:line="360" w:lineRule="exact"/>
              <w:ind w:left="-28"/>
              <w:jc w:val="center"/>
              <w:rPr>
                <w:szCs w:val="21"/>
              </w:rPr>
            </w:pPr>
            <w:r>
              <w:rPr>
                <w:szCs w:val="21"/>
              </w:rPr>
              <w:t>园区中部空地监测点</w:t>
            </w:r>
          </w:p>
        </w:tc>
        <w:tc>
          <w:tcPr>
            <w:tcW w:w="987" w:type="pct"/>
            <w:vMerge w:val="continue"/>
            <w:vAlign w:val="center"/>
          </w:tcPr>
          <w:p w14:paraId="3C25DAC7">
            <w:pPr>
              <w:spacing w:line="360" w:lineRule="exact"/>
              <w:jc w:val="center"/>
              <w:rPr>
                <w:szCs w:val="21"/>
              </w:rPr>
            </w:pPr>
          </w:p>
        </w:tc>
        <w:tc>
          <w:tcPr>
            <w:tcW w:w="1044" w:type="pct"/>
            <w:vMerge w:val="continue"/>
            <w:vAlign w:val="center"/>
          </w:tcPr>
          <w:p w14:paraId="5E992883">
            <w:pPr>
              <w:spacing w:line="360" w:lineRule="exact"/>
              <w:jc w:val="center"/>
              <w:rPr>
                <w:szCs w:val="21"/>
              </w:rPr>
            </w:pPr>
          </w:p>
        </w:tc>
      </w:tr>
      <w:tr w14:paraId="68366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tcBorders>
              <w:right w:val="single" w:color="auto" w:sz="4" w:space="0"/>
            </w:tcBorders>
            <w:vAlign w:val="center"/>
          </w:tcPr>
          <w:p w14:paraId="523964D3">
            <w:pPr>
              <w:jc w:val="center"/>
              <w:rPr>
                <w:szCs w:val="21"/>
              </w:rPr>
            </w:pPr>
          </w:p>
        </w:tc>
        <w:tc>
          <w:tcPr>
            <w:tcW w:w="800" w:type="pct"/>
            <w:tcBorders>
              <w:top w:val="single" w:color="auto" w:sz="4" w:space="0"/>
              <w:left w:val="single" w:color="auto" w:sz="4" w:space="0"/>
            </w:tcBorders>
            <w:vAlign w:val="center"/>
          </w:tcPr>
          <w:p w14:paraId="7CAAC569">
            <w:pPr>
              <w:jc w:val="center"/>
              <w:rPr>
                <w:szCs w:val="21"/>
              </w:rPr>
            </w:pPr>
            <w:r>
              <w:rPr>
                <w:rFonts w:hint="eastAsia"/>
                <w:szCs w:val="21"/>
              </w:rPr>
              <w:t>N21</w:t>
            </w:r>
          </w:p>
        </w:tc>
        <w:tc>
          <w:tcPr>
            <w:tcW w:w="1530" w:type="pct"/>
            <w:vAlign w:val="center"/>
          </w:tcPr>
          <w:p w14:paraId="5404A9AB">
            <w:pPr>
              <w:adjustRightInd w:val="0"/>
              <w:snapToGrid w:val="0"/>
              <w:spacing w:line="360" w:lineRule="exact"/>
              <w:ind w:left="-28"/>
              <w:jc w:val="center"/>
              <w:rPr>
                <w:szCs w:val="21"/>
              </w:rPr>
            </w:pPr>
            <w:r>
              <w:rPr>
                <w:szCs w:val="21"/>
              </w:rPr>
              <w:t>园区</w:t>
            </w:r>
            <w:r>
              <w:rPr>
                <w:rFonts w:hint="eastAsia"/>
                <w:szCs w:val="21"/>
              </w:rPr>
              <w:t>南</w:t>
            </w:r>
            <w:r>
              <w:rPr>
                <w:szCs w:val="21"/>
              </w:rPr>
              <w:t>部空地监测点</w:t>
            </w:r>
          </w:p>
        </w:tc>
        <w:tc>
          <w:tcPr>
            <w:tcW w:w="987" w:type="pct"/>
            <w:vMerge w:val="continue"/>
            <w:vAlign w:val="center"/>
          </w:tcPr>
          <w:p w14:paraId="3B0ED707">
            <w:pPr>
              <w:spacing w:line="360" w:lineRule="exact"/>
              <w:jc w:val="center"/>
              <w:rPr>
                <w:szCs w:val="21"/>
              </w:rPr>
            </w:pPr>
          </w:p>
        </w:tc>
        <w:tc>
          <w:tcPr>
            <w:tcW w:w="1044" w:type="pct"/>
            <w:vMerge w:val="continue"/>
            <w:vAlign w:val="center"/>
          </w:tcPr>
          <w:p w14:paraId="21E5CDEB">
            <w:pPr>
              <w:spacing w:line="360" w:lineRule="exact"/>
              <w:jc w:val="center"/>
              <w:rPr>
                <w:szCs w:val="21"/>
              </w:rPr>
            </w:pPr>
          </w:p>
        </w:tc>
      </w:tr>
      <w:tr w14:paraId="55F2F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restart"/>
            <w:vAlign w:val="center"/>
          </w:tcPr>
          <w:p w14:paraId="391598E4">
            <w:pPr>
              <w:adjustRightInd w:val="0"/>
              <w:snapToGrid w:val="0"/>
              <w:spacing w:line="360" w:lineRule="exact"/>
              <w:ind w:left="-28"/>
              <w:jc w:val="center"/>
              <w:rPr>
                <w:szCs w:val="21"/>
              </w:rPr>
            </w:pPr>
            <w:bookmarkStart w:id="118" w:name="_Hlk178264663"/>
            <w:r>
              <w:rPr>
                <w:rFonts w:hint="eastAsia"/>
                <w:szCs w:val="21"/>
              </w:rPr>
              <w:t>万和石材产业园</w:t>
            </w:r>
          </w:p>
        </w:tc>
        <w:tc>
          <w:tcPr>
            <w:tcW w:w="800" w:type="pct"/>
            <w:tcBorders>
              <w:bottom w:val="single" w:color="auto" w:sz="4" w:space="0"/>
            </w:tcBorders>
            <w:vAlign w:val="center"/>
          </w:tcPr>
          <w:p w14:paraId="34C12647">
            <w:pPr>
              <w:adjustRightInd w:val="0"/>
              <w:snapToGrid w:val="0"/>
              <w:spacing w:line="360" w:lineRule="exact"/>
              <w:ind w:left="-28"/>
              <w:jc w:val="center"/>
              <w:rPr>
                <w:szCs w:val="21"/>
              </w:rPr>
            </w:pPr>
            <w:r>
              <w:rPr>
                <w:rFonts w:hint="eastAsia"/>
                <w:szCs w:val="21"/>
              </w:rPr>
              <w:t>N7</w:t>
            </w:r>
          </w:p>
        </w:tc>
        <w:tc>
          <w:tcPr>
            <w:tcW w:w="1530" w:type="pct"/>
            <w:vAlign w:val="center"/>
          </w:tcPr>
          <w:p w14:paraId="5F122D9C">
            <w:pPr>
              <w:adjustRightInd w:val="0"/>
              <w:snapToGrid w:val="0"/>
              <w:spacing w:line="360" w:lineRule="exact"/>
              <w:ind w:left="-28"/>
              <w:jc w:val="center"/>
              <w:rPr>
                <w:szCs w:val="21"/>
              </w:rPr>
            </w:pPr>
            <w:r>
              <w:rPr>
                <w:szCs w:val="21"/>
              </w:rPr>
              <w:t>南片区南侧居民点青苔村</w:t>
            </w:r>
          </w:p>
        </w:tc>
        <w:tc>
          <w:tcPr>
            <w:tcW w:w="987" w:type="pct"/>
            <w:vAlign w:val="center"/>
          </w:tcPr>
          <w:p w14:paraId="15354034">
            <w:pPr>
              <w:spacing w:line="360" w:lineRule="exact"/>
              <w:jc w:val="center"/>
              <w:rPr>
                <w:szCs w:val="21"/>
              </w:rPr>
            </w:pPr>
            <w:r>
              <w:rPr>
                <w:rFonts w:hint="eastAsia"/>
                <w:szCs w:val="21"/>
              </w:rPr>
              <w:t>敏感点噪声</w:t>
            </w:r>
          </w:p>
        </w:tc>
        <w:tc>
          <w:tcPr>
            <w:tcW w:w="1044" w:type="pct"/>
            <w:vMerge w:val="restart"/>
            <w:vAlign w:val="center"/>
          </w:tcPr>
          <w:p w14:paraId="53084CF6">
            <w:pPr>
              <w:spacing w:line="360" w:lineRule="exact"/>
              <w:jc w:val="center"/>
              <w:rPr>
                <w:szCs w:val="21"/>
              </w:rPr>
            </w:pPr>
            <w:r>
              <w:rPr>
                <w:szCs w:val="21"/>
              </w:rPr>
              <w:t>等效连续A声级（LAeq）</w:t>
            </w:r>
          </w:p>
        </w:tc>
      </w:tr>
      <w:bookmarkEnd w:id="118"/>
      <w:tr w14:paraId="24BA3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45EF9BD6">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35389E8F">
            <w:pPr>
              <w:adjustRightInd w:val="0"/>
              <w:snapToGrid w:val="0"/>
              <w:spacing w:line="360" w:lineRule="exact"/>
              <w:ind w:left="-28"/>
              <w:jc w:val="center"/>
              <w:rPr>
                <w:szCs w:val="21"/>
              </w:rPr>
            </w:pPr>
            <w:r>
              <w:rPr>
                <w:rFonts w:hint="eastAsia"/>
                <w:szCs w:val="21"/>
              </w:rPr>
              <w:t>N</w:t>
            </w:r>
            <w:r>
              <w:rPr>
                <w:szCs w:val="21"/>
              </w:rPr>
              <w:t>8</w:t>
            </w:r>
          </w:p>
        </w:tc>
        <w:tc>
          <w:tcPr>
            <w:tcW w:w="1530" w:type="pct"/>
            <w:vAlign w:val="center"/>
          </w:tcPr>
          <w:p w14:paraId="6A30F5D8">
            <w:pPr>
              <w:adjustRightInd w:val="0"/>
              <w:snapToGrid w:val="0"/>
              <w:spacing w:line="360" w:lineRule="exact"/>
              <w:ind w:left="-28"/>
              <w:jc w:val="center"/>
              <w:rPr>
                <w:szCs w:val="21"/>
              </w:rPr>
            </w:pPr>
            <w:r>
              <w:rPr>
                <w:rFonts w:hint="eastAsia"/>
                <w:szCs w:val="21"/>
              </w:rPr>
              <w:t>南片区</w:t>
            </w:r>
            <w:r>
              <w:rPr>
                <w:szCs w:val="21"/>
              </w:rPr>
              <w:t>企业边界</w:t>
            </w:r>
            <w:r>
              <w:rPr>
                <w:rFonts w:hint="eastAsia"/>
                <w:szCs w:val="21"/>
              </w:rPr>
              <w:t>外</w:t>
            </w:r>
            <w:r>
              <w:rPr>
                <w:szCs w:val="21"/>
              </w:rPr>
              <w:t>1m</w:t>
            </w:r>
          </w:p>
        </w:tc>
        <w:tc>
          <w:tcPr>
            <w:tcW w:w="987" w:type="pct"/>
            <w:vAlign w:val="center"/>
          </w:tcPr>
          <w:p w14:paraId="4569914B">
            <w:pPr>
              <w:spacing w:line="360" w:lineRule="exact"/>
              <w:jc w:val="center"/>
              <w:rPr>
                <w:szCs w:val="21"/>
              </w:rPr>
            </w:pPr>
            <w:r>
              <w:rPr>
                <w:rFonts w:hint="eastAsia"/>
                <w:szCs w:val="21"/>
              </w:rPr>
              <w:t>现状生产噪声</w:t>
            </w:r>
          </w:p>
        </w:tc>
        <w:tc>
          <w:tcPr>
            <w:tcW w:w="1044" w:type="pct"/>
            <w:vMerge w:val="continue"/>
            <w:vAlign w:val="center"/>
          </w:tcPr>
          <w:p w14:paraId="50847B15">
            <w:pPr>
              <w:spacing w:line="360" w:lineRule="exact"/>
              <w:jc w:val="center"/>
              <w:rPr>
                <w:szCs w:val="21"/>
              </w:rPr>
            </w:pPr>
          </w:p>
        </w:tc>
      </w:tr>
      <w:tr w14:paraId="09968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7080F186">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69D37A0F">
            <w:pPr>
              <w:adjustRightInd w:val="0"/>
              <w:snapToGrid w:val="0"/>
              <w:spacing w:line="360" w:lineRule="exact"/>
              <w:ind w:left="-28"/>
              <w:jc w:val="center"/>
              <w:rPr>
                <w:szCs w:val="21"/>
              </w:rPr>
            </w:pPr>
            <w:r>
              <w:rPr>
                <w:rFonts w:hint="eastAsia"/>
                <w:szCs w:val="21"/>
              </w:rPr>
              <w:t>N</w:t>
            </w:r>
            <w:r>
              <w:rPr>
                <w:szCs w:val="21"/>
              </w:rPr>
              <w:t>14</w:t>
            </w:r>
          </w:p>
        </w:tc>
        <w:tc>
          <w:tcPr>
            <w:tcW w:w="1530" w:type="pct"/>
            <w:vAlign w:val="center"/>
          </w:tcPr>
          <w:p w14:paraId="56EDE1E7">
            <w:pPr>
              <w:adjustRightInd w:val="0"/>
              <w:snapToGrid w:val="0"/>
              <w:spacing w:line="360" w:lineRule="exact"/>
              <w:ind w:left="-28"/>
              <w:jc w:val="center"/>
              <w:rPr>
                <w:szCs w:val="21"/>
              </w:rPr>
            </w:pPr>
            <w:r>
              <w:rPr>
                <w:rFonts w:hint="eastAsia"/>
                <w:szCs w:val="21"/>
              </w:rPr>
              <w:t>南片区</w:t>
            </w:r>
            <w:r>
              <w:rPr>
                <w:szCs w:val="21"/>
              </w:rPr>
              <w:t>北侧空地监测点</w:t>
            </w:r>
          </w:p>
        </w:tc>
        <w:tc>
          <w:tcPr>
            <w:tcW w:w="987" w:type="pct"/>
            <w:vMerge w:val="restart"/>
            <w:vAlign w:val="center"/>
          </w:tcPr>
          <w:p w14:paraId="73D2BA91">
            <w:pPr>
              <w:spacing w:line="360" w:lineRule="exact"/>
              <w:jc w:val="center"/>
              <w:rPr>
                <w:szCs w:val="21"/>
              </w:rPr>
            </w:pPr>
            <w:r>
              <w:rPr>
                <w:rFonts w:hint="eastAsia"/>
                <w:szCs w:val="21"/>
              </w:rPr>
              <w:t>背景噪声</w:t>
            </w:r>
          </w:p>
        </w:tc>
        <w:tc>
          <w:tcPr>
            <w:tcW w:w="1044" w:type="pct"/>
            <w:vMerge w:val="continue"/>
            <w:vAlign w:val="center"/>
          </w:tcPr>
          <w:p w14:paraId="5B216C25">
            <w:pPr>
              <w:spacing w:line="360" w:lineRule="exact"/>
              <w:jc w:val="center"/>
              <w:rPr>
                <w:szCs w:val="21"/>
              </w:rPr>
            </w:pPr>
          </w:p>
        </w:tc>
      </w:tr>
      <w:tr w14:paraId="23836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2D0BD46D">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2642EF21">
            <w:pPr>
              <w:adjustRightInd w:val="0"/>
              <w:snapToGrid w:val="0"/>
              <w:spacing w:line="360" w:lineRule="exact"/>
              <w:ind w:left="-28"/>
              <w:jc w:val="center"/>
              <w:rPr>
                <w:szCs w:val="21"/>
              </w:rPr>
            </w:pPr>
            <w:r>
              <w:rPr>
                <w:rFonts w:hint="eastAsia"/>
                <w:szCs w:val="21"/>
              </w:rPr>
              <w:t>N15</w:t>
            </w:r>
          </w:p>
        </w:tc>
        <w:tc>
          <w:tcPr>
            <w:tcW w:w="1530" w:type="pct"/>
            <w:vAlign w:val="center"/>
          </w:tcPr>
          <w:p w14:paraId="4A8FD113">
            <w:pPr>
              <w:adjustRightInd w:val="0"/>
              <w:snapToGrid w:val="0"/>
              <w:spacing w:line="360" w:lineRule="exact"/>
              <w:ind w:left="-28"/>
              <w:jc w:val="center"/>
              <w:rPr>
                <w:szCs w:val="21"/>
              </w:rPr>
            </w:pPr>
            <w:r>
              <w:rPr>
                <w:rFonts w:hint="eastAsia"/>
                <w:szCs w:val="21"/>
              </w:rPr>
              <w:t>南片区</w:t>
            </w:r>
            <w:r>
              <w:rPr>
                <w:szCs w:val="21"/>
              </w:rPr>
              <w:t>东南侧空地监测点</w:t>
            </w:r>
          </w:p>
        </w:tc>
        <w:tc>
          <w:tcPr>
            <w:tcW w:w="987" w:type="pct"/>
            <w:vMerge w:val="continue"/>
            <w:vAlign w:val="center"/>
          </w:tcPr>
          <w:p w14:paraId="074CA128">
            <w:pPr>
              <w:spacing w:line="360" w:lineRule="exact"/>
              <w:jc w:val="center"/>
              <w:rPr>
                <w:szCs w:val="21"/>
              </w:rPr>
            </w:pPr>
          </w:p>
        </w:tc>
        <w:tc>
          <w:tcPr>
            <w:tcW w:w="1044" w:type="pct"/>
            <w:vMerge w:val="continue"/>
            <w:vAlign w:val="center"/>
          </w:tcPr>
          <w:p w14:paraId="34BD9FE3">
            <w:pPr>
              <w:spacing w:line="360" w:lineRule="exact"/>
              <w:jc w:val="center"/>
              <w:rPr>
                <w:szCs w:val="21"/>
              </w:rPr>
            </w:pPr>
          </w:p>
        </w:tc>
      </w:tr>
      <w:tr w14:paraId="67E42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5E838660">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2AF1D4DC">
            <w:pPr>
              <w:adjustRightInd w:val="0"/>
              <w:snapToGrid w:val="0"/>
              <w:spacing w:line="360" w:lineRule="exact"/>
              <w:ind w:left="-28"/>
              <w:jc w:val="center"/>
              <w:rPr>
                <w:szCs w:val="21"/>
              </w:rPr>
            </w:pPr>
            <w:r>
              <w:rPr>
                <w:rFonts w:hint="eastAsia"/>
                <w:szCs w:val="21"/>
              </w:rPr>
              <w:t>N16</w:t>
            </w:r>
          </w:p>
        </w:tc>
        <w:tc>
          <w:tcPr>
            <w:tcW w:w="1530" w:type="pct"/>
            <w:vAlign w:val="center"/>
          </w:tcPr>
          <w:p w14:paraId="51D4E399">
            <w:pPr>
              <w:adjustRightInd w:val="0"/>
              <w:snapToGrid w:val="0"/>
              <w:spacing w:line="360" w:lineRule="exact"/>
              <w:ind w:left="-28"/>
              <w:jc w:val="center"/>
              <w:rPr>
                <w:szCs w:val="21"/>
              </w:rPr>
            </w:pPr>
            <w:r>
              <w:rPr>
                <w:rFonts w:hint="eastAsia"/>
                <w:szCs w:val="21"/>
              </w:rPr>
              <w:t>南片区</w:t>
            </w:r>
            <w:r>
              <w:rPr>
                <w:szCs w:val="21"/>
              </w:rPr>
              <w:t>南侧空地监测点</w:t>
            </w:r>
          </w:p>
        </w:tc>
        <w:tc>
          <w:tcPr>
            <w:tcW w:w="987" w:type="pct"/>
            <w:vMerge w:val="continue"/>
            <w:vAlign w:val="center"/>
          </w:tcPr>
          <w:p w14:paraId="2EA3E5AD">
            <w:pPr>
              <w:spacing w:line="360" w:lineRule="exact"/>
              <w:jc w:val="center"/>
              <w:rPr>
                <w:szCs w:val="21"/>
              </w:rPr>
            </w:pPr>
          </w:p>
        </w:tc>
        <w:tc>
          <w:tcPr>
            <w:tcW w:w="1044" w:type="pct"/>
            <w:vMerge w:val="continue"/>
            <w:vAlign w:val="center"/>
          </w:tcPr>
          <w:p w14:paraId="37C2F5E1">
            <w:pPr>
              <w:spacing w:line="360" w:lineRule="exact"/>
              <w:jc w:val="center"/>
              <w:rPr>
                <w:szCs w:val="21"/>
              </w:rPr>
            </w:pPr>
          </w:p>
        </w:tc>
      </w:tr>
      <w:tr w14:paraId="2348B5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560E2D8F">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2AD94E1A">
            <w:pPr>
              <w:adjustRightInd w:val="0"/>
              <w:snapToGrid w:val="0"/>
              <w:spacing w:line="360" w:lineRule="exact"/>
              <w:ind w:left="-28"/>
              <w:jc w:val="center"/>
              <w:rPr>
                <w:szCs w:val="21"/>
              </w:rPr>
            </w:pPr>
            <w:r>
              <w:rPr>
                <w:rFonts w:hint="eastAsia"/>
                <w:szCs w:val="21"/>
              </w:rPr>
              <w:t>N1</w:t>
            </w:r>
            <w:r>
              <w:rPr>
                <w:szCs w:val="21"/>
              </w:rPr>
              <w:t>7</w:t>
            </w:r>
          </w:p>
        </w:tc>
        <w:tc>
          <w:tcPr>
            <w:tcW w:w="1530" w:type="pct"/>
            <w:vAlign w:val="center"/>
          </w:tcPr>
          <w:p w14:paraId="3925665F">
            <w:pPr>
              <w:adjustRightInd w:val="0"/>
              <w:snapToGrid w:val="0"/>
              <w:spacing w:line="360" w:lineRule="exact"/>
              <w:ind w:left="-28"/>
              <w:jc w:val="center"/>
              <w:rPr>
                <w:szCs w:val="21"/>
              </w:rPr>
            </w:pPr>
            <w:r>
              <w:rPr>
                <w:rFonts w:hint="eastAsia"/>
                <w:szCs w:val="21"/>
              </w:rPr>
              <w:t>南片区</w:t>
            </w:r>
            <w:r>
              <w:rPr>
                <w:szCs w:val="21"/>
              </w:rPr>
              <w:t>临S</w:t>
            </w:r>
            <w:r>
              <w:rPr>
                <w:rFonts w:hint="eastAsia"/>
                <w:szCs w:val="21"/>
              </w:rPr>
              <w:t>264处</w:t>
            </w:r>
            <w:r>
              <w:rPr>
                <w:szCs w:val="21"/>
              </w:rPr>
              <w:t>监测点</w:t>
            </w:r>
          </w:p>
        </w:tc>
        <w:tc>
          <w:tcPr>
            <w:tcW w:w="987" w:type="pct"/>
            <w:vAlign w:val="center"/>
          </w:tcPr>
          <w:p w14:paraId="1437D8B9">
            <w:pPr>
              <w:spacing w:line="360" w:lineRule="exact"/>
              <w:jc w:val="center"/>
              <w:rPr>
                <w:szCs w:val="21"/>
              </w:rPr>
            </w:pPr>
            <w:r>
              <w:rPr>
                <w:rFonts w:hint="eastAsia"/>
                <w:szCs w:val="21"/>
              </w:rPr>
              <w:t>交通噪声</w:t>
            </w:r>
          </w:p>
        </w:tc>
        <w:tc>
          <w:tcPr>
            <w:tcW w:w="1044" w:type="pct"/>
            <w:vMerge w:val="continue"/>
            <w:vAlign w:val="center"/>
          </w:tcPr>
          <w:p w14:paraId="59BF4AFC">
            <w:pPr>
              <w:spacing w:line="360" w:lineRule="exact"/>
              <w:jc w:val="center"/>
              <w:rPr>
                <w:szCs w:val="21"/>
              </w:rPr>
            </w:pPr>
          </w:p>
        </w:tc>
      </w:tr>
      <w:tr w14:paraId="4DF93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5ACD00F9">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28D653C5">
            <w:pPr>
              <w:adjustRightInd w:val="0"/>
              <w:snapToGrid w:val="0"/>
              <w:spacing w:line="360" w:lineRule="exact"/>
              <w:ind w:left="-28"/>
              <w:jc w:val="center"/>
              <w:rPr>
                <w:szCs w:val="21"/>
              </w:rPr>
            </w:pPr>
            <w:r>
              <w:rPr>
                <w:rFonts w:hint="eastAsia"/>
                <w:szCs w:val="21"/>
              </w:rPr>
              <w:t>N30</w:t>
            </w:r>
          </w:p>
        </w:tc>
        <w:tc>
          <w:tcPr>
            <w:tcW w:w="1530" w:type="pct"/>
            <w:vAlign w:val="center"/>
          </w:tcPr>
          <w:p w14:paraId="58316E62">
            <w:pPr>
              <w:adjustRightInd w:val="0"/>
              <w:snapToGrid w:val="0"/>
              <w:spacing w:line="360" w:lineRule="exact"/>
              <w:ind w:left="-28"/>
              <w:jc w:val="center"/>
              <w:rPr>
                <w:szCs w:val="21"/>
              </w:rPr>
            </w:pPr>
            <w:r>
              <w:rPr>
                <w:rFonts w:hint="eastAsia"/>
                <w:szCs w:val="21"/>
              </w:rPr>
              <w:t>中部片区企业边界外</w:t>
            </w:r>
            <w:r>
              <w:rPr>
                <w:szCs w:val="21"/>
              </w:rPr>
              <w:t>1m</w:t>
            </w:r>
          </w:p>
        </w:tc>
        <w:tc>
          <w:tcPr>
            <w:tcW w:w="987" w:type="pct"/>
            <w:vAlign w:val="center"/>
          </w:tcPr>
          <w:p w14:paraId="259C5957">
            <w:pPr>
              <w:spacing w:line="360" w:lineRule="exact"/>
              <w:jc w:val="center"/>
              <w:rPr>
                <w:szCs w:val="21"/>
              </w:rPr>
            </w:pPr>
            <w:r>
              <w:rPr>
                <w:rFonts w:hint="eastAsia"/>
                <w:szCs w:val="21"/>
              </w:rPr>
              <w:t>现状生产噪声</w:t>
            </w:r>
          </w:p>
        </w:tc>
        <w:tc>
          <w:tcPr>
            <w:tcW w:w="1044" w:type="pct"/>
            <w:vMerge w:val="continue"/>
            <w:vAlign w:val="center"/>
          </w:tcPr>
          <w:p w14:paraId="515B1E27">
            <w:pPr>
              <w:spacing w:line="360" w:lineRule="exact"/>
              <w:jc w:val="center"/>
              <w:rPr>
                <w:szCs w:val="21"/>
              </w:rPr>
            </w:pPr>
          </w:p>
        </w:tc>
      </w:tr>
      <w:tr w14:paraId="7265B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44C5D55C">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414F3691">
            <w:pPr>
              <w:adjustRightInd w:val="0"/>
              <w:snapToGrid w:val="0"/>
              <w:spacing w:line="360" w:lineRule="exact"/>
              <w:ind w:left="-28"/>
              <w:jc w:val="center"/>
              <w:rPr>
                <w:szCs w:val="21"/>
              </w:rPr>
            </w:pPr>
            <w:r>
              <w:rPr>
                <w:rFonts w:hint="eastAsia"/>
                <w:szCs w:val="21"/>
              </w:rPr>
              <w:t>N3</w:t>
            </w:r>
            <w:r>
              <w:rPr>
                <w:szCs w:val="21"/>
              </w:rPr>
              <w:t>1</w:t>
            </w:r>
          </w:p>
        </w:tc>
        <w:tc>
          <w:tcPr>
            <w:tcW w:w="1530" w:type="pct"/>
            <w:vAlign w:val="center"/>
          </w:tcPr>
          <w:p w14:paraId="69EC3E4F">
            <w:pPr>
              <w:adjustRightInd w:val="0"/>
              <w:snapToGrid w:val="0"/>
              <w:spacing w:line="360" w:lineRule="exact"/>
              <w:ind w:left="-28"/>
              <w:jc w:val="center"/>
              <w:rPr>
                <w:szCs w:val="21"/>
              </w:rPr>
            </w:pPr>
            <w:r>
              <w:rPr>
                <w:rFonts w:hint="eastAsia"/>
                <w:szCs w:val="21"/>
              </w:rPr>
              <w:t>中部片区</w:t>
            </w:r>
            <w:r>
              <w:rPr>
                <w:szCs w:val="21"/>
              </w:rPr>
              <w:t>居民点</w:t>
            </w:r>
            <w:r>
              <w:rPr>
                <w:rFonts w:hint="eastAsia"/>
                <w:szCs w:val="21"/>
              </w:rPr>
              <w:t>大</w:t>
            </w:r>
            <w:r>
              <w:rPr>
                <w:szCs w:val="21"/>
              </w:rPr>
              <w:t>房塆</w:t>
            </w:r>
          </w:p>
        </w:tc>
        <w:tc>
          <w:tcPr>
            <w:tcW w:w="987" w:type="pct"/>
            <w:vAlign w:val="center"/>
          </w:tcPr>
          <w:p w14:paraId="4703B817">
            <w:pPr>
              <w:spacing w:line="360" w:lineRule="exact"/>
              <w:jc w:val="center"/>
              <w:rPr>
                <w:szCs w:val="21"/>
              </w:rPr>
            </w:pPr>
            <w:r>
              <w:rPr>
                <w:rFonts w:hint="eastAsia"/>
                <w:szCs w:val="21"/>
              </w:rPr>
              <w:t>敏感点噪声</w:t>
            </w:r>
          </w:p>
        </w:tc>
        <w:tc>
          <w:tcPr>
            <w:tcW w:w="1044" w:type="pct"/>
            <w:vMerge w:val="continue"/>
            <w:vAlign w:val="center"/>
          </w:tcPr>
          <w:p w14:paraId="4E6C2C90">
            <w:pPr>
              <w:spacing w:line="360" w:lineRule="exact"/>
              <w:jc w:val="center"/>
              <w:rPr>
                <w:szCs w:val="21"/>
              </w:rPr>
            </w:pPr>
          </w:p>
        </w:tc>
      </w:tr>
      <w:tr w14:paraId="218BA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01A3A6DC">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4C090596">
            <w:pPr>
              <w:adjustRightInd w:val="0"/>
              <w:snapToGrid w:val="0"/>
              <w:spacing w:line="360" w:lineRule="exact"/>
              <w:ind w:left="-28"/>
              <w:jc w:val="center"/>
              <w:rPr>
                <w:szCs w:val="21"/>
              </w:rPr>
            </w:pPr>
            <w:r>
              <w:rPr>
                <w:rFonts w:hint="eastAsia"/>
                <w:szCs w:val="21"/>
              </w:rPr>
              <w:t>N43</w:t>
            </w:r>
          </w:p>
        </w:tc>
        <w:tc>
          <w:tcPr>
            <w:tcW w:w="1530" w:type="pct"/>
            <w:vAlign w:val="center"/>
          </w:tcPr>
          <w:p w14:paraId="375FD6EB">
            <w:pPr>
              <w:adjustRightInd w:val="0"/>
              <w:snapToGrid w:val="0"/>
              <w:spacing w:line="360" w:lineRule="exact"/>
              <w:ind w:left="-28"/>
              <w:jc w:val="center"/>
              <w:rPr>
                <w:szCs w:val="21"/>
              </w:rPr>
            </w:pPr>
            <w:r>
              <w:rPr>
                <w:rFonts w:hint="eastAsia"/>
                <w:szCs w:val="21"/>
              </w:rPr>
              <w:t>中部片区北侧空地</w:t>
            </w:r>
          </w:p>
        </w:tc>
        <w:tc>
          <w:tcPr>
            <w:tcW w:w="987" w:type="pct"/>
            <w:vAlign w:val="center"/>
          </w:tcPr>
          <w:p w14:paraId="5D0FAEA3">
            <w:pPr>
              <w:spacing w:line="360" w:lineRule="exact"/>
              <w:jc w:val="center"/>
              <w:rPr>
                <w:szCs w:val="21"/>
              </w:rPr>
            </w:pPr>
            <w:r>
              <w:rPr>
                <w:rFonts w:hint="eastAsia"/>
                <w:szCs w:val="21"/>
              </w:rPr>
              <w:t>背景噪声</w:t>
            </w:r>
          </w:p>
        </w:tc>
        <w:tc>
          <w:tcPr>
            <w:tcW w:w="1044" w:type="pct"/>
            <w:vMerge w:val="continue"/>
            <w:vAlign w:val="center"/>
          </w:tcPr>
          <w:p w14:paraId="71E197D8">
            <w:pPr>
              <w:spacing w:line="360" w:lineRule="exact"/>
              <w:jc w:val="center"/>
              <w:rPr>
                <w:szCs w:val="21"/>
              </w:rPr>
            </w:pPr>
          </w:p>
        </w:tc>
      </w:tr>
      <w:tr w14:paraId="056A9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56FCB3A5">
            <w:pPr>
              <w:adjustRightInd w:val="0"/>
              <w:snapToGrid w:val="0"/>
              <w:spacing w:line="360" w:lineRule="exact"/>
              <w:ind w:left="-28"/>
              <w:jc w:val="center"/>
              <w:rPr>
                <w:szCs w:val="21"/>
              </w:rPr>
            </w:pPr>
          </w:p>
        </w:tc>
        <w:tc>
          <w:tcPr>
            <w:tcW w:w="800" w:type="pct"/>
            <w:tcBorders>
              <w:top w:val="single" w:color="auto" w:sz="4" w:space="0"/>
              <w:bottom w:val="single" w:color="auto" w:sz="4" w:space="0"/>
            </w:tcBorders>
            <w:vAlign w:val="center"/>
          </w:tcPr>
          <w:p w14:paraId="54CE5D24">
            <w:pPr>
              <w:adjustRightInd w:val="0"/>
              <w:snapToGrid w:val="0"/>
              <w:spacing w:line="360" w:lineRule="exact"/>
              <w:ind w:left="-28"/>
              <w:jc w:val="center"/>
              <w:rPr>
                <w:szCs w:val="21"/>
              </w:rPr>
            </w:pPr>
            <w:r>
              <w:rPr>
                <w:rFonts w:hint="eastAsia"/>
                <w:szCs w:val="21"/>
              </w:rPr>
              <w:t>N4</w:t>
            </w:r>
            <w:r>
              <w:rPr>
                <w:szCs w:val="21"/>
              </w:rPr>
              <w:t>8</w:t>
            </w:r>
          </w:p>
        </w:tc>
        <w:tc>
          <w:tcPr>
            <w:tcW w:w="1530" w:type="pct"/>
            <w:vAlign w:val="center"/>
          </w:tcPr>
          <w:p w14:paraId="7348EA5F">
            <w:pPr>
              <w:adjustRightInd w:val="0"/>
              <w:snapToGrid w:val="0"/>
              <w:spacing w:line="360" w:lineRule="exact"/>
              <w:ind w:left="-28"/>
              <w:jc w:val="center"/>
              <w:rPr>
                <w:szCs w:val="21"/>
              </w:rPr>
            </w:pPr>
            <w:r>
              <w:rPr>
                <w:rFonts w:hint="eastAsia"/>
                <w:szCs w:val="21"/>
              </w:rPr>
              <w:t>中部片区北侧敏感点</w:t>
            </w:r>
          </w:p>
        </w:tc>
        <w:tc>
          <w:tcPr>
            <w:tcW w:w="987" w:type="pct"/>
            <w:vAlign w:val="center"/>
          </w:tcPr>
          <w:p w14:paraId="4761FB1E">
            <w:pPr>
              <w:spacing w:line="360" w:lineRule="exact"/>
              <w:jc w:val="center"/>
              <w:rPr>
                <w:szCs w:val="21"/>
              </w:rPr>
            </w:pPr>
            <w:r>
              <w:rPr>
                <w:rFonts w:hint="eastAsia"/>
                <w:szCs w:val="21"/>
              </w:rPr>
              <w:t>敏感点噪声</w:t>
            </w:r>
          </w:p>
        </w:tc>
        <w:tc>
          <w:tcPr>
            <w:tcW w:w="1044" w:type="pct"/>
            <w:vMerge w:val="continue"/>
            <w:vAlign w:val="center"/>
          </w:tcPr>
          <w:p w14:paraId="71AD8BE1">
            <w:pPr>
              <w:spacing w:line="360" w:lineRule="exact"/>
              <w:jc w:val="center"/>
              <w:rPr>
                <w:szCs w:val="21"/>
              </w:rPr>
            </w:pPr>
          </w:p>
        </w:tc>
      </w:tr>
      <w:tr w14:paraId="4F620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66F5A0B5">
            <w:pPr>
              <w:adjustRightInd w:val="0"/>
              <w:snapToGrid w:val="0"/>
              <w:spacing w:line="360" w:lineRule="exact"/>
              <w:ind w:left="-28"/>
              <w:jc w:val="center"/>
              <w:rPr>
                <w:szCs w:val="21"/>
              </w:rPr>
            </w:pPr>
          </w:p>
        </w:tc>
        <w:tc>
          <w:tcPr>
            <w:tcW w:w="800" w:type="pct"/>
            <w:tcBorders>
              <w:top w:val="single" w:color="auto" w:sz="4" w:space="0"/>
            </w:tcBorders>
            <w:vAlign w:val="center"/>
          </w:tcPr>
          <w:p w14:paraId="535452EA">
            <w:pPr>
              <w:adjustRightInd w:val="0"/>
              <w:snapToGrid w:val="0"/>
              <w:spacing w:line="360" w:lineRule="exact"/>
              <w:ind w:left="-28"/>
              <w:jc w:val="center"/>
              <w:rPr>
                <w:szCs w:val="21"/>
              </w:rPr>
            </w:pPr>
            <w:r>
              <w:rPr>
                <w:rFonts w:hint="eastAsia"/>
                <w:szCs w:val="21"/>
              </w:rPr>
              <w:t>N53</w:t>
            </w:r>
          </w:p>
        </w:tc>
        <w:tc>
          <w:tcPr>
            <w:tcW w:w="1530" w:type="pct"/>
            <w:vAlign w:val="center"/>
          </w:tcPr>
          <w:p w14:paraId="1152A457">
            <w:pPr>
              <w:adjustRightInd w:val="0"/>
              <w:snapToGrid w:val="0"/>
              <w:spacing w:line="360" w:lineRule="exact"/>
              <w:ind w:left="-28"/>
              <w:jc w:val="center"/>
              <w:rPr>
                <w:szCs w:val="21"/>
              </w:rPr>
            </w:pPr>
            <w:r>
              <w:rPr>
                <w:rFonts w:hint="eastAsia"/>
                <w:szCs w:val="21"/>
              </w:rPr>
              <w:t>北片区</w:t>
            </w:r>
            <w:r>
              <w:rPr>
                <w:szCs w:val="21"/>
              </w:rPr>
              <w:t>临S</w:t>
            </w:r>
            <w:r>
              <w:rPr>
                <w:rFonts w:hint="eastAsia"/>
                <w:szCs w:val="21"/>
              </w:rPr>
              <w:t>264处</w:t>
            </w:r>
            <w:r>
              <w:rPr>
                <w:szCs w:val="21"/>
              </w:rPr>
              <w:t>监测点</w:t>
            </w:r>
          </w:p>
        </w:tc>
        <w:tc>
          <w:tcPr>
            <w:tcW w:w="987" w:type="pct"/>
            <w:vAlign w:val="center"/>
          </w:tcPr>
          <w:p w14:paraId="59FF410E">
            <w:pPr>
              <w:spacing w:line="360" w:lineRule="exact"/>
              <w:jc w:val="center"/>
              <w:rPr>
                <w:szCs w:val="21"/>
              </w:rPr>
            </w:pPr>
            <w:r>
              <w:rPr>
                <w:rFonts w:hint="eastAsia"/>
                <w:szCs w:val="21"/>
              </w:rPr>
              <w:t>交通噪声</w:t>
            </w:r>
          </w:p>
        </w:tc>
        <w:tc>
          <w:tcPr>
            <w:tcW w:w="1044" w:type="pct"/>
            <w:vMerge w:val="continue"/>
            <w:vAlign w:val="center"/>
          </w:tcPr>
          <w:p w14:paraId="02A609FC">
            <w:pPr>
              <w:spacing w:line="360" w:lineRule="exact"/>
              <w:jc w:val="center"/>
              <w:rPr>
                <w:szCs w:val="21"/>
              </w:rPr>
            </w:pPr>
          </w:p>
        </w:tc>
      </w:tr>
      <w:tr w14:paraId="50DDD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639" w:type="pct"/>
            <w:vMerge w:val="restart"/>
            <w:vAlign w:val="center"/>
          </w:tcPr>
          <w:p w14:paraId="138201CA">
            <w:pPr>
              <w:adjustRightInd w:val="0"/>
              <w:snapToGrid w:val="0"/>
              <w:spacing w:line="360" w:lineRule="exact"/>
              <w:ind w:left="-28"/>
              <w:jc w:val="center"/>
              <w:rPr>
                <w:szCs w:val="21"/>
              </w:rPr>
            </w:pPr>
            <w:r>
              <w:rPr>
                <w:szCs w:val="21"/>
              </w:rPr>
              <w:t>太白顶石材产业园</w:t>
            </w:r>
          </w:p>
        </w:tc>
        <w:tc>
          <w:tcPr>
            <w:tcW w:w="800" w:type="pct"/>
            <w:vAlign w:val="center"/>
          </w:tcPr>
          <w:p w14:paraId="0A992BF1">
            <w:pPr>
              <w:spacing w:line="320" w:lineRule="exact"/>
              <w:jc w:val="center"/>
              <w:rPr>
                <w:szCs w:val="21"/>
              </w:rPr>
            </w:pPr>
            <w:r>
              <w:rPr>
                <w:szCs w:val="21"/>
              </w:rPr>
              <w:t>N10</w:t>
            </w:r>
          </w:p>
        </w:tc>
        <w:tc>
          <w:tcPr>
            <w:tcW w:w="1530" w:type="pct"/>
            <w:vAlign w:val="center"/>
          </w:tcPr>
          <w:p w14:paraId="5EA39B01">
            <w:pPr>
              <w:spacing w:line="320" w:lineRule="exact"/>
              <w:jc w:val="center"/>
              <w:rPr>
                <w:szCs w:val="21"/>
              </w:rPr>
            </w:pPr>
            <w:r>
              <w:rPr>
                <w:rFonts w:eastAsiaTheme="minorEastAsia"/>
                <w:szCs w:val="21"/>
              </w:rPr>
              <w:t>集中生产区</w:t>
            </w:r>
            <w:r>
              <w:rPr>
                <w:rFonts w:hint="eastAsia"/>
                <w:szCs w:val="21"/>
              </w:rPr>
              <w:t>北侧中棚</w:t>
            </w:r>
          </w:p>
        </w:tc>
        <w:tc>
          <w:tcPr>
            <w:tcW w:w="987" w:type="pct"/>
            <w:vMerge w:val="restart"/>
            <w:vAlign w:val="center"/>
          </w:tcPr>
          <w:p w14:paraId="6350CC2E">
            <w:pPr>
              <w:spacing w:line="320" w:lineRule="exact"/>
              <w:jc w:val="center"/>
              <w:rPr>
                <w:szCs w:val="21"/>
              </w:rPr>
            </w:pPr>
            <w:r>
              <w:rPr>
                <w:rFonts w:hint="eastAsia"/>
                <w:szCs w:val="21"/>
              </w:rPr>
              <w:t>敏感点噪声</w:t>
            </w:r>
          </w:p>
        </w:tc>
        <w:tc>
          <w:tcPr>
            <w:tcW w:w="1044" w:type="pct"/>
            <w:vMerge w:val="restart"/>
            <w:vAlign w:val="center"/>
          </w:tcPr>
          <w:p w14:paraId="3BD3559A">
            <w:pPr>
              <w:spacing w:line="360" w:lineRule="exact"/>
              <w:jc w:val="center"/>
              <w:rPr>
                <w:szCs w:val="21"/>
              </w:rPr>
            </w:pPr>
            <w:r>
              <w:rPr>
                <w:szCs w:val="21"/>
              </w:rPr>
              <w:t>等效连续A声级（LAeq）</w:t>
            </w:r>
          </w:p>
        </w:tc>
      </w:tr>
      <w:tr w14:paraId="4D8AB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166838BC">
            <w:pPr>
              <w:adjustRightInd w:val="0"/>
              <w:snapToGrid w:val="0"/>
              <w:spacing w:line="360" w:lineRule="exact"/>
              <w:ind w:left="-28"/>
              <w:jc w:val="center"/>
              <w:rPr>
                <w:szCs w:val="21"/>
              </w:rPr>
            </w:pPr>
          </w:p>
        </w:tc>
        <w:tc>
          <w:tcPr>
            <w:tcW w:w="800" w:type="pct"/>
            <w:vAlign w:val="center"/>
          </w:tcPr>
          <w:p w14:paraId="436997F6">
            <w:pPr>
              <w:spacing w:line="320" w:lineRule="exact"/>
              <w:jc w:val="center"/>
              <w:rPr>
                <w:szCs w:val="21"/>
              </w:rPr>
            </w:pPr>
            <w:r>
              <w:rPr>
                <w:szCs w:val="21"/>
              </w:rPr>
              <w:t>N11</w:t>
            </w:r>
          </w:p>
        </w:tc>
        <w:tc>
          <w:tcPr>
            <w:tcW w:w="1530" w:type="pct"/>
            <w:vAlign w:val="center"/>
          </w:tcPr>
          <w:p w14:paraId="25F9F82A">
            <w:pPr>
              <w:spacing w:line="320" w:lineRule="exact"/>
              <w:jc w:val="center"/>
              <w:rPr>
                <w:szCs w:val="21"/>
              </w:rPr>
            </w:pPr>
            <w:r>
              <w:rPr>
                <w:rFonts w:eastAsiaTheme="minorEastAsia"/>
                <w:szCs w:val="21"/>
              </w:rPr>
              <w:t>集中生产区</w:t>
            </w:r>
            <w:r>
              <w:rPr>
                <w:rFonts w:hint="eastAsia"/>
                <w:szCs w:val="21"/>
              </w:rPr>
              <w:t>南侧太子垭</w:t>
            </w:r>
          </w:p>
        </w:tc>
        <w:tc>
          <w:tcPr>
            <w:tcW w:w="987" w:type="pct"/>
            <w:vMerge w:val="continue"/>
            <w:vAlign w:val="center"/>
          </w:tcPr>
          <w:p w14:paraId="7C442325">
            <w:pPr>
              <w:widowControl/>
              <w:jc w:val="left"/>
              <w:rPr>
                <w:szCs w:val="21"/>
              </w:rPr>
            </w:pPr>
          </w:p>
        </w:tc>
        <w:tc>
          <w:tcPr>
            <w:tcW w:w="1044" w:type="pct"/>
            <w:vMerge w:val="continue"/>
            <w:vAlign w:val="center"/>
          </w:tcPr>
          <w:p w14:paraId="2F9FAEB7">
            <w:pPr>
              <w:spacing w:line="360" w:lineRule="exact"/>
              <w:jc w:val="center"/>
              <w:rPr>
                <w:szCs w:val="21"/>
              </w:rPr>
            </w:pPr>
          </w:p>
        </w:tc>
      </w:tr>
      <w:tr w14:paraId="2D24C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2E596532">
            <w:pPr>
              <w:adjustRightInd w:val="0"/>
              <w:snapToGrid w:val="0"/>
              <w:spacing w:line="360" w:lineRule="exact"/>
              <w:ind w:left="-28"/>
              <w:jc w:val="center"/>
              <w:rPr>
                <w:szCs w:val="21"/>
              </w:rPr>
            </w:pPr>
          </w:p>
        </w:tc>
        <w:tc>
          <w:tcPr>
            <w:tcW w:w="800" w:type="pct"/>
            <w:vAlign w:val="center"/>
          </w:tcPr>
          <w:p w14:paraId="06779542">
            <w:pPr>
              <w:spacing w:line="320" w:lineRule="exact"/>
              <w:jc w:val="center"/>
              <w:rPr>
                <w:szCs w:val="21"/>
              </w:rPr>
            </w:pPr>
            <w:r>
              <w:rPr>
                <w:szCs w:val="21"/>
              </w:rPr>
              <w:t>N12</w:t>
            </w:r>
          </w:p>
        </w:tc>
        <w:tc>
          <w:tcPr>
            <w:tcW w:w="1530" w:type="pct"/>
            <w:vAlign w:val="center"/>
          </w:tcPr>
          <w:p w14:paraId="6F77FB15">
            <w:pPr>
              <w:spacing w:line="320" w:lineRule="exact"/>
              <w:jc w:val="center"/>
              <w:rPr>
                <w:szCs w:val="21"/>
              </w:rPr>
            </w:pPr>
            <w:r>
              <w:rPr>
                <w:rFonts w:eastAsiaTheme="minorEastAsia"/>
                <w:szCs w:val="21"/>
              </w:rPr>
              <w:t>集中生产区</w:t>
            </w:r>
            <w:r>
              <w:rPr>
                <w:rFonts w:hint="eastAsia"/>
                <w:szCs w:val="21"/>
              </w:rPr>
              <w:t>西侧韩刘塆</w:t>
            </w:r>
          </w:p>
        </w:tc>
        <w:tc>
          <w:tcPr>
            <w:tcW w:w="987" w:type="pct"/>
            <w:vMerge w:val="continue"/>
            <w:vAlign w:val="center"/>
          </w:tcPr>
          <w:p w14:paraId="2F648686">
            <w:pPr>
              <w:widowControl/>
              <w:jc w:val="left"/>
              <w:rPr>
                <w:szCs w:val="21"/>
              </w:rPr>
            </w:pPr>
          </w:p>
        </w:tc>
        <w:tc>
          <w:tcPr>
            <w:tcW w:w="1044" w:type="pct"/>
            <w:vMerge w:val="continue"/>
            <w:vAlign w:val="center"/>
          </w:tcPr>
          <w:p w14:paraId="5D6FE179">
            <w:pPr>
              <w:spacing w:line="360" w:lineRule="exact"/>
              <w:jc w:val="center"/>
              <w:rPr>
                <w:szCs w:val="21"/>
              </w:rPr>
            </w:pPr>
          </w:p>
        </w:tc>
      </w:tr>
      <w:tr w14:paraId="1F7E7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192E1552">
            <w:pPr>
              <w:adjustRightInd w:val="0"/>
              <w:snapToGrid w:val="0"/>
              <w:spacing w:line="360" w:lineRule="exact"/>
              <w:ind w:left="-28"/>
              <w:jc w:val="center"/>
              <w:rPr>
                <w:szCs w:val="21"/>
              </w:rPr>
            </w:pPr>
          </w:p>
        </w:tc>
        <w:tc>
          <w:tcPr>
            <w:tcW w:w="800" w:type="pct"/>
            <w:vAlign w:val="center"/>
          </w:tcPr>
          <w:p w14:paraId="7B905BBF">
            <w:pPr>
              <w:spacing w:line="320" w:lineRule="exact"/>
              <w:jc w:val="center"/>
              <w:rPr>
                <w:szCs w:val="21"/>
              </w:rPr>
            </w:pPr>
            <w:r>
              <w:rPr>
                <w:szCs w:val="21"/>
              </w:rPr>
              <w:t>N13</w:t>
            </w:r>
          </w:p>
        </w:tc>
        <w:tc>
          <w:tcPr>
            <w:tcW w:w="1530" w:type="pct"/>
            <w:vAlign w:val="center"/>
          </w:tcPr>
          <w:p w14:paraId="153B3397">
            <w:pPr>
              <w:spacing w:line="320" w:lineRule="exact"/>
              <w:jc w:val="center"/>
              <w:rPr>
                <w:szCs w:val="21"/>
              </w:rPr>
            </w:pPr>
            <w:r>
              <w:rPr>
                <w:rFonts w:hint="eastAsia"/>
                <w:szCs w:val="21"/>
              </w:rPr>
              <w:t>新福鑫东侧界外</w:t>
            </w:r>
          </w:p>
        </w:tc>
        <w:tc>
          <w:tcPr>
            <w:tcW w:w="987" w:type="pct"/>
            <w:vAlign w:val="center"/>
          </w:tcPr>
          <w:p w14:paraId="212A57C1">
            <w:pPr>
              <w:spacing w:line="320" w:lineRule="exact"/>
              <w:jc w:val="center"/>
              <w:rPr>
                <w:szCs w:val="21"/>
              </w:rPr>
            </w:pPr>
            <w:r>
              <w:rPr>
                <w:rFonts w:hint="eastAsia"/>
                <w:szCs w:val="21"/>
              </w:rPr>
              <w:t>现状噪声</w:t>
            </w:r>
          </w:p>
        </w:tc>
        <w:tc>
          <w:tcPr>
            <w:tcW w:w="1044" w:type="pct"/>
            <w:vMerge w:val="continue"/>
            <w:vAlign w:val="center"/>
          </w:tcPr>
          <w:p w14:paraId="589EDB47">
            <w:pPr>
              <w:spacing w:line="360" w:lineRule="exact"/>
              <w:jc w:val="center"/>
              <w:rPr>
                <w:szCs w:val="21"/>
              </w:rPr>
            </w:pPr>
          </w:p>
        </w:tc>
      </w:tr>
      <w:tr w14:paraId="1C70A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555B0E3A">
            <w:pPr>
              <w:adjustRightInd w:val="0"/>
              <w:snapToGrid w:val="0"/>
              <w:spacing w:line="360" w:lineRule="exact"/>
              <w:ind w:left="-28"/>
              <w:jc w:val="center"/>
              <w:rPr>
                <w:szCs w:val="21"/>
              </w:rPr>
            </w:pPr>
          </w:p>
        </w:tc>
        <w:tc>
          <w:tcPr>
            <w:tcW w:w="800" w:type="pct"/>
            <w:vAlign w:val="center"/>
          </w:tcPr>
          <w:p w14:paraId="0279B8C6">
            <w:pPr>
              <w:spacing w:line="320" w:lineRule="exact"/>
              <w:jc w:val="center"/>
              <w:rPr>
                <w:szCs w:val="21"/>
              </w:rPr>
            </w:pPr>
            <w:r>
              <w:rPr>
                <w:szCs w:val="21"/>
              </w:rPr>
              <w:t>N14</w:t>
            </w:r>
          </w:p>
        </w:tc>
        <w:tc>
          <w:tcPr>
            <w:tcW w:w="1530" w:type="pct"/>
            <w:vAlign w:val="center"/>
          </w:tcPr>
          <w:p w14:paraId="231AF24A">
            <w:pPr>
              <w:spacing w:line="320" w:lineRule="exact"/>
              <w:jc w:val="center"/>
              <w:rPr>
                <w:szCs w:val="21"/>
              </w:rPr>
            </w:pPr>
            <w:r>
              <w:rPr>
                <w:szCs w:val="21"/>
              </w:rPr>
              <w:t>S328</w:t>
            </w:r>
            <w:r>
              <w:rPr>
                <w:rFonts w:hint="eastAsia"/>
                <w:szCs w:val="21"/>
              </w:rPr>
              <w:t>省道边界外</w:t>
            </w:r>
          </w:p>
        </w:tc>
        <w:tc>
          <w:tcPr>
            <w:tcW w:w="987" w:type="pct"/>
            <w:vAlign w:val="center"/>
          </w:tcPr>
          <w:p w14:paraId="36A96EDB">
            <w:pPr>
              <w:spacing w:line="320" w:lineRule="exact"/>
              <w:jc w:val="center"/>
              <w:rPr>
                <w:szCs w:val="21"/>
              </w:rPr>
            </w:pPr>
            <w:r>
              <w:rPr>
                <w:rFonts w:hint="eastAsia"/>
                <w:szCs w:val="21"/>
              </w:rPr>
              <w:t>现状交通噪声</w:t>
            </w:r>
          </w:p>
        </w:tc>
        <w:tc>
          <w:tcPr>
            <w:tcW w:w="1044" w:type="pct"/>
            <w:vMerge w:val="continue"/>
            <w:vAlign w:val="center"/>
          </w:tcPr>
          <w:p w14:paraId="2F90BE95">
            <w:pPr>
              <w:spacing w:line="360" w:lineRule="exact"/>
              <w:jc w:val="center"/>
              <w:rPr>
                <w:szCs w:val="21"/>
              </w:rPr>
            </w:pPr>
          </w:p>
        </w:tc>
      </w:tr>
      <w:tr w14:paraId="5AB09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26884C83">
            <w:pPr>
              <w:adjustRightInd w:val="0"/>
              <w:snapToGrid w:val="0"/>
              <w:spacing w:line="360" w:lineRule="exact"/>
              <w:ind w:left="-28"/>
              <w:jc w:val="center"/>
              <w:rPr>
                <w:szCs w:val="21"/>
              </w:rPr>
            </w:pPr>
          </w:p>
        </w:tc>
        <w:tc>
          <w:tcPr>
            <w:tcW w:w="800" w:type="pct"/>
            <w:vAlign w:val="center"/>
          </w:tcPr>
          <w:p w14:paraId="60F36DA0">
            <w:pPr>
              <w:spacing w:line="320" w:lineRule="exact"/>
              <w:jc w:val="center"/>
              <w:rPr>
                <w:szCs w:val="21"/>
              </w:rPr>
            </w:pPr>
            <w:r>
              <w:rPr>
                <w:szCs w:val="21"/>
              </w:rPr>
              <w:t>N15</w:t>
            </w:r>
          </w:p>
        </w:tc>
        <w:tc>
          <w:tcPr>
            <w:tcW w:w="1530" w:type="pct"/>
            <w:vAlign w:val="center"/>
          </w:tcPr>
          <w:p w14:paraId="587E2F6D">
            <w:pPr>
              <w:spacing w:line="320" w:lineRule="exact"/>
              <w:jc w:val="center"/>
              <w:rPr>
                <w:szCs w:val="21"/>
              </w:rPr>
            </w:pPr>
            <w:r>
              <w:rPr>
                <w:rFonts w:eastAsiaTheme="minorEastAsia"/>
                <w:szCs w:val="21"/>
              </w:rPr>
              <w:t>集中生产区附近</w:t>
            </w:r>
            <w:r>
              <w:rPr>
                <w:rFonts w:hint="eastAsia"/>
                <w:szCs w:val="21"/>
              </w:rPr>
              <w:t>现状农林用地</w:t>
            </w:r>
          </w:p>
        </w:tc>
        <w:tc>
          <w:tcPr>
            <w:tcW w:w="987" w:type="pct"/>
            <w:vAlign w:val="center"/>
          </w:tcPr>
          <w:p w14:paraId="01A131E9">
            <w:pPr>
              <w:spacing w:line="320" w:lineRule="exact"/>
              <w:jc w:val="center"/>
              <w:rPr>
                <w:szCs w:val="21"/>
              </w:rPr>
            </w:pPr>
            <w:r>
              <w:rPr>
                <w:rFonts w:hint="eastAsia"/>
                <w:szCs w:val="21"/>
              </w:rPr>
              <w:t>现状背景噪声</w:t>
            </w:r>
          </w:p>
        </w:tc>
        <w:tc>
          <w:tcPr>
            <w:tcW w:w="1044" w:type="pct"/>
            <w:vMerge w:val="continue"/>
            <w:vAlign w:val="center"/>
          </w:tcPr>
          <w:p w14:paraId="6E21F698">
            <w:pPr>
              <w:spacing w:line="360" w:lineRule="exact"/>
              <w:jc w:val="center"/>
              <w:rPr>
                <w:szCs w:val="21"/>
              </w:rPr>
            </w:pPr>
          </w:p>
        </w:tc>
      </w:tr>
      <w:tr w14:paraId="31914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restart"/>
            <w:vAlign w:val="center"/>
          </w:tcPr>
          <w:p w14:paraId="733D47B1">
            <w:pPr>
              <w:adjustRightInd w:val="0"/>
              <w:snapToGrid w:val="0"/>
              <w:spacing w:line="360" w:lineRule="exact"/>
              <w:ind w:left="-28"/>
              <w:jc w:val="center"/>
              <w:rPr>
                <w:szCs w:val="21"/>
              </w:rPr>
            </w:pPr>
            <w:r>
              <w:rPr>
                <w:rFonts w:eastAsiaTheme="minorEastAsia"/>
                <w:szCs w:val="21"/>
              </w:rPr>
              <w:t>草店石材产业园</w:t>
            </w:r>
          </w:p>
        </w:tc>
        <w:tc>
          <w:tcPr>
            <w:tcW w:w="800" w:type="pct"/>
            <w:vAlign w:val="center"/>
          </w:tcPr>
          <w:p w14:paraId="5B1DA9BC">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N1</w:t>
            </w:r>
          </w:p>
        </w:tc>
        <w:tc>
          <w:tcPr>
            <w:tcW w:w="1530" w:type="pct"/>
            <w:vAlign w:val="center"/>
          </w:tcPr>
          <w:p w14:paraId="0AE029F4">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岳家湾</w:t>
            </w:r>
            <w:r>
              <w:rPr>
                <w:rFonts w:ascii="Times New Roman" w:hAnsi="Times New Roman" w:cs="Times New Roman" w:eastAsiaTheme="minorEastAsia"/>
                <w:szCs w:val="21"/>
              </w:rPr>
              <w:t>村</w:t>
            </w:r>
          </w:p>
        </w:tc>
        <w:tc>
          <w:tcPr>
            <w:tcW w:w="987" w:type="pct"/>
            <w:vAlign w:val="center"/>
          </w:tcPr>
          <w:p w14:paraId="7790D844">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敏感点</w:t>
            </w:r>
          </w:p>
        </w:tc>
        <w:tc>
          <w:tcPr>
            <w:tcW w:w="1044" w:type="pct"/>
            <w:vMerge w:val="restart"/>
            <w:vAlign w:val="center"/>
          </w:tcPr>
          <w:p w14:paraId="1D5B672E">
            <w:pPr>
              <w:spacing w:line="360" w:lineRule="exact"/>
              <w:jc w:val="center"/>
              <w:rPr>
                <w:szCs w:val="21"/>
              </w:rPr>
            </w:pPr>
            <w:r>
              <w:rPr>
                <w:szCs w:val="21"/>
              </w:rPr>
              <w:t>等效连续A声级（LAeq）</w:t>
            </w:r>
          </w:p>
        </w:tc>
      </w:tr>
      <w:tr w14:paraId="21693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75C5A554">
            <w:pPr>
              <w:adjustRightInd w:val="0"/>
              <w:snapToGrid w:val="0"/>
              <w:spacing w:line="360" w:lineRule="exact"/>
              <w:ind w:left="-28"/>
              <w:jc w:val="center"/>
              <w:rPr>
                <w:szCs w:val="21"/>
              </w:rPr>
            </w:pPr>
          </w:p>
        </w:tc>
        <w:tc>
          <w:tcPr>
            <w:tcW w:w="800" w:type="pct"/>
            <w:vAlign w:val="center"/>
          </w:tcPr>
          <w:p w14:paraId="4F84942F">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N7</w:t>
            </w:r>
          </w:p>
        </w:tc>
        <w:tc>
          <w:tcPr>
            <w:tcW w:w="1530" w:type="pct"/>
            <w:vAlign w:val="center"/>
          </w:tcPr>
          <w:p w14:paraId="16D2402B">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鸿发石业企业边界</w:t>
            </w:r>
            <w:r>
              <w:rPr>
                <w:rFonts w:ascii="Times New Roman" w:hAnsi="Times New Roman" w:cs="Times New Roman" w:eastAsiaTheme="minorEastAsia"/>
                <w:szCs w:val="21"/>
              </w:rPr>
              <w:t>外</w:t>
            </w:r>
          </w:p>
        </w:tc>
        <w:tc>
          <w:tcPr>
            <w:tcW w:w="987" w:type="pct"/>
            <w:vAlign w:val="center"/>
          </w:tcPr>
          <w:p w14:paraId="3F7290D5">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现状噪声</w:t>
            </w:r>
          </w:p>
        </w:tc>
        <w:tc>
          <w:tcPr>
            <w:tcW w:w="1044" w:type="pct"/>
            <w:vMerge w:val="continue"/>
            <w:vAlign w:val="center"/>
          </w:tcPr>
          <w:p w14:paraId="0261B779">
            <w:pPr>
              <w:spacing w:line="360" w:lineRule="exact"/>
              <w:jc w:val="center"/>
              <w:rPr>
                <w:szCs w:val="21"/>
              </w:rPr>
            </w:pPr>
          </w:p>
        </w:tc>
      </w:tr>
      <w:tr w14:paraId="4DB15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4C7B91C9">
            <w:pPr>
              <w:adjustRightInd w:val="0"/>
              <w:snapToGrid w:val="0"/>
              <w:spacing w:line="360" w:lineRule="exact"/>
              <w:ind w:left="-28"/>
              <w:jc w:val="center"/>
              <w:rPr>
                <w:szCs w:val="21"/>
              </w:rPr>
            </w:pPr>
          </w:p>
        </w:tc>
        <w:tc>
          <w:tcPr>
            <w:tcW w:w="800" w:type="pct"/>
            <w:vAlign w:val="center"/>
          </w:tcPr>
          <w:p w14:paraId="0C2CCEB3">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N8</w:t>
            </w:r>
          </w:p>
        </w:tc>
        <w:tc>
          <w:tcPr>
            <w:tcW w:w="1530" w:type="pct"/>
            <w:vAlign w:val="center"/>
          </w:tcPr>
          <w:p w14:paraId="5CE533E2">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鸿发石业附近</w:t>
            </w:r>
            <w:r>
              <w:rPr>
                <w:rFonts w:ascii="Times New Roman" w:hAnsi="Times New Roman" w:cs="Times New Roman" w:eastAsiaTheme="minorEastAsia"/>
                <w:szCs w:val="21"/>
              </w:rPr>
              <w:t>白果树塆</w:t>
            </w:r>
          </w:p>
        </w:tc>
        <w:tc>
          <w:tcPr>
            <w:tcW w:w="987" w:type="pct"/>
            <w:vAlign w:val="center"/>
          </w:tcPr>
          <w:p w14:paraId="035E2784">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敏感点</w:t>
            </w:r>
          </w:p>
        </w:tc>
        <w:tc>
          <w:tcPr>
            <w:tcW w:w="1044" w:type="pct"/>
            <w:vMerge w:val="continue"/>
            <w:vAlign w:val="center"/>
          </w:tcPr>
          <w:p w14:paraId="6E5BA14A">
            <w:pPr>
              <w:spacing w:line="360" w:lineRule="exact"/>
              <w:jc w:val="center"/>
              <w:rPr>
                <w:szCs w:val="21"/>
              </w:rPr>
            </w:pPr>
          </w:p>
        </w:tc>
      </w:tr>
      <w:tr w14:paraId="59D85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9" w:type="pct"/>
            <w:vMerge w:val="continue"/>
            <w:vAlign w:val="center"/>
          </w:tcPr>
          <w:p w14:paraId="12CF3078">
            <w:pPr>
              <w:adjustRightInd w:val="0"/>
              <w:snapToGrid w:val="0"/>
              <w:spacing w:line="360" w:lineRule="exact"/>
              <w:ind w:left="-28"/>
              <w:jc w:val="center"/>
              <w:rPr>
                <w:szCs w:val="21"/>
              </w:rPr>
            </w:pPr>
          </w:p>
        </w:tc>
        <w:tc>
          <w:tcPr>
            <w:tcW w:w="800" w:type="pct"/>
            <w:vAlign w:val="center"/>
          </w:tcPr>
          <w:p w14:paraId="0A3A806A">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N9</w:t>
            </w:r>
          </w:p>
        </w:tc>
        <w:tc>
          <w:tcPr>
            <w:tcW w:w="1530" w:type="pct"/>
            <w:vAlign w:val="center"/>
          </w:tcPr>
          <w:p w14:paraId="72EF9E7C">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集中生产区中附近农林用地</w:t>
            </w:r>
          </w:p>
        </w:tc>
        <w:tc>
          <w:tcPr>
            <w:tcW w:w="987" w:type="pct"/>
            <w:vAlign w:val="center"/>
          </w:tcPr>
          <w:p w14:paraId="3B4BA270">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空地背景值</w:t>
            </w:r>
          </w:p>
        </w:tc>
        <w:tc>
          <w:tcPr>
            <w:tcW w:w="1044" w:type="pct"/>
            <w:vMerge w:val="continue"/>
            <w:vAlign w:val="center"/>
          </w:tcPr>
          <w:p w14:paraId="0A090D1B">
            <w:pPr>
              <w:spacing w:line="360" w:lineRule="exact"/>
              <w:jc w:val="center"/>
              <w:rPr>
                <w:szCs w:val="21"/>
              </w:rPr>
            </w:pPr>
          </w:p>
        </w:tc>
      </w:tr>
    </w:tbl>
    <w:p w14:paraId="751448F2">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（2）监测时间、频率</w:t>
      </w:r>
    </w:p>
    <w:p w14:paraId="19C563DE">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监测时间为202</w:t>
      </w:r>
      <w:r>
        <w:rPr>
          <w:rFonts w:hint="eastAsia" w:eastAsiaTheme="minorEastAsia"/>
          <w:kern w:val="20"/>
          <w:sz w:val="24"/>
        </w:rPr>
        <w:t>4</w:t>
      </w:r>
      <w:r>
        <w:rPr>
          <w:rFonts w:eastAsiaTheme="minorEastAsia"/>
          <w:kern w:val="20"/>
          <w:sz w:val="24"/>
        </w:rPr>
        <w:t>年</w:t>
      </w:r>
      <w:r>
        <w:rPr>
          <w:rFonts w:hint="eastAsia" w:eastAsiaTheme="minorEastAsia"/>
          <w:kern w:val="20"/>
          <w:sz w:val="24"/>
        </w:rPr>
        <w:t>2</w:t>
      </w:r>
      <w:r>
        <w:rPr>
          <w:rFonts w:eastAsiaTheme="minorEastAsia"/>
          <w:kern w:val="20"/>
          <w:sz w:val="24"/>
        </w:rPr>
        <w:t>月</w:t>
      </w:r>
      <w:r>
        <w:rPr>
          <w:rFonts w:hint="eastAsia" w:eastAsiaTheme="minorEastAsia"/>
          <w:kern w:val="20"/>
          <w:sz w:val="24"/>
        </w:rPr>
        <w:t>28</w:t>
      </w:r>
      <w:r>
        <w:rPr>
          <w:rFonts w:eastAsiaTheme="minorEastAsia"/>
          <w:kern w:val="20"/>
          <w:sz w:val="24"/>
        </w:rPr>
        <w:t>日</w:t>
      </w:r>
      <w:r>
        <w:rPr>
          <w:rFonts w:hint="eastAsia" w:eastAsiaTheme="minorEastAsia"/>
          <w:kern w:val="20"/>
          <w:sz w:val="24"/>
        </w:rPr>
        <w:t>至3月3日</w:t>
      </w:r>
      <w:r>
        <w:rPr>
          <w:rFonts w:eastAsiaTheme="minorEastAsia"/>
          <w:kern w:val="20"/>
          <w:sz w:val="24"/>
        </w:rPr>
        <w:t>，</w:t>
      </w:r>
      <w:r>
        <w:rPr>
          <w:rFonts w:hint="eastAsia" w:eastAsiaTheme="minorEastAsia"/>
          <w:kern w:val="20"/>
          <w:sz w:val="24"/>
        </w:rPr>
        <w:t>各点位</w:t>
      </w:r>
      <w:r>
        <w:rPr>
          <w:rFonts w:eastAsiaTheme="minorEastAsia"/>
          <w:kern w:val="20"/>
          <w:sz w:val="24"/>
        </w:rPr>
        <w:t>监测1天，对各个噪声监测点进行昼间和夜间监测。昼间06:00～22:00，夜间22:00～06:00（次日）。</w:t>
      </w:r>
    </w:p>
    <w:p w14:paraId="044AAA02">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（3）监测方法及评价标准</w:t>
      </w:r>
    </w:p>
    <w:p w14:paraId="49F03F97">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按《声环境质量标准》（GB3096-2008）的规定，采用符合国家计量规定的声级计进行监测。</w:t>
      </w:r>
    </w:p>
    <w:p w14:paraId="704565B0">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规划园区所在区域声环境功能区划属《声环境质量标准》（GB3096-2008）</w:t>
      </w:r>
      <w:r>
        <w:rPr>
          <w:rFonts w:hint="eastAsia" w:eastAsiaTheme="minorEastAsia"/>
          <w:kern w:val="20"/>
          <w:sz w:val="24"/>
        </w:rPr>
        <w:t>2类、</w:t>
      </w:r>
      <w:r>
        <w:rPr>
          <w:rFonts w:eastAsiaTheme="minorEastAsia"/>
          <w:kern w:val="20"/>
          <w:sz w:val="24"/>
        </w:rPr>
        <w:t>3类及</w:t>
      </w:r>
      <w:r>
        <w:rPr>
          <w:rFonts w:hint="eastAsia" w:eastAsiaTheme="minorEastAsia"/>
          <w:kern w:val="20"/>
          <w:sz w:val="24"/>
        </w:rPr>
        <w:t>4a类</w:t>
      </w:r>
      <w:r>
        <w:rPr>
          <w:rFonts w:eastAsiaTheme="minorEastAsia"/>
          <w:kern w:val="20"/>
          <w:sz w:val="24"/>
        </w:rPr>
        <w:t>区，执行</w:t>
      </w:r>
      <w:r>
        <w:rPr>
          <w:rFonts w:eastAsiaTheme="minorEastAsia"/>
          <w:sz w:val="24"/>
        </w:rPr>
        <w:t>《声环境质量标准》</w:t>
      </w:r>
      <w:r>
        <w:rPr>
          <w:rFonts w:eastAsiaTheme="minorEastAsia"/>
          <w:kern w:val="20"/>
          <w:sz w:val="24"/>
        </w:rPr>
        <w:t>（GB3096-2008）</w:t>
      </w:r>
      <w:r>
        <w:rPr>
          <w:rFonts w:hint="eastAsia" w:eastAsiaTheme="minorEastAsia"/>
          <w:kern w:val="20"/>
          <w:sz w:val="24"/>
        </w:rPr>
        <w:t>2类、</w:t>
      </w:r>
      <w:r>
        <w:rPr>
          <w:rFonts w:eastAsiaTheme="minorEastAsia"/>
          <w:kern w:val="20"/>
          <w:sz w:val="24"/>
        </w:rPr>
        <w:t>3类及</w:t>
      </w:r>
      <w:r>
        <w:rPr>
          <w:rFonts w:hint="eastAsia" w:eastAsiaTheme="minorEastAsia"/>
          <w:kern w:val="20"/>
          <w:sz w:val="24"/>
        </w:rPr>
        <w:t>4a类</w:t>
      </w:r>
      <w:r>
        <w:rPr>
          <w:rFonts w:eastAsiaTheme="minorEastAsia"/>
          <w:kern w:val="20"/>
          <w:sz w:val="24"/>
        </w:rPr>
        <w:t>标准要求。</w:t>
      </w:r>
    </w:p>
    <w:p w14:paraId="59019D50">
      <w:pPr>
        <w:pStyle w:val="35"/>
        <w:spacing w:after="0" w:line="360" w:lineRule="auto"/>
        <w:ind w:left="0" w:leftChars="0" w:firstLine="480" w:firstLineChars="200"/>
        <w:contextualSpacing/>
        <w:rPr>
          <w:rFonts w:eastAsiaTheme="minorEastAsia"/>
          <w:kern w:val="20"/>
          <w:sz w:val="24"/>
        </w:rPr>
      </w:pPr>
      <w:r>
        <w:rPr>
          <w:rFonts w:eastAsiaTheme="minorEastAsia"/>
          <w:kern w:val="20"/>
          <w:sz w:val="24"/>
        </w:rPr>
        <w:t>（4）监测结果与分析</w:t>
      </w:r>
    </w:p>
    <w:p w14:paraId="7DCF938C">
      <w:pPr>
        <w:pStyle w:val="35"/>
        <w:spacing w:after="0" w:line="360" w:lineRule="auto"/>
        <w:ind w:left="0" w:leftChars="0" w:firstLine="480" w:firstLineChars="200"/>
        <w:contextualSpacing/>
        <w:rPr>
          <w:rFonts w:eastAsiaTheme="minorEastAsia"/>
          <w:kern w:val="20"/>
          <w:sz w:val="24"/>
        </w:rPr>
      </w:pPr>
      <w:r>
        <w:rPr>
          <w:rFonts w:hint="eastAsia" w:eastAsiaTheme="minorEastAsia"/>
          <w:kern w:val="20"/>
          <w:sz w:val="24"/>
        </w:rPr>
        <w:t>规划园区</w:t>
      </w:r>
      <w:r>
        <w:rPr>
          <w:rFonts w:eastAsiaTheme="minorEastAsia"/>
          <w:kern w:val="20"/>
          <w:sz w:val="24"/>
        </w:rPr>
        <w:t>噪声监测统计结果见下表。</w:t>
      </w:r>
    </w:p>
    <w:p w14:paraId="321BAA7C">
      <w:pPr>
        <w:widowControl/>
        <w:adjustRightInd w:val="0"/>
        <w:spacing w:line="360" w:lineRule="auto"/>
        <w:ind w:firstLine="422" w:firstLineChars="200"/>
        <w:contextualSpacing/>
        <w:jc w:val="center"/>
        <w:rPr>
          <w:rFonts w:eastAsiaTheme="minorEastAsia"/>
          <w:b/>
          <w:kern w:val="0"/>
          <w:szCs w:val="21"/>
        </w:rPr>
      </w:pPr>
      <w:r>
        <w:rPr>
          <w:rFonts w:eastAsiaTheme="minorEastAsia"/>
          <w:b/>
          <w:kern w:val="0"/>
          <w:szCs w:val="21"/>
        </w:rPr>
        <w:t>表</w:t>
      </w:r>
      <w:r>
        <w:rPr>
          <w:rFonts w:hint="eastAsia" w:eastAsiaTheme="minorEastAsia"/>
          <w:b/>
          <w:kern w:val="0"/>
          <w:szCs w:val="21"/>
        </w:rPr>
        <w:t>3.3</w:t>
      </w:r>
      <w:r>
        <w:rPr>
          <w:rFonts w:eastAsiaTheme="minorEastAsia"/>
          <w:b/>
          <w:kern w:val="0"/>
          <w:szCs w:val="21"/>
        </w:rPr>
        <w:t xml:space="preserve">.5-2 </w:t>
      </w:r>
      <w:r>
        <w:rPr>
          <w:rFonts w:hint="eastAsia" w:eastAsiaTheme="minorEastAsia"/>
          <w:b/>
          <w:kern w:val="0"/>
          <w:szCs w:val="21"/>
        </w:rPr>
        <w:t xml:space="preserve"> 规划园区</w:t>
      </w:r>
      <w:r>
        <w:rPr>
          <w:rFonts w:eastAsiaTheme="minorEastAsia"/>
          <w:b/>
          <w:kern w:val="0"/>
          <w:szCs w:val="21"/>
        </w:rPr>
        <w:t>环境噪声监测结果统计表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993"/>
        <w:gridCol w:w="2432"/>
        <w:gridCol w:w="911"/>
        <w:gridCol w:w="853"/>
        <w:gridCol w:w="815"/>
        <w:gridCol w:w="759"/>
        <w:gridCol w:w="807"/>
      </w:tblGrid>
      <w:tr w14:paraId="3096E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restart"/>
            <w:tcBorders>
              <w:right w:val="single" w:color="auto" w:sz="4" w:space="0"/>
            </w:tcBorders>
            <w:vAlign w:val="center"/>
          </w:tcPr>
          <w:p w14:paraId="262009E3">
            <w:pPr>
              <w:spacing w:line="320" w:lineRule="exact"/>
              <w:jc w:val="center"/>
              <w:rPr>
                <w:szCs w:val="21"/>
              </w:rPr>
            </w:pPr>
            <w:r>
              <w:rPr>
                <w:szCs w:val="21"/>
              </w:rPr>
              <w:t>园区位置</w:t>
            </w:r>
          </w:p>
        </w:tc>
        <w:tc>
          <w:tcPr>
            <w:tcW w:w="582" w:type="pct"/>
            <w:vMerge w:val="restart"/>
            <w:tcBorders>
              <w:right w:val="single" w:color="auto" w:sz="4" w:space="0"/>
            </w:tcBorders>
            <w:vAlign w:val="center"/>
          </w:tcPr>
          <w:p w14:paraId="20F05143">
            <w:pPr>
              <w:spacing w:line="320" w:lineRule="exact"/>
              <w:jc w:val="center"/>
              <w:rPr>
                <w:szCs w:val="21"/>
              </w:rPr>
            </w:pPr>
            <w:r>
              <w:rPr>
                <w:szCs w:val="21"/>
              </w:rPr>
              <w:t>点位</w:t>
            </w:r>
            <w:r>
              <w:rPr>
                <w:rFonts w:hint="eastAsia"/>
                <w:szCs w:val="21"/>
              </w:rPr>
              <w:t>编号</w:t>
            </w:r>
          </w:p>
        </w:tc>
        <w:tc>
          <w:tcPr>
            <w:tcW w:w="1426" w:type="pct"/>
            <w:vMerge w:val="restart"/>
            <w:tcBorders>
              <w:left w:val="single" w:color="auto" w:sz="4" w:space="0"/>
            </w:tcBorders>
            <w:vAlign w:val="center"/>
          </w:tcPr>
          <w:p w14:paraId="5C269DC8">
            <w:pPr>
              <w:spacing w:line="320" w:lineRule="exact"/>
              <w:jc w:val="center"/>
              <w:rPr>
                <w:szCs w:val="21"/>
              </w:rPr>
            </w:pPr>
            <w:r>
              <w:rPr>
                <w:szCs w:val="21"/>
              </w:rPr>
              <w:t>监测点位</w:t>
            </w:r>
          </w:p>
        </w:tc>
        <w:tc>
          <w:tcPr>
            <w:tcW w:w="1034" w:type="pct"/>
            <w:gridSpan w:val="2"/>
            <w:vAlign w:val="center"/>
          </w:tcPr>
          <w:p w14:paraId="61D4A5BB">
            <w:pPr>
              <w:spacing w:line="320" w:lineRule="exact"/>
              <w:jc w:val="center"/>
              <w:rPr>
                <w:szCs w:val="21"/>
              </w:rPr>
            </w:pPr>
            <w:r>
              <w:rPr>
                <w:szCs w:val="21"/>
              </w:rPr>
              <w:t>实测值dB(A)</w:t>
            </w:r>
          </w:p>
        </w:tc>
        <w:tc>
          <w:tcPr>
            <w:tcW w:w="923" w:type="pct"/>
            <w:gridSpan w:val="2"/>
            <w:tcBorders>
              <w:bottom w:val="single" w:color="auto" w:sz="4" w:space="0"/>
            </w:tcBorders>
            <w:vAlign w:val="center"/>
          </w:tcPr>
          <w:p w14:paraId="36CEF0A6">
            <w:pPr>
              <w:spacing w:line="320" w:lineRule="exact"/>
              <w:jc w:val="center"/>
              <w:rPr>
                <w:szCs w:val="21"/>
              </w:rPr>
            </w:pPr>
            <w:r>
              <w:rPr>
                <w:szCs w:val="21"/>
              </w:rPr>
              <w:t>标准值dB(A)</w:t>
            </w:r>
          </w:p>
        </w:tc>
        <w:tc>
          <w:tcPr>
            <w:tcW w:w="473" w:type="pct"/>
            <w:vMerge w:val="restart"/>
            <w:tcBorders>
              <w:top w:val="single" w:color="auto" w:sz="4" w:space="0"/>
            </w:tcBorders>
            <w:vAlign w:val="center"/>
          </w:tcPr>
          <w:p w14:paraId="1DA3B843">
            <w:pPr>
              <w:spacing w:line="320" w:lineRule="exact"/>
              <w:jc w:val="center"/>
              <w:rPr>
                <w:szCs w:val="21"/>
              </w:rPr>
            </w:pPr>
            <w:r>
              <w:rPr>
                <w:szCs w:val="21"/>
              </w:rPr>
              <w:t>达标情况</w:t>
            </w:r>
          </w:p>
        </w:tc>
      </w:tr>
      <w:tr w14:paraId="3C84F3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49A87C06">
            <w:pPr>
              <w:spacing w:line="320" w:lineRule="exact"/>
              <w:jc w:val="center"/>
              <w:rPr>
                <w:szCs w:val="21"/>
              </w:rPr>
            </w:pPr>
          </w:p>
        </w:tc>
        <w:tc>
          <w:tcPr>
            <w:tcW w:w="582" w:type="pct"/>
            <w:vMerge w:val="continue"/>
            <w:tcBorders>
              <w:right w:val="single" w:color="auto" w:sz="4" w:space="0"/>
            </w:tcBorders>
            <w:vAlign w:val="center"/>
          </w:tcPr>
          <w:p w14:paraId="6C79D30B">
            <w:pPr>
              <w:spacing w:line="320" w:lineRule="exact"/>
              <w:jc w:val="center"/>
              <w:rPr>
                <w:szCs w:val="21"/>
              </w:rPr>
            </w:pPr>
          </w:p>
        </w:tc>
        <w:tc>
          <w:tcPr>
            <w:tcW w:w="1426" w:type="pct"/>
            <w:vMerge w:val="continue"/>
            <w:tcBorders>
              <w:left w:val="single" w:color="auto" w:sz="4" w:space="0"/>
            </w:tcBorders>
            <w:vAlign w:val="center"/>
          </w:tcPr>
          <w:p w14:paraId="140621EF">
            <w:pPr>
              <w:spacing w:line="320" w:lineRule="exact"/>
              <w:jc w:val="center"/>
              <w:rPr>
                <w:szCs w:val="21"/>
              </w:rPr>
            </w:pPr>
          </w:p>
        </w:tc>
        <w:tc>
          <w:tcPr>
            <w:tcW w:w="534" w:type="pct"/>
            <w:vAlign w:val="center"/>
          </w:tcPr>
          <w:p w14:paraId="51EC5F93">
            <w:pPr>
              <w:spacing w:line="320" w:lineRule="exact"/>
              <w:jc w:val="center"/>
              <w:rPr>
                <w:szCs w:val="21"/>
              </w:rPr>
            </w:pPr>
            <w:r>
              <w:rPr>
                <w:szCs w:val="21"/>
              </w:rPr>
              <w:t>昼间</w:t>
            </w:r>
          </w:p>
        </w:tc>
        <w:tc>
          <w:tcPr>
            <w:tcW w:w="500" w:type="pct"/>
            <w:tcBorders>
              <w:top w:val="single" w:color="auto" w:sz="4" w:space="0"/>
            </w:tcBorders>
            <w:vAlign w:val="center"/>
          </w:tcPr>
          <w:p w14:paraId="0CF4B8FA">
            <w:pPr>
              <w:spacing w:line="320" w:lineRule="exact"/>
              <w:jc w:val="center"/>
              <w:rPr>
                <w:szCs w:val="21"/>
              </w:rPr>
            </w:pPr>
            <w:r>
              <w:rPr>
                <w:szCs w:val="21"/>
              </w:rPr>
              <w:t>夜间</w:t>
            </w:r>
          </w:p>
        </w:tc>
        <w:tc>
          <w:tcPr>
            <w:tcW w:w="478" w:type="pct"/>
            <w:tcBorders>
              <w:top w:val="single" w:color="auto" w:sz="4" w:space="0"/>
              <w:right w:val="single" w:color="auto" w:sz="4" w:space="0"/>
            </w:tcBorders>
            <w:vAlign w:val="center"/>
          </w:tcPr>
          <w:p w14:paraId="380ED3EA">
            <w:pPr>
              <w:spacing w:line="320" w:lineRule="exact"/>
              <w:jc w:val="center"/>
              <w:rPr>
                <w:szCs w:val="21"/>
              </w:rPr>
            </w:pPr>
            <w:r>
              <w:rPr>
                <w:szCs w:val="21"/>
              </w:rPr>
              <w:t>昼间</w:t>
            </w:r>
          </w:p>
        </w:tc>
        <w:tc>
          <w:tcPr>
            <w:tcW w:w="445" w:type="pct"/>
            <w:tcBorders>
              <w:top w:val="single" w:color="auto" w:sz="4" w:space="0"/>
              <w:left w:val="single" w:color="auto" w:sz="4" w:space="0"/>
            </w:tcBorders>
            <w:vAlign w:val="center"/>
          </w:tcPr>
          <w:p w14:paraId="2D6CCC50">
            <w:pPr>
              <w:spacing w:line="320" w:lineRule="exact"/>
              <w:jc w:val="center"/>
              <w:rPr>
                <w:szCs w:val="21"/>
              </w:rPr>
            </w:pPr>
            <w:r>
              <w:rPr>
                <w:szCs w:val="21"/>
              </w:rPr>
              <w:t>夜间</w:t>
            </w:r>
          </w:p>
        </w:tc>
        <w:tc>
          <w:tcPr>
            <w:tcW w:w="473" w:type="pct"/>
            <w:vMerge w:val="continue"/>
            <w:vAlign w:val="center"/>
          </w:tcPr>
          <w:p w14:paraId="44CF0708">
            <w:pPr>
              <w:spacing w:line="320" w:lineRule="exact"/>
              <w:jc w:val="center"/>
              <w:rPr>
                <w:szCs w:val="21"/>
              </w:rPr>
            </w:pPr>
          </w:p>
        </w:tc>
      </w:tr>
      <w:tr w14:paraId="4388AC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restart"/>
            <w:tcBorders>
              <w:right w:val="single" w:color="auto" w:sz="4" w:space="0"/>
            </w:tcBorders>
            <w:vAlign w:val="center"/>
          </w:tcPr>
          <w:p w14:paraId="014FBEB2">
            <w:pPr>
              <w:spacing w:line="360" w:lineRule="exact"/>
              <w:jc w:val="center"/>
              <w:rPr>
                <w:szCs w:val="21"/>
              </w:rPr>
            </w:pPr>
            <w:r>
              <w:rPr>
                <w:szCs w:val="21"/>
              </w:rPr>
              <w:t>吴山闽商石材产业园</w:t>
            </w:r>
          </w:p>
        </w:tc>
        <w:tc>
          <w:tcPr>
            <w:tcW w:w="582" w:type="pct"/>
            <w:tcBorders>
              <w:right w:val="single" w:color="auto" w:sz="4" w:space="0"/>
            </w:tcBorders>
            <w:vAlign w:val="center"/>
          </w:tcPr>
          <w:p w14:paraId="366CAD08">
            <w:pPr>
              <w:jc w:val="center"/>
            </w:pPr>
            <w:r>
              <w:rPr>
                <w:szCs w:val="21"/>
              </w:rPr>
              <w:t>N</w:t>
            </w:r>
            <w:r>
              <w:rPr>
                <w:rFonts w:hint="eastAsia"/>
                <w:szCs w:val="21"/>
              </w:rPr>
              <w:t>5</w:t>
            </w:r>
          </w:p>
        </w:tc>
        <w:tc>
          <w:tcPr>
            <w:tcW w:w="1426" w:type="pct"/>
            <w:tcBorders>
              <w:left w:val="single" w:color="auto" w:sz="4" w:space="0"/>
            </w:tcBorders>
            <w:vAlign w:val="center"/>
          </w:tcPr>
          <w:p w14:paraId="0E91D1CE">
            <w:pPr>
              <w:adjustRightInd w:val="0"/>
              <w:snapToGrid w:val="0"/>
              <w:spacing w:line="360" w:lineRule="exact"/>
              <w:ind w:left="-28"/>
              <w:jc w:val="center"/>
              <w:rPr>
                <w:szCs w:val="21"/>
              </w:rPr>
            </w:pPr>
            <w:r>
              <w:rPr>
                <w:szCs w:val="21"/>
              </w:rPr>
              <w:t>园区</w:t>
            </w:r>
            <w:r>
              <w:rPr>
                <w:rFonts w:hint="eastAsia"/>
                <w:szCs w:val="21"/>
              </w:rPr>
              <w:t>东南侧界外1m处交通噪声</w:t>
            </w:r>
          </w:p>
        </w:tc>
        <w:tc>
          <w:tcPr>
            <w:tcW w:w="534" w:type="pct"/>
            <w:vAlign w:val="center"/>
          </w:tcPr>
          <w:p w14:paraId="340066CF">
            <w:pPr>
              <w:jc w:val="center"/>
              <w:rPr>
                <w:szCs w:val="21"/>
              </w:rPr>
            </w:pPr>
            <w:r>
              <w:rPr>
                <w:rFonts w:hint="eastAsia"/>
                <w:szCs w:val="21"/>
              </w:rPr>
              <w:t>47</w:t>
            </w:r>
          </w:p>
        </w:tc>
        <w:tc>
          <w:tcPr>
            <w:tcW w:w="500" w:type="pct"/>
            <w:vAlign w:val="center"/>
          </w:tcPr>
          <w:p w14:paraId="5CA9CB84">
            <w:pPr>
              <w:jc w:val="center"/>
              <w:rPr>
                <w:szCs w:val="21"/>
              </w:rPr>
            </w:pPr>
            <w:r>
              <w:rPr>
                <w:rFonts w:hint="eastAsia"/>
                <w:szCs w:val="21"/>
              </w:rPr>
              <w:t>43</w:t>
            </w:r>
          </w:p>
        </w:tc>
        <w:tc>
          <w:tcPr>
            <w:tcW w:w="478" w:type="pct"/>
            <w:tcBorders>
              <w:right w:val="single" w:color="auto" w:sz="4" w:space="0"/>
            </w:tcBorders>
            <w:vAlign w:val="center"/>
          </w:tcPr>
          <w:p w14:paraId="6C697D81">
            <w:pPr>
              <w:spacing w:line="320" w:lineRule="exact"/>
              <w:jc w:val="center"/>
              <w:rPr>
                <w:szCs w:val="21"/>
              </w:rPr>
            </w:pPr>
            <w:r>
              <w:rPr>
                <w:rFonts w:hint="eastAsia"/>
                <w:szCs w:val="21"/>
              </w:rPr>
              <w:t>75</w:t>
            </w:r>
          </w:p>
        </w:tc>
        <w:tc>
          <w:tcPr>
            <w:tcW w:w="445" w:type="pct"/>
            <w:tcBorders>
              <w:left w:val="single" w:color="auto" w:sz="4" w:space="0"/>
            </w:tcBorders>
            <w:vAlign w:val="center"/>
          </w:tcPr>
          <w:p w14:paraId="2A25C54C">
            <w:pPr>
              <w:spacing w:line="320" w:lineRule="exact"/>
              <w:jc w:val="center"/>
              <w:rPr>
                <w:szCs w:val="21"/>
              </w:rPr>
            </w:pPr>
            <w:r>
              <w:rPr>
                <w:rFonts w:hint="eastAsia"/>
                <w:szCs w:val="21"/>
              </w:rPr>
              <w:t>55</w:t>
            </w:r>
          </w:p>
        </w:tc>
        <w:tc>
          <w:tcPr>
            <w:tcW w:w="473" w:type="pct"/>
            <w:vAlign w:val="center"/>
          </w:tcPr>
          <w:p w14:paraId="5CFAFAEE">
            <w:pPr>
              <w:spacing w:line="320" w:lineRule="exact"/>
              <w:jc w:val="center"/>
              <w:rPr>
                <w:szCs w:val="21"/>
              </w:rPr>
            </w:pPr>
            <w:r>
              <w:rPr>
                <w:szCs w:val="21"/>
              </w:rPr>
              <w:t>达标</w:t>
            </w:r>
          </w:p>
        </w:tc>
      </w:tr>
      <w:tr w14:paraId="59CF4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0E9029EC">
            <w:pPr>
              <w:jc w:val="center"/>
            </w:pPr>
          </w:p>
        </w:tc>
        <w:tc>
          <w:tcPr>
            <w:tcW w:w="582" w:type="pct"/>
            <w:tcBorders>
              <w:right w:val="single" w:color="auto" w:sz="4" w:space="0"/>
            </w:tcBorders>
            <w:vAlign w:val="center"/>
          </w:tcPr>
          <w:p w14:paraId="5F4AA5B5">
            <w:pPr>
              <w:jc w:val="center"/>
            </w:pPr>
            <w:r>
              <w:rPr>
                <w:szCs w:val="21"/>
              </w:rPr>
              <w:t>N</w:t>
            </w:r>
            <w:r>
              <w:rPr>
                <w:rFonts w:hint="eastAsia"/>
                <w:szCs w:val="21"/>
              </w:rPr>
              <w:t>6</w:t>
            </w:r>
          </w:p>
        </w:tc>
        <w:tc>
          <w:tcPr>
            <w:tcW w:w="1426" w:type="pct"/>
            <w:tcBorders>
              <w:left w:val="single" w:color="auto" w:sz="4" w:space="0"/>
            </w:tcBorders>
            <w:vAlign w:val="center"/>
          </w:tcPr>
          <w:p w14:paraId="5F933A6F">
            <w:pPr>
              <w:adjustRightInd w:val="0"/>
              <w:snapToGrid w:val="0"/>
              <w:spacing w:line="360" w:lineRule="exact"/>
              <w:ind w:left="-28"/>
              <w:jc w:val="center"/>
              <w:rPr>
                <w:szCs w:val="21"/>
              </w:rPr>
            </w:pPr>
            <w:r>
              <w:rPr>
                <w:rFonts w:hint="eastAsia"/>
                <w:szCs w:val="21"/>
              </w:rPr>
              <w:t>园区南</w:t>
            </w:r>
            <w:r>
              <w:rPr>
                <w:szCs w:val="21"/>
              </w:rPr>
              <w:t>侧居民点</w:t>
            </w:r>
            <w:r>
              <w:rPr>
                <w:rFonts w:hint="eastAsia"/>
                <w:szCs w:val="21"/>
              </w:rPr>
              <w:t>肖家塆</w:t>
            </w:r>
          </w:p>
        </w:tc>
        <w:tc>
          <w:tcPr>
            <w:tcW w:w="534" w:type="pct"/>
            <w:vAlign w:val="center"/>
          </w:tcPr>
          <w:p w14:paraId="13BA5336">
            <w:pPr>
              <w:jc w:val="center"/>
              <w:rPr>
                <w:szCs w:val="21"/>
              </w:rPr>
            </w:pPr>
            <w:r>
              <w:rPr>
                <w:rFonts w:hint="eastAsia"/>
                <w:szCs w:val="21"/>
              </w:rPr>
              <w:t>46</w:t>
            </w:r>
          </w:p>
        </w:tc>
        <w:tc>
          <w:tcPr>
            <w:tcW w:w="500" w:type="pct"/>
            <w:vAlign w:val="center"/>
          </w:tcPr>
          <w:p w14:paraId="3AA553F7">
            <w:pPr>
              <w:jc w:val="center"/>
              <w:rPr>
                <w:szCs w:val="21"/>
              </w:rPr>
            </w:pPr>
            <w:r>
              <w:rPr>
                <w:rFonts w:hint="eastAsia"/>
                <w:szCs w:val="21"/>
              </w:rPr>
              <w:t>42</w:t>
            </w:r>
          </w:p>
        </w:tc>
        <w:tc>
          <w:tcPr>
            <w:tcW w:w="478" w:type="pct"/>
            <w:tcBorders>
              <w:right w:val="single" w:color="auto" w:sz="4" w:space="0"/>
            </w:tcBorders>
            <w:vAlign w:val="center"/>
          </w:tcPr>
          <w:p w14:paraId="658891B5">
            <w:pPr>
              <w:spacing w:line="320" w:lineRule="exact"/>
              <w:jc w:val="center"/>
              <w:rPr>
                <w:szCs w:val="21"/>
              </w:rPr>
            </w:pPr>
            <w:r>
              <w:rPr>
                <w:rFonts w:hint="eastAsia"/>
                <w:szCs w:val="21"/>
              </w:rPr>
              <w:t>60</w:t>
            </w:r>
          </w:p>
        </w:tc>
        <w:tc>
          <w:tcPr>
            <w:tcW w:w="445" w:type="pct"/>
            <w:tcBorders>
              <w:left w:val="single" w:color="auto" w:sz="4" w:space="0"/>
            </w:tcBorders>
            <w:vAlign w:val="center"/>
          </w:tcPr>
          <w:p w14:paraId="2949C9C9">
            <w:pPr>
              <w:spacing w:line="320" w:lineRule="exact"/>
              <w:jc w:val="center"/>
              <w:rPr>
                <w:szCs w:val="21"/>
              </w:rPr>
            </w:pPr>
            <w:r>
              <w:rPr>
                <w:rFonts w:hint="eastAsia"/>
                <w:szCs w:val="21"/>
              </w:rPr>
              <w:t>50</w:t>
            </w:r>
          </w:p>
        </w:tc>
        <w:tc>
          <w:tcPr>
            <w:tcW w:w="473" w:type="pct"/>
            <w:vAlign w:val="center"/>
          </w:tcPr>
          <w:p w14:paraId="3CF21210">
            <w:pPr>
              <w:spacing w:line="320" w:lineRule="exact"/>
              <w:jc w:val="center"/>
              <w:rPr>
                <w:szCs w:val="21"/>
              </w:rPr>
            </w:pPr>
            <w:r>
              <w:rPr>
                <w:szCs w:val="21"/>
              </w:rPr>
              <w:t>达标</w:t>
            </w:r>
          </w:p>
        </w:tc>
      </w:tr>
      <w:tr w14:paraId="23309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21E61C7E">
            <w:pPr>
              <w:jc w:val="center"/>
            </w:pPr>
          </w:p>
        </w:tc>
        <w:tc>
          <w:tcPr>
            <w:tcW w:w="582" w:type="pct"/>
            <w:tcBorders>
              <w:right w:val="single" w:color="auto" w:sz="4" w:space="0"/>
            </w:tcBorders>
            <w:vAlign w:val="center"/>
          </w:tcPr>
          <w:p w14:paraId="40DAF0AB">
            <w:pPr>
              <w:jc w:val="center"/>
              <w:rPr>
                <w:szCs w:val="21"/>
              </w:rPr>
            </w:pPr>
            <w:r>
              <w:rPr>
                <w:szCs w:val="21"/>
              </w:rPr>
              <w:t>N</w:t>
            </w:r>
            <w:r>
              <w:rPr>
                <w:rFonts w:hint="eastAsia"/>
                <w:szCs w:val="21"/>
              </w:rPr>
              <w:t>7</w:t>
            </w:r>
          </w:p>
        </w:tc>
        <w:tc>
          <w:tcPr>
            <w:tcW w:w="1426" w:type="pct"/>
            <w:tcBorders>
              <w:left w:val="single" w:color="auto" w:sz="4" w:space="0"/>
            </w:tcBorders>
            <w:vAlign w:val="center"/>
          </w:tcPr>
          <w:p w14:paraId="6CCE78D1">
            <w:pPr>
              <w:adjustRightInd w:val="0"/>
              <w:snapToGrid w:val="0"/>
              <w:spacing w:line="360" w:lineRule="exact"/>
              <w:ind w:left="-28"/>
              <w:jc w:val="center"/>
              <w:rPr>
                <w:szCs w:val="21"/>
              </w:rPr>
            </w:pPr>
            <w:r>
              <w:rPr>
                <w:szCs w:val="21"/>
              </w:rPr>
              <w:t>园区企业边界监测点</w:t>
            </w:r>
          </w:p>
        </w:tc>
        <w:tc>
          <w:tcPr>
            <w:tcW w:w="534" w:type="pct"/>
            <w:vAlign w:val="center"/>
          </w:tcPr>
          <w:p w14:paraId="53111799">
            <w:pPr>
              <w:jc w:val="center"/>
              <w:rPr>
                <w:szCs w:val="21"/>
              </w:rPr>
            </w:pPr>
            <w:r>
              <w:rPr>
                <w:rFonts w:hint="eastAsia"/>
                <w:szCs w:val="21"/>
              </w:rPr>
              <w:t>49</w:t>
            </w:r>
          </w:p>
        </w:tc>
        <w:tc>
          <w:tcPr>
            <w:tcW w:w="500" w:type="pct"/>
            <w:vAlign w:val="center"/>
          </w:tcPr>
          <w:p w14:paraId="14BE6B0C">
            <w:pPr>
              <w:jc w:val="center"/>
              <w:rPr>
                <w:szCs w:val="21"/>
              </w:rPr>
            </w:pPr>
            <w:r>
              <w:rPr>
                <w:rFonts w:hint="eastAsia"/>
                <w:szCs w:val="21"/>
              </w:rPr>
              <w:t>43</w:t>
            </w:r>
          </w:p>
        </w:tc>
        <w:tc>
          <w:tcPr>
            <w:tcW w:w="478" w:type="pct"/>
            <w:tcBorders>
              <w:right w:val="single" w:color="auto" w:sz="4" w:space="0"/>
            </w:tcBorders>
            <w:vAlign w:val="center"/>
          </w:tcPr>
          <w:p w14:paraId="20B84280">
            <w:pPr>
              <w:spacing w:line="320" w:lineRule="exact"/>
              <w:jc w:val="center"/>
              <w:rPr>
                <w:szCs w:val="21"/>
              </w:rPr>
            </w:pPr>
            <w:r>
              <w:rPr>
                <w:rFonts w:hint="eastAsia"/>
                <w:szCs w:val="21"/>
              </w:rPr>
              <w:t>65</w:t>
            </w:r>
          </w:p>
        </w:tc>
        <w:tc>
          <w:tcPr>
            <w:tcW w:w="445" w:type="pct"/>
            <w:tcBorders>
              <w:left w:val="single" w:color="auto" w:sz="4" w:space="0"/>
            </w:tcBorders>
            <w:vAlign w:val="center"/>
          </w:tcPr>
          <w:p w14:paraId="12FB007E">
            <w:pPr>
              <w:spacing w:line="320" w:lineRule="exact"/>
              <w:jc w:val="center"/>
              <w:rPr>
                <w:szCs w:val="21"/>
              </w:rPr>
            </w:pPr>
            <w:r>
              <w:rPr>
                <w:rFonts w:hint="eastAsia"/>
                <w:szCs w:val="21"/>
              </w:rPr>
              <w:t>55</w:t>
            </w:r>
          </w:p>
        </w:tc>
        <w:tc>
          <w:tcPr>
            <w:tcW w:w="473" w:type="pct"/>
            <w:vAlign w:val="center"/>
          </w:tcPr>
          <w:p w14:paraId="42550623">
            <w:pPr>
              <w:spacing w:line="320" w:lineRule="exact"/>
              <w:jc w:val="center"/>
              <w:rPr>
                <w:szCs w:val="21"/>
              </w:rPr>
            </w:pPr>
            <w:r>
              <w:rPr>
                <w:szCs w:val="21"/>
              </w:rPr>
              <w:t>达标</w:t>
            </w:r>
          </w:p>
        </w:tc>
      </w:tr>
      <w:tr w14:paraId="314DD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54A3A167">
            <w:pPr>
              <w:jc w:val="center"/>
            </w:pPr>
          </w:p>
        </w:tc>
        <w:tc>
          <w:tcPr>
            <w:tcW w:w="582" w:type="pct"/>
            <w:tcBorders>
              <w:right w:val="single" w:color="auto" w:sz="4" w:space="0"/>
            </w:tcBorders>
            <w:vAlign w:val="center"/>
          </w:tcPr>
          <w:p w14:paraId="037BBF88">
            <w:pPr>
              <w:jc w:val="center"/>
              <w:rPr>
                <w:szCs w:val="21"/>
              </w:rPr>
            </w:pPr>
            <w:r>
              <w:rPr>
                <w:rFonts w:hint="eastAsia"/>
                <w:szCs w:val="21"/>
              </w:rPr>
              <w:t>N19</w:t>
            </w:r>
          </w:p>
        </w:tc>
        <w:tc>
          <w:tcPr>
            <w:tcW w:w="1426" w:type="pct"/>
            <w:tcBorders>
              <w:left w:val="single" w:color="auto" w:sz="4" w:space="0"/>
            </w:tcBorders>
            <w:vAlign w:val="center"/>
          </w:tcPr>
          <w:p w14:paraId="1F6BA498">
            <w:pPr>
              <w:adjustRightInd w:val="0"/>
              <w:snapToGrid w:val="0"/>
              <w:spacing w:line="360" w:lineRule="exact"/>
              <w:ind w:left="-28"/>
              <w:jc w:val="center"/>
              <w:rPr>
                <w:szCs w:val="21"/>
              </w:rPr>
            </w:pPr>
            <w:r>
              <w:rPr>
                <w:szCs w:val="21"/>
              </w:rPr>
              <w:t>园区西北侧空地监测点</w:t>
            </w:r>
          </w:p>
        </w:tc>
        <w:tc>
          <w:tcPr>
            <w:tcW w:w="534" w:type="pct"/>
            <w:vAlign w:val="center"/>
          </w:tcPr>
          <w:p w14:paraId="3553F031">
            <w:pPr>
              <w:jc w:val="center"/>
              <w:rPr>
                <w:szCs w:val="21"/>
              </w:rPr>
            </w:pPr>
            <w:r>
              <w:rPr>
                <w:rFonts w:hint="eastAsia"/>
                <w:szCs w:val="21"/>
              </w:rPr>
              <w:t>45</w:t>
            </w:r>
          </w:p>
        </w:tc>
        <w:tc>
          <w:tcPr>
            <w:tcW w:w="500" w:type="pct"/>
            <w:vAlign w:val="center"/>
          </w:tcPr>
          <w:p w14:paraId="634215E1">
            <w:pPr>
              <w:jc w:val="center"/>
              <w:rPr>
                <w:szCs w:val="21"/>
              </w:rPr>
            </w:pPr>
            <w:r>
              <w:rPr>
                <w:rFonts w:hint="eastAsia"/>
                <w:szCs w:val="21"/>
              </w:rPr>
              <w:t>37</w:t>
            </w:r>
          </w:p>
        </w:tc>
        <w:tc>
          <w:tcPr>
            <w:tcW w:w="478" w:type="pct"/>
            <w:tcBorders>
              <w:right w:val="single" w:color="auto" w:sz="4" w:space="0"/>
            </w:tcBorders>
            <w:vAlign w:val="center"/>
          </w:tcPr>
          <w:p w14:paraId="05CE6AA5">
            <w:pPr>
              <w:spacing w:line="320" w:lineRule="exact"/>
              <w:jc w:val="center"/>
              <w:rPr>
                <w:szCs w:val="21"/>
              </w:rPr>
            </w:pPr>
            <w:r>
              <w:rPr>
                <w:rFonts w:hint="eastAsia"/>
                <w:szCs w:val="21"/>
              </w:rPr>
              <w:t>60</w:t>
            </w:r>
          </w:p>
        </w:tc>
        <w:tc>
          <w:tcPr>
            <w:tcW w:w="445" w:type="pct"/>
            <w:tcBorders>
              <w:left w:val="single" w:color="auto" w:sz="4" w:space="0"/>
            </w:tcBorders>
            <w:vAlign w:val="center"/>
          </w:tcPr>
          <w:p w14:paraId="0297652E">
            <w:pPr>
              <w:spacing w:line="320" w:lineRule="exact"/>
              <w:jc w:val="center"/>
              <w:rPr>
                <w:szCs w:val="21"/>
              </w:rPr>
            </w:pPr>
            <w:r>
              <w:rPr>
                <w:rFonts w:hint="eastAsia"/>
                <w:szCs w:val="21"/>
              </w:rPr>
              <w:t>50</w:t>
            </w:r>
          </w:p>
        </w:tc>
        <w:tc>
          <w:tcPr>
            <w:tcW w:w="473" w:type="pct"/>
            <w:vAlign w:val="center"/>
          </w:tcPr>
          <w:p w14:paraId="12D3566E">
            <w:pPr>
              <w:spacing w:line="320" w:lineRule="exact"/>
              <w:jc w:val="center"/>
              <w:rPr>
                <w:szCs w:val="21"/>
              </w:rPr>
            </w:pPr>
            <w:r>
              <w:rPr>
                <w:szCs w:val="21"/>
              </w:rPr>
              <w:t>达标</w:t>
            </w:r>
          </w:p>
        </w:tc>
      </w:tr>
      <w:tr w14:paraId="38E52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7D1AA960">
            <w:pPr>
              <w:jc w:val="center"/>
            </w:pPr>
          </w:p>
        </w:tc>
        <w:tc>
          <w:tcPr>
            <w:tcW w:w="582" w:type="pct"/>
            <w:tcBorders>
              <w:right w:val="single" w:color="auto" w:sz="4" w:space="0"/>
            </w:tcBorders>
            <w:vAlign w:val="center"/>
          </w:tcPr>
          <w:p w14:paraId="48C0CB79">
            <w:pPr>
              <w:jc w:val="center"/>
              <w:rPr>
                <w:szCs w:val="21"/>
              </w:rPr>
            </w:pPr>
            <w:r>
              <w:rPr>
                <w:rFonts w:hint="eastAsia"/>
                <w:szCs w:val="21"/>
              </w:rPr>
              <w:t>N20</w:t>
            </w:r>
          </w:p>
        </w:tc>
        <w:tc>
          <w:tcPr>
            <w:tcW w:w="1426" w:type="pct"/>
            <w:tcBorders>
              <w:left w:val="single" w:color="auto" w:sz="4" w:space="0"/>
            </w:tcBorders>
            <w:vAlign w:val="center"/>
          </w:tcPr>
          <w:p w14:paraId="7152C261">
            <w:pPr>
              <w:adjustRightInd w:val="0"/>
              <w:snapToGrid w:val="0"/>
              <w:spacing w:line="360" w:lineRule="exact"/>
              <w:ind w:left="-28"/>
              <w:jc w:val="center"/>
              <w:rPr>
                <w:szCs w:val="21"/>
              </w:rPr>
            </w:pPr>
            <w:r>
              <w:rPr>
                <w:szCs w:val="21"/>
              </w:rPr>
              <w:t>园区中部空地监测点</w:t>
            </w:r>
          </w:p>
        </w:tc>
        <w:tc>
          <w:tcPr>
            <w:tcW w:w="534" w:type="pct"/>
            <w:vAlign w:val="center"/>
          </w:tcPr>
          <w:p w14:paraId="3EF31216">
            <w:pPr>
              <w:jc w:val="center"/>
              <w:rPr>
                <w:szCs w:val="21"/>
              </w:rPr>
            </w:pPr>
            <w:r>
              <w:rPr>
                <w:rFonts w:hint="eastAsia"/>
                <w:szCs w:val="21"/>
              </w:rPr>
              <w:t>52</w:t>
            </w:r>
          </w:p>
        </w:tc>
        <w:tc>
          <w:tcPr>
            <w:tcW w:w="500" w:type="pct"/>
            <w:vAlign w:val="center"/>
          </w:tcPr>
          <w:p w14:paraId="2F39D893">
            <w:pPr>
              <w:jc w:val="center"/>
              <w:rPr>
                <w:szCs w:val="21"/>
              </w:rPr>
            </w:pPr>
            <w:r>
              <w:rPr>
                <w:rFonts w:hint="eastAsia"/>
                <w:szCs w:val="21"/>
              </w:rPr>
              <w:t>38</w:t>
            </w:r>
          </w:p>
        </w:tc>
        <w:tc>
          <w:tcPr>
            <w:tcW w:w="478" w:type="pct"/>
            <w:tcBorders>
              <w:right w:val="single" w:color="auto" w:sz="4" w:space="0"/>
            </w:tcBorders>
            <w:vAlign w:val="center"/>
          </w:tcPr>
          <w:p w14:paraId="186D94AA">
            <w:pPr>
              <w:spacing w:line="320" w:lineRule="exact"/>
              <w:jc w:val="center"/>
              <w:rPr>
                <w:szCs w:val="21"/>
              </w:rPr>
            </w:pPr>
            <w:r>
              <w:rPr>
                <w:rFonts w:hint="eastAsia"/>
                <w:szCs w:val="21"/>
              </w:rPr>
              <w:t>60</w:t>
            </w:r>
          </w:p>
        </w:tc>
        <w:tc>
          <w:tcPr>
            <w:tcW w:w="445" w:type="pct"/>
            <w:tcBorders>
              <w:left w:val="single" w:color="auto" w:sz="4" w:space="0"/>
            </w:tcBorders>
            <w:vAlign w:val="center"/>
          </w:tcPr>
          <w:p w14:paraId="63D7BAC3">
            <w:pPr>
              <w:spacing w:line="320" w:lineRule="exact"/>
              <w:jc w:val="center"/>
              <w:rPr>
                <w:szCs w:val="21"/>
              </w:rPr>
            </w:pPr>
            <w:r>
              <w:rPr>
                <w:rFonts w:hint="eastAsia"/>
                <w:szCs w:val="21"/>
              </w:rPr>
              <w:t>50</w:t>
            </w:r>
          </w:p>
        </w:tc>
        <w:tc>
          <w:tcPr>
            <w:tcW w:w="473" w:type="pct"/>
            <w:vAlign w:val="center"/>
          </w:tcPr>
          <w:p w14:paraId="1EBC52C6">
            <w:pPr>
              <w:spacing w:line="320" w:lineRule="exact"/>
              <w:jc w:val="center"/>
              <w:rPr>
                <w:szCs w:val="21"/>
              </w:rPr>
            </w:pPr>
            <w:r>
              <w:rPr>
                <w:szCs w:val="21"/>
              </w:rPr>
              <w:t>达标</w:t>
            </w:r>
          </w:p>
        </w:tc>
      </w:tr>
      <w:tr w14:paraId="2E91F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0D8C9A1D">
            <w:pPr>
              <w:jc w:val="center"/>
            </w:pPr>
          </w:p>
        </w:tc>
        <w:tc>
          <w:tcPr>
            <w:tcW w:w="582" w:type="pct"/>
            <w:tcBorders>
              <w:right w:val="single" w:color="auto" w:sz="4" w:space="0"/>
            </w:tcBorders>
            <w:vAlign w:val="center"/>
          </w:tcPr>
          <w:p w14:paraId="14B8E83D">
            <w:pPr>
              <w:jc w:val="center"/>
              <w:rPr>
                <w:szCs w:val="21"/>
              </w:rPr>
            </w:pPr>
            <w:r>
              <w:rPr>
                <w:rFonts w:hint="eastAsia"/>
                <w:szCs w:val="21"/>
              </w:rPr>
              <w:t>N21</w:t>
            </w:r>
          </w:p>
        </w:tc>
        <w:tc>
          <w:tcPr>
            <w:tcW w:w="1426" w:type="pct"/>
            <w:tcBorders>
              <w:left w:val="single" w:color="auto" w:sz="4" w:space="0"/>
            </w:tcBorders>
            <w:vAlign w:val="center"/>
          </w:tcPr>
          <w:p w14:paraId="61AE52FB">
            <w:pPr>
              <w:adjustRightInd w:val="0"/>
              <w:snapToGrid w:val="0"/>
              <w:spacing w:line="360" w:lineRule="exact"/>
              <w:ind w:left="-28"/>
              <w:jc w:val="center"/>
              <w:rPr>
                <w:szCs w:val="21"/>
              </w:rPr>
            </w:pPr>
            <w:r>
              <w:rPr>
                <w:szCs w:val="21"/>
              </w:rPr>
              <w:t>园区</w:t>
            </w:r>
            <w:r>
              <w:rPr>
                <w:rFonts w:hint="eastAsia"/>
                <w:szCs w:val="21"/>
              </w:rPr>
              <w:t>南</w:t>
            </w:r>
            <w:r>
              <w:rPr>
                <w:szCs w:val="21"/>
              </w:rPr>
              <w:t>部空地监测点</w:t>
            </w:r>
          </w:p>
        </w:tc>
        <w:tc>
          <w:tcPr>
            <w:tcW w:w="534" w:type="pct"/>
            <w:vAlign w:val="center"/>
          </w:tcPr>
          <w:p w14:paraId="59652464">
            <w:pPr>
              <w:jc w:val="center"/>
              <w:rPr>
                <w:szCs w:val="21"/>
              </w:rPr>
            </w:pPr>
            <w:r>
              <w:rPr>
                <w:rFonts w:hint="eastAsia"/>
                <w:szCs w:val="21"/>
              </w:rPr>
              <w:t>53</w:t>
            </w:r>
          </w:p>
        </w:tc>
        <w:tc>
          <w:tcPr>
            <w:tcW w:w="500" w:type="pct"/>
            <w:vAlign w:val="center"/>
          </w:tcPr>
          <w:p w14:paraId="79ED19FC">
            <w:pPr>
              <w:jc w:val="center"/>
              <w:rPr>
                <w:szCs w:val="21"/>
              </w:rPr>
            </w:pPr>
            <w:r>
              <w:rPr>
                <w:rFonts w:hint="eastAsia"/>
                <w:szCs w:val="21"/>
              </w:rPr>
              <w:t>41</w:t>
            </w:r>
          </w:p>
        </w:tc>
        <w:tc>
          <w:tcPr>
            <w:tcW w:w="478" w:type="pct"/>
            <w:tcBorders>
              <w:right w:val="single" w:color="auto" w:sz="4" w:space="0"/>
            </w:tcBorders>
            <w:vAlign w:val="center"/>
          </w:tcPr>
          <w:p w14:paraId="4F93432C">
            <w:pPr>
              <w:spacing w:line="320" w:lineRule="exact"/>
              <w:jc w:val="center"/>
              <w:rPr>
                <w:szCs w:val="21"/>
              </w:rPr>
            </w:pPr>
            <w:r>
              <w:rPr>
                <w:rFonts w:hint="eastAsia"/>
                <w:szCs w:val="21"/>
              </w:rPr>
              <w:t>60</w:t>
            </w:r>
          </w:p>
        </w:tc>
        <w:tc>
          <w:tcPr>
            <w:tcW w:w="445" w:type="pct"/>
            <w:tcBorders>
              <w:left w:val="single" w:color="auto" w:sz="4" w:space="0"/>
            </w:tcBorders>
            <w:vAlign w:val="center"/>
          </w:tcPr>
          <w:p w14:paraId="06A390EB">
            <w:pPr>
              <w:spacing w:line="320" w:lineRule="exact"/>
              <w:jc w:val="center"/>
              <w:rPr>
                <w:szCs w:val="21"/>
              </w:rPr>
            </w:pPr>
            <w:r>
              <w:rPr>
                <w:rFonts w:hint="eastAsia"/>
                <w:szCs w:val="21"/>
              </w:rPr>
              <w:t>50</w:t>
            </w:r>
          </w:p>
        </w:tc>
        <w:tc>
          <w:tcPr>
            <w:tcW w:w="473" w:type="pct"/>
            <w:vAlign w:val="center"/>
          </w:tcPr>
          <w:p w14:paraId="568ED89D">
            <w:pPr>
              <w:spacing w:line="320" w:lineRule="exact"/>
              <w:jc w:val="center"/>
              <w:rPr>
                <w:szCs w:val="21"/>
              </w:rPr>
            </w:pPr>
            <w:r>
              <w:rPr>
                <w:szCs w:val="21"/>
              </w:rPr>
              <w:t>达标</w:t>
            </w:r>
          </w:p>
        </w:tc>
      </w:tr>
      <w:tr w14:paraId="2D4B0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restart"/>
            <w:tcBorders>
              <w:right w:val="single" w:color="auto" w:sz="4" w:space="0"/>
            </w:tcBorders>
            <w:vAlign w:val="center"/>
          </w:tcPr>
          <w:p w14:paraId="2D398A09">
            <w:pPr>
              <w:jc w:val="center"/>
              <w:rPr>
                <w:szCs w:val="21"/>
              </w:rPr>
            </w:pPr>
            <w:r>
              <w:rPr>
                <w:szCs w:val="21"/>
              </w:rPr>
              <w:t>万和石材产业园</w:t>
            </w:r>
          </w:p>
        </w:tc>
        <w:tc>
          <w:tcPr>
            <w:tcW w:w="582" w:type="pct"/>
            <w:tcBorders>
              <w:right w:val="single" w:color="auto" w:sz="4" w:space="0"/>
            </w:tcBorders>
            <w:vAlign w:val="center"/>
          </w:tcPr>
          <w:p w14:paraId="7901CC44">
            <w:pPr>
              <w:jc w:val="center"/>
              <w:rPr>
                <w:szCs w:val="21"/>
              </w:rPr>
            </w:pPr>
            <w:r>
              <w:rPr>
                <w:rFonts w:hint="eastAsia"/>
                <w:szCs w:val="21"/>
              </w:rPr>
              <w:t>N7</w:t>
            </w:r>
          </w:p>
        </w:tc>
        <w:tc>
          <w:tcPr>
            <w:tcW w:w="1426" w:type="pct"/>
            <w:tcBorders>
              <w:left w:val="single" w:color="auto" w:sz="4" w:space="0"/>
            </w:tcBorders>
            <w:vAlign w:val="center"/>
          </w:tcPr>
          <w:p w14:paraId="6BD437DD">
            <w:pPr>
              <w:adjustRightInd w:val="0"/>
              <w:snapToGrid w:val="0"/>
              <w:spacing w:line="360" w:lineRule="exact"/>
              <w:ind w:left="-28"/>
              <w:jc w:val="center"/>
              <w:rPr>
                <w:szCs w:val="21"/>
              </w:rPr>
            </w:pPr>
            <w:r>
              <w:rPr>
                <w:szCs w:val="21"/>
              </w:rPr>
              <w:t>南片区南侧居民点青苔村</w:t>
            </w:r>
          </w:p>
        </w:tc>
        <w:tc>
          <w:tcPr>
            <w:tcW w:w="534" w:type="pct"/>
            <w:vAlign w:val="center"/>
          </w:tcPr>
          <w:p w14:paraId="2274DB67">
            <w:pPr>
              <w:jc w:val="center"/>
              <w:rPr>
                <w:szCs w:val="21"/>
              </w:rPr>
            </w:pPr>
            <w:r>
              <w:rPr>
                <w:rFonts w:hint="eastAsia"/>
                <w:szCs w:val="21"/>
              </w:rPr>
              <w:t>52</w:t>
            </w:r>
          </w:p>
        </w:tc>
        <w:tc>
          <w:tcPr>
            <w:tcW w:w="500" w:type="pct"/>
            <w:vAlign w:val="center"/>
          </w:tcPr>
          <w:p w14:paraId="4D0CACE3">
            <w:pPr>
              <w:jc w:val="center"/>
              <w:rPr>
                <w:szCs w:val="21"/>
              </w:rPr>
            </w:pPr>
            <w:r>
              <w:rPr>
                <w:rFonts w:hint="eastAsia"/>
                <w:szCs w:val="21"/>
              </w:rPr>
              <w:t>47</w:t>
            </w:r>
          </w:p>
        </w:tc>
        <w:tc>
          <w:tcPr>
            <w:tcW w:w="478" w:type="pct"/>
            <w:tcBorders>
              <w:right w:val="single" w:color="auto" w:sz="4" w:space="0"/>
            </w:tcBorders>
            <w:vAlign w:val="center"/>
          </w:tcPr>
          <w:p w14:paraId="2A892D8C">
            <w:pPr>
              <w:spacing w:line="320" w:lineRule="exact"/>
              <w:jc w:val="center"/>
              <w:rPr>
                <w:szCs w:val="21"/>
              </w:rPr>
            </w:pPr>
            <w:r>
              <w:rPr>
                <w:rFonts w:hint="eastAsia"/>
                <w:szCs w:val="21"/>
              </w:rPr>
              <w:t>60</w:t>
            </w:r>
          </w:p>
        </w:tc>
        <w:tc>
          <w:tcPr>
            <w:tcW w:w="445" w:type="pct"/>
            <w:tcBorders>
              <w:left w:val="single" w:color="auto" w:sz="4" w:space="0"/>
            </w:tcBorders>
            <w:vAlign w:val="center"/>
          </w:tcPr>
          <w:p w14:paraId="36147DDF">
            <w:pPr>
              <w:spacing w:line="320" w:lineRule="exact"/>
              <w:jc w:val="center"/>
              <w:rPr>
                <w:szCs w:val="21"/>
              </w:rPr>
            </w:pPr>
            <w:r>
              <w:rPr>
                <w:rFonts w:hint="eastAsia"/>
                <w:szCs w:val="21"/>
              </w:rPr>
              <w:t>50</w:t>
            </w:r>
          </w:p>
        </w:tc>
        <w:tc>
          <w:tcPr>
            <w:tcW w:w="473" w:type="pct"/>
            <w:vAlign w:val="center"/>
          </w:tcPr>
          <w:p w14:paraId="350E61BB">
            <w:pPr>
              <w:spacing w:line="320" w:lineRule="exact"/>
              <w:jc w:val="center"/>
              <w:rPr>
                <w:szCs w:val="21"/>
              </w:rPr>
            </w:pPr>
            <w:r>
              <w:rPr>
                <w:szCs w:val="21"/>
              </w:rPr>
              <w:t>达标</w:t>
            </w:r>
          </w:p>
        </w:tc>
      </w:tr>
      <w:tr w14:paraId="0B5E3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0A00B186">
            <w:pPr>
              <w:jc w:val="center"/>
              <w:rPr>
                <w:szCs w:val="21"/>
              </w:rPr>
            </w:pPr>
          </w:p>
        </w:tc>
        <w:tc>
          <w:tcPr>
            <w:tcW w:w="582" w:type="pct"/>
            <w:tcBorders>
              <w:right w:val="single" w:color="auto" w:sz="4" w:space="0"/>
            </w:tcBorders>
            <w:vAlign w:val="center"/>
          </w:tcPr>
          <w:p w14:paraId="71FE0816">
            <w:pPr>
              <w:jc w:val="center"/>
              <w:rPr>
                <w:szCs w:val="21"/>
              </w:rPr>
            </w:pPr>
            <w:r>
              <w:rPr>
                <w:rFonts w:hint="eastAsia"/>
                <w:szCs w:val="21"/>
              </w:rPr>
              <w:t>N</w:t>
            </w:r>
            <w:r>
              <w:rPr>
                <w:szCs w:val="21"/>
              </w:rPr>
              <w:t>8</w:t>
            </w:r>
          </w:p>
        </w:tc>
        <w:tc>
          <w:tcPr>
            <w:tcW w:w="1426" w:type="pct"/>
            <w:tcBorders>
              <w:left w:val="single" w:color="auto" w:sz="4" w:space="0"/>
            </w:tcBorders>
            <w:vAlign w:val="center"/>
          </w:tcPr>
          <w:p w14:paraId="75307DEB">
            <w:pPr>
              <w:adjustRightInd w:val="0"/>
              <w:snapToGrid w:val="0"/>
              <w:spacing w:line="360" w:lineRule="exact"/>
              <w:ind w:left="-28"/>
              <w:jc w:val="center"/>
              <w:rPr>
                <w:szCs w:val="21"/>
              </w:rPr>
            </w:pPr>
            <w:r>
              <w:rPr>
                <w:rFonts w:hint="eastAsia"/>
                <w:szCs w:val="21"/>
              </w:rPr>
              <w:t>南片区</w:t>
            </w:r>
            <w:r>
              <w:rPr>
                <w:szCs w:val="21"/>
              </w:rPr>
              <w:t>企业边界</w:t>
            </w:r>
            <w:r>
              <w:rPr>
                <w:rFonts w:hint="eastAsia"/>
                <w:szCs w:val="21"/>
              </w:rPr>
              <w:t>外</w:t>
            </w:r>
            <w:r>
              <w:rPr>
                <w:szCs w:val="21"/>
              </w:rPr>
              <w:t>1m</w:t>
            </w:r>
          </w:p>
        </w:tc>
        <w:tc>
          <w:tcPr>
            <w:tcW w:w="534" w:type="pct"/>
            <w:vAlign w:val="center"/>
          </w:tcPr>
          <w:p w14:paraId="5C6F259D">
            <w:pPr>
              <w:jc w:val="center"/>
              <w:rPr>
                <w:szCs w:val="21"/>
              </w:rPr>
            </w:pPr>
            <w:r>
              <w:rPr>
                <w:rFonts w:hint="eastAsia"/>
                <w:szCs w:val="21"/>
              </w:rPr>
              <w:t>50</w:t>
            </w:r>
          </w:p>
        </w:tc>
        <w:tc>
          <w:tcPr>
            <w:tcW w:w="500" w:type="pct"/>
            <w:vAlign w:val="center"/>
          </w:tcPr>
          <w:p w14:paraId="4DA58E5C">
            <w:pPr>
              <w:jc w:val="center"/>
              <w:rPr>
                <w:szCs w:val="21"/>
              </w:rPr>
            </w:pPr>
            <w:r>
              <w:rPr>
                <w:rFonts w:hint="eastAsia"/>
                <w:szCs w:val="21"/>
              </w:rPr>
              <w:t>46</w:t>
            </w:r>
          </w:p>
        </w:tc>
        <w:tc>
          <w:tcPr>
            <w:tcW w:w="478" w:type="pct"/>
            <w:tcBorders>
              <w:right w:val="single" w:color="auto" w:sz="4" w:space="0"/>
            </w:tcBorders>
            <w:vAlign w:val="center"/>
          </w:tcPr>
          <w:p w14:paraId="4A81CDC5">
            <w:pPr>
              <w:spacing w:line="320" w:lineRule="exact"/>
              <w:jc w:val="center"/>
              <w:rPr>
                <w:szCs w:val="21"/>
              </w:rPr>
            </w:pPr>
            <w:r>
              <w:rPr>
                <w:rFonts w:hint="eastAsia"/>
                <w:szCs w:val="21"/>
              </w:rPr>
              <w:t>65</w:t>
            </w:r>
          </w:p>
        </w:tc>
        <w:tc>
          <w:tcPr>
            <w:tcW w:w="445" w:type="pct"/>
            <w:tcBorders>
              <w:left w:val="single" w:color="auto" w:sz="4" w:space="0"/>
            </w:tcBorders>
            <w:vAlign w:val="center"/>
          </w:tcPr>
          <w:p w14:paraId="6F7B1098">
            <w:pPr>
              <w:spacing w:line="320" w:lineRule="exact"/>
              <w:jc w:val="center"/>
              <w:rPr>
                <w:szCs w:val="21"/>
              </w:rPr>
            </w:pPr>
            <w:r>
              <w:rPr>
                <w:rFonts w:hint="eastAsia"/>
                <w:szCs w:val="21"/>
              </w:rPr>
              <w:t>55</w:t>
            </w:r>
          </w:p>
        </w:tc>
        <w:tc>
          <w:tcPr>
            <w:tcW w:w="473" w:type="pct"/>
            <w:vAlign w:val="center"/>
          </w:tcPr>
          <w:p w14:paraId="74217246">
            <w:pPr>
              <w:spacing w:line="320" w:lineRule="exact"/>
              <w:jc w:val="center"/>
              <w:rPr>
                <w:szCs w:val="21"/>
              </w:rPr>
            </w:pPr>
            <w:r>
              <w:rPr>
                <w:szCs w:val="21"/>
              </w:rPr>
              <w:t>达标</w:t>
            </w:r>
          </w:p>
        </w:tc>
      </w:tr>
      <w:tr w14:paraId="69419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2941C3A6">
            <w:pPr>
              <w:jc w:val="center"/>
              <w:rPr>
                <w:szCs w:val="21"/>
              </w:rPr>
            </w:pPr>
          </w:p>
        </w:tc>
        <w:tc>
          <w:tcPr>
            <w:tcW w:w="582" w:type="pct"/>
            <w:tcBorders>
              <w:right w:val="single" w:color="auto" w:sz="4" w:space="0"/>
            </w:tcBorders>
            <w:vAlign w:val="center"/>
          </w:tcPr>
          <w:p w14:paraId="3E66917E">
            <w:pPr>
              <w:jc w:val="center"/>
              <w:rPr>
                <w:szCs w:val="21"/>
              </w:rPr>
            </w:pPr>
            <w:r>
              <w:rPr>
                <w:rFonts w:hint="eastAsia"/>
                <w:szCs w:val="21"/>
              </w:rPr>
              <w:t>N</w:t>
            </w:r>
            <w:r>
              <w:rPr>
                <w:szCs w:val="21"/>
              </w:rPr>
              <w:t>14</w:t>
            </w:r>
          </w:p>
        </w:tc>
        <w:tc>
          <w:tcPr>
            <w:tcW w:w="1426" w:type="pct"/>
            <w:tcBorders>
              <w:left w:val="single" w:color="auto" w:sz="4" w:space="0"/>
            </w:tcBorders>
            <w:vAlign w:val="center"/>
          </w:tcPr>
          <w:p w14:paraId="517E188E">
            <w:pPr>
              <w:adjustRightInd w:val="0"/>
              <w:snapToGrid w:val="0"/>
              <w:spacing w:line="360" w:lineRule="exact"/>
              <w:ind w:left="-28"/>
              <w:jc w:val="center"/>
              <w:rPr>
                <w:szCs w:val="21"/>
              </w:rPr>
            </w:pPr>
            <w:r>
              <w:rPr>
                <w:rFonts w:hint="eastAsia"/>
                <w:szCs w:val="21"/>
              </w:rPr>
              <w:t>南片区</w:t>
            </w:r>
            <w:r>
              <w:rPr>
                <w:szCs w:val="21"/>
              </w:rPr>
              <w:t>北侧空地监测点</w:t>
            </w:r>
          </w:p>
        </w:tc>
        <w:tc>
          <w:tcPr>
            <w:tcW w:w="534" w:type="pct"/>
            <w:vAlign w:val="center"/>
          </w:tcPr>
          <w:p w14:paraId="2F8B0D62">
            <w:pPr>
              <w:jc w:val="center"/>
              <w:rPr>
                <w:szCs w:val="21"/>
              </w:rPr>
            </w:pPr>
            <w:r>
              <w:rPr>
                <w:rFonts w:hint="eastAsia"/>
                <w:szCs w:val="21"/>
              </w:rPr>
              <w:t>52</w:t>
            </w:r>
          </w:p>
        </w:tc>
        <w:tc>
          <w:tcPr>
            <w:tcW w:w="500" w:type="pct"/>
            <w:vAlign w:val="center"/>
          </w:tcPr>
          <w:p w14:paraId="2C04AEA3">
            <w:pPr>
              <w:jc w:val="center"/>
              <w:rPr>
                <w:szCs w:val="21"/>
              </w:rPr>
            </w:pPr>
            <w:r>
              <w:rPr>
                <w:rFonts w:hint="eastAsia"/>
                <w:szCs w:val="21"/>
              </w:rPr>
              <w:t>42</w:t>
            </w:r>
          </w:p>
        </w:tc>
        <w:tc>
          <w:tcPr>
            <w:tcW w:w="478" w:type="pct"/>
            <w:tcBorders>
              <w:right w:val="single" w:color="auto" w:sz="4" w:space="0"/>
            </w:tcBorders>
            <w:vAlign w:val="center"/>
          </w:tcPr>
          <w:p w14:paraId="6D00E540">
            <w:pPr>
              <w:spacing w:line="320" w:lineRule="exact"/>
              <w:jc w:val="center"/>
              <w:rPr>
                <w:szCs w:val="21"/>
              </w:rPr>
            </w:pPr>
            <w:r>
              <w:rPr>
                <w:rFonts w:hint="eastAsia"/>
                <w:szCs w:val="21"/>
              </w:rPr>
              <w:t>60</w:t>
            </w:r>
          </w:p>
        </w:tc>
        <w:tc>
          <w:tcPr>
            <w:tcW w:w="445" w:type="pct"/>
            <w:tcBorders>
              <w:left w:val="single" w:color="auto" w:sz="4" w:space="0"/>
            </w:tcBorders>
            <w:vAlign w:val="center"/>
          </w:tcPr>
          <w:p w14:paraId="4AC589DB">
            <w:pPr>
              <w:spacing w:line="320" w:lineRule="exact"/>
              <w:jc w:val="center"/>
              <w:rPr>
                <w:szCs w:val="21"/>
              </w:rPr>
            </w:pPr>
            <w:r>
              <w:rPr>
                <w:rFonts w:hint="eastAsia"/>
                <w:szCs w:val="21"/>
              </w:rPr>
              <w:t>50</w:t>
            </w:r>
          </w:p>
        </w:tc>
        <w:tc>
          <w:tcPr>
            <w:tcW w:w="473" w:type="pct"/>
            <w:vAlign w:val="center"/>
          </w:tcPr>
          <w:p w14:paraId="59F1230D">
            <w:pPr>
              <w:spacing w:line="320" w:lineRule="exact"/>
              <w:jc w:val="center"/>
              <w:rPr>
                <w:szCs w:val="21"/>
              </w:rPr>
            </w:pPr>
            <w:r>
              <w:rPr>
                <w:szCs w:val="21"/>
              </w:rPr>
              <w:t>达标</w:t>
            </w:r>
          </w:p>
        </w:tc>
      </w:tr>
      <w:tr w14:paraId="7FB1A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4F819478">
            <w:pPr>
              <w:jc w:val="center"/>
              <w:rPr>
                <w:szCs w:val="21"/>
              </w:rPr>
            </w:pPr>
          </w:p>
        </w:tc>
        <w:tc>
          <w:tcPr>
            <w:tcW w:w="582" w:type="pct"/>
            <w:tcBorders>
              <w:right w:val="single" w:color="auto" w:sz="4" w:space="0"/>
            </w:tcBorders>
            <w:vAlign w:val="center"/>
          </w:tcPr>
          <w:p w14:paraId="27970061">
            <w:pPr>
              <w:jc w:val="center"/>
              <w:rPr>
                <w:szCs w:val="21"/>
              </w:rPr>
            </w:pPr>
            <w:r>
              <w:rPr>
                <w:rFonts w:hint="eastAsia"/>
                <w:szCs w:val="21"/>
              </w:rPr>
              <w:t>N15</w:t>
            </w:r>
          </w:p>
        </w:tc>
        <w:tc>
          <w:tcPr>
            <w:tcW w:w="1426" w:type="pct"/>
            <w:tcBorders>
              <w:left w:val="single" w:color="auto" w:sz="4" w:space="0"/>
            </w:tcBorders>
            <w:vAlign w:val="center"/>
          </w:tcPr>
          <w:p w14:paraId="7003CB5C">
            <w:pPr>
              <w:adjustRightInd w:val="0"/>
              <w:snapToGrid w:val="0"/>
              <w:spacing w:line="360" w:lineRule="exact"/>
              <w:ind w:left="-28"/>
              <w:jc w:val="center"/>
              <w:rPr>
                <w:szCs w:val="21"/>
              </w:rPr>
            </w:pPr>
            <w:r>
              <w:rPr>
                <w:rFonts w:hint="eastAsia"/>
                <w:szCs w:val="21"/>
              </w:rPr>
              <w:t>南片区</w:t>
            </w:r>
            <w:r>
              <w:rPr>
                <w:szCs w:val="21"/>
              </w:rPr>
              <w:t>东南侧空地监测点</w:t>
            </w:r>
          </w:p>
        </w:tc>
        <w:tc>
          <w:tcPr>
            <w:tcW w:w="534" w:type="pct"/>
            <w:vAlign w:val="center"/>
          </w:tcPr>
          <w:p w14:paraId="47DB6FE4">
            <w:pPr>
              <w:jc w:val="center"/>
              <w:rPr>
                <w:szCs w:val="21"/>
              </w:rPr>
            </w:pPr>
            <w:r>
              <w:rPr>
                <w:rFonts w:hint="eastAsia"/>
                <w:szCs w:val="21"/>
              </w:rPr>
              <w:t>48</w:t>
            </w:r>
          </w:p>
        </w:tc>
        <w:tc>
          <w:tcPr>
            <w:tcW w:w="500" w:type="pct"/>
            <w:vAlign w:val="center"/>
          </w:tcPr>
          <w:p w14:paraId="22024789">
            <w:pPr>
              <w:jc w:val="center"/>
              <w:rPr>
                <w:szCs w:val="21"/>
              </w:rPr>
            </w:pPr>
            <w:r>
              <w:rPr>
                <w:rFonts w:hint="eastAsia"/>
                <w:szCs w:val="21"/>
              </w:rPr>
              <w:t>43</w:t>
            </w:r>
          </w:p>
        </w:tc>
        <w:tc>
          <w:tcPr>
            <w:tcW w:w="478" w:type="pct"/>
            <w:tcBorders>
              <w:right w:val="single" w:color="auto" w:sz="4" w:space="0"/>
            </w:tcBorders>
            <w:vAlign w:val="center"/>
          </w:tcPr>
          <w:p w14:paraId="286FB258">
            <w:pPr>
              <w:spacing w:line="320" w:lineRule="exact"/>
              <w:jc w:val="center"/>
              <w:rPr>
                <w:szCs w:val="21"/>
              </w:rPr>
            </w:pPr>
            <w:r>
              <w:rPr>
                <w:rFonts w:hint="eastAsia"/>
                <w:szCs w:val="21"/>
              </w:rPr>
              <w:t>60</w:t>
            </w:r>
          </w:p>
        </w:tc>
        <w:tc>
          <w:tcPr>
            <w:tcW w:w="445" w:type="pct"/>
            <w:tcBorders>
              <w:left w:val="single" w:color="auto" w:sz="4" w:space="0"/>
            </w:tcBorders>
            <w:vAlign w:val="center"/>
          </w:tcPr>
          <w:p w14:paraId="3DC820B2">
            <w:pPr>
              <w:spacing w:line="320" w:lineRule="exact"/>
              <w:jc w:val="center"/>
              <w:rPr>
                <w:szCs w:val="21"/>
              </w:rPr>
            </w:pPr>
            <w:r>
              <w:rPr>
                <w:rFonts w:hint="eastAsia"/>
                <w:szCs w:val="21"/>
              </w:rPr>
              <w:t>50</w:t>
            </w:r>
          </w:p>
        </w:tc>
        <w:tc>
          <w:tcPr>
            <w:tcW w:w="473" w:type="pct"/>
            <w:vAlign w:val="center"/>
          </w:tcPr>
          <w:p w14:paraId="689898B6">
            <w:pPr>
              <w:spacing w:line="320" w:lineRule="exact"/>
              <w:jc w:val="center"/>
              <w:rPr>
                <w:szCs w:val="21"/>
              </w:rPr>
            </w:pPr>
            <w:r>
              <w:rPr>
                <w:szCs w:val="21"/>
              </w:rPr>
              <w:t>达标</w:t>
            </w:r>
          </w:p>
        </w:tc>
      </w:tr>
      <w:tr w14:paraId="417F4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3D5189BA">
            <w:pPr>
              <w:jc w:val="center"/>
              <w:rPr>
                <w:szCs w:val="21"/>
              </w:rPr>
            </w:pPr>
          </w:p>
        </w:tc>
        <w:tc>
          <w:tcPr>
            <w:tcW w:w="582" w:type="pct"/>
            <w:tcBorders>
              <w:right w:val="single" w:color="auto" w:sz="4" w:space="0"/>
            </w:tcBorders>
            <w:vAlign w:val="center"/>
          </w:tcPr>
          <w:p w14:paraId="0D2FE26A">
            <w:pPr>
              <w:jc w:val="center"/>
              <w:rPr>
                <w:szCs w:val="21"/>
              </w:rPr>
            </w:pPr>
            <w:r>
              <w:rPr>
                <w:rFonts w:hint="eastAsia"/>
                <w:szCs w:val="21"/>
              </w:rPr>
              <w:t>N16</w:t>
            </w:r>
          </w:p>
        </w:tc>
        <w:tc>
          <w:tcPr>
            <w:tcW w:w="1426" w:type="pct"/>
            <w:tcBorders>
              <w:left w:val="single" w:color="auto" w:sz="4" w:space="0"/>
            </w:tcBorders>
            <w:vAlign w:val="center"/>
          </w:tcPr>
          <w:p w14:paraId="65243D67">
            <w:pPr>
              <w:adjustRightInd w:val="0"/>
              <w:snapToGrid w:val="0"/>
              <w:spacing w:line="360" w:lineRule="exact"/>
              <w:ind w:left="-28"/>
              <w:jc w:val="center"/>
              <w:rPr>
                <w:szCs w:val="21"/>
              </w:rPr>
            </w:pPr>
            <w:r>
              <w:rPr>
                <w:rFonts w:hint="eastAsia"/>
                <w:szCs w:val="21"/>
              </w:rPr>
              <w:t>南片区</w:t>
            </w:r>
            <w:r>
              <w:rPr>
                <w:szCs w:val="21"/>
              </w:rPr>
              <w:t>南侧空地监测点</w:t>
            </w:r>
          </w:p>
        </w:tc>
        <w:tc>
          <w:tcPr>
            <w:tcW w:w="534" w:type="pct"/>
            <w:vAlign w:val="center"/>
          </w:tcPr>
          <w:p w14:paraId="3839D127">
            <w:pPr>
              <w:jc w:val="center"/>
              <w:rPr>
                <w:szCs w:val="21"/>
              </w:rPr>
            </w:pPr>
            <w:r>
              <w:rPr>
                <w:rFonts w:hint="eastAsia"/>
                <w:szCs w:val="21"/>
              </w:rPr>
              <w:t>49</w:t>
            </w:r>
          </w:p>
        </w:tc>
        <w:tc>
          <w:tcPr>
            <w:tcW w:w="500" w:type="pct"/>
            <w:vAlign w:val="center"/>
          </w:tcPr>
          <w:p w14:paraId="3BF140C6">
            <w:pPr>
              <w:jc w:val="center"/>
              <w:rPr>
                <w:szCs w:val="21"/>
              </w:rPr>
            </w:pPr>
            <w:r>
              <w:rPr>
                <w:rFonts w:hint="eastAsia"/>
                <w:szCs w:val="21"/>
              </w:rPr>
              <w:t>44</w:t>
            </w:r>
          </w:p>
        </w:tc>
        <w:tc>
          <w:tcPr>
            <w:tcW w:w="478" w:type="pct"/>
            <w:tcBorders>
              <w:right w:val="single" w:color="auto" w:sz="4" w:space="0"/>
            </w:tcBorders>
            <w:vAlign w:val="center"/>
          </w:tcPr>
          <w:p w14:paraId="4DD23658">
            <w:pPr>
              <w:spacing w:line="320" w:lineRule="exact"/>
              <w:jc w:val="center"/>
              <w:rPr>
                <w:szCs w:val="21"/>
              </w:rPr>
            </w:pPr>
            <w:r>
              <w:rPr>
                <w:rFonts w:hint="eastAsia"/>
                <w:szCs w:val="21"/>
              </w:rPr>
              <w:t>60</w:t>
            </w:r>
          </w:p>
        </w:tc>
        <w:tc>
          <w:tcPr>
            <w:tcW w:w="445" w:type="pct"/>
            <w:tcBorders>
              <w:left w:val="single" w:color="auto" w:sz="4" w:space="0"/>
            </w:tcBorders>
            <w:vAlign w:val="center"/>
          </w:tcPr>
          <w:p w14:paraId="59A33E07">
            <w:pPr>
              <w:spacing w:line="320" w:lineRule="exact"/>
              <w:jc w:val="center"/>
              <w:rPr>
                <w:szCs w:val="21"/>
              </w:rPr>
            </w:pPr>
            <w:r>
              <w:rPr>
                <w:rFonts w:hint="eastAsia"/>
                <w:szCs w:val="21"/>
              </w:rPr>
              <w:t>50</w:t>
            </w:r>
          </w:p>
        </w:tc>
        <w:tc>
          <w:tcPr>
            <w:tcW w:w="473" w:type="pct"/>
            <w:vAlign w:val="center"/>
          </w:tcPr>
          <w:p w14:paraId="61115CCC">
            <w:pPr>
              <w:spacing w:line="320" w:lineRule="exact"/>
              <w:jc w:val="center"/>
              <w:rPr>
                <w:szCs w:val="21"/>
              </w:rPr>
            </w:pPr>
            <w:r>
              <w:rPr>
                <w:szCs w:val="21"/>
              </w:rPr>
              <w:t>达标</w:t>
            </w:r>
          </w:p>
        </w:tc>
      </w:tr>
      <w:tr w14:paraId="65A30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1EA19A80">
            <w:pPr>
              <w:jc w:val="center"/>
              <w:rPr>
                <w:szCs w:val="21"/>
              </w:rPr>
            </w:pPr>
          </w:p>
        </w:tc>
        <w:tc>
          <w:tcPr>
            <w:tcW w:w="582" w:type="pct"/>
            <w:tcBorders>
              <w:right w:val="single" w:color="auto" w:sz="4" w:space="0"/>
            </w:tcBorders>
            <w:vAlign w:val="center"/>
          </w:tcPr>
          <w:p w14:paraId="002A4A9E">
            <w:pPr>
              <w:jc w:val="center"/>
              <w:rPr>
                <w:szCs w:val="21"/>
              </w:rPr>
            </w:pPr>
            <w:r>
              <w:rPr>
                <w:rFonts w:hint="eastAsia"/>
                <w:szCs w:val="21"/>
              </w:rPr>
              <w:t>N1</w:t>
            </w:r>
            <w:r>
              <w:rPr>
                <w:szCs w:val="21"/>
              </w:rPr>
              <w:t>7</w:t>
            </w:r>
          </w:p>
        </w:tc>
        <w:tc>
          <w:tcPr>
            <w:tcW w:w="1426" w:type="pct"/>
            <w:tcBorders>
              <w:left w:val="single" w:color="auto" w:sz="4" w:space="0"/>
            </w:tcBorders>
            <w:vAlign w:val="center"/>
          </w:tcPr>
          <w:p w14:paraId="5C84F5AA">
            <w:pPr>
              <w:adjustRightInd w:val="0"/>
              <w:snapToGrid w:val="0"/>
              <w:spacing w:line="360" w:lineRule="exact"/>
              <w:ind w:left="-28"/>
              <w:jc w:val="center"/>
              <w:rPr>
                <w:szCs w:val="21"/>
              </w:rPr>
            </w:pPr>
            <w:r>
              <w:rPr>
                <w:rFonts w:hint="eastAsia"/>
                <w:szCs w:val="21"/>
              </w:rPr>
              <w:t>南片区</w:t>
            </w:r>
            <w:r>
              <w:rPr>
                <w:szCs w:val="21"/>
              </w:rPr>
              <w:t>临S</w:t>
            </w:r>
            <w:r>
              <w:rPr>
                <w:rFonts w:hint="eastAsia"/>
                <w:szCs w:val="21"/>
              </w:rPr>
              <w:t>264处</w:t>
            </w:r>
            <w:r>
              <w:rPr>
                <w:szCs w:val="21"/>
              </w:rPr>
              <w:t>监测点</w:t>
            </w:r>
          </w:p>
        </w:tc>
        <w:tc>
          <w:tcPr>
            <w:tcW w:w="534" w:type="pct"/>
            <w:vAlign w:val="center"/>
          </w:tcPr>
          <w:p w14:paraId="7AF1AB16">
            <w:pPr>
              <w:jc w:val="center"/>
              <w:rPr>
                <w:szCs w:val="21"/>
              </w:rPr>
            </w:pPr>
            <w:r>
              <w:rPr>
                <w:rFonts w:hint="eastAsia"/>
                <w:szCs w:val="21"/>
              </w:rPr>
              <w:t>51</w:t>
            </w:r>
          </w:p>
        </w:tc>
        <w:tc>
          <w:tcPr>
            <w:tcW w:w="500" w:type="pct"/>
            <w:vAlign w:val="center"/>
          </w:tcPr>
          <w:p w14:paraId="3EE46C77">
            <w:pPr>
              <w:jc w:val="center"/>
              <w:rPr>
                <w:szCs w:val="21"/>
              </w:rPr>
            </w:pPr>
            <w:r>
              <w:rPr>
                <w:rFonts w:hint="eastAsia"/>
                <w:szCs w:val="21"/>
              </w:rPr>
              <w:t>46</w:t>
            </w:r>
          </w:p>
        </w:tc>
        <w:tc>
          <w:tcPr>
            <w:tcW w:w="478" w:type="pct"/>
            <w:tcBorders>
              <w:right w:val="single" w:color="auto" w:sz="4" w:space="0"/>
            </w:tcBorders>
            <w:vAlign w:val="center"/>
          </w:tcPr>
          <w:p w14:paraId="60895882">
            <w:pPr>
              <w:spacing w:line="320" w:lineRule="exact"/>
              <w:jc w:val="center"/>
              <w:rPr>
                <w:szCs w:val="21"/>
              </w:rPr>
            </w:pPr>
            <w:r>
              <w:rPr>
                <w:rFonts w:hint="eastAsia"/>
                <w:szCs w:val="21"/>
              </w:rPr>
              <w:t>70</w:t>
            </w:r>
          </w:p>
        </w:tc>
        <w:tc>
          <w:tcPr>
            <w:tcW w:w="445" w:type="pct"/>
            <w:tcBorders>
              <w:left w:val="single" w:color="auto" w:sz="4" w:space="0"/>
            </w:tcBorders>
            <w:vAlign w:val="center"/>
          </w:tcPr>
          <w:p w14:paraId="76CFB564">
            <w:pPr>
              <w:spacing w:line="320" w:lineRule="exact"/>
              <w:jc w:val="center"/>
              <w:rPr>
                <w:szCs w:val="21"/>
              </w:rPr>
            </w:pPr>
            <w:r>
              <w:rPr>
                <w:rFonts w:hint="eastAsia"/>
                <w:szCs w:val="21"/>
              </w:rPr>
              <w:t>55</w:t>
            </w:r>
          </w:p>
        </w:tc>
        <w:tc>
          <w:tcPr>
            <w:tcW w:w="473" w:type="pct"/>
            <w:vAlign w:val="center"/>
          </w:tcPr>
          <w:p w14:paraId="29388C9E">
            <w:pPr>
              <w:spacing w:line="320" w:lineRule="exact"/>
              <w:jc w:val="center"/>
              <w:rPr>
                <w:szCs w:val="21"/>
              </w:rPr>
            </w:pPr>
            <w:r>
              <w:rPr>
                <w:szCs w:val="21"/>
              </w:rPr>
              <w:t>达标</w:t>
            </w:r>
          </w:p>
        </w:tc>
      </w:tr>
      <w:tr w14:paraId="4AC2D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631A277B">
            <w:pPr>
              <w:jc w:val="center"/>
              <w:rPr>
                <w:szCs w:val="21"/>
              </w:rPr>
            </w:pPr>
          </w:p>
        </w:tc>
        <w:tc>
          <w:tcPr>
            <w:tcW w:w="582" w:type="pct"/>
            <w:tcBorders>
              <w:right w:val="single" w:color="auto" w:sz="4" w:space="0"/>
            </w:tcBorders>
            <w:vAlign w:val="center"/>
          </w:tcPr>
          <w:p w14:paraId="5DD3C857">
            <w:pPr>
              <w:jc w:val="center"/>
              <w:rPr>
                <w:szCs w:val="21"/>
              </w:rPr>
            </w:pPr>
            <w:r>
              <w:rPr>
                <w:rFonts w:hint="eastAsia"/>
                <w:szCs w:val="21"/>
              </w:rPr>
              <w:t>N30</w:t>
            </w:r>
          </w:p>
        </w:tc>
        <w:tc>
          <w:tcPr>
            <w:tcW w:w="1426" w:type="pct"/>
            <w:tcBorders>
              <w:left w:val="single" w:color="auto" w:sz="4" w:space="0"/>
            </w:tcBorders>
            <w:vAlign w:val="center"/>
          </w:tcPr>
          <w:p w14:paraId="6B7B080D">
            <w:pPr>
              <w:adjustRightInd w:val="0"/>
              <w:snapToGrid w:val="0"/>
              <w:spacing w:line="360" w:lineRule="exact"/>
              <w:ind w:left="-28"/>
              <w:jc w:val="center"/>
              <w:rPr>
                <w:szCs w:val="21"/>
              </w:rPr>
            </w:pPr>
            <w:r>
              <w:rPr>
                <w:rFonts w:hint="eastAsia"/>
                <w:szCs w:val="21"/>
              </w:rPr>
              <w:t>中部片区企业边界外</w:t>
            </w:r>
            <w:r>
              <w:rPr>
                <w:szCs w:val="21"/>
              </w:rPr>
              <w:t>1m</w:t>
            </w:r>
          </w:p>
        </w:tc>
        <w:tc>
          <w:tcPr>
            <w:tcW w:w="534" w:type="pct"/>
            <w:vAlign w:val="center"/>
          </w:tcPr>
          <w:p w14:paraId="3B5684A6">
            <w:pPr>
              <w:jc w:val="center"/>
              <w:rPr>
                <w:szCs w:val="21"/>
              </w:rPr>
            </w:pPr>
            <w:r>
              <w:rPr>
                <w:rFonts w:hint="eastAsia"/>
                <w:szCs w:val="21"/>
              </w:rPr>
              <w:t>51</w:t>
            </w:r>
          </w:p>
        </w:tc>
        <w:tc>
          <w:tcPr>
            <w:tcW w:w="500" w:type="pct"/>
            <w:vAlign w:val="center"/>
          </w:tcPr>
          <w:p w14:paraId="7C20C517">
            <w:pPr>
              <w:jc w:val="center"/>
              <w:rPr>
                <w:szCs w:val="21"/>
              </w:rPr>
            </w:pPr>
            <w:r>
              <w:rPr>
                <w:rFonts w:hint="eastAsia"/>
                <w:szCs w:val="21"/>
              </w:rPr>
              <w:t>45</w:t>
            </w:r>
          </w:p>
        </w:tc>
        <w:tc>
          <w:tcPr>
            <w:tcW w:w="478" w:type="pct"/>
            <w:tcBorders>
              <w:right w:val="single" w:color="auto" w:sz="4" w:space="0"/>
            </w:tcBorders>
            <w:vAlign w:val="center"/>
          </w:tcPr>
          <w:p w14:paraId="766F03BA">
            <w:pPr>
              <w:spacing w:line="320" w:lineRule="exact"/>
              <w:jc w:val="center"/>
              <w:rPr>
                <w:szCs w:val="21"/>
              </w:rPr>
            </w:pPr>
            <w:r>
              <w:rPr>
                <w:rFonts w:hint="eastAsia"/>
                <w:szCs w:val="21"/>
              </w:rPr>
              <w:t>65</w:t>
            </w:r>
          </w:p>
        </w:tc>
        <w:tc>
          <w:tcPr>
            <w:tcW w:w="445" w:type="pct"/>
            <w:tcBorders>
              <w:left w:val="single" w:color="auto" w:sz="4" w:space="0"/>
            </w:tcBorders>
            <w:vAlign w:val="center"/>
          </w:tcPr>
          <w:p w14:paraId="78E8FC01">
            <w:pPr>
              <w:spacing w:line="320" w:lineRule="exact"/>
              <w:jc w:val="center"/>
              <w:rPr>
                <w:szCs w:val="21"/>
              </w:rPr>
            </w:pPr>
            <w:r>
              <w:rPr>
                <w:rFonts w:hint="eastAsia"/>
                <w:szCs w:val="21"/>
              </w:rPr>
              <w:t>55</w:t>
            </w:r>
          </w:p>
        </w:tc>
        <w:tc>
          <w:tcPr>
            <w:tcW w:w="473" w:type="pct"/>
            <w:vAlign w:val="center"/>
          </w:tcPr>
          <w:p w14:paraId="07E62FF8">
            <w:pPr>
              <w:spacing w:line="320" w:lineRule="exact"/>
              <w:jc w:val="center"/>
              <w:rPr>
                <w:szCs w:val="21"/>
              </w:rPr>
            </w:pPr>
            <w:r>
              <w:rPr>
                <w:szCs w:val="21"/>
              </w:rPr>
              <w:t>达标</w:t>
            </w:r>
          </w:p>
        </w:tc>
      </w:tr>
      <w:tr w14:paraId="6FAB0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36BA4FBD">
            <w:pPr>
              <w:jc w:val="center"/>
              <w:rPr>
                <w:szCs w:val="21"/>
              </w:rPr>
            </w:pPr>
          </w:p>
        </w:tc>
        <w:tc>
          <w:tcPr>
            <w:tcW w:w="582" w:type="pct"/>
            <w:tcBorders>
              <w:right w:val="single" w:color="auto" w:sz="4" w:space="0"/>
            </w:tcBorders>
            <w:vAlign w:val="center"/>
          </w:tcPr>
          <w:p w14:paraId="0F4A3110">
            <w:pPr>
              <w:jc w:val="center"/>
              <w:rPr>
                <w:szCs w:val="21"/>
              </w:rPr>
            </w:pPr>
            <w:r>
              <w:rPr>
                <w:rFonts w:hint="eastAsia"/>
                <w:szCs w:val="21"/>
              </w:rPr>
              <w:t>N3</w:t>
            </w:r>
            <w:r>
              <w:rPr>
                <w:szCs w:val="21"/>
              </w:rPr>
              <w:t>1</w:t>
            </w:r>
          </w:p>
        </w:tc>
        <w:tc>
          <w:tcPr>
            <w:tcW w:w="1426" w:type="pct"/>
            <w:tcBorders>
              <w:left w:val="single" w:color="auto" w:sz="4" w:space="0"/>
            </w:tcBorders>
            <w:vAlign w:val="center"/>
          </w:tcPr>
          <w:p w14:paraId="01FDFFC7">
            <w:pPr>
              <w:adjustRightInd w:val="0"/>
              <w:snapToGrid w:val="0"/>
              <w:spacing w:line="360" w:lineRule="exact"/>
              <w:ind w:left="-28"/>
              <w:jc w:val="center"/>
              <w:rPr>
                <w:szCs w:val="21"/>
              </w:rPr>
            </w:pPr>
            <w:r>
              <w:rPr>
                <w:rFonts w:hint="eastAsia"/>
                <w:szCs w:val="21"/>
              </w:rPr>
              <w:t>中部片区</w:t>
            </w:r>
            <w:r>
              <w:rPr>
                <w:szCs w:val="21"/>
              </w:rPr>
              <w:t>居民点</w:t>
            </w:r>
            <w:r>
              <w:rPr>
                <w:rFonts w:hint="eastAsia"/>
                <w:szCs w:val="21"/>
              </w:rPr>
              <w:t>大</w:t>
            </w:r>
            <w:r>
              <w:rPr>
                <w:szCs w:val="21"/>
              </w:rPr>
              <w:t>房塆</w:t>
            </w:r>
          </w:p>
        </w:tc>
        <w:tc>
          <w:tcPr>
            <w:tcW w:w="534" w:type="pct"/>
            <w:vAlign w:val="center"/>
          </w:tcPr>
          <w:p w14:paraId="41212719">
            <w:pPr>
              <w:jc w:val="center"/>
              <w:rPr>
                <w:szCs w:val="21"/>
              </w:rPr>
            </w:pPr>
            <w:r>
              <w:rPr>
                <w:rFonts w:hint="eastAsia"/>
                <w:szCs w:val="21"/>
              </w:rPr>
              <w:t>51</w:t>
            </w:r>
          </w:p>
        </w:tc>
        <w:tc>
          <w:tcPr>
            <w:tcW w:w="500" w:type="pct"/>
            <w:vAlign w:val="center"/>
          </w:tcPr>
          <w:p w14:paraId="3DE049B5">
            <w:pPr>
              <w:jc w:val="center"/>
              <w:rPr>
                <w:szCs w:val="21"/>
              </w:rPr>
            </w:pPr>
            <w:r>
              <w:rPr>
                <w:rFonts w:hint="eastAsia"/>
                <w:szCs w:val="21"/>
              </w:rPr>
              <w:t>42</w:t>
            </w:r>
          </w:p>
        </w:tc>
        <w:tc>
          <w:tcPr>
            <w:tcW w:w="478" w:type="pct"/>
            <w:tcBorders>
              <w:right w:val="single" w:color="auto" w:sz="4" w:space="0"/>
            </w:tcBorders>
            <w:vAlign w:val="center"/>
          </w:tcPr>
          <w:p w14:paraId="39E9EAD9">
            <w:pPr>
              <w:spacing w:line="320" w:lineRule="exact"/>
              <w:jc w:val="center"/>
              <w:rPr>
                <w:szCs w:val="21"/>
              </w:rPr>
            </w:pPr>
            <w:r>
              <w:rPr>
                <w:rFonts w:hint="eastAsia"/>
                <w:szCs w:val="21"/>
              </w:rPr>
              <w:t>60</w:t>
            </w:r>
          </w:p>
        </w:tc>
        <w:tc>
          <w:tcPr>
            <w:tcW w:w="445" w:type="pct"/>
            <w:tcBorders>
              <w:left w:val="single" w:color="auto" w:sz="4" w:space="0"/>
            </w:tcBorders>
            <w:vAlign w:val="center"/>
          </w:tcPr>
          <w:p w14:paraId="71EC46B4">
            <w:pPr>
              <w:spacing w:line="320" w:lineRule="exact"/>
              <w:jc w:val="center"/>
              <w:rPr>
                <w:szCs w:val="21"/>
              </w:rPr>
            </w:pPr>
            <w:r>
              <w:rPr>
                <w:rFonts w:hint="eastAsia"/>
                <w:szCs w:val="21"/>
              </w:rPr>
              <w:t>50</w:t>
            </w:r>
          </w:p>
        </w:tc>
        <w:tc>
          <w:tcPr>
            <w:tcW w:w="473" w:type="pct"/>
            <w:vAlign w:val="center"/>
          </w:tcPr>
          <w:p w14:paraId="308BF374">
            <w:pPr>
              <w:spacing w:line="320" w:lineRule="exact"/>
              <w:jc w:val="center"/>
              <w:rPr>
                <w:szCs w:val="21"/>
              </w:rPr>
            </w:pPr>
            <w:r>
              <w:rPr>
                <w:szCs w:val="21"/>
              </w:rPr>
              <w:t>达标</w:t>
            </w:r>
          </w:p>
        </w:tc>
      </w:tr>
      <w:tr w14:paraId="081B0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1903BEC9">
            <w:pPr>
              <w:jc w:val="center"/>
              <w:rPr>
                <w:szCs w:val="21"/>
              </w:rPr>
            </w:pPr>
          </w:p>
        </w:tc>
        <w:tc>
          <w:tcPr>
            <w:tcW w:w="582" w:type="pct"/>
            <w:tcBorders>
              <w:right w:val="single" w:color="auto" w:sz="4" w:space="0"/>
            </w:tcBorders>
            <w:vAlign w:val="center"/>
          </w:tcPr>
          <w:p w14:paraId="025CDDE9">
            <w:pPr>
              <w:jc w:val="center"/>
              <w:rPr>
                <w:szCs w:val="21"/>
              </w:rPr>
            </w:pPr>
            <w:r>
              <w:rPr>
                <w:rFonts w:hint="eastAsia"/>
                <w:szCs w:val="21"/>
              </w:rPr>
              <w:t>N43</w:t>
            </w:r>
          </w:p>
        </w:tc>
        <w:tc>
          <w:tcPr>
            <w:tcW w:w="1426" w:type="pct"/>
            <w:tcBorders>
              <w:left w:val="single" w:color="auto" w:sz="4" w:space="0"/>
            </w:tcBorders>
            <w:vAlign w:val="center"/>
          </w:tcPr>
          <w:p w14:paraId="18AA10A3">
            <w:pPr>
              <w:adjustRightInd w:val="0"/>
              <w:snapToGrid w:val="0"/>
              <w:spacing w:line="360" w:lineRule="exact"/>
              <w:ind w:left="-28"/>
              <w:jc w:val="center"/>
              <w:rPr>
                <w:szCs w:val="21"/>
              </w:rPr>
            </w:pPr>
            <w:r>
              <w:rPr>
                <w:rFonts w:hint="eastAsia"/>
                <w:szCs w:val="21"/>
              </w:rPr>
              <w:t>中部片区北侧空地</w:t>
            </w:r>
          </w:p>
        </w:tc>
        <w:tc>
          <w:tcPr>
            <w:tcW w:w="534" w:type="pct"/>
            <w:vAlign w:val="center"/>
          </w:tcPr>
          <w:p w14:paraId="429748D4">
            <w:pPr>
              <w:jc w:val="center"/>
              <w:rPr>
                <w:szCs w:val="21"/>
              </w:rPr>
            </w:pPr>
            <w:r>
              <w:rPr>
                <w:rFonts w:hint="eastAsia"/>
                <w:szCs w:val="21"/>
              </w:rPr>
              <w:t>50</w:t>
            </w:r>
          </w:p>
        </w:tc>
        <w:tc>
          <w:tcPr>
            <w:tcW w:w="500" w:type="pct"/>
            <w:vAlign w:val="center"/>
          </w:tcPr>
          <w:p w14:paraId="3498B65B">
            <w:pPr>
              <w:jc w:val="center"/>
              <w:rPr>
                <w:szCs w:val="21"/>
              </w:rPr>
            </w:pPr>
            <w:r>
              <w:rPr>
                <w:rFonts w:hint="eastAsia"/>
                <w:szCs w:val="21"/>
              </w:rPr>
              <w:t>45</w:t>
            </w:r>
          </w:p>
        </w:tc>
        <w:tc>
          <w:tcPr>
            <w:tcW w:w="478" w:type="pct"/>
            <w:tcBorders>
              <w:right w:val="single" w:color="auto" w:sz="4" w:space="0"/>
            </w:tcBorders>
            <w:vAlign w:val="center"/>
          </w:tcPr>
          <w:p w14:paraId="144E6964">
            <w:pPr>
              <w:spacing w:line="320" w:lineRule="exact"/>
              <w:jc w:val="center"/>
              <w:rPr>
                <w:szCs w:val="21"/>
              </w:rPr>
            </w:pPr>
            <w:r>
              <w:rPr>
                <w:rFonts w:hint="eastAsia"/>
                <w:szCs w:val="21"/>
              </w:rPr>
              <w:t>60</w:t>
            </w:r>
          </w:p>
        </w:tc>
        <w:tc>
          <w:tcPr>
            <w:tcW w:w="445" w:type="pct"/>
            <w:tcBorders>
              <w:left w:val="single" w:color="auto" w:sz="4" w:space="0"/>
            </w:tcBorders>
            <w:vAlign w:val="center"/>
          </w:tcPr>
          <w:p w14:paraId="4A435B91">
            <w:pPr>
              <w:spacing w:line="320" w:lineRule="exact"/>
              <w:jc w:val="center"/>
              <w:rPr>
                <w:szCs w:val="21"/>
              </w:rPr>
            </w:pPr>
            <w:r>
              <w:rPr>
                <w:rFonts w:hint="eastAsia"/>
                <w:szCs w:val="21"/>
              </w:rPr>
              <w:t>50</w:t>
            </w:r>
          </w:p>
        </w:tc>
        <w:tc>
          <w:tcPr>
            <w:tcW w:w="473" w:type="pct"/>
            <w:vAlign w:val="center"/>
          </w:tcPr>
          <w:p w14:paraId="6E6737D7">
            <w:pPr>
              <w:spacing w:line="320" w:lineRule="exact"/>
              <w:jc w:val="center"/>
              <w:rPr>
                <w:szCs w:val="21"/>
              </w:rPr>
            </w:pPr>
            <w:r>
              <w:rPr>
                <w:szCs w:val="21"/>
              </w:rPr>
              <w:t>达标</w:t>
            </w:r>
          </w:p>
        </w:tc>
      </w:tr>
      <w:tr w14:paraId="06374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0239C77F">
            <w:pPr>
              <w:jc w:val="center"/>
              <w:rPr>
                <w:szCs w:val="21"/>
              </w:rPr>
            </w:pPr>
          </w:p>
        </w:tc>
        <w:tc>
          <w:tcPr>
            <w:tcW w:w="582" w:type="pct"/>
            <w:tcBorders>
              <w:right w:val="single" w:color="auto" w:sz="4" w:space="0"/>
            </w:tcBorders>
            <w:vAlign w:val="center"/>
          </w:tcPr>
          <w:p w14:paraId="59F21A2D">
            <w:pPr>
              <w:jc w:val="center"/>
              <w:rPr>
                <w:szCs w:val="21"/>
              </w:rPr>
            </w:pPr>
            <w:r>
              <w:rPr>
                <w:rFonts w:hint="eastAsia"/>
                <w:szCs w:val="21"/>
              </w:rPr>
              <w:t>N4</w:t>
            </w:r>
            <w:r>
              <w:rPr>
                <w:szCs w:val="21"/>
              </w:rPr>
              <w:t>8</w:t>
            </w:r>
          </w:p>
        </w:tc>
        <w:tc>
          <w:tcPr>
            <w:tcW w:w="1426" w:type="pct"/>
            <w:tcBorders>
              <w:left w:val="single" w:color="auto" w:sz="4" w:space="0"/>
            </w:tcBorders>
            <w:vAlign w:val="center"/>
          </w:tcPr>
          <w:p w14:paraId="113C7180">
            <w:pPr>
              <w:adjustRightInd w:val="0"/>
              <w:snapToGrid w:val="0"/>
              <w:spacing w:line="360" w:lineRule="exact"/>
              <w:ind w:left="-28"/>
              <w:jc w:val="center"/>
              <w:rPr>
                <w:szCs w:val="21"/>
              </w:rPr>
            </w:pPr>
            <w:r>
              <w:rPr>
                <w:rFonts w:hint="eastAsia"/>
                <w:szCs w:val="21"/>
              </w:rPr>
              <w:t>中部片区北侧詹家塆</w:t>
            </w:r>
          </w:p>
        </w:tc>
        <w:tc>
          <w:tcPr>
            <w:tcW w:w="534" w:type="pct"/>
            <w:vAlign w:val="center"/>
          </w:tcPr>
          <w:p w14:paraId="056E837E">
            <w:pPr>
              <w:jc w:val="center"/>
              <w:rPr>
                <w:szCs w:val="21"/>
              </w:rPr>
            </w:pPr>
            <w:r>
              <w:rPr>
                <w:rFonts w:hint="eastAsia"/>
                <w:szCs w:val="21"/>
              </w:rPr>
              <w:t>48</w:t>
            </w:r>
          </w:p>
        </w:tc>
        <w:tc>
          <w:tcPr>
            <w:tcW w:w="500" w:type="pct"/>
            <w:vAlign w:val="center"/>
          </w:tcPr>
          <w:p w14:paraId="75793B95">
            <w:pPr>
              <w:jc w:val="center"/>
              <w:rPr>
                <w:szCs w:val="21"/>
              </w:rPr>
            </w:pPr>
            <w:r>
              <w:rPr>
                <w:rFonts w:hint="eastAsia"/>
                <w:szCs w:val="21"/>
              </w:rPr>
              <w:t>44</w:t>
            </w:r>
          </w:p>
        </w:tc>
        <w:tc>
          <w:tcPr>
            <w:tcW w:w="478" w:type="pct"/>
            <w:tcBorders>
              <w:right w:val="single" w:color="auto" w:sz="4" w:space="0"/>
            </w:tcBorders>
            <w:vAlign w:val="center"/>
          </w:tcPr>
          <w:p w14:paraId="5D808058">
            <w:pPr>
              <w:spacing w:line="320" w:lineRule="exact"/>
              <w:jc w:val="center"/>
              <w:rPr>
                <w:szCs w:val="21"/>
              </w:rPr>
            </w:pPr>
            <w:r>
              <w:rPr>
                <w:rFonts w:hint="eastAsia"/>
                <w:szCs w:val="21"/>
              </w:rPr>
              <w:t>60</w:t>
            </w:r>
          </w:p>
        </w:tc>
        <w:tc>
          <w:tcPr>
            <w:tcW w:w="445" w:type="pct"/>
            <w:tcBorders>
              <w:left w:val="single" w:color="auto" w:sz="4" w:space="0"/>
            </w:tcBorders>
            <w:vAlign w:val="center"/>
          </w:tcPr>
          <w:p w14:paraId="56EA062B">
            <w:pPr>
              <w:spacing w:line="320" w:lineRule="exact"/>
              <w:jc w:val="center"/>
              <w:rPr>
                <w:szCs w:val="21"/>
              </w:rPr>
            </w:pPr>
            <w:r>
              <w:rPr>
                <w:rFonts w:hint="eastAsia"/>
                <w:szCs w:val="21"/>
              </w:rPr>
              <w:t>50</w:t>
            </w:r>
          </w:p>
        </w:tc>
        <w:tc>
          <w:tcPr>
            <w:tcW w:w="473" w:type="pct"/>
            <w:vAlign w:val="center"/>
          </w:tcPr>
          <w:p w14:paraId="7AA33B48">
            <w:pPr>
              <w:spacing w:line="320" w:lineRule="exact"/>
              <w:jc w:val="center"/>
              <w:rPr>
                <w:szCs w:val="21"/>
              </w:rPr>
            </w:pPr>
            <w:r>
              <w:rPr>
                <w:szCs w:val="21"/>
              </w:rPr>
              <w:t>达标</w:t>
            </w:r>
          </w:p>
        </w:tc>
      </w:tr>
      <w:tr w14:paraId="5A3A2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4D21009A">
            <w:pPr>
              <w:jc w:val="center"/>
              <w:rPr>
                <w:szCs w:val="21"/>
              </w:rPr>
            </w:pPr>
          </w:p>
        </w:tc>
        <w:tc>
          <w:tcPr>
            <w:tcW w:w="582" w:type="pct"/>
            <w:tcBorders>
              <w:right w:val="single" w:color="auto" w:sz="4" w:space="0"/>
            </w:tcBorders>
            <w:vAlign w:val="center"/>
          </w:tcPr>
          <w:p w14:paraId="69FEA623">
            <w:pPr>
              <w:jc w:val="center"/>
              <w:rPr>
                <w:szCs w:val="21"/>
              </w:rPr>
            </w:pPr>
            <w:r>
              <w:rPr>
                <w:rFonts w:hint="eastAsia"/>
                <w:szCs w:val="21"/>
              </w:rPr>
              <w:t>N53</w:t>
            </w:r>
          </w:p>
        </w:tc>
        <w:tc>
          <w:tcPr>
            <w:tcW w:w="1426" w:type="pct"/>
            <w:tcBorders>
              <w:left w:val="single" w:color="auto" w:sz="4" w:space="0"/>
            </w:tcBorders>
            <w:vAlign w:val="center"/>
          </w:tcPr>
          <w:p w14:paraId="4475A26A">
            <w:pPr>
              <w:adjustRightInd w:val="0"/>
              <w:snapToGrid w:val="0"/>
              <w:spacing w:line="360" w:lineRule="exact"/>
              <w:ind w:left="-28"/>
              <w:jc w:val="center"/>
              <w:rPr>
                <w:szCs w:val="21"/>
              </w:rPr>
            </w:pPr>
            <w:r>
              <w:rPr>
                <w:rFonts w:hint="eastAsia"/>
                <w:szCs w:val="21"/>
              </w:rPr>
              <w:t>北片区</w:t>
            </w:r>
            <w:r>
              <w:rPr>
                <w:szCs w:val="21"/>
              </w:rPr>
              <w:t>临S</w:t>
            </w:r>
            <w:r>
              <w:rPr>
                <w:rFonts w:hint="eastAsia"/>
                <w:szCs w:val="21"/>
              </w:rPr>
              <w:t>264处</w:t>
            </w:r>
            <w:r>
              <w:rPr>
                <w:szCs w:val="21"/>
              </w:rPr>
              <w:t>监测点</w:t>
            </w:r>
          </w:p>
        </w:tc>
        <w:tc>
          <w:tcPr>
            <w:tcW w:w="534" w:type="pct"/>
            <w:vAlign w:val="center"/>
          </w:tcPr>
          <w:p w14:paraId="09510910">
            <w:pPr>
              <w:jc w:val="center"/>
              <w:rPr>
                <w:szCs w:val="21"/>
              </w:rPr>
            </w:pPr>
            <w:r>
              <w:rPr>
                <w:rFonts w:hint="eastAsia"/>
                <w:szCs w:val="21"/>
              </w:rPr>
              <w:t>51</w:t>
            </w:r>
          </w:p>
        </w:tc>
        <w:tc>
          <w:tcPr>
            <w:tcW w:w="500" w:type="pct"/>
            <w:vAlign w:val="center"/>
          </w:tcPr>
          <w:p w14:paraId="1E7FAAEC">
            <w:pPr>
              <w:jc w:val="center"/>
              <w:rPr>
                <w:szCs w:val="21"/>
              </w:rPr>
            </w:pPr>
            <w:r>
              <w:rPr>
                <w:rFonts w:hint="eastAsia"/>
                <w:szCs w:val="21"/>
              </w:rPr>
              <w:t>43</w:t>
            </w:r>
          </w:p>
        </w:tc>
        <w:tc>
          <w:tcPr>
            <w:tcW w:w="478" w:type="pct"/>
            <w:tcBorders>
              <w:right w:val="single" w:color="auto" w:sz="4" w:space="0"/>
            </w:tcBorders>
            <w:vAlign w:val="center"/>
          </w:tcPr>
          <w:p w14:paraId="41608308">
            <w:pPr>
              <w:spacing w:line="320" w:lineRule="exact"/>
              <w:jc w:val="center"/>
              <w:rPr>
                <w:szCs w:val="21"/>
              </w:rPr>
            </w:pPr>
            <w:r>
              <w:rPr>
                <w:rFonts w:hint="eastAsia"/>
                <w:szCs w:val="21"/>
              </w:rPr>
              <w:t>70</w:t>
            </w:r>
          </w:p>
        </w:tc>
        <w:tc>
          <w:tcPr>
            <w:tcW w:w="445" w:type="pct"/>
            <w:tcBorders>
              <w:left w:val="single" w:color="auto" w:sz="4" w:space="0"/>
            </w:tcBorders>
            <w:vAlign w:val="center"/>
          </w:tcPr>
          <w:p w14:paraId="5AD81431">
            <w:pPr>
              <w:spacing w:line="320" w:lineRule="exact"/>
              <w:jc w:val="center"/>
              <w:rPr>
                <w:szCs w:val="21"/>
              </w:rPr>
            </w:pPr>
            <w:r>
              <w:rPr>
                <w:rFonts w:hint="eastAsia"/>
                <w:szCs w:val="21"/>
              </w:rPr>
              <w:t>55</w:t>
            </w:r>
          </w:p>
        </w:tc>
        <w:tc>
          <w:tcPr>
            <w:tcW w:w="473" w:type="pct"/>
            <w:vAlign w:val="center"/>
          </w:tcPr>
          <w:p w14:paraId="559AE0CF">
            <w:pPr>
              <w:spacing w:line="320" w:lineRule="exact"/>
              <w:jc w:val="center"/>
              <w:rPr>
                <w:szCs w:val="21"/>
              </w:rPr>
            </w:pPr>
            <w:r>
              <w:rPr>
                <w:szCs w:val="21"/>
              </w:rPr>
              <w:t>达标</w:t>
            </w:r>
          </w:p>
        </w:tc>
      </w:tr>
      <w:tr w14:paraId="5F476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3" w:hRule="atLeast"/>
          <w:jc w:val="center"/>
        </w:trPr>
        <w:tc>
          <w:tcPr>
            <w:tcW w:w="562" w:type="pct"/>
            <w:vMerge w:val="restart"/>
            <w:tcBorders>
              <w:right w:val="single" w:color="auto" w:sz="4" w:space="0"/>
            </w:tcBorders>
            <w:vAlign w:val="center"/>
          </w:tcPr>
          <w:p w14:paraId="5C20A2F6">
            <w:pPr>
              <w:adjustRightInd w:val="0"/>
              <w:snapToGrid w:val="0"/>
              <w:spacing w:line="360" w:lineRule="exact"/>
              <w:ind w:left="-28"/>
              <w:jc w:val="center"/>
              <w:rPr>
                <w:szCs w:val="21"/>
              </w:rPr>
            </w:pPr>
            <w:r>
              <w:rPr>
                <w:szCs w:val="21"/>
              </w:rPr>
              <w:t>太白顶石材产业园</w:t>
            </w:r>
          </w:p>
        </w:tc>
        <w:tc>
          <w:tcPr>
            <w:tcW w:w="582" w:type="pct"/>
            <w:tcBorders>
              <w:right w:val="single" w:color="auto" w:sz="4" w:space="0"/>
            </w:tcBorders>
            <w:vAlign w:val="center"/>
          </w:tcPr>
          <w:p w14:paraId="6BDF9F46">
            <w:pPr>
              <w:spacing w:line="320" w:lineRule="exact"/>
              <w:jc w:val="center"/>
              <w:rPr>
                <w:szCs w:val="21"/>
              </w:rPr>
            </w:pPr>
            <w:r>
              <w:rPr>
                <w:szCs w:val="21"/>
              </w:rPr>
              <w:t>N10</w:t>
            </w:r>
          </w:p>
        </w:tc>
        <w:tc>
          <w:tcPr>
            <w:tcW w:w="1426" w:type="pct"/>
            <w:tcBorders>
              <w:left w:val="single" w:color="auto" w:sz="4" w:space="0"/>
            </w:tcBorders>
            <w:vAlign w:val="center"/>
          </w:tcPr>
          <w:p w14:paraId="546C46F9">
            <w:pPr>
              <w:spacing w:line="320" w:lineRule="exact"/>
              <w:jc w:val="center"/>
              <w:rPr>
                <w:szCs w:val="21"/>
              </w:rPr>
            </w:pPr>
            <w:r>
              <w:rPr>
                <w:rFonts w:eastAsiaTheme="minorEastAsia"/>
                <w:szCs w:val="21"/>
              </w:rPr>
              <w:t>集中生产区</w:t>
            </w:r>
            <w:r>
              <w:rPr>
                <w:rFonts w:hint="eastAsia"/>
                <w:szCs w:val="21"/>
              </w:rPr>
              <w:t>北侧中棚</w:t>
            </w:r>
          </w:p>
        </w:tc>
        <w:tc>
          <w:tcPr>
            <w:tcW w:w="534" w:type="pct"/>
            <w:vAlign w:val="center"/>
          </w:tcPr>
          <w:p w14:paraId="16B80281">
            <w:pPr>
              <w:jc w:val="center"/>
              <w:rPr>
                <w:szCs w:val="21"/>
              </w:rPr>
            </w:pPr>
            <w:r>
              <w:rPr>
                <w:szCs w:val="21"/>
              </w:rPr>
              <w:t>55</w:t>
            </w:r>
          </w:p>
        </w:tc>
        <w:tc>
          <w:tcPr>
            <w:tcW w:w="500" w:type="pct"/>
            <w:vAlign w:val="center"/>
          </w:tcPr>
          <w:p w14:paraId="170F9461">
            <w:pPr>
              <w:jc w:val="center"/>
              <w:rPr>
                <w:szCs w:val="21"/>
              </w:rPr>
            </w:pPr>
            <w:r>
              <w:rPr>
                <w:szCs w:val="21"/>
              </w:rPr>
              <w:t>44</w:t>
            </w:r>
          </w:p>
        </w:tc>
        <w:tc>
          <w:tcPr>
            <w:tcW w:w="478" w:type="pct"/>
            <w:tcBorders>
              <w:right w:val="single" w:color="auto" w:sz="4" w:space="0"/>
            </w:tcBorders>
            <w:vAlign w:val="center"/>
          </w:tcPr>
          <w:p w14:paraId="16169F89">
            <w:pPr>
              <w:spacing w:line="320" w:lineRule="exact"/>
              <w:jc w:val="center"/>
              <w:rPr>
                <w:szCs w:val="21"/>
              </w:rPr>
            </w:pPr>
            <w:r>
              <w:rPr>
                <w:szCs w:val="21"/>
              </w:rPr>
              <w:t>60</w:t>
            </w:r>
          </w:p>
        </w:tc>
        <w:tc>
          <w:tcPr>
            <w:tcW w:w="445" w:type="pct"/>
            <w:tcBorders>
              <w:left w:val="single" w:color="auto" w:sz="4" w:space="0"/>
            </w:tcBorders>
            <w:vAlign w:val="center"/>
          </w:tcPr>
          <w:p w14:paraId="06B7275A">
            <w:pPr>
              <w:spacing w:line="320" w:lineRule="exact"/>
              <w:jc w:val="center"/>
              <w:rPr>
                <w:szCs w:val="21"/>
              </w:rPr>
            </w:pPr>
            <w:r>
              <w:rPr>
                <w:szCs w:val="21"/>
              </w:rPr>
              <w:t>50</w:t>
            </w:r>
          </w:p>
        </w:tc>
        <w:tc>
          <w:tcPr>
            <w:tcW w:w="473" w:type="pct"/>
            <w:vAlign w:val="center"/>
          </w:tcPr>
          <w:p w14:paraId="37B7E131">
            <w:pPr>
              <w:spacing w:line="320" w:lineRule="exact"/>
              <w:rPr>
                <w:szCs w:val="21"/>
              </w:rPr>
            </w:pPr>
            <w:r>
              <w:rPr>
                <w:rFonts w:hint="eastAsia"/>
                <w:szCs w:val="21"/>
              </w:rPr>
              <w:t>达标</w:t>
            </w:r>
          </w:p>
        </w:tc>
      </w:tr>
      <w:tr w14:paraId="26B31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6F5B1425">
            <w:pPr>
              <w:adjustRightInd w:val="0"/>
              <w:snapToGrid w:val="0"/>
              <w:spacing w:line="360" w:lineRule="exact"/>
              <w:ind w:left="-28"/>
              <w:jc w:val="center"/>
              <w:rPr>
                <w:szCs w:val="21"/>
              </w:rPr>
            </w:pPr>
          </w:p>
        </w:tc>
        <w:tc>
          <w:tcPr>
            <w:tcW w:w="582" w:type="pct"/>
            <w:tcBorders>
              <w:right w:val="single" w:color="auto" w:sz="4" w:space="0"/>
            </w:tcBorders>
            <w:vAlign w:val="center"/>
          </w:tcPr>
          <w:p w14:paraId="3AE245CF">
            <w:pPr>
              <w:spacing w:line="320" w:lineRule="exact"/>
              <w:jc w:val="center"/>
              <w:rPr>
                <w:szCs w:val="21"/>
              </w:rPr>
            </w:pPr>
            <w:r>
              <w:rPr>
                <w:szCs w:val="21"/>
              </w:rPr>
              <w:t>N11</w:t>
            </w:r>
          </w:p>
        </w:tc>
        <w:tc>
          <w:tcPr>
            <w:tcW w:w="1426" w:type="pct"/>
            <w:tcBorders>
              <w:left w:val="single" w:color="auto" w:sz="4" w:space="0"/>
            </w:tcBorders>
            <w:vAlign w:val="center"/>
          </w:tcPr>
          <w:p w14:paraId="5DB54083">
            <w:pPr>
              <w:spacing w:line="320" w:lineRule="exact"/>
              <w:jc w:val="center"/>
              <w:rPr>
                <w:szCs w:val="21"/>
              </w:rPr>
            </w:pPr>
            <w:r>
              <w:rPr>
                <w:rFonts w:eastAsiaTheme="minorEastAsia"/>
                <w:szCs w:val="21"/>
              </w:rPr>
              <w:t>集中生产区</w:t>
            </w:r>
            <w:r>
              <w:rPr>
                <w:rFonts w:hint="eastAsia"/>
                <w:szCs w:val="21"/>
              </w:rPr>
              <w:t>南侧太子垭</w:t>
            </w:r>
          </w:p>
        </w:tc>
        <w:tc>
          <w:tcPr>
            <w:tcW w:w="534" w:type="pct"/>
            <w:vAlign w:val="center"/>
          </w:tcPr>
          <w:p w14:paraId="34019E73">
            <w:pPr>
              <w:jc w:val="center"/>
              <w:rPr>
                <w:szCs w:val="21"/>
              </w:rPr>
            </w:pPr>
            <w:r>
              <w:rPr>
                <w:szCs w:val="21"/>
              </w:rPr>
              <w:t>54</w:t>
            </w:r>
          </w:p>
        </w:tc>
        <w:tc>
          <w:tcPr>
            <w:tcW w:w="500" w:type="pct"/>
            <w:vAlign w:val="center"/>
          </w:tcPr>
          <w:p w14:paraId="586FD1CE">
            <w:pPr>
              <w:jc w:val="center"/>
              <w:rPr>
                <w:szCs w:val="21"/>
              </w:rPr>
            </w:pPr>
            <w:r>
              <w:rPr>
                <w:szCs w:val="21"/>
              </w:rPr>
              <w:t>48</w:t>
            </w:r>
          </w:p>
        </w:tc>
        <w:tc>
          <w:tcPr>
            <w:tcW w:w="478" w:type="pct"/>
            <w:tcBorders>
              <w:right w:val="single" w:color="auto" w:sz="4" w:space="0"/>
            </w:tcBorders>
            <w:vAlign w:val="center"/>
          </w:tcPr>
          <w:p w14:paraId="189A09A5">
            <w:pPr>
              <w:spacing w:line="320" w:lineRule="exact"/>
              <w:jc w:val="center"/>
              <w:rPr>
                <w:szCs w:val="21"/>
              </w:rPr>
            </w:pPr>
            <w:r>
              <w:rPr>
                <w:szCs w:val="21"/>
              </w:rPr>
              <w:t>60</w:t>
            </w:r>
          </w:p>
        </w:tc>
        <w:tc>
          <w:tcPr>
            <w:tcW w:w="445" w:type="pct"/>
            <w:tcBorders>
              <w:left w:val="single" w:color="auto" w:sz="4" w:space="0"/>
            </w:tcBorders>
            <w:vAlign w:val="center"/>
          </w:tcPr>
          <w:p w14:paraId="34518B33">
            <w:pPr>
              <w:spacing w:line="320" w:lineRule="exact"/>
              <w:jc w:val="center"/>
              <w:rPr>
                <w:szCs w:val="21"/>
              </w:rPr>
            </w:pPr>
            <w:r>
              <w:rPr>
                <w:szCs w:val="21"/>
              </w:rPr>
              <w:t>50</w:t>
            </w:r>
          </w:p>
        </w:tc>
        <w:tc>
          <w:tcPr>
            <w:tcW w:w="473" w:type="pct"/>
            <w:vAlign w:val="center"/>
          </w:tcPr>
          <w:p w14:paraId="45BD0288">
            <w:pPr>
              <w:spacing w:line="320" w:lineRule="exact"/>
              <w:jc w:val="center"/>
              <w:rPr>
                <w:szCs w:val="21"/>
              </w:rPr>
            </w:pPr>
            <w:r>
              <w:rPr>
                <w:rFonts w:hint="eastAsia"/>
                <w:szCs w:val="21"/>
              </w:rPr>
              <w:t>达标</w:t>
            </w:r>
          </w:p>
        </w:tc>
      </w:tr>
      <w:tr w14:paraId="7C15B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65C1611E">
            <w:pPr>
              <w:adjustRightInd w:val="0"/>
              <w:snapToGrid w:val="0"/>
              <w:spacing w:line="360" w:lineRule="exact"/>
              <w:ind w:left="-28"/>
              <w:jc w:val="center"/>
              <w:rPr>
                <w:szCs w:val="21"/>
              </w:rPr>
            </w:pPr>
          </w:p>
        </w:tc>
        <w:tc>
          <w:tcPr>
            <w:tcW w:w="582" w:type="pct"/>
            <w:tcBorders>
              <w:right w:val="single" w:color="auto" w:sz="4" w:space="0"/>
            </w:tcBorders>
            <w:vAlign w:val="center"/>
          </w:tcPr>
          <w:p w14:paraId="006A5796">
            <w:pPr>
              <w:spacing w:line="320" w:lineRule="exact"/>
              <w:jc w:val="center"/>
              <w:rPr>
                <w:szCs w:val="21"/>
              </w:rPr>
            </w:pPr>
            <w:r>
              <w:rPr>
                <w:szCs w:val="21"/>
              </w:rPr>
              <w:t>N12</w:t>
            </w:r>
          </w:p>
        </w:tc>
        <w:tc>
          <w:tcPr>
            <w:tcW w:w="1426" w:type="pct"/>
            <w:tcBorders>
              <w:left w:val="single" w:color="auto" w:sz="4" w:space="0"/>
            </w:tcBorders>
            <w:vAlign w:val="center"/>
          </w:tcPr>
          <w:p w14:paraId="7E5B35FD">
            <w:pPr>
              <w:spacing w:line="320" w:lineRule="exact"/>
              <w:jc w:val="center"/>
              <w:rPr>
                <w:szCs w:val="21"/>
              </w:rPr>
            </w:pPr>
            <w:r>
              <w:rPr>
                <w:rFonts w:eastAsiaTheme="minorEastAsia"/>
                <w:szCs w:val="21"/>
              </w:rPr>
              <w:t>集中生产区</w:t>
            </w:r>
            <w:r>
              <w:rPr>
                <w:rFonts w:hint="eastAsia"/>
                <w:szCs w:val="21"/>
              </w:rPr>
              <w:t>西侧韩刘塆</w:t>
            </w:r>
          </w:p>
        </w:tc>
        <w:tc>
          <w:tcPr>
            <w:tcW w:w="534" w:type="pct"/>
            <w:vAlign w:val="center"/>
          </w:tcPr>
          <w:p w14:paraId="367491FA">
            <w:pPr>
              <w:jc w:val="center"/>
              <w:rPr>
                <w:szCs w:val="21"/>
              </w:rPr>
            </w:pPr>
            <w:r>
              <w:rPr>
                <w:szCs w:val="21"/>
              </w:rPr>
              <w:t>54</w:t>
            </w:r>
          </w:p>
        </w:tc>
        <w:tc>
          <w:tcPr>
            <w:tcW w:w="500" w:type="pct"/>
            <w:vAlign w:val="center"/>
          </w:tcPr>
          <w:p w14:paraId="4D6796AB">
            <w:pPr>
              <w:jc w:val="center"/>
              <w:rPr>
                <w:szCs w:val="21"/>
              </w:rPr>
            </w:pPr>
            <w:r>
              <w:rPr>
                <w:szCs w:val="21"/>
              </w:rPr>
              <w:t>42</w:t>
            </w:r>
          </w:p>
        </w:tc>
        <w:tc>
          <w:tcPr>
            <w:tcW w:w="478" w:type="pct"/>
            <w:tcBorders>
              <w:right w:val="single" w:color="auto" w:sz="4" w:space="0"/>
            </w:tcBorders>
            <w:vAlign w:val="center"/>
          </w:tcPr>
          <w:p w14:paraId="2B741980">
            <w:pPr>
              <w:spacing w:line="320" w:lineRule="exact"/>
              <w:jc w:val="center"/>
              <w:rPr>
                <w:szCs w:val="21"/>
              </w:rPr>
            </w:pPr>
            <w:r>
              <w:rPr>
                <w:szCs w:val="21"/>
              </w:rPr>
              <w:t>60</w:t>
            </w:r>
          </w:p>
        </w:tc>
        <w:tc>
          <w:tcPr>
            <w:tcW w:w="445" w:type="pct"/>
            <w:tcBorders>
              <w:left w:val="single" w:color="auto" w:sz="4" w:space="0"/>
            </w:tcBorders>
            <w:vAlign w:val="center"/>
          </w:tcPr>
          <w:p w14:paraId="49F68E95">
            <w:pPr>
              <w:spacing w:line="320" w:lineRule="exact"/>
              <w:jc w:val="center"/>
              <w:rPr>
                <w:szCs w:val="21"/>
              </w:rPr>
            </w:pPr>
            <w:r>
              <w:rPr>
                <w:szCs w:val="21"/>
              </w:rPr>
              <w:t>50</w:t>
            </w:r>
          </w:p>
        </w:tc>
        <w:tc>
          <w:tcPr>
            <w:tcW w:w="473" w:type="pct"/>
            <w:vAlign w:val="center"/>
          </w:tcPr>
          <w:p w14:paraId="34423220">
            <w:pPr>
              <w:spacing w:line="320" w:lineRule="exact"/>
              <w:jc w:val="center"/>
              <w:rPr>
                <w:szCs w:val="21"/>
              </w:rPr>
            </w:pPr>
            <w:r>
              <w:rPr>
                <w:rFonts w:hint="eastAsia"/>
                <w:szCs w:val="21"/>
              </w:rPr>
              <w:t>达标</w:t>
            </w:r>
          </w:p>
        </w:tc>
      </w:tr>
      <w:tr w14:paraId="2D212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321E1D76">
            <w:pPr>
              <w:adjustRightInd w:val="0"/>
              <w:snapToGrid w:val="0"/>
              <w:spacing w:line="360" w:lineRule="exact"/>
              <w:ind w:left="-28"/>
              <w:jc w:val="center"/>
              <w:rPr>
                <w:szCs w:val="21"/>
              </w:rPr>
            </w:pPr>
          </w:p>
        </w:tc>
        <w:tc>
          <w:tcPr>
            <w:tcW w:w="582" w:type="pct"/>
            <w:tcBorders>
              <w:right w:val="single" w:color="auto" w:sz="4" w:space="0"/>
            </w:tcBorders>
            <w:vAlign w:val="center"/>
          </w:tcPr>
          <w:p w14:paraId="3B47F9D8">
            <w:pPr>
              <w:spacing w:line="320" w:lineRule="exact"/>
              <w:jc w:val="center"/>
              <w:rPr>
                <w:szCs w:val="21"/>
              </w:rPr>
            </w:pPr>
            <w:r>
              <w:rPr>
                <w:szCs w:val="21"/>
              </w:rPr>
              <w:t>N13</w:t>
            </w:r>
          </w:p>
        </w:tc>
        <w:tc>
          <w:tcPr>
            <w:tcW w:w="1426" w:type="pct"/>
            <w:tcBorders>
              <w:left w:val="single" w:color="auto" w:sz="4" w:space="0"/>
            </w:tcBorders>
            <w:vAlign w:val="center"/>
          </w:tcPr>
          <w:p w14:paraId="0183E917">
            <w:pPr>
              <w:spacing w:line="320" w:lineRule="exact"/>
              <w:jc w:val="center"/>
              <w:rPr>
                <w:szCs w:val="21"/>
              </w:rPr>
            </w:pPr>
            <w:r>
              <w:rPr>
                <w:rFonts w:hint="eastAsia"/>
                <w:szCs w:val="21"/>
              </w:rPr>
              <w:t>新福鑫东侧界外</w:t>
            </w:r>
          </w:p>
        </w:tc>
        <w:tc>
          <w:tcPr>
            <w:tcW w:w="534" w:type="pct"/>
            <w:vAlign w:val="center"/>
          </w:tcPr>
          <w:p w14:paraId="0FF192FB">
            <w:pPr>
              <w:jc w:val="center"/>
              <w:rPr>
                <w:szCs w:val="21"/>
              </w:rPr>
            </w:pPr>
            <w:r>
              <w:rPr>
                <w:szCs w:val="21"/>
              </w:rPr>
              <w:t>55</w:t>
            </w:r>
          </w:p>
        </w:tc>
        <w:tc>
          <w:tcPr>
            <w:tcW w:w="500" w:type="pct"/>
            <w:vAlign w:val="center"/>
          </w:tcPr>
          <w:p w14:paraId="1C798EEF">
            <w:pPr>
              <w:jc w:val="center"/>
              <w:rPr>
                <w:szCs w:val="21"/>
              </w:rPr>
            </w:pPr>
            <w:r>
              <w:rPr>
                <w:szCs w:val="21"/>
              </w:rPr>
              <w:t>46</w:t>
            </w:r>
          </w:p>
        </w:tc>
        <w:tc>
          <w:tcPr>
            <w:tcW w:w="478" w:type="pct"/>
            <w:tcBorders>
              <w:right w:val="single" w:color="auto" w:sz="4" w:space="0"/>
            </w:tcBorders>
            <w:vAlign w:val="center"/>
          </w:tcPr>
          <w:p w14:paraId="52DCE40C">
            <w:pPr>
              <w:spacing w:line="320" w:lineRule="exact"/>
              <w:jc w:val="center"/>
              <w:rPr>
                <w:szCs w:val="21"/>
              </w:rPr>
            </w:pPr>
            <w:r>
              <w:rPr>
                <w:szCs w:val="21"/>
              </w:rPr>
              <w:t>65</w:t>
            </w:r>
          </w:p>
        </w:tc>
        <w:tc>
          <w:tcPr>
            <w:tcW w:w="445" w:type="pct"/>
            <w:tcBorders>
              <w:left w:val="single" w:color="auto" w:sz="4" w:space="0"/>
            </w:tcBorders>
            <w:vAlign w:val="center"/>
          </w:tcPr>
          <w:p w14:paraId="3C58E88E">
            <w:pPr>
              <w:spacing w:line="320" w:lineRule="exact"/>
              <w:jc w:val="center"/>
              <w:rPr>
                <w:szCs w:val="21"/>
              </w:rPr>
            </w:pPr>
            <w:r>
              <w:rPr>
                <w:szCs w:val="21"/>
              </w:rPr>
              <w:t>55</w:t>
            </w:r>
          </w:p>
        </w:tc>
        <w:tc>
          <w:tcPr>
            <w:tcW w:w="473" w:type="pct"/>
            <w:vAlign w:val="center"/>
          </w:tcPr>
          <w:p w14:paraId="56A0C4ED">
            <w:pPr>
              <w:spacing w:line="320" w:lineRule="exact"/>
              <w:jc w:val="center"/>
              <w:rPr>
                <w:szCs w:val="21"/>
              </w:rPr>
            </w:pPr>
            <w:r>
              <w:rPr>
                <w:rFonts w:hint="eastAsia"/>
                <w:szCs w:val="21"/>
              </w:rPr>
              <w:t>达标</w:t>
            </w:r>
          </w:p>
        </w:tc>
      </w:tr>
      <w:tr w14:paraId="6A965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43C26811">
            <w:pPr>
              <w:adjustRightInd w:val="0"/>
              <w:snapToGrid w:val="0"/>
              <w:spacing w:line="360" w:lineRule="exact"/>
              <w:ind w:left="-28"/>
              <w:jc w:val="center"/>
              <w:rPr>
                <w:szCs w:val="21"/>
              </w:rPr>
            </w:pPr>
          </w:p>
        </w:tc>
        <w:tc>
          <w:tcPr>
            <w:tcW w:w="582" w:type="pct"/>
            <w:tcBorders>
              <w:right w:val="single" w:color="auto" w:sz="4" w:space="0"/>
            </w:tcBorders>
            <w:vAlign w:val="center"/>
          </w:tcPr>
          <w:p w14:paraId="692F3A1C">
            <w:pPr>
              <w:spacing w:line="320" w:lineRule="exact"/>
              <w:jc w:val="center"/>
              <w:rPr>
                <w:szCs w:val="21"/>
              </w:rPr>
            </w:pPr>
            <w:r>
              <w:rPr>
                <w:szCs w:val="21"/>
              </w:rPr>
              <w:t>N14</w:t>
            </w:r>
          </w:p>
        </w:tc>
        <w:tc>
          <w:tcPr>
            <w:tcW w:w="1426" w:type="pct"/>
            <w:tcBorders>
              <w:left w:val="single" w:color="auto" w:sz="4" w:space="0"/>
            </w:tcBorders>
            <w:vAlign w:val="center"/>
          </w:tcPr>
          <w:p w14:paraId="61B3CE57">
            <w:pPr>
              <w:spacing w:line="320" w:lineRule="exact"/>
              <w:jc w:val="center"/>
              <w:rPr>
                <w:szCs w:val="21"/>
              </w:rPr>
            </w:pPr>
            <w:r>
              <w:rPr>
                <w:szCs w:val="21"/>
              </w:rPr>
              <w:t>S328</w:t>
            </w:r>
            <w:r>
              <w:rPr>
                <w:rFonts w:hint="eastAsia"/>
                <w:szCs w:val="21"/>
              </w:rPr>
              <w:t>省道边界外</w:t>
            </w:r>
          </w:p>
        </w:tc>
        <w:tc>
          <w:tcPr>
            <w:tcW w:w="534" w:type="pct"/>
            <w:vAlign w:val="center"/>
          </w:tcPr>
          <w:p w14:paraId="08216E95">
            <w:pPr>
              <w:jc w:val="center"/>
              <w:rPr>
                <w:szCs w:val="21"/>
              </w:rPr>
            </w:pPr>
            <w:r>
              <w:rPr>
                <w:szCs w:val="21"/>
              </w:rPr>
              <w:t>53</w:t>
            </w:r>
          </w:p>
        </w:tc>
        <w:tc>
          <w:tcPr>
            <w:tcW w:w="500" w:type="pct"/>
            <w:vAlign w:val="center"/>
          </w:tcPr>
          <w:p w14:paraId="2FDA9EDD">
            <w:pPr>
              <w:jc w:val="center"/>
              <w:rPr>
                <w:szCs w:val="21"/>
              </w:rPr>
            </w:pPr>
            <w:r>
              <w:rPr>
                <w:szCs w:val="21"/>
              </w:rPr>
              <w:t>43</w:t>
            </w:r>
          </w:p>
        </w:tc>
        <w:tc>
          <w:tcPr>
            <w:tcW w:w="478" w:type="pct"/>
            <w:tcBorders>
              <w:right w:val="single" w:color="auto" w:sz="4" w:space="0"/>
            </w:tcBorders>
            <w:vAlign w:val="center"/>
          </w:tcPr>
          <w:p w14:paraId="70175404">
            <w:pPr>
              <w:spacing w:line="320" w:lineRule="exact"/>
              <w:jc w:val="center"/>
              <w:rPr>
                <w:szCs w:val="21"/>
              </w:rPr>
            </w:pPr>
            <w:r>
              <w:rPr>
                <w:szCs w:val="21"/>
              </w:rPr>
              <w:t>70</w:t>
            </w:r>
          </w:p>
        </w:tc>
        <w:tc>
          <w:tcPr>
            <w:tcW w:w="445" w:type="pct"/>
            <w:tcBorders>
              <w:left w:val="single" w:color="auto" w:sz="4" w:space="0"/>
            </w:tcBorders>
            <w:vAlign w:val="center"/>
          </w:tcPr>
          <w:p w14:paraId="49C7F870">
            <w:pPr>
              <w:spacing w:line="320" w:lineRule="exact"/>
              <w:jc w:val="center"/>
              <w:rPr>
                <w:szCs w:val="21"/>
              </w:rPr>
            </w:pPr>
            <w:r>
              <w:rPr>
                <w:szCs w:val="21"/>
              </w:rPr>
              <w:t>55</w:t>
            </w:r>
          </w:p>
        </w:tc>
        <w:tc>
          <w:tcPr>
            <w:tcW w:w="473" w:type="pct"/>
            <w:vAlign w:val="center"/>
          </w:tcPr>
          <w:p w14:paraId="6C45BD16">
            <w:pPr>
              <w:spacing w:line="320" w:lineRule="exact"/>
              <w:jc w:val="center"/>
              <w:rPr>
                <w:szCs w:val="21"/>
              </w:rPr>
            </w:pPr>
            <w:r>
              <w:rPr>
                <w:rFonts w:hint="eastAsia"/>
                <w:szCs w:val="21"/>
              </w:rPr>
              <w:t>达标</w:t>
            </w:r>
          </w:p>
        </w:tc>
      </w:tr>
      <w:tr w14:paraId="1A0C4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4AABA054">
            <w:pPr>
              <w:adjustRightInd w:val="0"/>
              <w:snapToGrid w:val="0"/>
              <w:spacing w:line="360" w:lineRule="exact"/>
              <w:ind w:left="-28"/>
              <w:jc w:val="center"/>
              <w:rPr>
                <w:szCs w:val="21"/>
              </w:rPr>
            </w:pPr>
          </w:p>
        </w:tc>
        <w:tc>
          <w:tcPr>
            <w:tcW w:w="582" w:type="pct"/>
            <w:tcBorders>
              <w:right w:val="single" w:color="auto" w:sz="4" w:space="0"/>
            </w:tcBorders>
            <w:vAlign w:val="center"/>
          </w:tcPr>
          <w:p w14:paraId="72A868D8">
            <w:pPr>
              <w:spacing w:line="320" w:lineRule="exact"/>
              <w:jc w:val="center"/>
              <w:rPr>
                <w:szCs w:val="21"/>
              </w:rPr>
            </w:pPr>
            <w:r>
              <w:rPr>
                <w:szCs w:val="21"/>
              </w:rPr>
              <w:t>N15</w:t>
            </w:r>
          </w:p>
        </w:tc>
        <w:tc>
          <w:tcPr>
            <w:tcW w:w="1426" w:type="pct"/>
            <w:tcBorders>
              <w:left w:val="single" w:color="auto" w:sz="4" w:space="0"/>
            </w:tcBorders>
            <w:vAlign w:val="center"/>
          </w:tcPr>
          <w:p w14:paraId="74A89852">
            <w:pPr>
              <w:spacing w:line="320" w:lineRule="exact"/>
              <w:jc w:val="center"/>
              <w:rPr>
                <w:szCs w:val="21"/>
              </w:rPr>
            </w:pPr>
            <w:r>
              <w:rPr>
                <w:rFonts w:eastAsiaTheme="minorEastAsia"/>
                <w:szCs w:val="21"/>
              </w:rPr>
              <w:t>集中生产区附近</w:t>
            </w:r>
            <w:r>
              <w:rPr>
                <w:rFonts w:hint="eastAsia"/>
                <w:szCs w:val="21"/>
              </w:rPr>
              <w:t>现状农林用地</w:t>
            </w:r>
          </w:p>
        </w:tc>
        <w:tc>
          <w:tcPr>
            <w:tcW w:w="534" w:type="pct"/>
            <w:vAlign w:val="center"/>
          </w:tcPr>
          <w:p w14:paraId="167E954F">
            <w:pPr>
              <w:jc w:val="center"/>
              <w:rPr>
                <w:szCs w:val="21"/>
              </w:rPr>
            </w:pPr>
            <w:r>
              <w:rPr>
                <w:szCs w:val="21"/>
              </w:rPr>
              <w:t>50</w:t>
            </w:r>
          </w:p>
        </w:tc>
        <w:tc>
          <w:tcPr>
            <w:tcW w:w="500" w:type="pct"/>
            <w:vAlign w:val="center"/>
          </w:tcPr>
          <w:p w14:paraId="444EEF5D">
            <w:pPr>
              <w:jc w:val="center"/>
              <w:rPr>
                <w:szCs w:val="21"/>
              </w:rPr>
            </w:pPr>
            <w:r>
              <w:rPr>
                <w:szCs w:val="21"/>
              </w:rPr>
              <w:t>46</w:t>
            </w:r>
          </w:p>
        </w:tc>
        <w:tc>
          <w:tcPr>
            <w:tcW w:w="478" w:type="pct"/>
            <w:tcBorders>
              <w:right w:val="single" w:color="auto" w:sz="4" w:space="0"/>
            </w:tcBorders>
            <w:vAlign w:val="center"/>
          </w:tcPr>
          <w:p w14:paraId="5D942984">
            <w:pPr>
              <w:spacing w:line="320" w:lineRule="exact"/>
              <w:jc w:val="center"/>
              <w:rPr>
                <w:szCs w:val="21"/>
              </w:rPr>
            </w:pPr>
            <w:r>
              <w:rPr>
                <w:szCs w:val="21"/>
              </w:rPr>
              <w:t>60</w:t>
            </w:r>
          </w:p>
        </w:tc>
        <w:tc>
          <w:tcPr>
            <w:tcW w:w="445" w:type="pct"/>
            <w:tcBorders>
              <w:left w:val="single" w:color="auto" w:sz="4" w:space="0"/>
            </w:tcBorders>
            <w:vAlign w:val="center"/>
          </w:tcPr>
          <w:p w14:paraId="63331B6C">
            <w:pPr>
              <w:spacing w:line="320" w:lineRule="exact"/>
              <w:jc w:val="center"/>
              <w:rPr>
                <w:szCs w:val="21"/>
              </w:rPr>
            </w:pPr>
            <w:r>
              <w:rPr>
                <w:szCs w:val="21"/>
              </w:rPr>
              <w:t>50</w:t>
            </w:r>
          </w:p>
        </w:tc>
        <w:tc>
          <w:tcPr>
            <w:tcW w:w="473" w:type="pct"/>
            <w:vAlign w:val="center"/>
          </w:tcPr>
          <w:p w14:paraId="735BCAEB">
            <w:pPr>
              <w:spacing w:line="320" w:lineRule="exact"/>
              <w:jc w:val="center"/>
              <w:rPr>
                <w:szCs w:val="21"/>
              </w:rPr>
            </w:pPr>
            <w:r>
              <w:rPr>
                <w:rFonts w:hint="eastAsia"/>
                <w:szCs w:val="21"/>
              </w:rPr>
              <w:t>达标</w:t>
            </w:r>
          </w:p>
        </w:tc>
      </w:tr>
      <w:tr w14:paraId="5B39C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restart"/>
            <w:tcBorders>
              <w:right w:val="single" w:color="auto" w:sz="4" w:space="0"/>
            </w:tcBorders>
            <w:vAlign w:val="center"/>
          </w:tcPr>
          <w:p w14:paraId="6C289356">
            <w:pPr>
              <w:adjustRightInd w:val="0"/>
              <w:snapToGrid w:val="0"/>
              <w:spacing w:line="360" w:lineRule="exact"/>
              <w:ind w:left="-28"/>
              <w:jc w:val="center"/>
              <w:rPr>
                <w:szCs w:val="21"/>
              </w:rPr>
            </w:pPr>
            <w:r>
              <w:rPr>
                <w:rFonts w:eastAsiaTheme="minorEastAsia"/>
                <w:szCs w:val="21"/>
              </w:rPr>
              <w:t>草店石材产业园</w:t>
            </w:r>
          </w:p>
        </w:tc>
        <w:tc>
          <w:tcPr>
            <w:tcW w:w="582" w:type="pct"/>
            <w:tcBorders>
              <w:right w:val="single" w:color="auto" w:sz="4" w:space="0"/>
            </w:tcBorders>
            <w:vAlign w:val="center"/>
          </w:tcPr>
          <w:p w14:paraId="0D3CAF7C">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N1</w:t>
            </w:r>
          </w:p>
        </w:tc>
        <w:tc>
          <w:tcPr>
            <w:tcW w:w="1426" w:type="pct"/>
            <w:tcBorders>
              <w:left w:val="single" w:color="auto" w:sz="4" w:space="0"/>
            </w:tcBorders>
            <w:vAlign w:val="center"/>
          </w:tcPr>
          <w:p w14:paraId="52F226FC">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岳家湾</w:t>
            </w:r>
            <w:r>
              <w:rPr>
                <w:rFonts w:ascii="Times New Roman" w:hAnsi="Times New Roman" w:cs="Times New Roman" w:eastAsiaTheme="minorEastAsia"/>
                <w:szCs w:val="21"/>
              </w:rPr>
              <w:t>村</w:t>
            </w:r>
          </w:p>
        </w:tc>
        <w:tc>
          <w:tcPr>
            <w:tcW w:w="534" w:type="pct"/>
            <w:vAlign w:val="center"/>
          </w:tcPr>
          <w:p w14:paraId="48844BBD">
            <w:pPr>
              <w:jc w:val="center"/>
              <w:rPr>
                <w:szCs w:val="21"/>
              </w:rPr>
            </w:pPr>
            <w:r>
              <w:rPr>
                <w:rFonts w:hint="eastAsia"/>
                <w:szCs w:val="21"/>
              </w:rPr>
              <w:t>52</w:t>
            </w:r>
          </w:p>
        </w:tc>
        <w:tc>
          <w:tcPr>
            <w:tcW w:w="500" w:type="pct"/>
            <w:vAlign w:val="center"/>
          </w:tcPr>
          <w:p w14:paraId="045E5B07">
            <w:pPr>
              <w:jc w:val="center"/>
              <w:rPr>
                <w:szCs w:val="21"/>
              </w:rPr>
            </w:pPr>
            <w:r>
              <w:rPr>
                <w:rFonts w:hint="eastAsia"/>
                <w:szCs w:val="21"/>
              </w:rPr>
              <w:t>46</w:t>
            </w:r>
          </w:p>
        </w:tc>
        <w:tc>
          <w:tcPr>
            <w:tcW w:w="478" w:type="pct"/>
            <w:tcBorders>
              <w:right w:val="single" w:color="auto" w:sz="4" w:space="0"/>
            </w:tcBorders>
            <w:vAlign w:val="center"/>
          </w:tcPr>
          <w:p w14:paraId="4B041BD1">
            <w:pPr>
              <w:spacing w:line="320" w:lineRule="exact"/>
              <w:jc w:val="center"/>
              <w:rPr>
                <w:szCs w:val="21"/>
              </w:rPr>
            </w:pPr>
            <w:r>
              <w:rPr>
                <w:rFonts w:hint="eastAsia"/>
                <w:szCs w:val="21"/>
              </w:rPr>
              <w:t>60</w:t>
            </w:r>
          </w:p>
        </w:tc>
        <w:tc>
          <w:tcPr>
            <w:tcW w:w="445" w:type="pct"/>
            <w:tcBorders>
              <w:left w:val="single" w:color="auto" w:sz="4" w:space="0"/>
            </w:tcBorders>
            <w:vAlign w:val="center"/>
          </w:tcPr>
          <w:p w14:paraId="74A508F2">
            <w:pPr>
              <w:spacing w:line="320" w:lineRule="exact"/>
              <w:jc w:val="center"/>
              <w:rPr>
                <w:szCs w:val="21"/>
              </w:rPr>
            </w:pPr>
            <w:r>
              <w:rPr>
                <w:rFonts w:hint="eastAsia"/>
                <w:szCs w:val="21"/>
              </w:rPr>
              <w:t>50</w:t>
            </w:r>
          </w:p>
        </w:tc>
        <w:tc>
          <w:tcPr>
            <w:tcW w:w="473" w:type="pct"/>
            <w:vAlign w:val="center"/>
          </w:tcPr>
          <w:p w14:paraId="3D8A4BF6">
            <w:pPr>
              <w:spacing w:line="320" w:lineRule="exact"/>
              <w:jc w:val="center"/>
              <w:rPr>
                <w:szCs w:val="21"/>
              </w:rPr>
            </w:pPr>
            <w:r>
              <w:rPr>
                <w:szCs w:val="21"/>
              </w:rPr>
              <w:t>达标</w:t>
            </w:r>
          </w:p>
        </w:tc>
      </w:tr>
      <w:tr w14:paraId="7B928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1EB57E5E">
            <w:pPr>
              <w:adjustRightInd w:val="0"/>
              <w:snapToGrid w:val="0"/>
              <w:spacing w:line="360" w:lineRule="exact"/>
              <w:ind w:left="-28"/>
              <w:jc w:val="center"/>
              <w:rPr>
                <w:szCs w:val="21"/>
              </w:rPr>
            </w:pPr>
          </w:p>
        </w:tc>
        <w:tc>
          <w:tcPr>
            <w:tcW w:w="582" w:type="pct"/>
            <w:tcBorders>
              <w:right w:val="single" w:color="auto" w:sz="4" w:space="0"/>
            </w:tcBorders>
            <w:vAlign w:val="center"/>
          </w:tcPr>
          <w:p w14:paraId="44F9C268">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N7</w:t>
            </w:r>
          </w:p>
        </w:tc>
        <w:tc>
          <w:tcPr>
            <w:tcW w:w="1426" w:type="pct"/>
            <w:tcBorders>
              <w:left w:val="single" w:color="auto" w:sz="4" w:space="0"/>
            </w:tcBorders>
            <w:vAlign w:val="center"/>
          </w:tcPr>
          <w:p w14:paraId="474DB53C">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鸿发石业企业边界</w:t>
            </w:r>
            <w:r>
              <w:rPr>
                <w:rFonts w:ascii="Times New Roman" w:hAnsi="Times New Roman" w:cs="Times New Roman" w:eastAsiaTheme="minorEastAsia"/>
                <w:szCs w:val="21"/>
              </w:rPr>
              <w:t>外</w:t>
            </w:r>
          </w:p>
        </w:tc>
        <w:tc>
          <w:tcPr>
            <w:tcW w:w="534" w:type="pct"/>
            <w:vAlign w:val="center"/>
          </w:tcPr>
          <w:p w14:paraId="5B2C364C">
            <w:pPr>
              <w:jc w:val="center"/>
              <w:rPr>
                <w:szCs w:val="21"/>
              </w:rPr>
            </w:pPr>
            <w:r>
              <w:rPr>
                <w:rFonts w:hint="eastAsia"/>
                <w:szCs w:val="21"/>
              </w:rPr>
              <w:t>52</w:t>
            </w:r>
          </w:p>
        </w:tc>
        <w:tc>
          <w:tcPr>
            <w:tcW w:w="500" w:type="pct"/>
            <w:vAlign w:val="center"/>
          </w:tcPr>
          <w:p w14:paraId="27EE7CF5">
            <w:pPr>
              <w:jc w:val="center"/>
              <w:rPr>
                <w:szCs w:val="21"/>
              </w:rPr>
            </w:pPr>
            <w:r>
              <w:rPr>
                <w:rFonts w:hint="eastAsia"/>
                <w:szCs w:val="21"/>
              </w:rPr>
              <w:t>47</w:t>
            </w:r>
          </w:p>
        </w:tc>
        <w:tc>
          <w:tcPr>
            <w:tcW w:w="478" w:type="pct"/>
            <w:tcBorders>
              <w:right w:val="single" w:color="auto" w:sz="4" w:space="0"/>
            </w:tcBorders>
            <w:vAlign w:val="center"/>
          </w:tcPr>
          <w:p w14:paraId="3244C4BE">
            <w:pPr>
              <w:spacing w:line="320" w:lineRule="exact"/>
              <w:jc w:val="center"/>
              <w:rPr>
                <w:szCs w:val="21"/>
              </w:rPr>
            </w:pPr>
            <w:r>
              <w:rPr>
                <w:rFonts w:hint="eastAsia"/>
                <w:szCs w:val="21"/>
              </w:rPr>
              <w:t>65</w:t>
            </w:r>
          </w:p>
        </w:tc>
        <w:tc>
          <w:tcPr>
            <w:tcW w:w="445" w:type="pct"/>
            <w:tcBorders>
              <w:left w:val="single" w:color="auto" w:sz="4" w:space="0"/>
            </w:tcBorders>
            <w:vAlign w:val="center"/>
          </w:tcPr>
          <w:p w14:paraId="09AD75BA">
            <w:pPr>
              <w:spacing w:line="320" w:lineRule="exact"/>
              <w:jc w:val="center"/>
              <w:rPr>
                <w:szCs w:val="21"/>
              </w:rPr>
            </w:pPr>
            <w:r>
              <w:rPr>
                <w:rFonts w:hint="eastAsia"/>
                <w:szCs w:val="21"/>
              </w:rPr>
              <w:t>55</w:t>
            </w:r>
          </w:p>
        </w:tc>
        <w:tc>
          <w:tcPr>
            <w:tcW w:w="473" w:type="pct"/>
            <w:vAlign w:val="center"/>
          </w:tcPr>
          <w:p w14:paraId="589C8430">
            <w:pPr>
              <w:spacing w:line="320" w:lineRule="exact"/>
              <w:jc w:val="center"/>
              <w:rPr>
                <w:szCs w:val="21"/>
              </w:rPr>
            </w:pPr>
            <w:r>
              <w:rPr>
                <w:szCs w:val="21"/>
              </w:rPr>
              <w:t>达标</w:t>
            </w:r>
          </w:p>
        </w:tc>
      </w:tr>
      <w:tr w14:paraId="1A61A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0DD849E4">
            <w:pPr>
              <w:adjustRightInd w:val="0"/>
              <w:snapToGrid w:val="0"/>
              <w:spacing w:line="360" w:lineRule="exact"/>
              <w:ind w:left="-28"/>
              <w:jc w:val="center"/>
              <w:rPr>
                <w:szCs w:val="21"/>
              </w:rPr>
            </w:pPr>
          </w:p>
        </w:tc>
        <w:tc>
          <w:tcPr>
            <w:tcW w:w="582" w:type="pct"/>
            <w:tcBorders>
              <w:right w:val="single" w:color="auto" w:sz="4" w:space="0"/>
            </w:tcBorders>
            <w:vAlign w:val="center"/>
          </w:tcPr>
          <w:p w14:paraId="7ABD87E7">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N8</w:t>
            </w:r>
          </w:p>
        </w:tc>
        <w:tc>
          <w:tcPr>
            <w:tcW w:w="1426" w:type="pct"/>
            <w:tcBorders>
              <w:left w:val="single" w:color="auto" w:sz="4" w:space="0"/>
            </w:tcBorders>
            <w:vAlign w:val="center"/>
          </w:tcPr>
          <w:p w14:paraId="774C71B1">
            <w:pPr>
              <w:pStyle w:val="45"/>
              <w:spacing w:line="320" w:lineRule="exact"/>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鸿发石业附近</w:t>
            </w:r>
            <w:r>
              <w:rPr>
                <w:rFonts w:ascii="Times New Roman" w:hAnsi="Times New Roman" w:cs="Times New Roman" w:eastAsiaTheme="minorEastAsia"/>
                <w:szCs w:val="21"/>
              </w:rPr>
              <w:t>白果树塆</w:t>
            </w:r>
          </w:p>
        </w:tc>
        <w:tc>
          <w:tcPr>
            <w:tcW w:w="534" w:type="pct"/>
            <w:vAlign w:val="center"/>
          </w:tcPr>
          <w:p w14:paraId="27ACC462">
            <w:pPr>
              <w:jc w:val="center"/>
              <w:rPr>
                <w:szCs w:val="21"/>
              </w:rPr>
            </w:pPr>
            <w:r>
              <w:rPr>
                <w:rFonts w:hint="eastAsia"/>
                <w:szCs w:val="21"/>
              </w:rPr>
              <w:t>54</w:t>
            </w:r>
          </w:p>
        </w:tc>
        <w:tc>
          <w:tcPr>
            <w:tcW w:w="500" w:type="pct"/>
            <w:vAlign w:val="center"/>
          </w:tcPr>
          <w:p w14:paraId="2446B039">
            <w:pPr>
              <w:jc w:val="center"/>
              <w:rPr>
                <w:szCs w:val="21"/>
              </w:rPr>
            </w:pPr>
            <w:r>
              <w:rPr>
                <w:rFonts w:hint="eastAsia"/>
                <w:szCs w:val="21"/>
              </w:rPr>
              <w:t>42</w:t>
            </w:r>
          </w:p>
        </w:tc>
        <w:tc>
          <w:tcPr>
            <w:tcW w:w="478" w:type="pct"/>
            <w:tcBorders>
              <w:right w:val="single" w:color="auto" w:sz="4" w:space="0"/>
            </w:tcBorders>
            <w:vAlign w:val="center"/>
          </w:tcPr>
          <w:p w14:paraId="7444DD3C">
            <w:pPr>
              <w:spacing w:line="320" w:lineRule="exact"/>
              <w:jc w:val="center"/>
              <w:rPr>
                <w:szCs w:val="21"/>
              </w:rPr>
            </w:pPr>
            <w:r>
              <w:rPr>
                <w:rFonts w:hint="eastAsia"/>
                <w:szCs w:val="21"/>
              </w:rPr>
              <w:t>60</w:t>
            </w:r>
          </w:p>
        </w:tc>
        <w:tc>
          <w:tcPr>
            <w:tcW w:w="445" w:type="pct"/>
            <w:tcBorders>
              <w:left w:val="single" w:color="auto" w:sz="4" w:space="0"/>
            </w:tcBorders>
            <w:vAlign w:val="center"/>
          </w:tcPr>
          <w:p w14:paraId="45B56F96">
            <w:pPr>
              <w:spacing w:line="320" w:lineRule="exact"/>
              <w:jc w:val="center"/>
              <w:rPr>
                <w:szCs w:val="21"/>
              </w:rPr>
            </w:pPr>
            <w:r>
              <w:rPr>
                <w:rFonts w:hint="eastAsia"/>
                <w:szCs w:val="21"/>
              </w:rPr>
              <w:t>50</w:t>
            </w:r>
          </w:p>
        </w:tc>
        <w:tc>
          <w:tcPr>
            <w:tcW w:w="473" w:type="pct"/>
            <w:vAlign w:val="center"/>
          </w:tcPr>
          <w:p w14:paraId="549D8FB0">
            <w:pPr>
              <w:spacing w:line="320" w:lineRule="exact"/>
              <w:jc w:val="center"/>
              <w:rPr>
                <w:szCs w:val="21"/>
              </w:rPr>
            </w:pPr>
            <w:r>
              <w:rPr>
                <w:szCs w:val="21"/>
              </w:rPr>
              <w:t>达标</w:t>
            </w:r>
          </w:p>
        </w:tc>
      </w:tr>
      <w:tr w14:paraId="06F9A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562" w:type="pct"/>
            <w:vMerge w:val="continue"/>
            <w:tcBorders>
              <w:right w:val="single" w:color="auto" w:sz="4" w:space="0"/>
            </w:tcBorders>
            <w:vAlign w:val="center"/>
          </w:tcPr>
          <w:p w14:paraId="5DFDD63F">
            <w:pPr>
              <w:adjustRightInd w:val="0"/>
              <w:snapToGrid w:val="0"/>
              <w:spacing w:line="360" w:lineRule="exact"/>
              <w:ind w:left="-28"/>
              <w:jc w:val="center"/>
              <w:rPr>
                <w:szCs w:val="21"/>
              </w:rPr>
            </w:pPr>
          </w:p>
        </w:tc>
        <w:tc>
          <w:tcPr>
            <w:tcW w:w="582" w:type="pct"/>
            <w:tcBorders>
              <w:right w:val="single" w:color="auto" w:sz="4" w:space="0"/>
            </w:tcBorders>
            <w:vAlign w:val="center"/>
          </w:tcPr>
          <w:p w14:paraId="0D17BC1E">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N9</w:t>
            </w:r>
          </w:p>
        </w:tc>
        <w:tc>
          <w:tcPr>
            <w:tcW w:w="1426" w:type="pct"/>
            <w:tcBorders>
              <w:left w:val="single" w:color="auto" w:sz="4" w:space="0"/>
            </w:tcBorders>
            <w:vAlign w:val="center"/>
          </w:tcPr>
          <w:p w14:paraId="55975F28">
            <w:pPr>
              <w:pStyle w:val="45"/>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集中生产区中附近农林用地</w:t>
            </w:r>
          </w:p>
        </w:tc>
        <w:tc>
          <w:tcPr>
            <w:tcW w:w="534" w:type="pct"/>
            <w:vAlign w:val="center"/>
          </w:tcPr>
          <w:p w14:paraId="384562DE">
            <w:pPr>
              <w:jc w:val="center"/>
              <w:rPr>
                <w:szCs w:val="21"/>
              </w:rPr>
            </w:pPr>
            <w:r>
              <w:rPr>
                <w:rFonts w:hint="eastAsia"/>
                <w:szCs w:val="21"/>
              </w:rPr>
              <w:t>56</w:t>
            </w:r>
          </w:p>
        </w:tc>
        <w:tc>
          <w:tcPr>
            <w:tcW w:w="500" w:type="pct"/>
            <w:vAlign w:val="center"/>
          </w:tcPr>
          <w:p w14:paraId="6232F61B">
            <w:pPr>
              <w:jc w:val="center"/>
              <w:rPr>
                <w:szCs w:val="21"/>
              </w:rPr>
            </w:pPr>
            <w:r>
              <w:rPr>
                <w:rFonts w:hint="eastAsia"/>
                <w:szCs w:val="21"/>
              </w:rPr>
              <w:t>42</w:t>
            </w:r>
          </w:p>
        </w:tc>
        <w:tc>
          <w:tcPr>
            <w:tcW w:w="478" w:type="pct"/>
            <w:tcBorders>
              <w:right w:val="single" w:color="auto" w:sz="4" w:space="0"/>
            </w:tcBorders>
            <w:vAlign w:val="center"/>
          </w:tcPr>
          <w:p w14:paraId="66FA4721">
            <w:pPr>
              <w:spacing w:line="320" w:lineRule="exact"/>
              <w:jc w:val="center"/>
              <w:rPr>
                <w:szCs w:val="21"/>
              </w:rPr>
            </w:pPr>
            <w:r>
              <w:rPr>
                <w:rFonts w:hint="eastAsia"/>
                <w:szCs w:val="21"/>
              </w:rPr>
              <w:t>60</w:t>
            </w:r>
          </w:p>
        </w:tc>
        <w:tc>
          <w:tcPr>
            <w:tcW w:w="445" w:type="pct"/>
            <w:tcBorders>
              <w:left w:val="single" w:color="auto" w:sz="4" w:space="0"/>
            </w:tcBorders>
            <w:vAlign w:val="center"/>
          </w:tcPr>
          <w:p w14:paraId="2474F0D6">
            <w:pPr>
              <w:spacing w:line="320" w:lineRule="exact"/>
              <w:jc w:val="center"/>
              <w:rPr>
                <w:szCs w:val="21"/>
              </w:rPr>
            </w:pPr>
            <w:r>
              <w:rPr>
                <w:rFonts w:hint="eastAsia"/>
                <w:szCs w:val="21"/>
              </w:rPr>
              <w:t>50</w:t>
            </w:r>
          </w:p>
        </w:tc>
        <w:tc>
          <w:tcPr>
            <w:tcW w:w="473" w:type="pct"/>
            <w:vAlign w:val="center"/>
          </w:tcPr>
          <w:p w14:paraId="6F7700C3">
            <w:pPr>
              <w:spacing w:line="320" w:lineRule="exact"/>
              <w:jc w:val="center"/>
              <w:rPr>
                <w:szCs w:val="21"/>
              </w:rPr>
            </w:pPr>
            <w:r>
              <w:rPr>
                <w:szCs w:val="21"/>
              </w:rPr>
              <w:t>达标</w:t>
            </w:r>
          </w:p>
        </w:tc>
      </w:tr>
    </w:tbl>
    <w:p w14:paraId="4B60C855">
      <w:pPr>
        <w:spacing w:line="360" w:lineRule="auto"/>
        <w:ind w:firstLine="480" w:firstLineChars="200"/>
        <w:rPr>
          <w:rFonts w:eastAsiaTheme="minorEastAsia"/>
          <w:kern w:val="20"/>
          <w:sz w:val="24"/>
        </w:rPr>
      </w:pPr>
      <w:r>
        <w:rPr>
          <w:rFonts w:eastAsiaTheme="minorEastAsia"/>
          <w:sz w:val="24"/>
        </w:rPr>
        <w:t>由监测结果可知，</w:t>
      </w:r>
      <w:r>
        <w:rPr>
          <w:rFonts w:hint="eastAsia" w:eastAsiaTheme="minorEastAsia"/>
          <w:sz w:val="24"/>
        </w:rPr>
        <w:t>园区内</w:t>
      </w:r>
      <w:r>
        <w:rPr>
          <w:rFonts w:eastAsiaTheme="minorEastAsia"/>
          <w:sz w:val="24"/>
        </w:rPr>
        <w:t>企业边界外昼、夜间噪声均满足《声环境质量标准》</w:t>
      </w:r>
      <w:r>
        <w:rPr>
          <w:rFonts w:eastAsiaTheme="minorEastAsia"/>
          <w:kern w:val="20"/>
          <w:sz w:val="24"/>
        </w:rPr>
        <w:t>（GB3096-2008）3类标准要求，</w:t>
      </w:r>
      <w:r>
        <w:rPr>
          <w:rFonts w:hint="eastAsia" w:eastAsiaTheme="minorEastAsia"/>
          <w:kern w:val="20"/>
          <w:sz w:val="24"/>
        </w:rPr>
        <w:t>主</w:t>
      </w:r>
      <w:r>
        <w:rPr>
          <w:rFonts w:eastAsiaTheme="minorEastAsia"/>
          <w:kern w:val="20"/>
          <w:sz w:val="24"/>
        </w:rPr>
        <w:t>干路边界</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4a</w:t>
      </w:r>
      <w:r>
        <w:rPr>
          <w:rFonts w:eastAsiaTheme="minorEastAsia"/>
          <w:kern w:val="20"/>
          <w:sz w:val="24"/>
        </w:rPr>
        <w:t>类标准要求，其他居民点及空地</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2</w:t>
      </w:r>
      <w:r>
        <w:rPr>
          <w:rFonts w:eastAsiaTheme="minorEastAsia"/>
          <w:kern w:val="20"/>
          <w:sz w:val="24"/>
        </w:rPr>
        <w:t>类标准要求。</w:t>
      </w:r>
    </w:p>
    <w:p w14:paraId="4EFEFF09">
      <w:pPr>
        <w:keepNext/>
        <w:keepLines/>
        <w:widowControl/>
        <w:numPr>
          <w:ilvl w:val="2"/>
          <w:numId w:val="1"/>
        </w:numPr>
        <w:spacing w:before="120" w:after="120" w:line="360" w:lineRule="auto"/>
        <w:jc w:val="left"/>
        <w:outlineLvl w:val="2"/>
        <w:rPr>
          <w:rFonts w:eastAsiaTheme="minorEastAsia"/>
          <w:b/>
          <w:bCs/>
          <w:sz w:val="24"/>
        </w:rPr>
      </w:pPr>
      <w:bookmarkStart w:id="119" w:name="_Toc206494952"/>
      <w:r>
        <w:rPr>
          <w:rFonts w:hint="eastAsia" w:eastAsiaTheme="minorEastAsia"/>
          <w:b/>
          <w:bCs/>
          <w:sz w:val="24"/>
        </w:rPr>
        <w:t>生态环境质量现状调查与评价</w:t>
      </w:r>
      <w:bookmarkEnd w:id="119"/>
    </w:p>
    <w:p w14:paraId="65300E05">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湖北主体功能区划</w:t>
      </w:r>
    </w:p>
    <w:p w14:paraId="654A087A">
      <w:pPr>
        <w:spacing w:line="360" w:lineRule="auto"/>
        <w:ind w:firstLine="480" w:firstLineChars="200"/>
        <w:rPr>
          <w:rFonts w:eastAsiaTheme="minorEastAsia"/>
          <w:kern w:val="20"/>
          <w:sz w:val="24"/>
        </w:rPr>
      </w:pPr>
      <w:r>
        <w:rPr>
          <w:rFonts w:hint="eastAsia" w:eastAsiaTheme="minorEastAsia"/>
          <w:kern w:val="20"/>
          <w:sz w:val="24"/>
        </w:rPr>
        <w:t>规划区域位于湖北省随州市随县。根据《湖北省主体功能规划》，随县属于襄随国家层面农产品主产区。该区域发挥旱作农业生产的优势，农业发展以粮食、油料生产和生猪养殖为主体，重点发展专用小麦、玉米、“双低”优质油菜、优质水稻、生猪等。</w:t>
      </w:r>
    </w:p>
    <w:p w14:paraId="6A224DF8">
      <w:pPr>
        <w:spacing w:line="360" w:lineRule="auto"/>
        <w:ind w:firstLine="480" w:firstLineChars="200"/>
        <w:rPr>
          <w:rFonts w:eastAsiaTheme="minorEastAsia"/>
          <w:kern w:val="20"/>
          <w:sz w:val="24"/>
        </w:rPr>
      </w:pPr>
      <w:r>
        <w:rPr>
          <w:rFonts w:hint="eastAsia" w:eastAsiaTheme="minorEastAsia"/>
          <w:kern w:val="20"/>
          <w:sz w:val="24"/>
        </w:rPr>
        <w:t>该区域功能定位是：国家重要的粮棉油产区和粮食安全保障区，国家重要的粮棉油鱼肉禽等商品生产基地，全省特色农产品基地。要求着力保护耕地，稳定农产品的生产和供给，大力发展现代农业，保障国家粮食安全和食品安全。</w:t>
      </w:r>
    </w:p>
    <w:p w14:paraId="13E38B1B">
      <w:pPr>
        <w:spacing w:line="360" w:lineRule="auto"/>
        <w:ind w:firstLine="480" w:firstLineChars="200"/>
        <w:rPr>
          <w:rFonts w:eastAsiaTheme="minorEastAsia"/>
          <w:kern w:val="20"/>
          <w:sz w:val="24"/>
        </w:rPr>
      </w:pPr>
      <w:r>
        <w:rPr>
          <w:rFonts w:hint="eastAsia" w:eastAsiaTheme="minorEastAsia"/>
          <w:kern w:val="20"/>
          <w:sz w:val="24"/>
        </w:rPr>
        <w:t>该区域发展方向和开发原则是：稳定耕地面积，严格保护基本农田；不断改善耕地质量，提高耕地产出水平。农业综合生产能力不断提高。粮食、棉花、油料、肉类、水产品等大宗农产品生产能力稳定，农民人均收入增加，农村经济发展。农业产业化水平不断提高，农产品加工业迅速发展，农业产业做大做强，促进农业增效、农民增收。产品结构不断优化。做好农业布局规划，优化产品结构，使农产品既符合地区资源优势，又与市场需求相一致，形成优势突出和特色鲜明的农业产业带。加强农田水利设施建设，加快大中型灌区的续建配套与节水改造和大中型排涝泵站的技术改造，推进中低产田综合治理。大力推进农村基础设施建设。加强农业科技创新和推广能力建设；强化农业防灾减灾能力建设；加大对农村公共服务基础设施的建设力度；大力开展血吸虫防治工作。科学使用农药、化肥，大力发展生态农业，控制农业面源污染。以县城为重点推进城镇建设和非农产业发展，加强县城和乡镇公共服务设施建设，完善小城镇公共服务和居住功能。统筹考虑人口迁移、适度集中、集约布局等因素，加快农村居民点以及农村基础设施和公共服务设施的建设。</w:t>
      </w:r>
    </w:p>
    <w:p w14:paraId="69FCA71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湖北省生态功能区划</w:t>
      </w:r>
    </w:p>
    <w:p w14:paraId="467440BB">
      <w:pPr>
        <w:spacing w:line="360" w:lineRule="auto"/>
        <w:ind w:firstLine="480" w:firstLineChars="200"/>
        <w:rPr>
          <w:rFonts w:eastAsiaTheme="minorEastAsia"/>
          <w:kern w:val="20"/>
          <w:sz w:val="24"/>
        </w:rPr>
      </w:pPr>
      <w:r>
        <w:rPr>
          <w:rFonts w:hint="eastAsia" w:eastAsiaTheme="minorEastAsia"/>
          <w:kern w:val="20"/>
          <w:sz w:val="24"/>
        </w:rPr>
        <w:t>根据《湖北省生态功能区划》，产业园区域属于VI鄂东北低山丘陵森林生态区—VI1桐柏山常绿、落叶阔叶混交林生态亚区—VI1-1桐柏山水源涵养与水土保持生态功能区。</w:t>
      </w:r>
    </w:p>
    <w:p w14:paraId="398440DF">
      <w:pPr>
        <w:spacing w:line="360" w:lineRule="auto"/>
        <w:ind w:firstLine="480" w:firstLineChars="200"/>
        <w:rPr>
          <w:rFonts w:eastAsiaTheme="minorEastAsia"/>
          <w:kern w:val="20"/>
          <w:sz w:val="24"/>
        </w:rPr>
      </w:pPr>
      <w:r>
        <w:rPr>
          <w:rFonts w:hint="eastAsia" w:eastAsiaTheme="minorEastAsia"/>
          <w:kern w:val="20"/>
          <w:sz w:val="24"/>
        </w:rPr>
        <w:t>该区域生态保护与建设重点为：加强水库库区生态环境保护的管理，严格控制人为活动，保护、恢复库区森林植被，提高水源涵养能力；调整森林资源采育比例，加大开发林特产品力度，确保森林资源增值；以坡耕地、采石破坏地和荒坡地为重点，治理山丘水土流失；开发生态旅游资源，发挥森林资源的综合效益。</w:t>
      </w:r>
    </w:p>
    <w:p w14:paraId="508474AF">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植被分布现状</w:t>
      </w:r>
    </w:p>
    <w:p w14:paraId="0AED06F6">
      <w:pPr>
        <w:spacing w:line="360" w:lineRule="auto"/>
        <w:ind w:firstLine="480" w:firstLineChars="200"/>
        <w:rPr>
          <w:rFonts w:eastAsiaTheme="minorEastAsia"/>
          <w:kern w:val="20"/>
          <w:sz w:val="24"/>
        </w:rPr>
      </w:pPr>
      <w:r>
        <w:rPr>
          <w:rFonts w:hint="eastAsia" w:eastAsiaTheme="minorEastAsia"/>
          <w:kern w:val="20"/>
          <w:sz w:val="24"/>
        </w:rPr>
        <w:t>（1）植被区划</w:t>
      </w:r>
    </w:p>
    <w:p w14:paraId="3B97AFAE">
      <w:pPr>
        <w:spacing w:line="360" w:lineRule="auto"/>
        <w:ind w:firstLine="480" w:firstLineChars="200"/>
        <w:rPr>
          <w:rFonts w:eastAsiaTheme="minorEastAsia"/>
          <w:kern w:val="20"/>
          <w:sz w:val="24"/>
        </w:rPr>
      </w:pPr>
      <w:r>
        <w:rPr>
          <w:rFonts w:hint="eastAsia" w:eastAsiaTheme="minorEastAsia"/>
          <w:kern w:val="20"/>
          <w:sz w:val="24"/>
        </w:rPr>
        <w:t>根据《中国植被》区划，产业园所在区域在区划上属于亚热带常绿阔叶林区域（IV），东部（湿润）常绿阔叶林亚区域（IVA），北亚热带常绿、落叶阔叶混交林地带（IVAi），鄂西北山地丘陵青冈、落叶栎类、华山松、巴山冷杉林区（IA），武当山山地青冈、栓皮栎、马尾松林小区（IA3）。</w:t>
      </w:r>
    </w:p>
    <w:p w14:paraId="4A6BCDF5">
      <w:pPr>
        <w:spacing w:line="360" w:lineRule="auto"/>
        <w:ind w:firstLine="480" w:firstLineChars="200"/>
        <w:rPr>
          <w:rFonts w:eastAsiaTheme="minorEastAsia"/>
          <w:kern w:val="20"/>
          <w:sz w:val="24"/>
        </w:rPr>
      </w:pPr>
      <w:r>
        <w:rPr>
          <w:rFonts w:hint="eastAsia" w:eastAsiaTheme="minorEastAsia"/>
          <w:kern w:val="20"/>
          <w:sz w:val="24"/>
        </w:rPr>
        <w:t>根据《湖北植被区划》（谭景燊等，1982），产业园所在区域在区划上属于中国亚热带常绿阔叶林区域（I），东部（湿润）常绿阔叶混交林亚区域（IA），北亚热带常绿、落叶阔叶混交林地带（IAi），鄂西北山地丘陵青冈栎、落叶栎类、华山松、巴山冷杉林区（IAi-3），神农架山地青冈栎、绵柯、锐齿槲栎、巴山冷杉、华山松、巴山冷山林小区（IAi-3-（5））。</w:t>
      </w:r>
    </w:p>
    <w:p w14:paraId="33A82A80">
      <w:pPr>
        <w:spacing w:line="360" w:lineRule="auto"/>
        <w:ind w:firstLine="480" w:firstLineChars="200"/>
        <w:rPr>
          <w:rFonts w:eastAsiaTheme="minorEastAsia"/>
          <w:kern w:val="20"/>
          <w:sz w:val="24"/>
        </w:rPr>
      </w:pPr>
      <w:r>
        <w:rPr>
          <w:rFonts w:hint="eastAsia" w:eastAsiaTheme="minorEastAsia"/>
          <w:kern w:val="20"/>
          <w:sz w:val="24"/>
        </w:rPr>
        <w:t>（2）植被类型</w:t>
      </w:r>
    </w:p>
    <w:p w14:paraId="78C5D862">
      <w:pPr>
        <w:spacing w:line="360" w:lineRule="auto"/>
        <w:ind w:firstLine="480" w:firstLineChars="200"/>
        <w:rPr>
          <w:rFonts w:eastAsiaTheme="minorEastAsia"/>
          <w:kern w:val="20"/>
          <w:sz w:val="24"/>
        </w:rPr>
      </w:pPr>
      <w:r>
        <w:rPr>
          <w:rFonts w:hint="eastAsia" w:eastAsiaTheme="minorEastAsia"/>
          <w:kern w:val="20"/>
          <w:sz w:val="24"/>
        </w:rPr>
        <w:t>根据《中国植被》确定的植物群落学-生态学分类原则，通过调查资料显示，产业园区域常见自然植被划为4个植被型组，8个植被型，30个群系；另外，常见栽培植被类型有经济林型和用材林型，2个群系。自然植被以阔叶林为主，针阔混交林也较多。</w:t>
      </w:r>
    </w:p>
    <w:p w14:paraId="74F0342D">
      <w:pPr>
        <w:spacing w:line="360" w:lineRule="auto"/>
        <w:ind w:firstLine="480" w:firstLineChars="200"/>
        <w:rPr>
          <w:rFonts w:eastAsiaTheme="minorEastAsia"/>
          <w:kern w:val="20"/>
          <w:sz w:val="24"/>
        </w:rPr>
      </w:pPr>
      <w:r>
        <w:rPr>
          <w:rFonts w:hint="eastAsia" w:eastAsiaTheme="minorEastAsia"/>
          <w:kern w:val="20"/>
          <w:sz w:val="24"/>
        </w:rPr>
        <w:t>（3）生物群落</w:t>
      </w:r>
    </w:p>
    <w:p w14:paraId="3D638898">
      <w:pPr>
        <w:spacing w:line="360" w:lineRule="auto"/>
        <w:ind w:firstLine="480" w:firstLineChars="200"/>
        <w:rPr>
          <w:rFonts w:eastAsiaTheme="minorEastAsia"/>
          <w:kern w:val="20"/>
          <w:sz w:val="24"/>
        </w:rPr>
      </w:pPr>
      <w:r>
        <w:rPr>
          <w:rFonts w:hint="eastAsia" w:eastAsiaTheme="minorEastAsia"/>
          <w:kern w:val="20"/>
          <w:sz w:val="24"/>
        </w:rPr>
        <w:t>生物群落是在特定空间或特定生境下，具有一定的生物种类组成及其与环境之间彼此影响、相互作用，具有一定的外貌结构，包括形态结构与营养结构，并具有特定功能的生物集合体。也可以说，一个生态系统中具有生命的部分即生物群落。一个群落中的植物个体，分别处于不同高度和密度，从而决定了群落的外部形态，通常植物生长类型决定群落的分类单位的特征。</w:t>
      </w:r>
    </w:p>
    <w:p w14:paraId="072FE6E1">
      <w:pPr>
        <w:spacing w:line="360" w:lineRule="auto"/>
        <w:ind w:firstLine="480" w:firstLineChars="200"/>
        <w:rPr>
          <w:rFonts w:eastAsiaTheme="minorEastAsia"/>
          <w:kern w:val="20"/>
          <w:sz w:val="24"/>
        </w:rPr>
      </w:pPr>
      <w:r>
        <w:rPr>
          <w:rFonts w:hint="eastAsia" w:eastAsiaTheme="minorEastAsia"/>
          <w:kern w:val="20"/>
          <w:sz w:val="24"/>
        </w:rPr>
        <w:t>①自然生物群落</w:t>
      </w:r>
    </w:p>
    <w:p w14:paraId="405A4E27">
      <w:pPr>
        <w:spacing w:line="360" w:lineRule="auto"/>
        <w:ind w:firstLine="480" w:firstLineChars="200"/>
        <w:rPr>
          <w:rFonts w:eastAsiaTheme="minorEastAsia"/>
          <w:kern w:val="20"/>
          <w:sz w:val="24"/>
        </w:rPr>
      </w:pPr>
      <w:r>
        <w:rPr>
          <w:rFonts w:hint="eastAsia" w:eastAsiaTheme="minorEastAsia"/>
          <w:kern w:val="20"/>
          <w:sz w:val="24"/>
        </w:rPr>
        <w:t>区域自然生物群落包括森林生物群落、灌丛/灌草丛生物群落和湿地生物群落。</w:t>
      </w:r>
    </w:p>
    <w:p w14:paraId="0AC42A3E">
      <w:pPr>
        <w:spacing w:line="360" w:lineRule="auto"/>
        <w:ind w:firstLine="480" w:firstLineChars="200"/>
        <w:rPr>
          <w:rFonts w:eastAsiaTheme="minorEastAsia"/>
          <w:kern w:val="20"/>
          <w:sz w:val="24"/>
        </w:rPr>
      </w:pPr>
      <w:r>
        <w:rPr>
          <w:rFonts w:hint="eastAsia" w:eastAsiaTheme="minorEastAsia"/>
          <w:kern w:val="20"/>
          <w:sz w:val="24"/>
        </w:rPr>
        <w:t>森林生物群落包括马尾松、响叶杨、杉木林、马尾松+槲栎、杉木+短柄枹栎、刺叶栎、青冈、槲栎、化香等15个。森林群落受到的人为干扰较小，生活于森林群落中的动物主要为安全距离较近的动物。其中鸟类居多，如喜鹊（</w:t>
      </w:r>
      <w:r>
        <w:rPr>
          <w:rFonts w:hint="eastAsia" w:eastAsiaTheme="minorEastAsia"/>
          <w:i/>
          <w:iCs/>
          <w:kern w:val="20"/>
          <w:sz w:val="24"/>
        </w:rPr>
        <w:t>Pica sericea</w:t>
      </w:r>
      <w:r>
        <w:rPr>
          <w:rFonts w:hint="eastAsia" w:eastAsiaTheme="minorEastAsia"/>
          <w:kern w:val="20"/>
          <w:sz w:val="24"/>
        </w:rPr>
        <w:t>）、大嘴乌鸦（</w:t>
      </w:r>
      <w:r>
        <w:rPr>
          <w:rFonts w:hint="eastAsia" w:eastAsiaTheme="minorEastAsia"/>
          <w:i/>
          <w:iCs/>
          <w:kern w:val="20"/>
          <w:sz w:val="24"/>
        </w:rPr>
        <w:t>Corvus colonorum</w:t>
      </w:r>
      <w:r>
        <w:rPr>
          <w:rFonts w:hint="eastAsia" w:eastAsiaTheme="minorEastAsia"/>
          <w:kern w:val="20"/>
          <w:sz w:val="24"/>
        </w:rPr>
        <w:t>）、山麻雀（</w:t>
      </w:r>
      <w:r>
        <w:rPr>
          <w:rFonts w:hint="eastAsia" w:eastAsiaTheme="minorEastAsia"/>
          <w:i/>
          <w:iCs/>
          <w:kern w:val="20"/>
          <w:sz w:val="24"/>
        </w:rPr>
        <w:t>Passer rutilans</w:t>
      </w:r>
      <w:r>
        <w:rPr>
          <w:rFonts w:hint="eastAsia" w:eastAsiaTheme="minorEastAsia"/>
          <w:kern w:val="20"/>
          <w:sz w:val="24"/>
        </w:rPr>
        <w:t>）、山斑鸠（</w:t>
      </w:r>
      <w:r>
        <w:rPr>
          <w:rFonts w:hint="eastAsia" w:eastAsiaTheme="minorEastAsia"/>
          <w:i/>
          <w:iCs/>
          <w:kern w:val="20"/>
          <w:sz w:val="24"/>
        </w:rPr>
        <w:t>Streptopelia orcentalis</w:t>
      </w:r>
      <w:r>
        <w:rPr>
          <w:rFonts w:hint="eastAsia" w:eastAsiaTheme="minorEastAsia"/>
          <w:kern w:val="20"/>
          <w:sz w:val="24"/>
        </w:rPr>
        <w:t>）、八哥（</w:t>
      </w:r>
      <w:r>
        <w:rPr>
          <w:rFonts w:hint="eastAsia" w:eastAsiaTheme="minorEastAsia"/>
          <w:i/>
          <w:iCs/>
          <w:kern w:val="20"/>
          <w:sz w:val="24"/>
        </w:rPr>
        <w:t>Acridotheres cristatellus</w:t>
      </w:r>
      <w:r>
        <w:rPr>
          <w:rFonts w:hint="eastAsia" w:eastAsiaTheme="minorEastAsia"/>
          <w:kern w:val="20"/>
          <w:sz w:val="24"/>
        </w:rPr>
        <w:t>）等种群数量较多。群落结构主要表现为分层现象，与光的利用有关，森林群落的林冠层吸收了大部分光辐射。随着光照强度渐减，依次发展为林冠层、下木层、灌木层、草本层和地被层等层次。</w:t>
      </w:r>
    </w:p>
    <w:p w14:paraId="119AEE4C">
      <w:pPr>
        <w:spacing w:line="360" w:lineRule="auto"/>
        <w:ind w:firstLine="480" w:firstLineChars="200"/>
        <w:rPr>
          <w:rFonts w:eastAsiaTheme="minorEastAsia"/>
          <w:kern w:val="20"/>
          <w:sz w:val="24"/>
        </w:rPr>
      </w:pPr>
      <w:r>
        <w:rPr>
          <w:rFonts w:hint="eastAsia" w:eastAsiaTheme="minorEastAsia"/>
          <w:kern w:val="20"/>
          <w:sz w:val="24"/>
        </w:rPr>
        <w:t>灌丛生物群落包括灌丛和灌草丛，灌丛生物群落包括黄荆、山胡椒、盐肤木、木姜子、乌桕等9个；灌草丛生物群落包括白茅、五节芒、节节草、冷水花等6个。此生境内生活的动物群落仍以鸟类为主，大多属于中下层次鸟类。如八哥、麻雀、灰喜鹊（</w:t>
      </w:r>
      <w:r>
        <w:rPr>
          <w:rFonts w:hint="eastAsia" w:eastAsiaTheme="minorEastAsia"/>
          <w:i/>
          <w:iCs/>
          <w:kern w:val="20"/>
          <w:sz w:val="24"/>
        </w:rPr>
        <w:t>Cyanopica cyana swinhoei</w:t>
      </w:r>
      <w:r>
        <w:rPr>
          <w:rFonts w:hint="eastAsia" w:eastAsiaTheme="minorEastAsia"/>
          <w:kern w:val="20"/>
          <w:sz w:val="24"/>
        </w:rPr>
        <w:t>）、棕背伯劳（</w:t>
      </w:r>
      <w:r>
        <w:rPr>
          <w:rFonts w:hint="eastAsia" w:eastAsiaTheme="minorEastAsia"/>
          <w:i/>
          <w:iCs/>
          <w:kern w:val="20"/>
          <w:sz w:val="24"/>
        </w:rPr>
        <w:t>Lanius s. schach</w:t>
      </w:r>
      <w:r>
        <w:rPr>
          <w:rFonts w:hint="eastAsia" w:eastAsiaTheme="minorEastAsia"/>
          <w:kern w:val="20"/>
          <w:sz w:val="24"/>
        </w:rPr>
        <w:t>）、大山雀（</w:t>
      </w:r>
      <w:r>
        <w:rPr>
          <w:rFonts w:hint="eastAsia" w:eastAsiaTheme="minorEastAsia"/>
          <w:i/>
          <w:iCs/>
          <w:kern w:val="20"/>
          <w:sz w:val="24"/>
        </w:rPr>
        <w:t>Parusmajor artatus</w:t>
      </w:r>
      <w:r>
        <w:rPr>
          <w:rFonts w:hint="eastAsia" w:eastAsiaTheme="minorEastAsia"/>
          <w:kern w:val="20"/>
          <w:sz w:val="24"/>
        </w:rPr>
        <w:t>）等种群数量较多。另外草丛中分布有少量两栖类和爬行类。灌丛/灌草丛生物群落的垂直结构表现出分层现象，包括灌木层和草本层以及地被层，其中灌丛分层包括灌木层和草本层以及地被层，灌草丛分层包括草本层和地被层。群落的水平结构上表现出镶嵌性。</w:t>
      </w:r>
    </w:p>
    <w:p w14:paraId="26E14A44">
      <w:pPr>
        <w:spacing w:line="360" w:lineRule="auto"/>
        <w:ind w:firstLine="480" w:firstLineChars="200"/>
        <w:rPr>
          <w:rFonts w:eastAsiaTheme="minorEastAsia"/>
          <w:kern w:val="20"/>
          <w:sz w:val="24"/>
        </w:rPr>
      </w:pPr>
      <w:r>
        <w:rPr>
          <w:rFonts w:hint="eastAsia" w:eastAsiaTheme="minorEastAsia"/>
          <w:kern w:val="20"/>
          <w:sz w:val="24"/>
        </w:rPr>
        <w:t>湿地生物群落植物组成主要由草丛沼泽型植物群落组成，主要为香附子群系（</w:t>
      </w:r>
      <w:r>
        <w:rPr>
          <w:rFonts w:hint="eastAsia" w:eastAsiaTheme="minorEastAsia"/>
          <w:i/>
          <w:iCs/>
          <w:kern w:val="20"/>
          <w:sz w:val="24"/>
        </w:rPr>
        <w:t>Form.Cyperus rotundus</w:t>
      </w:r>
      <w:r>
        <w:rPr>
          <w:rFonts w:hint="eastAsia" w:eastAsiaTheme="minorEastAsia"/>
          <w:kern w:val="20"/>
          <w:sz w:val="24"/>
        </w:rPr>
        <w:t>）、香蒲群系（</w:t>
      </w:r>
      <w:r>
        <w:rPr>
          <w:rFonts w:hint="eastAsia" w:eastAsiaTheme="minorEastAsia"/>
          <w:i/>
          <w:iCs/>
          <w:kern w:val="20"/>
          <w:sz w:val="24"/>
        </w:rPr>
        <w:t>Form. Typha orientalis C.Presl</w:t>
      </w:r>
      <w:r>
        <w:rPr>
          <w:rFonts w:hint="eastAsia" w:eastAsiaTheme="minorEastAsia"/>
          <w:kern w:val="20"/>
          <w:sz w:val="24"/>
        </w:rPr>
        <w:t>）、喜旱莲子草群系（</w:t>
      </w:r>
      <w:r>
        <w:rPr>
          <w:rFonts w:hint="eastAsia" w:eastAsiaTheme="minorEastAsia"/>
          <w:i/>
          <w:iCs/>
          <w:kern w:val="20"/>
          <w:sz w:val="24"/>
        </w:rPr>
        <w:t>Form.Alternanthera philoxeroides</w:t>
      </w:r>
      <w:r>
        <w:rPr>
          <w:rFonts w:hint="eastAsia" w:eastAsiaTheme="minorEastAsia"/>
          <w:kern w:val="20"/>
          <w:sz w:val="24"/>
        </w:rPr>
        <w:t>）和水蓼群系（</w:t>
      </w:r>
      <w:r>
        <w:rPr>
          <w:rFonts w:hint="eastAsia" w:eastAsiaTheme="minorEastAsia"/>
          <w:i/>
          <w:iCs/>
          <w:kern w:val="20"/>
          <w:sz w:val="24"/>
        </w:rPr>
        <w:t>Form.Polygonumhydropiper</w:t>
      </w:r>
      <w:r>
        <w:rPr>
          <w:rFonts w:hint="eastAsia" w:eastAsiaTheme="minorEastAsia"/>
          <w:kern w:val="20"/>
          <w:sz w:val="24"/>
        </w:rPr>
        <w:t>）。在春夏季周围的静水型两栖类如黑斑蛙（</w:t>
      </w:r>
      <w:r>
        <w:rPr>
          <w:rFonts w:hint="eastAsia" w:eastAsiaTheme="minorEastAsia"/>
          <w:i/>
          <w:iCs/>
          <w:kern w:val="20"/>
          <w:sz w:val="24"/>
        </w:rPr>
        <w:t>Rana nigromaculata</w:t>
      </w:r>
      <w:r>
        <w:rPr>
          <w:rFonts w:hint="eastAsia" w:eastAsiaTheme="minorEastAsia"/>
          <w:kern w:val="20"/>
          <w:sz w:val="24"/>
        </w:rPr>
        <w:t>）以及周边林栖傍水型爬行类如赤链蛇（</w:t>
      </w:r>
      <w:r>
        <w:rPr>
          <w:rFonts w:hint="eastAsia" w:eastAsiaTheme="minorEastAsia"/>
          <w:i/>
          <w:iCs/>
          <w:kern w:val="20"/>
          <w:sz w:val="24"/>
        </w:rPr>
        <w:t>Dinodon rufozonatum</w:t>
      </w:r>
      <w:r>
        <w:rPr>
          <w:rFonts w:hint="eastAsia" w:eastAsiaTheme="minorEastAsia"/>
          <w:kern w:val="20"/>
          <w:sz w:val="24"/>
        </w:rPr>
        <w:t>）等有分布。在部分与居民区较近的水域附近还分布有小型啮齿类以及黄鼬等哺乳动物。湿地植物群落主要以浅水植物湿地型为主，分布在重溪河两岸。植被群落的垂直结构同陆生的群落，成层结构是不同的高度的植物或不同生活型的植物在空间上垂直排列的结果。群落垂直结构仅为草本层1层。</w:t>
      </w:r>
    </w:p>
    <w:p w14:paraId="6A0674DA">
      <w:pPr>
        <w:spacing w:line="360" w:lineRule="auto"/>
        <w:ind w:firstLine="480" w:firstLineChars="200"/>
        <w:rPr>
          <w:rFonts w:eastAsiaTheme="minorEastAsia"/>
          <w:kern w:val="20"/>
          <w:sz w:val="24"/>
        </w:rPr>
      </w:pPr>
      <w:r>
        <w:rPr>
          <w:rFonts w:hint="eastAsia" w:eastAsiaTheme="minorEastAsia"/>
          <w:kern w:val="20"/>
          <w:sz w:val="24"/>
        </w:rPr>
        <w:t>②人工生物群落</w:t>
      </w:r>
    </w:p>
    <w:p w14:paraId="7BD9B54B">
      <w:pPr>
        <w:spacing w:line="360" w:lineRule="auto"/>
        <w:ind w:firstLine="480" w:firstLineChars="200"/>
        <w:rPr>
          <w:rFonts w:eastAsiaTheme="minorEastAsia"/>
          <w:kern w:val="20"/>
          <w:sz w:val="24"/>
        </w:rPr>
      </w:pPr>
      <w:r>
        <w:rPr>
          <w:rFonts w:hint="eastAsia" w:eastAsiaTheme="minorEastAsia"/>
          <w:kern w:val="20"/>
          <w:sz w:val="24"/>
        </w:rPr>
        <w:t>规划所在区域的人工生物群落主要为农田生物群落。根据调查资料显示，农田生物群落植物组成主要为人工栽培的植被组成，主要为麦、水稻、棉等农作物及马铃薯、番薯、各种蔬菜瓜果等。从植物种类组成上，植物种类较为单一，另外还有一些常见杂草类。</w:t>
      </w:r>
    </w:p>
    <w:p w14:paraId="3C106F97">
      <w:pPr>
        <w:spacing w:line="360" w:lineRule="auto"/>
        <w:ind w:firstLine="480" w:firstLineChars="200"/>
        <w:rPr>
          <w:rFonts w:eastAsiaTheme="minorEastAsia"/>
          <w:kern w:val="20"/>
          <w:sz w:val="24"/>
        </w:rPr>
      </w:pPr>
      <w:r>
        <w:rPr>
          <w:rFonts w:hint="eastAsia" w:eastAsiaTheme="minorEastAsia"/>
          <w:kern w:val="20"/>
          <w:sz w:val="24"/>
        </w:rPr>
        <w:t>动物群落组成相对较为单一，优势种为八哥、麻雀、喜鹊、山麻雀等。其他动物除两栖爬行类外，还有啮齿类等小型兽类如褐家鼠、巢鼠等分布。</w:t>
      </w:r>
    </w:p>
    <w:p w14:paraId="085A6755">
      <w:pPr>
        <w:spacing w:line="360" w:lineRule="auto"/>
        <w:ind w:firstLine="480" w:firstLineChars="200"/>
        <w:rPr>
          <w:rFonts w:eastAsiaTheme="minorEastAsia"/>
          <w:kern w:val="20"/>
          <w:sz w:val="24"/>
        </w:rPr>
      </w:pPr>
      <w:r>
        <w:rPr>
          <w:rFonts w:hint="eastAsia" w:eastAsiaTheme="minorEastAsia"/>
          <w:kern w:val="20"/>
          <w:sz w:val="24"/>
        </w:rPr>
        <w:t>由于农田植被为人工栽培植被，受人为干扰较大，种类组成单一，相应的群落结构也较为简单。从群落结构上来看，形成以栽培植物为绝对优势的层片，因其占绝对优势，同时受人为干扰的影响，其他植物种类生长受较大影响，因此群落结构简单。</w:t>
      </w:r>
    </w:p>
    <w:p w14:paraId="08C8A7F6">
      <w:pPr>
        <w:spacing w:line="360" w:lineRule="auto"/>
        <w:ind w:firstLine="480" w:firstLineChars="200"/>
        <w:rPr>
          <w:rFonts w:eastAsiaTheme="minorEastAsia"/>
          <w:kern w:val="20"/>
          <w:sz w:val="24"/>
        </w:rPr>
      </w:pPr>
      <w:r>
        <w:rPr>
          <w:rFonts w:hint="eastAsia" w:eastAsiaTheme="minorEastAsia"/>
          <w:kern w:val="20"/>
          <w:sz w:val="24"/>
        </w:rPr>
        <w:t>农田植被中动物群落结构也较稳定。两栖类主要分布有陆栖型的中华蟾蜍（</w:t>
      </w:r>
      <w:r>
        <w:rPr>
          <w:rFonts w:hint="eastAsia" w:eastAsiaTheme="minorEastAsia"/>
          <w:i/>
          <w:iCs/>
          <w:kern w:val="20"/>
          <w:sz w:val="24"/>
        </w:rPr>
        <w:t>Bufo gargarizans</w:t>
      </w:r>
      <w:r>
        <w:rPr>
          <w:rFonts w:hint="eastAsia" w:eastAsiaTheme="minorEastAsia"/>
          <w:kern w:val="20"/>
          <w:sz w:val="24"/>
        </w:rPr>
        <w:t>）和静水型的饰纹姬蛙（</w:t>
      </w:r>
      <w:r>
        <w:rPr>
          <w:rFonts w:hint="eastAsia" w:eastAsiaTheme="minorEastAsia"/>
          <w:i/>
          <w:iCs/>
          <w:kern w:val="20"/>
          <w:sz w:val="24"/>
        </w:rPr>
        <w:t>Microhyla fissipes</w:t>
      </w:r>
      <w:r>
        <w:rPr>
          <w:rFonts w:hint="eastAsia" w:eastAsiaTheme="minorEastAsia"/>
          <w:kern w:val="20"/>
          <w:sz w:val="24"/>
        </w:rPr>
        <w:t>）；爬行类主要分布有翠青蛇（</w:t>
      </w:r>
      <w:r>
        <w:rPr>
          <w:rFonts w:hint="eastAsia" w:eastAsiaTheme="minorEastAsia"/>
          <w:i/>
          <w:iCs/>
          <w:kern w:val="20"/>
          <w:sz w:val="24"/>
        </w:rPr>
        <w:t>Cyclophiops major</w:t>
      </w:r>
      <w:r>
        <w:rPr>
          <w:rFonts w:hint="eastAsia" w:eastAsiaTheme="minorEastAsia"/>
          <w:kern w:val="20"/>
          <w:sz w:val="24"/>
        </w:rPr>
        <w:t>）；鸟类主要是一些鸣禽以及秋冬季节部分处于中上层的林鸟如喜鹊、大嘴乌鸦等将觅食范围扩大到农田中；兽类主要是小型啮齿动物。</w:t>
      </w:r>
    </w:p>
    <w:p w14:paraId="52E7E1BD">
      <w:pPr>
        <w:spacing w:line="360" w:lineRule="auto"/>
        <w:ind w:firstLine="480" w:firstLineChars="200"/>
        <w:rPr>
          <w:rFonts w:eastAsiaTheme="minorEastAsia"/>
          <w:kern w:val="20"/>
          <w:sz w:val="24"/>
        </w:rPr>
      </w:pPr>
      <w:r>
        <w:rPr>
          <w:rFonts w:hint="eastAsia" w:eastAsiaTheme="minorEastAsia"/>
          <w:kern w:val="20"/>
          <w:sz w:val="24"/>
        </w:rPr>
        <w:t>（4）重点评价区域植被类型</w:t>
      </w:r>
    </w:p>
    <w:p w14:paraId="3DE46D51">
      <w:pPr>
        <w:spacing w:line="360" w:lineRule="auto"/>
        <w:ind w:firstLine="480" w:firstLineChars="200"/>
        <w:rPr>
          <w:rFonts w:eastAsiaTheme="minorEastAsia"/>
          <w:kern w:val="20"/>
          <w:sz w:val="24"/>
        </w:rPr>
      </w:pPr>
      <w:r>
        <w:rPr>
          <w:rFonts w:hint="eastAsia" w:eastAsiaTheme="minorEastAsia"/>
          <w:kern w:val="20"/>
          <w:sz w:val="24"/>
        </w:rPr>
        <w:t>规划涉及生产加工集中区域周边主要分布有常绿针叶林、针阔混交林、落叶阔叶林、落叶阔叶灌丛、常绿阔叶灌丛等，在石材产业园评价区内未见大片的林木分布，原来的分布区多被开垦为农田或建设用地。农田植被主要为水稻、豆类、花生、油菜、蔬菜等。评价区域内目前地表植被覆盖良好，地表裸露较少，生物物种简单，尚未发现珍稀物种和需要特别保护的生物群落。区内最大的水域生态系统为吴山水库及㵐水，与沿岸滩涂共同组成了湿地生态系统。产业发展规划区内水产类植物有莲、菱角、荸荠、鸡梗、芋头、蒿，可供食用。浮萍、水胡芦、水浮莲、虾须草、牛尾巴草可作猪饲料。水田中较多者有牛毛粘、青苔板、鸭脚板、稗草、野荸荠、潭叶草、八哥草等有些可作猪饲料。</w:t>
      </w:r>
    </w:p>
    <w:p w14:paraId="0409E20E">
      <w:pPr>
        <w:spacing w:line="360" w:lineRule="auto"/>
        <w:ind w:firstLine="480" w:firstLineChars="200"/>
        <w:rPr>
          <w:rFonts w:eastAsiaTheme="minorEastAsia"/>
          <w:kern w:val="20"/>
          <w:sz w:val="24"/>
        </w:rPr>
      </w:pPr>
      <w:r>
        <w:rPr>
          <w:rFonts w:hint="eastAsia" w:eastAsiaTheme="minorEastAsia"/>
          <w:kern w:val="20"/>
          <w:sz w:val="24"/>
        </w:rPr>
        <w:t>（5）重点保护植物</w:t>
      </w:r>
    </w:p>
    <w:p w14:paraId="05344504">
      <w:pPr>
        <w:spacing w:line="360" w:lineRule="auto"/>
        <w:ind w:firstLine="480" w:firstLineChars="200"/>
        <w:rPr>
          <w:rFonts w:eastAsiaTheme="minorEastAsia"/>
          <w:kern w:val="20"/>
          <w:sz w:val="24"/>
        </w:rPr>
      </w:pPr>
      <w:r>
        <w:rPr>
          <w:rFonts w:hint="eastAsia" w:eastAsiaTheme="minorEastAsia"/>
          <w:kern w:val="20"/>
          <w:sz w:val="24"/>
        </w:rPr>
        <w:t>根据调查，规划所在集中生产区域内无国家重点保护野生植物、古树名木。</w:t>
      </w:r>
    </w:p>
    <w:p w14:paraId="5D0548DA">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陆生动物分布现状</w:t>
      </w:r>
    </w:p>
    <w:p w14:paraId="5D9C9230">
      <w:pPr>
        <w:spacing w:line="360" w:lineRule="auto"/>
        <w:ind w:firstLine="480" w:firstLineChars="200"/>
        <w:rPr>
          <w:rFonts w:eastAsiaTheme="minorEastAsia"/>
          <w:kern w:val="20"/>
          <w:sz w:val="24"/>
        </w:rPr>
      </w:pPr>
      <w:r>
        <w:rPr>
          <w:rFonts w:hint="eastAsia" w:eastAsiaTheme="minorEastAsia"/>
          <w:kern w:val="20"/>
          <w:sz w:val="24"/>
        </w:rPr>
        <w:t>（1）动物区系</w:t>
      </w:r>
    </w:p>
    <w:p w14:paraId="0F44605D">
      <w:pPr>
        <w:spacing w:line="360" w:lineRule="auto"/>
        <w:ind w:firstLine="480" w:firstLineChars="200"/>
        <w:rPr>
          <w:rFonts w:eastAsiaTheme="minorEastAsia"/>
          <w:kern w:val="20"/>
          <w:sz w:val="24"/>
        </w:rPr>
      </w:pPr>
      <w:r>
        <w:rPr>
          <w:rFonts w:hint="eastAsia" w:eastAsiaTheme="minorEastAsia"/>
          <w:kern w:val="20"/>
          <w:sz w:val="24"/>
        </w:rPr>
        <w:t>依据《中国动物地理》（张荣祖科学出版社，2011 年），我国动物地理区划分属于世界动物地理分区的古北界与东洋界。两界在我国境内的分界线西起横断山脉北部，经过川北的岷山与陕南的秦岭，向东至淮河南岸，直抵长江口以北。我国动物区系根据陆栖脊椎动物，特别是哺乳类和鸟类的分布情况，可以分为东北区、华北区、蒙新区、青藏区、西南区、华中区及华南区7个区。其中前4个区属于古北界；后3个区属于东洋界。</w:t>
      </w:r>
    </w:p>
    <w:p w14:paraId="57AFAAC0">
      <w:pPr>
        <w:spacing w:line="360" w:lineRule="auto"/>
        <w:ind w:firstLine="480" w:firstLineChars="200"/>
        <w:rPr>
          <w:rFonts w:eastAsiaTheme="minorEastAsia"/>
          <w:kern w:val="20"/>
          <w:sz w:val="24"/>
        </w:rPr>
      </w:pPr>
      <w:r>
        <w:rPr>
          <w:rFonts w:hint="eastAsia" w:eastAsiaTheme="minorEastAsia"/>
          <w:kern w:val="20"/>
          <w:sz w:val="24"/>
        </w:rPr>
        <w:t>规划所在区域位于湖北省随州市，只涉及1个动物地理省，为东洋界—华中区—东部丘陵平原亚区—草地-农田动物群。</w:t>
      </w:r>
    </w:p>
    <w:p w14:paraId="5291223C">
      <w:pPr>
        <w:spacing w:line="360" w:lineRule="auto"/>
        <w:ind w:firstLine="480" w:firstLineChars="200"/>
        <w:rPr>
          <w:rFonts w:eastAsiaTheme="minorEastAsia"/>
          <w:kern w:val="20"/>
          <w:sz w:val="24"/>
        </w:rPr>
      </w:pPr>
      <w:r>
        <w:rPr>
          <w:rFonts w:hint="eastAsia" w:eastAsiaTheme="minorEastAsia"/>
          <w:kern w:val="20"/>
          <w:sz w:val="24"/>
        </w:rPr>
        <w:t>（2）重点评价区域种类组成</w:t>
      </w:r>
    </w:p>
    <w:p w14:paraId="5D8A3433">
      <w:pPr>
        <w:spacing w:line="360" w:lineRule="auto"/>
        <w:ind w:firstLine="480" w:firstLineChars="200"/>
        <w:rPr>
          <w:rFonts w:eastAsiaTheme="minorEastAsia"/>
          <w:kern w:val="20"/>
          <w:sz w:val="24"/>
        </w:rPr>
      </w:pPr>
      <w:r>
        <w:rPr>
          <w:rFonts w:hint="eastAsia" w:eastAsiaTheme="minorEastAsia"/>
          <w:kern w:val="20"/>
          <w:sz w:val="24"/>
        </w:rPr>
        <w:t>根据调查资料显示，随县所在区域陆生脊椎动物包括两栖类、爬行类、鸟类、兽类。</w:t>
      </w:r>
    </w:p>
    <w:p w14:paraId="736A2141">
      <w:pPr>
        <w:spacing w:line="360" w:lineRule="auto"/>
        <w:ind w:firstLine="480" w:firstLineChars="200"/>
        <w:rPr>
          <w:rFonts w:eastAsiaTheme="minorEastAsia"/>
          <w:kern w:val="20"/>
          <w:sz w:val="24"/>
        </w:rPr>
      </w:pPr>
      <w:r>
        <w:rPr>
          <w:rFonts w:hint="eastAsia" w:eastAsiaTheme="minorEastAsia"/>
          <w:kern w:val="20"/>
          <w:sz w:val="24"/>
        </w:rPr>
        <w:t>规划所在集中生产区域主要位于吴山镇及万和镇镇区附近，人为活动较为频繁，此外土地利用类型主要以农田、荒地为主，其生态系统结构较为简单。评价区域内分布较多的动物主要为狗獾、田鼠、刺猬、鹌鹑、山斑鸠、大嘴乌鸦、麻雀、壁虎、乌龟等，目前尚未发现国家重点保护陆生动物。区内零星分布有沟、渠、溪以及池塘。水产类动物有青鱼、草鱼、鲢子、鳙鱼、鲤鱼、鲫鱼、鳊鱼等。野生经济鱼类有黑鱼、翘嘴白、黄鳝、泥鳅等，水库、沟汊有虾、蟹、蚌、螺等，肉可食。</w:t>
      </w:r>
    </w:p>
    <w:p w14:paraId="387A186E">
      <w:pPr>
        <w:spacing w:line="360" w:lineRule="auto"/>
        <w:ind w:firstLine="480" w:firstLineChars="200"/>
        <w:rPr>
          <w:rFonts w:eastAsiaTheme="minorEastAsia"/>
          <w:kern w:val="20"/>
          <w:sz w:val="24"/>
        </w:rPr>
      </w:pPr>
      <w:r>
        <w:rPr>
          <w:rFonts w:hint="eastAsia" w:eastAsiaTheme="minorEastAsia"/>
          <w:kern w:val="20"/>
          <w:sz w:val="24"/>
        </w:rPr>
        <w:t>①兽类</w:t>
      </w:r>
    </w:p>
    <w:p w14:paraId="3F516B22">
      <w:pPr>
        <w:spacing w:line="360" w:lineRule="auto"/>
        <w:ind w:firstLine="480" w:firstLineChars="200"/>
        <w:rPr>
          <w:rFonts w:eastAsiaTheme="minorEastAsia"/>
          <w:kern w:val="20"/>
          <w:sz w:val="24"/>
        </w:rPr>
      </w:pPr>
      <w:r>
        <w:rPr>
          <w:rFonts w:hint="eastAsia" w:eastAsiaTheme="minorEastAsia"/>
          <w:kern w:val="20"/>
          <w:sz w:val="24"/>
        </w:rPr>
        <w:t>产业园区内野生兽类数量已经很少，只有适应农田生存的动物，继续保持它们较大的种群数量。常见的野生兽类主要有刺猬、黄鼠狼、野兔、野猫、蝙蝠、老鼠、田鼠，全区均有分布。家畜中有猪、牛、马、驴、羊、兔、狗、猫等。</w:t>
      </w:r>
    </w:p>
    <w:p w14:paraId="4C5EB6EA">
      <w:pPr>
        <w:spacing w:line="360" w:lineRule="auto"/>
        <w:ind w:firstLine="480" w:firstLineChars="200"/>
        <w:rPr>
          <w:rFonts w:eastAsiaTheme="minorEastAsia"/>
          <w:kern w:val="20"/>
          <w:sz w:val="24"/>
        </w:rPr>
      </w:pPr>
      <w:r>
        <w:rPr>
          <w:rFonts w:hint="eastAsia" w:eastAsiaTheme="minorEastAsia"/>
          <w:kern w:val="20"/>
          <w:sz w:val="24"/>
        </w:rPr>
        <w:t>②两栖类和爬行类</w:t>
      </w:r>
    </w:p>
    <w:p w14:paraId="4AE5F0BB">
      <w:pPr>
        <w:spacing w:line="360" w:lineRule="auto"/>
        <w:ind w:firstLine="480" w:firstLineChars="200"/>
        <w:rPr>
          <w:rFonts w:eastAsiaTheme="minorEastAsia"/>
          <w:kern w:val="20"/>
          <w:sz w:val="24"/>
        </w:rPr>
      </w:pPr>
      <w:r>
        <w:rPr>
          <w:rFonts w:hint="eastAsia" w:eastAsiaTheme="minorEastAsia"/>
          <w:kern w:val="20"/>
          <w:sz w:val="24"/>
        </w:rPr>
        <w:t>爬行类主要有蛇、龟、鳖、壁虎、青蛙、蟾蜍等。其中蛇类较多，常见有银环蛇、蝮蛇、乌梢蛇、竹叶青、水蛇等。</w:t>
      </w:r>
    </w:p>
    <w:p w14:paraId="4D935C8F">
      <w:pPr>
        <w:spacing w:line="360" w:lineRule="auto"/>
        <w:ind w:firstLine="480" w:firstLineChars="200"/>
        <w:rPr>
          <w:rFonts w:eastAsiaTheme="minorEastAsia"/>
          <w:kern w:val="20"/>
          <w:sz w:val="24"/>
        </w:rPr>
      </w:pPr>
      <w:r>
        <w:rPr>
          <w:rFonts w:hint="eastAsia" w:eastAsiaTheme="minorEastAsia"/>
          <w:kern w:val="20"/>
          <w:sz w:val="24"/>
        </w:rPr>
        <w:t>③鸟类</w:t>
      </w:r>
    </w:p>
    <w:p w14:paraId="78C5E1D2">
      <w:pPr>
        <w:spacing w:line="360" w:lineRule="auto"/>
        <w:ind w:firstLine="480" w:firstLineChars="200"/>
        <w:rPr>
          <w:rFonts w:eastAsiaTheme="minorEastAsia"/>
          <w:kern w:val="20"/>
          <w:sz w:val="24"/>
        </w:rPr>
      </w:pPr>
      <w:r>
        <w:rPr>
          <w:rFonts w:hint="eastAsia" w:eastAsiaTheme="minorEastAsia"/>
          <w:kern w:val="20"/>
          <w:sz w:val="24"/>
        </w:rPr>
        <w:t>区内农业生境保护较好，鸟类种类和数量都较高。陆生鸟类主要有斑鸠、秧鸡、野鸭、燕、白鹤、猫头鹰、八哥、喜鹊、乌鸦、鹌鹑、杜鹃、麻雀、黄莺、鹰、鹞、鹳、翠鸟、黄鹂、丝毛雀、啄木鸟、竹鸡等。家禽有鸡、鸭、鹅、鸽等。</w:t>
      </w:r>
    </w:p>
    <w:p w14:paraId="227A5F0D">
      <w:pPr>
        <w:spacing w:line="360" w:lineRule="auto"/>
        <w:ind w:firstLine="480" w:firstLineChars="200"/>
        <w:rPr>
          <w:rFonts w:eastAsiaTheme="minorEastAsia"/>
          <w:kern w:val="20"/>
          <w:sz w:val="24"/>
        </w:rPr>
      </w:pPr>
      <w:r>
        <w:rPr>
          <w:rFonts w:hint="eastAsia" w:eastAsiaTheme="minorEastAsia"/>
          <w:kern w:val="20"/>
          <w:sz w:val="24"/>
        </w:rPr>
        <w:t>（3）重点保护植物</w:t>
      </w:r>
    </w:p>
    <w:p w14:paraId="439E76BB">
      <w:pPr>
        <w:spacing w:line="360" w:lineRule="auto"/>
        <w:ind w:firstLine="480" w:firstLineChars="200"/>
        <w:rPr>
          <w:rFonts w:eastAsiaTheme="minorEastAsia"/>
          <w:kern w:val="20"/>
          <w:sz w:val="24"/>
        </w:rPr>
      </w:pPr>
      <w:r>
        <w:rPr>
          <w:rFonts w:hint="eastAsia" w:eastAsiaTheme="minorEastAsia"/>
          <w:kern w:val="20"/>
          <w:sz w:val="24"/>
        </w:rPr>
        <w:t>根据调查，规划所在集中生产区域内无国家重点保护野生动物。</w:t>
      </w:r>
    </w:p>
    <w:p w14:paraId="1EE2548B">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水生生物分布现状</w:t>
      </w:r>
    </w:p>
    <w:p w14:paraId="6474A18C">
      <w:pPr>
        <w:spacing w:line="360" w:lineRule="auto"/>
        <w:ind w:firstLine="480" w:firstLineChars="200"/>
        <w:rPr>
          <w:rFonts w:eastAsiaTheme="minorEastAsia"/>
          <w:kern w:val="20"/>
          <w:sz w:val="24"/>
        </w:rPr>
      </w:pPr>
      <w:r>
        <w:rPr>
          <w:rFonts w:hint="eastAsia" w:eastAsiaTheme="minorEastAsia"/>
          <w:kern w:val="20"/>
          <w:sz w:val="24"/>
        </w:rPr>
        <w:t>（1）鱼类</w:t>
      </w:r>
    </w:p>
    <w:p w14:paraId="6BF4A013">
      <w:pPr>
        <w:spacing w:line="360" w:lineRule="auto"/>
        <w:ind w:firstLine="480" w:firstLineChars="200"/>
        <w:rPr>
          <w:rFonts w:eastAsiaTheme="minorEastAsia"/>
          <w:kern w:val="20"/>
          <w:sz w:val="24"/>
        </w:rPr>
      </w:pPr>
      <w:r>
        <w:rPr>
          <w:rFonts w:hint="eastAsia" w:eastAsiaTheme="minorEastAsia"/>
          <w:kern w:val="20"/>
          <w:sz w:val="24"/>
        </w:rPr>
        <w:t>根据调查资料显示，区域常见鱼类主要有草鱼、鲢、鳙、鲤、鲫、翘嘴鲌、黄颡鱼、鳜、鲇、黄鳝、泥鳅等。所在区域鱼类可以划分为以下3个区系复合体：</w:t>
      </w:r>
    </w:p>
    <w:p w14:paraId="64BBB7A0">
      <w:pPr>
        <w:spacing w:line="360" w:lineRule="auto"/>
        <w:ind w:firstLine="480" w:firstLineChars="200"/>
        <w:rPr>
          <w:rFonts w:eastAsiaTheme="minorEastAsia"/>
          <w:kern w:val="20"/>
          <w:sz w:val="24"/>
        </w:rPr>
      </w:pPr>
      <w:r>
        <w:rPr>
          <w:rFonts w:hint="eastAsia" w:eastAsiaTheme="minorEastAsia"/>
          <w:kern w:val="20"/>
          <w:sz w:val="24"/>
        </w:rPr>
        <w:t>A 中国平原区系复合体：鲢、鳙、草鱼等为代表种类。这类鱼的特点：很大部分产漂流性鱼卵，一部分鱼虽产粘性卵但粘性不大，卵产出后附着在物体上，不久即脱离，顺水漂流并发育；该复合体的鱼类都对水位变动敏感，许多种类在水位升高时从湖泊进入江河产卵，幼鱼和产过卵的亲鱼入湖泊育肥。它们中不少种类食物单纯，如草鱼食草，青鱼食贝类，生长迅速；</w:t>
      </w:r>
    </w:p>
    <w:p w14:paraId="0DFA0984">
      <w:pPr>
        <w:spacing w:line="360" w:lineRule="auto"/>
        <w:ind w:firstLine="480" w:firstLineChars="200"/>
        <w:rPr>
          <w:rFonts w:eastAsiaTheme="minorEastAsia"/>
          <w:kern w:val="20"/>
          <w:sz w:val="24"/>
        </w:rPr>
      </w:pPr>
      <w:r>
        <w:rPr>
          <w:rFonts w:hint="eastAsia" w:eastAsiaTheme="minorEastAsia"/>
          <w:kern w:val="20"/>
          <w:sz w:val="24"/>
        </w:rPr>
        <w:t>B 南方平原区系复合体：乌鳢、黄鳝为代表的种类。这类鱼身上花纹较多，有些种类具棘和吸取游离氧的副呼吸器官，如鳢的鳃上器，黄鳝的口腔表皮等。此类鱼喜暖水，在北方选择温度最高的盛夏繁殖，多能保护鱼卵和幼鱼，分布在东亚，愈往低纬度地带种类愈多。分布除东南亚外，印度也有一些种类。说明此类鱼适合在炎热气候、多水草易缺氧的浅水湖泊池沼中生活；</w:t>
      </w:r>
    </w:p>
    <w:p w14:paraId="62AE1BA8">
      <w:pPr>
        <w:spacing w:line="360" w:lineRule="auto"/>
        <w:ind w:firstLine="480" w:firstLineChars="200"/>
        <w:rPr>
          <w:rFonts w:eastAsiaTheme="minorEastAsia"/>
          <w:kern w:val="20"/>
          <w:sz w:val="24"/>
        </w:rPr>
      </w:pPr>
      <w:r>
        <w:rPr>
          <w:rFonts w:hint="eastAsia" w:eastAsiaTheme="minorEastAsia"/>
          <w:kern w:val="20"/>
          <w:sz w:val="24"/>
        </w:rPr>
        <w:t>C 晚第三纪早期区系复合体：该动物区系复合体被分割成若干不连续的区域，有的种类并存于欧亚，但在西伯利亚已绝迹，故这些鱼类被看作残遗种类。它们共同特征是视觉不发达，嗅觉发达，以底栖生物为食者较多，适应于当时浑浊的水中生活。</w:t>
      </w:r>
    </w:p>
    <w:p w14:paraId="78B018A8">
      <w:pPr>
        <w:spacing w:line="360" w:lineRule="auto"/>
        <w:ind w:firstLine="480" w:firstLineChars="200"/>
        <w:rPr>
          <w:rFonts w:eastAsiaTheme="minorEastAsia"/>
          <w:kern w:val="20"/>
          <w:sz w:val="24"/>
        </w:rPr>
      </w:pPr>
      <w:r>
        <w:rPr>
          <w:rFonts w:hint="eastAsia" w:eastAsiaTheme="minorEastAsia"/>
          <w:kern w:val="20"/>
          <w:sz w:val="24"/>
        </w:rPr>
        <w:t>产业园所在区域未发现国家级和湖北省级保护鱼类，也未发现中国濒危动物红皮书所列物种。</w:t>
      </w:r>
    </w:p>
    <w:p w14:paraId="0BBB11AB">
      <w:pPr>
        <w:spacing w:line="360" w:lineRule="auto"/>
        <w:ind w:firstLine="480" w:firstLineChars="200"/>
        <w:rPr>
          <w:rFonts w:eastAsiaTheme="minorEastAsia"/>
          <w:kern w:val="20"/>
          <w:sz w:val="24"/>
        </w:rPr>
      </w:pPr>
      <w:r>
        <w:rPr>
          <w:rFonts w:hint="eastAsia" w:eastAsiaTheme="minorEastAsia"/>
          <w:kern w:val="20"/>
          <w:sz w:val="24"/>
        </w:rPr>
        <w:t>鱼类重要生境指的是“三场”即产卵场、索饵场和越冬场，评价区没有鱼类“三场”分布。</w:t>
      </w:r>
    </w:p>
    <w:p w14:paraId="013FB399">
      <w:pPr>
        <w:spacing w:line="360" w:lineRule="auto"/>
        <w:ind w:firstLine="480" w:firstLineChars="200"/>
        <w:rPr>
          <w:rFonts w:eastAsiaTheme="minorEastAsia"/>
          <w:kern w:val="20"/>
          <w:sz w:val="24"/>
        </w:rPr>
      </w:pPr>
      <w:r>
        <w:rPr>
          <w:rFonts w:hint="eastAsia" w:eastAsiaTheme="minorEastAsia"/>
          <w:kern w:val="20"/>
          <w:sz w:val="24"/>
        </w:rPr>
        <w:t>（2）浮游植物</w:t>
      </w:r>
    </w:p>
    <w:p w14:paraId="126CBC24">
      <w:pPr>
        <w:spacing w:line="360" w:lineRule="auto"/>
        <w:ind w:firstLine="480" w:firstLineChars="200"/>
        <w:rPr>
          <w:rFonts w:eastAsiaTheme="minorEastAsia"/>
          <w:kern w:val="20"/>
          <w:sz w:val="24"/>
        </w:rPr>
      </w:pPr>
      <w:r>
        <w:rPr>
          <w:rFonts w:hint="eastAsia" w:eastAsiaTheme="minorEastAsia"/>
          <w:kern w:val="20"/>
          <w:sz w:val="24"/>
        </w:rPr>
        <w:t>根据调查，所在区域共有浮游植物共计5门26种，包括硅藻门、蓝藻门、绿藻门、甲藻门、裸藻门。</w:t>
      </w:r>
    </w:p>
    <w:p w14:paraId="116C6E90">
      <w:pPr>
        <w:spacing w:line="360" w:lineRule="auto"/>
        <w:ind w:firstLine="480" w:firstLineChars="200"/>
        <w:rPr>
          <w:rFonts w:eastAsiaTheme="minorEastAsia"/>
          <w:kern w:val="20"/>
          <w:sz w:val="24"/>
        </w:rPr>
      </w:pPr>
      <w:r>
        <w:rPr>
          <w:rFonts w:hint="eastAsia" w:eastAsiaTheme="minorEastAsia"/>
          <w:kern w:val="20"/>
          <w:sz w:val="24"/>
        </w:rPr>
        <w:t>（3）浮游动物</w:t>
      </w:r>
    </w:p>
    <w:p w14:paraId="2703D9A7">
      <w:pPr>
        <w:spacing w:line="360" w:lineRule="auto"/>
        <w:ind w:firstLine="480" w:firstLineChars="200"/>
        <w:rPr>
          <w:rFonts w:eastAsiaTheme="minorEastAsia"/>
          <w:kern w:val="20"/>
          <w:sz w:val="24"/>
        </w:rPr>
      </w:pPr>
      <w:r>
        <w:rPr>
          <w:rFonts w:hint="eastAsia" w:eastAsiaTheme="minorEastAsia"/>
          <w:kern w:val="20"/>
          <w:sz w:val="24"/>
        </w:rPr>
        <w:t>根据调查，所在区域浮游动物共计1门3类，包括甲壳类、枝角类、桡足类。</w:t>
      </w:r>
    </w:p>
    <w:p w14:paraId="0EBA8131">
      <w:pPr>
        <w:spacing w:line="360" w:lineRule="auto"/>
        <w:ind w:firstLine="480" w:firstLineChars="200"/>
        <w:rPr>
          <w:rFonts w:eastAsiaTheme="minorEastAsia"/>
          <w:kern w:val="20"/>
          <w:sz w:val="24"/>
        </w:rPr>
      </w:pPr>
      <w:r>
        <w:rPr>
          <w:rFonts w:hint="eastAsia" w:eastAsiaTheme="minorEastAsia"/>
          <w:kern w:val="20"/>
          <w:sz w:val="24"/>
        </w:rPr>
        <w:t>（4）底栖动物</w:t>
      </w:r>
    </w:p>
    <w:p w14:paraId="76233187">
      <w:pPr>
        <w:spacing w:line="360" w:lineRule="auto"/>
        <w:ind w:firstLine="480" w:firstLineChars="200"/>
        <w:rPr>
          <w:rFonts w:eastAsiaTheme="minorEastAsia"/>
          <w:kern w:val="20"/>
          <w:sz w:val="24"/>
        </w:rPr>
      </w:pPr>
      <w:r>
        <w:rPr>
          <w:rFonts w:hint="eastAsia" w:eastAsiaTheme="minorEastAsia"/>
          <w:kern w:val="20"/>
          <w:sz w:val="24"/>
        </w:rPr>
        <w:t>根据调查，所在区域底栖动物共计2门3纲20种（属），其中软体动物门11种、节肢动物门9种。软体动物主要种类为田螺科；环节动物常见种类为巨毛水丝蚓。</w:t>
      </w:r>
    </w:p>
    <w:p w14:paraId="5EDF97C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生态系统</w:t>
      </w:r>
    </w:p>
    <w:p w14:paraId="21B98919">
      <w:pPr>
        <w:spacing w:line="360" w:lineRule="auto"/>
        <w:ind w:firstLine="480" w:firstLineChars="200"/>
        <w:rPr>
          <w:rFonts w:eastAsiaTheme="minorEastAsia"/>
          <w:kern w:val="20"/>
          <w:sz w:val="24"/>
        </w:rPr>
      </w:pPr>
      <w:r>
        <w:rPr>
          <w:rFonts w:hint="eastAsia" w:eastAsiaTheme="minorEastAsia"/>
          <w:kern w:val="20"/>
          <w:sz w:val="24"/>
        </w:rPr>
        <w:t>区域生态系统类型划可分为自然生态系统和人工生态系统2大类、5个种类，分别为：森林生态系统、灌丛生态系统、农业生态系统、湿地生态系统和村落生态系统。</w:t>
      </w:r>
    </w:p>
    <w:p w14:paraId="74889ACD">
      <w:pPr>
        <w:spacing w:line="360" w:lineRule="auto"/>
        <w:ind w:firstLine="480" w:firstLineChars="200"/>
        <w:rPr>
          <w:rFonts w:eastAsiaTheme="minorEastAsia"/>
          <w:kern w:val="20"/>
          <w:sz w:val="24"/>
        </w:rPr>
      </w:pPr>
      <w:r>
        <w:rPr>
          <w:rFonts w:hint="eastAsia" w:eastAsiaTheme="minorEastAsia"/>
          <w:kern w:val="20"/>
          <w:sz w:val="24"/>
        </w:rPr>
        <w:t>（1）森林生态系统</w:t>
      </w:r>
    </w:p>
    <w:p w14:paraId="6E83A996">
      <w:pPr>
        <w:spacing w:line="360" w:lineRule="auto"/>
        <w:ind w:firstLine="480" w:firstLineChars="200"/>
        <w:rPr>
          <w:rFonts w:eastAsiaTheme="minorEastAsia"/>
          <w:kern w:val="20"/>
          <w:sz w:val="24"/>
        </w:rPr>
      </w:pPr>
      <w:r>
        <w:rPr>
          <w:rFonts w:hint="eastAsia" w:eastAsiaTheme="minorEastAsia"/>
          <w:kern w:val="20"/>
          <w:sz w:val="24"/>
        </w:rPr>
        <w:t>森林生态系统是森林群落与其环境在功能流的作用下形成一定结构、功能和自我调控的自然综合体，是陆地生态系统中面积最多、最重要的自然生态系统。</w:t>
      </w:r>
    </w:p>
    <w:p w14:paraId="412551B6">
      <w:pPr>
        <w:spacing w:line="360" w:lineRule="auto"/>
        <w:ind w:firstLine="480" w:firstLineChars="200"/>
        <w:rPr>
          <w:rFonts w:eastAsiaTheme="minorEastAsia"/>
          <w:kern w:val="20"/>
          <w:sz w:val="24"/>
        </w:rPr>
      </w:pPr>
      <w:r>
        <w:rPr>
          <w:rFonts w:hint="eastAsia" w:eastAsiaTheme="minorEastAsia"/>
          <w:kern w:val="20"/>
          <w:sz w:val="24"/>
        </w:rPr>
        <w:t>区域森林生态系统植被类型主要为马尾松林（</w:t>
      </w:r>
      <w:r>
        <w:rPr>
          <w:rFonts w:hint="eastAsia" w:eastAsiaTheme="minorEastAsia"/>
          <w:bCs/>
          <w:i/>
          <w:iCs/>
          <w:sz w:val="24"/>
        </w:rPr>
        <w:t>Form.Pinusmassoniana</w:t>
      </w:r>
      <w:r>
        <w:rPr>
          <w:rFonts w:hint="eastAsia" w:eastAsiaTheme="minorEastAsia"/>
          <w:kern w:val="20"/>
          <w:sz w:val="24"/>
        </w:rPr>
        <w:t>）、响叶杨林（</w:t>
      </w:r>
      <w:r>
        <w:rPr>
          <w:rFonts w:hint="eastAsia" w:eastAsiaTheme="minorEastAsia"/>
          <w:bCs/>
          <w:i/>
          <w:iCs/>
          <w:sz w:val="24"/>
        </w:rPr>
        <w:t>Form.Populusadenopoda</w:t>
      </w:r>
      <w:r>
        <w:rPr>
          <w:rFonts w:hint="eastAsia" w:eastAsiaTheme="minorEastAsia"/>
          <w:kern w:val="20"/>
          <w:sz w:val="24"/>
        </w:rPr>
        <w:t>）、栓皮栎林（</w:t>
      </w:r>
      <w:r>
        <w:rPr>
          <w:rFonts w:hint="eastAsia" w:eastAsiaTheme="minorEastAsia"/>
          <w:bCs/>
          <w:i/>
          <w:iCs/>
          <w:sz w:val="24"/>
        </w:rPr>
        <w:t>Form.Quercusvariabilis</w:t>
      </w:r>
      <w:r>
        <w:rPr>
          <w:rFonts w:hint="eastAsia" w:eastAsiaTheme="minorEastAsia"/>
          <w:kern w:val="20"/>
          <w:sz w:val="24"/>
        </w:rPr>
        <w:t>）、毛竹林（</w:t>
      </w:r>
      <w:r>
        <w:rPr>
          <w:rFonts w:hint="eastAsia" w:eastAsiaTheme="minorEastAsia"/>
          <w:bCs/>
          <w:i/>
          <w:iCs/>
          <w:sz w:val="24"/>
        </w:rPr>
        <w:t>Form.Phyllostachysedulis（Carrière）J.Houz</w:t>
      </w:r>
      <w:r>
        <w:rPr>
          <w:rFonts w:hint="eastAsia" w:eastAsiaTheme="minorEastAsia"/>
          <w:kern w:val="20"/>
          <w:sz w:val="24"/>
        </w:rPr>
        <w:t>）、水竹林（</w:t>
      </w:r>
      <w:r>
        <w:rPr>
          <w:rFonts w:hint="eastAsia" w:eastAsiaTheme="minorEastAsia"/>
          <w:bCs/>
          <w:i/>
          <w:iCs/>
          <w:sz w:val="24"/>
        </w:rPr>
        <w:t>Form. Phyllostachysheteroclada</w:t>
      </w:r>
      <w:r>
        <w:rPr>
          <w:rFonts w:hint="eastAsia" w:eastAsiaTheme="minorEastAsia"/>
          <w:kern w:val="20"/>
          <w:sz w:val="24"/>
        </w:rPr>
        <w:t>）等。</w:t>
      </w:r>
    </w:p>
    <w:p w14:paraId="63CB4B2E">
      <w:pPr>
        <w:spacing w:line="360" w:lineRule="auto"/>
        <w:ind w:firstLine="480" w:firstLineChars="200"/>
        <w:rPr>
          <w:rFonts w:eastAsiaTheme="minorEastAsia"/>
          <w:kern w:val="20"/>
          <w:sz w:val="24"/>
        </w:rPr>
      </w:pPr>
      <w:r>
        <w:rPr>
          <w:rFonts w:hint="eastAsia" w:eastAsiaTheme="minorEastAsia"/>
          <w:kern w:val="20"/>
          <w:sz w:val="24"/>
        </w:rPr>
        <w:t>森林生态系统是动物良好的栖息地和避难所，也是评价区内野生动物的主要活动场所，如鸟类中的陆禽麻雀（</w:t>
      </w:r>
      <w:r>
        <w:rPr>
          <w:rFonts w:hint="eastAsia" w:eastAsiaTheme="minorEastAsia"/>
          <w:bCs/>
          <w:i/>
          <w:iCs/>
          <w:sz w:val="24"/>
        </w:rPr>
        <w:t>Passercinnamomeus</w:t>
      </w:r>
      <w:r>
        <w:rPr>
          <w:rFonts w:hint="eastAsia" w:eastAsiaTheme="minorEastAsia"/>
          <w:kern w:val="20"/>
          <w:sz w:val="24"/>
        </w:rPr>
        <w:t>）、喜鹊（</w:t>
      </w:r>
      <w:r>
        <w:rPr>
          <w:rFonts w:hint="eastAsia" w:eastAsiaTheme="minorEastAsia"/>
          <w:bCs/>
          <w:i/>
          <w:iCs/>
          <w:sz w:val="24"/>
        </w:rPr>
        <w:t>Picapica</w:t>
      </w:r>
      <w:r>
        <w:rPr>
          <w:rFonts w:hint="eastAsia" w:eastAsiaTheme="minorEastAsia"/>
          <w:kern w:val="20"/>
          <w:sz w:val="24"/>
        </w:rPr>
        <w:t>）及大多数鸣禽等；兽类中的半地下生活型种类，如黄鼬（</w:t>
      </w:r>
      <w:r>
        <w:rPr>
          <w:rFonts w:hint="eastAsia" w:eastAsiaTheme="minorEastAsia"/>
          <w:bCs/>
          <w:i/>
          <w:iCs/>
          <w:sz w:val="24"/>
        </w:rPr>
        <w:t>Mustelasibirica</w:t>
      </w:r>
      <w:r>
        <w:rPr>
          <w:rFonts w:hint="eastAsia" w:eastAsiaTheme="minorEastAsia"/>
          <w:kern w:val="20"/>
          <w:sz w:val="24"/>
        </w:rPr>
        <w:t>）。</w:t>
      </w:r>
    </w:p>
    <w:p w14:paraId="7C525DB2">
      <w:pPr>
        <w:spacing w:line="360" w:lineRule="auto"/>
        <w:ind w:firstLine="480" w:firstLineChars="200"/>
        <w:rPr>
          <w:rFonts w:eastAsiaTheme="minorEastAsia"/>
          <w:kern w:val="20"/>
          <w:sz w:val="24"/>
        </w:rPr>
      </w:pPr>
      <w:r>
        <w:rPr>
          <w:rFonts w:hint="eastAsia" w:eastAsiaTheme="minorEastAsia"/>
          <w:kern w:val="20"/>
          <w:sz w:val="24"/>
        </w:rPr>
        <w:t>（2）灌丛/草地生态系统</w:t>
      </w:r>
    </w:p>
    <w:p w14:paraId="4E1BB37B">
      <w:pPr>
        <w:spacing w:line="360" w:lineRule="auto"/>
        <w:ind w:firstLine="480" w:firstLineChars="200"/>
        <w:rPr>
          <w:rFonts w:eastAsiaTheme="minorEastAsia"/>
          <w:kern w:val="20"/>
          <w:sz w:val="24"/>
        </w:rPr>
      </w:pPr>
      <w:r>
        <w:rPr>
          <w:rFonts w:hint="eastAsia" w:eastAsiaTheme="minorEastAsia"/>
          <w:kern w:val="20"/>
          <w:sz w:val="24"/>
        </w:rPr>
        <w:t>灌丛是指以灌木为主的植被或植物群落；灌草丛是指以草本植物为主要建群种，但其中散生灌木的植物群落。灌丛/灌草丛生态系统是指以灌木/草本为主的生物与其环境构成的统一整体，广泛分布于中国温带、亚热带及热带地区。除特殊生境下（如海滨）为原生类型外，大部分是森林、灌丛被砍伐，导致水土流失，土壤日趋瘠薄，生境趋于干旱化所形成的次生类型。</w:t>
      </w:r>
    </w:p>
    <w:p w14:paraId="1A38B88C">
      <w:pPr>
        <w:spacing w:line="360" w:lineRule="auto"/>
        <w:ind w:firstLine="480" w:firstLineChars="200"/>
        <w:rPr>
          <w:rFonts w:eastAsiaTheme="minorEastAsia"/>
          <w:kern w:val="20"/>
          <w:sz w:val="24"/>
        </w:rPr>
      </w:pPr>
      <w:r>
        <w:rPr>
          <w:rFonts w:hint="eastAsia" w:eastAsiaTheme="minorEastAsia"/>
          <w:kern w:val="20"/>
          <w:sz w:val="24"/>
        </w:rPr>
        <w:t>灌丛和灌草丛生态系统植被类型以构树灌丛（</w:t>
      </w:r>
      <w:r>
        <w:rPr>
          <w:rFonts w:hint="eastAsia" w:eastAsiaTheme="minorEastAsia"/>
          <w:bCs/>
          <w:i/>
          <w:iCs/>
          <w:sz w:val="24"/>
        </w:rPr>
        <w:t>Form.Broussonetiapapyrifera</w:t>
      </w:r>
      <w:r>
        <w:rPr>
          <w:rFonts w:hint="eastAsia" w:eastAsiaTheme="minorEastAsia"/>
          <w:kern w:val="20"/>
          <w:sz w:val="24"/>
        </w:rPr>
        <w:t>）、盐肤木灌丛（</w:t>
      </w:r>
      <w:r>
        <w:rPr>
          <w:rFonts w:hint="eastAsia" w:eastAsiaTheme="minorEastAsia"/>
          <w:bCs/>
          <w:i/>
          <w:iCs/>
          <w:sz w:val="24"/>
        </w:rPr>
        <w:t>Form.Rhus chinensis</w:t>
      </w:r>
      <w:r>
        <w:rPr>
          <w:rFonts w:hint="eastAsia" w:eastAsiaTheme="minorEastAsia"/>
          <w:kern w:val="20"/>
          <w:sz w:val="24"/>
        </w:rPr>
        <w:t>）、山鸡椒灌丛（</w:t>
      </w:r>
      <w:r>
        <w:rPr>
          <w:rFonts w:hint="eastAsia" w:eastAsiaTheme="minorEastAsia"/>
          <w:bCs/>
          <w:i/>
          <w:iCs/>
          <w:sz w:val="24"/>
        </w:rPr>
        <w:t>Form.Litseacubeba</w:t>
      </w:r>
      <w:r>
        <w:rPr>
          <w:rFonts w:hint="eastAsia" w:eastAsiaTheme="minorEastAsia"/>
          <w:kern w:val="20"/>
          <w:sz w:val="24"/>
        </w:rPr>
        <w:t>）、高粱泡灌丛（</w:t>
      </w:r>
      <w:r>
        <w:rPr>
          <w:rFonts w:hint="eastAsia" w:eastAsiaTheme="minorEastAsia"/>
          <w:bCs/>
          <w:i/>
          <w:iCs/>
          <w:sz w:val="24"/>
        </w:rPr>
        <w:t>Form.Rubus lambertianus</w:t>
      </w:r>
      <w:r>
        <w:rPr>
          <w:rFonts w:hint="eastAsia" w:eastAsiaTheme="minorEastAsia"/>
          <w:kern w:val="20"/>
          <w:sz w:val="24"/>
        </w:rPr>
        <w:t>）、狗牙根灌草丛（</w:t>
      </w:r>
      <w:r>
        <w:rPr>
          <w:rFonts w:hint="eastAsia" w:eastAsiaTheme="minorEastAsia"/>
          <w:bCs/>
          <w:i/>
          <w:iCs/>
          <w:sz w:val="24"/>
        </w:rPr>
        <w:t>Form.Cynodondactylon</w:t>
      </w:r>
      <w:r>
        <w:rPr>
          <w:rFonts w:hint="eastAsia" w:eastAsiaTheme="minorEastAsia"/>
          <w:kern w:val="20"/>
          <w:sz w:val="24"/>
        </w:rPr>
        <w:t>）、接骨草灌草丛（</w:t>
      </w:r>
      <w:r>
        <w:rPr>
          <w:rFonts w:hint="eastAsia" w:eastAsiaTheme="minorEastAsia"/>
          <w:bCs/>
          <w:i/>
          <w:iCs/>
          <w:sz w:val="24"/>
        </w:rPr>
        <w:t>Form. Sambucuschinensis</w:t>
      </w:r>
      <w:r>
        <w:rPr>
          <w:rFonts w:hint="eastAsia" w:eastAsiaTheme="minorEastAsia"/>
          <w:kern w:val="20"/>
          <w:sz w:val="24"/>
        </w:rPr>
        <w:t>）等为主。</w:t>
      </w:r>
    </w:p>
    <w:p w14:paraId="76053071">
      <w:pPr>
        <w:spacing w:line="360" w:lineRule="auto"/>
        <w:ind w:firstLine="480" w:firstLineChars="200"/>
        <w:rPr>
          <w:rFonts w:eastAsiaTheme="minorEastAsia"/>
          <w:kern w:val="20"/>
          <w:sz w:val="24"/>
        </w:rPr>
      </w:pPr>
      <w:r>
        <w:rPr>
          <w:rFonts w:hint="eastAsia" w:eastAsiaTheme="minorEastAsia"/>
          <w:kern w:val="20"/>
          <w:sz w:val="24"/>
        </w:rPr>
        <w:t>灌丛/灌草丛生物群落是许多生物的重要栖息地，如灌丛石隙型爬行类，如多疣壁虎（</w:t>
      </w:r>
      <w:r>
        <w:rPr>
          <w:rFonts w:hint="eastAsia" w:eastAsiaTheme="minorEastAsia"/>
          <w:bCs/>
          <w:i/>
          <w:iCs/>
          <w:sz w:val="24"/>
        </w:rPr>
        <w:t>Gekko japonicus</w:t>
      </w:r>
      <w:r>
        <w:rPr>
          <w:rFonts w:hint="eastAsia" w:eastAsiaTheme="minorEastAsia"/>
          <w:kern w:val="20"/>
          <w:sz w:val="24"/>
        </w:rPr>
        <w:t>）、中国石龙子（</w:t>
      </w:r>
      <w:r>
        <w:rPr>
          <w:rFonts w:hint="eastAsia" w:eastAsiaTheme="minorEastAsia"/>
          <w:bCs/>
          <w:i/>
          <w:iCs/>
          <w:sz w:val="24"/>
        </w:rPr>
        <w:t>Plestiodon chinensis</w:t>
      </w:r>
      <w:r>
        <w:rPr>
          <w:rFonts w:hint="eastAsia" w:eastAsiaTheme="minorEastAsia"/>
          <w:kern w:val="20"/>
          <w:sz w:val="24"/>
        </w:rPr>
        <w:t>）等，鸟类中的陆禽如山斑鸠（</w:t>
      </w:r>
      <w:r>
        <w:rPr>
          <w:rFonts w:hint="eastAsia" w:eastAsiaTheme="minorEastAsia"/>
          <w:bCs/>
          <w:i/>
          <w:iCs/>
          <w:sz w:val="24"/>
        </w:rPr>
        <w:t>Streptopelia orientalis</w:t>
      </w:r>
      <w:r>
        <w:rPr>
          <w:rFonts w:hint="eastAsia" w:eastAsiaTheme="minorEastAsia"/>
          <w:kern w:val="20"/>
          <w:sz w:val="24"/>
        </w:rPr>
        <w:t>）、珠颈斑鸠（</w:t>
      </w:r>
      <w:r>
        <w:rPr>
          <w:rFonts w:hint="eastAsia" w:eastAsiaTheme="minorEastAsia"/>
          <w:bCs/>
          <w:i/>
          <w:iCs/>
          <w:sz w:val="24"/>
        </w:rPr>
        <w:t>Streptopelia chinensis</w:t>
      </w:r>
      <w:r>
        <w:rPr>
          <w:rFonts w:hint="eastAsia" w:eastAsiaTheme="minorEastAsia"/>
          <w:kern w:val="20"/>
          <w:sz w:val="24"/>
        </w:rPr>
        <w:t>）大多数鸣禽等；兽类中的半地下生活型种类如黄鼬等。</w:t>
      </w:r>
    </w:p>
    <w:p w14:paraId="762F1D46">
      <w:pPr>
        <w:spacing w:line="360" w:lineRule="auto"/>
        <w:ind w:firstLine="480" w:firstLineChars="200"/>
        <w:rPr>
          <w:rFonts w:eastAsiaTheme="minorEastAsia"/>
          <w:kern w:val="20"/>
          <w:sz w:val="24"/>
        </w:rPr>
      </w:pPr>
      <w:r>
        <w:rPr>
          <w:rFonts w:hint="eastAsia" w:eastAsiaTheme="minorEastAsia"/>
          <w:kern w:val="20"/>
          <w:sz w:val="24"/>
        </w:rPr>
        <w:t>（3）湿地生态系统</w:t>
      </w:r>
    </w:p>
    <w:p w14:paraId="480D8981">
      <w:pPr>
        <w:spacing w:line="360" w:lineRule="auto"/>
        <w:ind w:firstLine="480" w:firstLineChars="200"/>
        <w:rPr>
          <w:rFonts w:eastAsiaTheme="minorEastAsia"/>
          <w:kern w:val="20"/>
          <w:sz w:val="24"/>
        </w:rPr>
      </w:pPr>
      <w:r>
        <w:rPr>
          <w:rFonts w:hint="eastAsia" w:eastAsiaTheme="minorEastAsia"/>
          <w:kern w:val="20"/>
          <w:sz w:val="24"/>
        </w:rPr>
        <w:t>湿地生态系统服务功能不仅包括提供大量资源产品，而且具有大的环境调节功能和环境效益，在调蓄洪水、调节气候、控制土壤等多方面发挥着重要作用。区域湿地生态系统主要是一些人工坑塘，面积较小。湿地生态系统的植被类型单一，主要是香蒲群系（</w:t>
      </w:r>
      <w:r>
        <w:rPr>
          <w:rFonts w:hint="eastAsia" w:eastAsiaTheme="minorEastAsia"/>
          <w:bCs/>
          <w:i/>
          <w:iCs/>
          <w:sz w:val="24"/>
        </w:rPr>
        <w:t>Form.Typhaorientalis</w:t>
      </w:r>
      <w:r>
        <w:rPr>
          <w:rFonts w:hint="eastAsia" w:eastAsiaTheme="minorEastAsia"/>
          <w:kern w:val="20"/>
          <w:sz w:val="24"/>
        </w:rPr>
        <w:t>）。</w:t>
      </w:r>
    </w:p>
    <w:p w14:paraId="555525CB">
      <w:pPr>
        <w:spacing w:line="360" w:lineRule="auto"/>
        <w:ind w:firstLine="480" w:firstLineChars="200"/>
        <w:rPr>
          <w:rFonts w:eastAsiaTheme="minorEastAsia"/>
          <w:kern w:val="20"/>
          <w:sz w:val="24"/>
        </w:rPr>
      </w:pPr>
      <w:r>
        <w:rPr>
          <w:rFonts w:hint="eastAsia" w:eastAsiaTheme="minorEastAsia"/>
          <w:kern w:val="20"/>
          <w:sz w:val="24"/>
        </w:rPr>
        <w:t>湿地生态系统也是多种动物的重要栖息场所，如两栖类中的静水型种类，如黑斑侧褶蛙（</w:t>
      </w:r>
      <w:r>
        <w:rPr>
          <w:rFonts w:hint="eastAsia" w:eastAsiaTheme="minorEastAsia"/>
          <w:bCs/>
          <w:i/>
          <w:iCs/>
          <w:sz w:val="24"/>
        </w:rPr>
        <w:t>Pelophylaxnigromaculata</w:t>
      </w:r>
      <w:r>
        <w:rPr>
          <w:rFonts w:hint="eastAsia" w:eastAsiaTheme="minorEastAsia"/>
          <w:kern w:val="20"/>
          <w:sz w:val="24"/>
        </w:rPr>
        <w:t>）等；爬行类中的水栖型种类，如林栖傍水型种类，如乌梢蛇（</w:t>
      </w:r>
      <w:r>
        <w:rPr>
          <w:rFonts w:hint="eastAsia" w:eastAsiaTheme="minorEastAsia"/>
          <w:bCs/>
          <w:i/>
          <w:iCs/>
          <w:sz w:val="24"/>
        </w:rPr>
        <w:t>Zaocysdhumnades</w:t>
      </w:r>
      <w:r>
        <w:rPr>
          <w:rFonts w:hint="eastAsia" w:eastAsiaTheme="minorEastAsia"/>
          <w:kern w:val="20"/>
          <w:sz w:val="24"/>
        </w:rPr>
        <w:t>）等。区域湿地生态系统的主要生态功能为调洪蓄水、农田灌溉等。</w:t>
      </w:r>
    </w:p>
    <w:p w14:paraId="637B2242">
      <w:pPr>
        <w:spacing w:line="360" w:lineRule="auto"/>
        <w:ind w:firstLine="480" w:firstLineChars="200"/>
        <w:rPr>
          <w:rFonts w:eastAsiaTheme="minorEastAsia"/>
          <w:kern w:val="20"/>
          <w:sz w:val="24"/>
        </w:rPr>
      </w:pPr>
      <w:r>
        <w:rPr>
          <w:rFonts w:hint="eastAsia" w:eastAsiaTheme="minorEastAsia"/>
          <w:kern w:val="20"/>
          <w:sz w:val="24"/>
        </w:rPr>
        <w:t>（4）农农业生态系统</w:t>
      </w:r>
    </w:p>
    <w:p w14:paraId="14D93C1D">
      <w:pPr>
        <w:spacing w:line="360" w:lineRule="auto"/>
        <w:ind w:firstLine="480" w:firstLineChars="200"/>
        <w:rPr>
          <w:rFonts w:eastAsiaTheme="minorEastAsia"/>
          <w:kern w:val="20"/>
          <w:sz w:val="24"/>
        </w:rPr>
      </w:pPr>
      <w:r>
        <w:rPr>
          <w:rFonts w:hint="eastAsia" w:eastAsiaTheme="minorEastAsia"/>
          <w:kern w:val="20"/>
          <w:sz w:val="24"/>
        </w:rPr>
        <w:t>农业生态系统由一定农业地域内相互作用的生物因素和非生物因素构成的功能整体，人类生产活动干预下形成的人工生态系统。农田生态系统的主要生态功能体现在农产品及副产品生产，包括为人们提供农产品，为现代工业提供加工原料，以及提供生物生源等。同时，农田生态系统也具有大气调节、土壤保持、养分循环、水分调节、生物多样性及基因资源以及餐饮、娱乐、文化等功能。</w:t>
      </w:r>
    </w:p>
    <w:p w14:paraId="65F4A5D4">
      <w:pPr>
        <w:spacing w:line="360" w:lineRule="auto"/>
        <w:ind w:firstLine="480" w:firstLineChars="200"/>
        <w:rPr>
          <w:rFonts w:eastAsiaTheme="minorEastAsia"/>
          <w:kern w:val="20"/>
          <w:sz w:val="24"/>
        </w:rPr>
      </w:pPr>
      <w:r>
        <w:rPr>
          <w:rFonts w:hint="eastAsia" w:eastAsiaTheme="minorEastAsia"/>
          <w:kern w:val="20"/>
          <w:sz w:val="24"/>
        </w:rPr>
        <w:t>农业生态系统植被分为粮食作物和经济作物，粮食作物主要是水稻和薯类等；经济作物主要有花生、辣椒、豇豆、白菜等。</w:t>
      </w:r>
    </w:p>
    <w:p w14:paraId="3E3856C8">
      <w:pPr>
        <w:spacing w:line="360" w:lineRule="auto"/>
        <w:ind w:firstLine="480" w:firstLineChars="200"/>
        <w:rPr>
          <w:rFonts w:eastAsiaTheme="minorEastAsia"/>
          <w:kern w:val="20"/>
          <w:sz w:val="24"/>
        </w:rPr>
      </w:pPr>
      <w:r>
        <w:rPr>
          <w:rFonts w:hint="eastAsia" w:eastAsiaTheme="minorEastAsia"/>
          <w:kern w:val="20"/>
          <w:sz w:val="24"/>
        </w:rPr>
        <w:t>农业生态系统属人工控制的生态系统，与人类伴居的动物多活动于此，如鸟类中的常见鸣禽八哥（</w:t>
      </w:r>
      <w:r>
        <w:rPr>
          <w:rFonts w:hint="eastAsia" w:eastAsiaTheme="minorEastAsia"/>
          <w:bCs/>
          <w:i/>
          <w:iCs/>
          <w:sz w:val="24"/>
        </w:rPr>
        <w:t>Acridotheresc cristatellus</w:t>
      </w:r>
      <w:r>
        <w:rPr>
          <w:rFonts w:hint="eastAsia" w:eastAsiaTheme="minorEastAsia"/>
          <w:kern w:val="20"/>
          <w:sz w:val="24"/>
        </w:rPr>
        <w:t>）、喜鹊（</w:t>
      </w:r>
      <w:r>
        <w:rPr>
          <w:rFonts w:hint="eastAsia" w:eastAsiaTheme="minorEastAsia"/>
          <w:bCs/>
          <w:i/>
          <w:iCs/>
          <w:sz w:val="24"/>
        </w:rPr>
        <w:t>Picap pica</w:t>
      </w:r>
      <w:r>
        <w:rPr>
          <w:rFonts w:hint="eastAsia" w:eastAsiaTheme="minorEastAsia"/>
          <w:kern w:val="20"/>
          <w:sz w:val="24"/>
        </w:rPr>
        <w:t>）等，以及兽类中的部分半地下生活型种类，主要为小型啮齿动物，如小家鼠（</w:t>
      </w:r>
      <w:r>
        <w:rPr>
          <w:rFonts w:hint="eastAsia" w:eastAsiaTheme="minorEastAsia"/>
          <w:bCs/>
          <w:i/>
          <w:iCs/>
          <w:sz w:val="24"/>
        </w:rPr>
        <w:t>Mus musculus</w:t>
      </w:r>
      <w:r>
        <w:rPr>
          <w:rFonts w:hint="eastAsia" w:eastAsiaTheme="minorEastAsia"/>
          <w:kern w:val="20"/>
          <w:sz w:val="24"/>
        </w:rPr>
        <w:t>）、褐家鼠（</w:t>
      </w:r>
      <w:r>
        <w:rPr>
          <w:rFonts w:hint="eastAsia" w:eastAsiaTheme="minorEastAsia"/>
          <w:bCs/>
          <w:i/>
          <w:iCs/>
          <w:sz w:val="24"/>
        </w:rPr>
        <w:t>Rattus norvegicussocer</w:t>
      </w:r>
      <w:r>
        <w:rPr>
          <w:rFonts w:hint="eastAsia" w:eastAsiaTheme="minorEastAsia"/>
          <w:kern w:val="20"/>
          <w:sz w:val="24"/>
        </w:rPr>
        <w:t>）等。</w:t>
      </w:r>
    </w:p>
    <w:p w14:paraId="519B02ED">
      <w:pPr>
        <w:spacing w:line="360" w:lineRule="auto"/>
        <w:ind w:firstLine="480" w:firstLineChars="200"/>
        <w:rPr>
          <w:rFonts w:eastAsiaTheme="minorEastAsia"/>
          <w:kern w:val="20"/>
          <w:sz w:val="24"/>
        </w:rPr>
      </w:pPr>
      <w:r>
        <w:rPr>
          <w:rFonts w:hint="eastAsia" w:eastAsiaTheme="minorEastAsia"/>
          <w:kern w:val="20"/>
          <w:sz w:val="24"/>
        </w:rPr>
        <w:t>（5）村落村落生态系统</w:t>
      </w:r>
    </w:p>
    <w:p w14:paraId="54DF1F7B">
      <w:pPr>
        <w:spacing w:line="360" w:lineRule="auto"/>
        <w:ind w:firstLine="480" w:firstLineChars="200"/>
        <w:rPr>
          <w:rFonts w:eastAsiaTheme="minorEastAsia"/>
          <w:kern w:val="20"/>
          <w:sz w:val="24"/>
        </w:rPr>
      </w:pPr>
      <w:r>
        <w:rPr>
          <w:rFonts w:hint="eastAsia" w:eastAsiaTheme="minorEastAsia"/>
          <w:kern w:val="20"/>
          <w:sz w:val="24"/>
        </w:rPr>
        <w:t>城镇/村落是一个高度复合的人工化生态系统，与自然生态系统在结构和功能上都存在明显差别。城镇生态系统的服务功能主要包括三大类：①提供生活和生产物质的功能，包括食物生产、原材料生产；②与人类日常生活和身心健康相关的生命支持的功能，包括：气候调节、水源涵养、土壤形成与保护、净化空气、生物多样性保护、减轻噪声；③满足人类精神生活需求的功能，包括娱乐文化。</w:t>
      </w:r>
    </w:p>
    <w:p w14:paraId="202EDD59">
      <w:pPr>
        <w:spacing w:line="360" w:lineRule="auto"/>
        <w:ind w:firstLine="480" w:firstLineChars="200"/>
        <w:rPr>
          <w:rFonts w:eastAsiaTheme="minorEastAsia"/>
          <w:kern w:val="20"/>
          <w:sz w:val="24"/>
        </w:rPr>
      </w:pPr>
      <w:r>
        <w:rPr>
          <w:rFonts w:hint="eastAsia" w:eastAsiaTheme="minorEastAsia"/>
          <w:kern w:val="20"/>
          <w:sz w:val="24"/>
        </w:rPr>
        <w:t>城镇/村落生态系统是高度复合的人工生态系统，与自然生态系统在结构和功能上都存在明显差别。</w:t>
      </w:r>
    </w:p>
    <w:p w14:paraId="05774F29">
      <w:pPr>
        <w:spacing w:line="360" w:lineRule="auto"/>
        <w:ind w:firstLine="480" w:firstLineChars="200"/>
        <w:rPr>
          <w:rFonts w:eastAsiaTheme="minorEastAsia"/>
          <w:kern w:val="20"/>
          <w:sz w:val="24"/>
        </w:rPr>
      </w:pPr>
      <w:r>
        <w:rPr>
          <w:rFonts w:hint="eastAsia" w:eastAsiaTheme="minorEastAsia"/>
          <w:kern w:val="20"/>
          <w:sz w:val="24"/>
        </w:rPr>
        <w:t>区域城镇/村落生态系统中多为人工植被，植被类型简单，主要是银杏。常见群系有：栓皮栎林（</w:t>
      </w:r>
      <w:r>
        <w:rPr>
          <w:rFonts w:hint="eastAsia" w:eastAsiaTheme="minorEastAsia"/>
          <w:bCs/>
          <w:i/>
          <w:iCs/>
          <w:sz w:val="24"/>
        </w:rPr>
        <w:t>Form.Quercusvariabilis</w:t>
      </w:r>
      <w:r>
        <w:rPr>
          <w:rFonts w:hint="eastAsia" w:eastAsiaTheme="minorEastAsia"/>
          <w:kern w:val="20"/>
          <w:sz w:val="24"/>
        </w:rPr>
        <w:t>）、银杏林（</w:t>
      </w:r>
      <w:r>
        <w:rPr>
          <w:rFonts w:hint="eastAsia" w:eastAsiaTheme="minorEastAsia"/>
          <w:bCs/>
          <w:i/>
          <w:iCs/>
          <w:sz w:val="24"/>
        </w:rPr>
        <w:t>Form.Ginkgobiloba</w:t>
      </w:r>
      <w:r>
        <w:rPr>
          <w:rFonts w:hint="eastAsia" w:eastAsiaTheme="minorEastAsia"/>
          <w:kern w:val="20"/>
          <w:sz w:val="24"/>
        </w:rPr>
        <w:t>）、响叶杨林（</w:t>
      </w:r>
      <w:r>
        <w:rPr>
          <w:rFonts w:hint="eastAsia" w:eastAsiaTheme="minorEastAsia"/>
          <w:bCs/>
          <w:i/>
          <w:iCs/>
          <w:sz w:val="24"/>
        </w:rPr>
        <w:t>Form.Populusadenopoda</w:t>
      </w:r>
      <w:r>
        <w:rPr>
          <w:rFonts w:hint="eastAsia" w:eastAsiaTheme="minorEastAsia"/>
          <w:kern w:val="20"/>
          <w:sz w:val="24"/>
        </w:rPr>
        <w:t>）等。城镇/村落生态系统中的动物种类较少，主要为傍人生活的种类包括鸟类的鸣禽如麻雀（</w:t>
      </w:r>
      <w:r>
        <w:rPr>
          <w:rFonts w:hint="eastAsia" w:eastAsiaTheme="minorEastAsia"/>
          <w:bCs/>
          <w:i/>
          <w:iCs/>
          <w:sz w:val="24"/>
        </w:rPr>
        <w:t>Passermontanus</w:t>
      </w:r>
      <w:r>
        <w:rPr>
          <w:rFonts w:hint="eastAsia" w:eastAsiaTheme="minorEastAsia"/>
          <w:kern w:val="20"/>
          <w:sz w:val="24"/>
        </w:rPr>
        <w:t>）、喜鹊等；兽类以部分半地下生活型种类，主要为小型啮齿动物，如小家鼠、褐家鼠等，以及岩洞栖息型种类，如普通伏翼。</w:t>
      </w:r>
    </w:p>
    <w:p w14:paraId="718E723E">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20" w:name="_Toc206494953"/>
      <w:r>
        <w:rPr>
          <w:rFonts w:hint="eastAsia" w:eastAsiaTheme="minorEastAsia"/>
          <w:b/>
          <w:bCs/>
          <w:sz w:val="30"/>
          <w:szCs w:val="28"/>
        </w:rPr>
        <w:t>产业发展现状与回顾性分析</w:t>
      </w:r>
      <w:bookmarkEnd w:id="120"/>
    </w:p>
    <w:p w14:paraId="090F7623">
      <w:pPr>
        <w:keepNext/>
        <w:keepLines/>
        <w:widowControl/>
        <w:numPr>
          <w:ilvl w:val="2"/>
          <w:numId w:val="1"/>
        </w:numPr>
        <w:spacing w:before="120" w:after="120" w:line="360" w:lineRule="auto"/>
        <w:jc w:val="left"/>
        <w:outlineLvl w:val="2"/>
        <w:rPr>
          <w:rFonts w:eastAsiaTheme="minorEastAsia"/>
          <w:b/>
          <w:bCs/>
          <w:sz w:val="24"/>
        </w:rPr>
      </w:pPr>
      <w:bookmarkStart w:id="121" w:name="_Toc206494954"/>
      <w:r>
        <w:rPr>
          <w:rFonts w:hint="eastAsia" w:eastAsiaTheme="minorEastAsia"/>
          <w:b/>
          <w:bCs/>
          <w:sz w:val="24"/>
        </w:rPr>
        <w:t>上一轮石材产业发展回顾性分析</w:t>
      </w:r>
      <w:bookmarkEnd w:id="121"/>
    </w:p>
    <w:p w14:paraId="2ED2602C">
      <w:pPr>
        <w:spacing w:line="360" w:lineRule="auto"/>
        <w:ind w:firstLine="480" w:firstLineChars="200"/>
        <w:rPr>
          <w:rFonts w:eastAsiaTheme="minorEastAsia"/>
          <w:sz w:val="24"/>
        </w:rPr>
      </w:pPr>
      <w:r>
        <w:rPr>
          <w:rFonts w:hint="eastAsia" w:eastAsiaTheme="minorEastAsia"/>
          <w:sz w:val="24"/>
        </w:rPr>
        <w:t>2016年，随县人民政府根据国家发改委《关于开展市县“多规合一”试点工作的通知》（发改规划〔2014〕1971号）和《湖北省人民政府关于支持随县石材资源开发利用的纪要》（专题会议纪要24号）的相关要求，按照“科学规划、集中开发、规范利用、节约集约”的思路，以土地利用总体规划为平台，积极协调矿产开发、林业、环保等规划，在保护环境的基础上优化石材产业资源配置，最大限度节约集约利用国土资源，以达到对随县石材产业的综合开发利用，推动随县石材产业健康有序、绿色科学的发展。按该思路，随县人民政府编制了《随县石材产业发展规划(2015-2020)》，并委托湖北景宜环保科技有限公司针对《随县石材产业发展规划(2015-2020)》开展了环境影响评价工作，于2016年11月4日取得了随州市环境保护局出具的《关于随县石材产业发展规划环境影响报告书的审查意见》（随环建审[2016]219号）。</w:t>
      </w:r>
    </w:p>
    <w:p w14:paraId="7E12424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规划规模</w:t>
      </w:r>
    </w:p>
    <w:p w14:paraId="6BF786F5">
      <w:pPr>
        <w:spacing w:line="360" w:lineRule="auto"/>
        <w:ind w:firstLine="480" w:firstLineChars="200"/>
        <w:rPr>
          <w:rFonts w:eastAsiaTheme="minorEastAsia"/>
          <w:sz w:val="24"/>
        </w:rPr>
      </w:pPr>
      <w:r>
        <w:rPr>
          <w:rFonts w:hint="eastAsia" w:eastAsiaTheme="minorEastAsia"/>
          <w:sz w:val="24"/>
        </w:rPr>
        <w:t>根据规划花岗岩允许开采矿区面积大约85平方公里，限制开采面积约40平方公里，禁止开采区面积约180平方公里，尾矿、废石堆放区3平方公里，矿山复垦区1.5平方公里。到2020年吴山镇控制年开采规模不超过荒料150万立方米；万和镇控制年开采规模不超过荒料110万立方米。</w:t>
      </w:r>
    </w:p>
    <w:p w14:paraId="0485057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规划范围</w:t>
      </w:r>
    </w:p>
    <w:p w14:paraId="17B7BD36">
      <w:pPr>
        <w:spacing w:line="360" w:lineRule="auto"/>
        <w:ind w:firstLine="480" w:firstLineChars="200"/>
        <w:rPr>
          <w:rFonts w:eastAsiaTheme="minorEastAsia"/>
          <w:sz w:val="24"/>
        </w:rPr>
      </w:pPr>
      <w:r>
        <w:rPr>
          <w:rFonts w:hint="eastAsia" w:eastAsiaTheme="minorEastAsia"/>
          <w:sz w:val="24"/>
        </w:rPr>
        <w:t>根据“一区双园”的石材产业规划格局，将随县石材企业全部纳入石材产业园区进行规范、有序、科学和可持续发展。随县石材产业主要布局在吴山镇和万和镇，一是依托原有吴山镇石材工业园规划为吴山镇闽商石材工业园区，位于吴山镇邱河村、新集村及联中村连成的范围内，吴山镇区以北、唐三公路两侧；将吴山水库洪水线内及外围100米范围内的石材企业逐步迁出，并对现有园区的其他石材企业布局进行适当优化调整。园区初步规划总占地面积12平方公里，核心区占地面积约5000亩，入驻企业以40家计需3041亩，预留1877亩发展用地。二是在原有万和镇石材加工聚集区的基础上，在万和镇区以南峰山村、郭家乡村、佛山村和石狮村范围内，和新城居委会以东，石材专用通道两侧和S328公路两侧建立随县石材循环经济产业园，万和园区板块分为三片：现有的万和加工区、随县石材精加工园和新城石材产业配套园区，将万和现有零散分布的石材企业逐步迁入随县石材循环经济产业园。规划总占地面积26.7平方公里，核心区占地面积约10000亩，入驻企业以70家计需6174亩，预留 3836亩发展用地。</w:t>
      </w:r>
    </w:p>
    <w:p w14:paraId="21A2A38F">
      <w:pPr>
        <w:spacing w:line="360" w:lineRule="auto"/>
        <w:ind w:firstLine="480" w:firstLineChars="200"/>
        <w:rPr>
          <w:rFonts w:eastAsiaTheme="minorEastAsia"/>
          <w:sz w:val="24"/>
        </w:rPr>
      </w:pPr>
      <w:r>
        <w:rPr>
          <w:rFonts w:hint="eastAsia" w:eastAsiaTheme="minorEastAsia"/>
          <w:sz w:val="24"/>
        </w:rPr>
        <w:t>根据规划花岗岩允许开采矿区面积大约55.629平方公里（整合现有14个采矿区块），限制开采面积约40平方公里，禁止开采区面积约106平方公里（含七尖峰保护区、鸡鸣山风景区、万和兰花自然保护区、吴山水库水源保护区、铁山红叶林地保护区和三七三国家物资储备区等），矿山复垦区1.5平方公里。</w:t>
      </w:r>
    </w:p>
    <w:p w14:paraId="0195852F">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规划时限</w:t>
      </w:r>
    </w:p>
    <w:p w14:paraId="6A6F77F4">
      <w:pPr>
        <w:spacing w:line="360" w:lineRule="auto"/>
        <w:ind w:firstLine="480" w:firstLineChars="200"/>
        <w:rPr>
          <w:rFonts w:eastAsiaTheme="minorEastAsia"/>
          <w:sz w:val="24"/>
        </w:rPr>
      </w:pPr>
      <w:r>
        <w:rPr>
          <w:rFonts w:hint="eastAsia" w:eastAsiaTheme="minorEastAsia"/>
          <w:sz w:val="24"/>
        </w:rPr>
        <w:t>规划时限为2015年至 2020年。</w:t>
      </w:r>
    </w:p>
    <w:p w14:paraId="594EA8AA">
      <w:pPr>
        <w:keepNext/>
        <w:keepLines/>
        <w:widowControl/>
        <w:numPr>
          <w:ilvl w:val="2"/>
          <w:numId w:val="1"/>
        </w:numPr>
        <w:spacing w:before="120" w:after="120" w:line="360" w:lineRule="auto"/>
        <w:jc w:val="left"/>
        <w:outlineLvl w:val="2"/>
        <w:rPr>
          <w:rFonts w:eastAsiaTheme="minorEastAsia"/>
          <w:b/>
          <w:bCs/>
          <w:sz w:val="24"/>
        </w:rPr>
      </w:pPr>
      <w:bookmarkStart w:id="122" w:name="_Toc206494955"/>
      <w:r>
        <w:rPr>
          <w:rFonts w:hint="eastAsia" w:eastAsiaTheme="minorEastAsia"/>
          <w:b/>
          <w:bCs/>
          <w:sz w:val="24"/>
        </w:rPr>
        <w:t>发展规划环评执行情况</w:t>
      </w:r>
      <w:bookmarkEnd w:id="122"/>
    </w:p>
    <w:p w14:paraId="6D028610">
      <w:pPr>
        <w:spacing w:line="360" w:lineRule="auto"/>
        <w:ind w:firstLine="480" w:firstLineChars="200"/>
        <w:rPr>
          <w:rFonts w:eastAsiaTheme="minorEastAsia"/>
          <w:sz w:val="24"/>
        </w:rPr>
      </w:pPr>
      <w:r>
        <w:rPr>
          <w:rFonts w:hint="eastAsia" w:eastAsiaTheme="minorEastAsia"/>
          <w:sz w:val="24"/>
        </w:rPr>
        <w:t>根据《关于随县石材产业发展规划环境影响报告书的审查意见》（随环建审[2016]219号）中相关要求，上一轮发展规划环评执行情况见下表。</w:t>
      </w:r>
    </w:p>
    <w:p w14:paraId="7256C1C0">
      <w:pPr>
        <w:spacing w:line="360" w:lineRule="auto"/>
        <w:ind w:firstLine="422"/>
        <w:jc w:val="center"/>
        <w:rPr>
          <w:rFonts w:eastAsiaTheme="minorEastAsia"/>
          <w:b/>
          <w:szCs w:val="21"/>
        </w:rPr>
        <w:sectPr>
          <w:footerReference r:id="rId10" w:type="default"/>
          <w:pgSz w:w="11906" w:h="16838"/>
          <w:pgMar w:top="1560" w:right="1797" w:bottom="1560" w:left="1797" w:header="851" w:footer="861" w:gutter="0"/>
          <w:cols w:space="425" w:num="1"/>
          <w:docGrid w:type="lines" w:linePitch="312" w:charSpace="0"/>
        </w:sectPr>
      </w:pPr>
    </w:p>
    <w:p w14:paraId="5CA474F4">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3.4.2</w:t>
      </w:r>
      <w:r>
        <w:rPr>
          <w:rFonts w:eastAsiaTheme="minorEastAsia"/>
          <w:b/>
          <w:szCs w:val="21"/>
        </w:rPr>
        <w:t xml:space="preserve">-1  </w:t>
      </w:r>
      <w:r>
        <w:rPr>
          <w:rFonts w:hint="eastAsia" w:eastAsiaTheme="minorEastAsia"/>
          <w:b/>
          <w:szCs w:val="21"/>
        </w:rPr>
        <w:t>上一轮发展规划环评执行情况</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6689"/>
        <w:gridCol w:w="5502"/>
        <w:gridCol w:w="1070"/>
      </w:tblGrid>
      <w:tr w14:paraId="51A97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Merge w:val="restart"/>
            <w:vAlign w:val="center"/>
          </w:tcPr>
          <w:p w14:paraId="6D01F560">
            <w:pPr>
              <w:pStyle w:val="4086"/>
            </w:pPr>
            <w:r>
              <w:rPr>
                <w:rFonts w:hint="eastAsia"/>
              </w:rPr>
              <w:t>序号</w:t>
            </w:r>
          </w:p>
        </w:tc>
        <w:tc>
          <w:tcPr>
            <w:tcW w:w="2400" w:type="pct"/>
            <w:vMerge w:val="restart"/>
            <w:vAlign w:val="center"/>
          </w:tcPr>
          <w:p w14:paraId="776B8522">
            <w:pPr>
              <w:pStyle w:val="4086"/>
            </w:pPr>
            <w:r>
              <w:rPr>
                <w:rFonts w:hint="eastAsia"/>
              </w:rPr>
              <w:t>审查意见要求</w:t>
            </w:r>
          </w:p>
        </w:tc>
        <w:tc>
          <w:tcPr>
            <w:tcW w:w="1974" w:type="pct"/>
            <w:vMerge w:val="restart"/>
            <w:vAlign w:val="center"/>
          </w:tcPr>
          <w:p w14:paraId="77EA9679">
            <w:pPr>
              <w:pStyle w:val="4086"/>
            </w:pPr>
            <w:r>
              <w:rPr>
                <w:rFonts w:hint="eastAsia"/>
              </w:rPr>
              <w:t>现状实施情况</w:t>
            </w:r>
          </w:p>
        </w:tc>
        <w:tc>
          <w:tcPr>
            <w:tcW w:w="384" w:type="pct"/>
            <w:vMerge w:val="restart"/>
            <w:vAlign w:val="center"/>
          </w:tcPr>
          <w:p w14:paraId="0AD8232D">
            <w:pPr>
              <w:pStyle w:val="4086"/>
            </w:pPr>
            <w:r>
              <w:rPr>
                <w:rFonts w:hint="eastAsia"/>
              </w:rPr>
              <w:t>落实情况</w:t>
            </w:r>
          </w:p>
        </w:tc>
      </w:tr>
      <w:tr w14:paraId="514DB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42" w:type="pct"/>
            <w:vMerge w:val="continue"/>
            <w:vAlign w:val="center"/>
          </w:tcPr>
          <w:p w14:paraId="76A7996A">
            <w:pPr>
              <w:spacing w:line="320" w:lineRule="exact"/>
              <w:jc w:val="center"/>
              <w:rPr>
                <w:rFonts w:ascii="Calibri" w:hAnsi="Calibri" w:eastAsiaTheme="minorEastAsia"/>
                <w:szCs w:val="21"/>
              </w:rPr>
            </w:pPr>
          </w:p>
        </w:tc>
        <w:tc>
          <w:tcPr>
            <w:tcW w:w="2400" w:type="pct"/>
            <w:vMerge w:val="continue"/>
            <w:vAlign w:val="center"/>
          </w:tcPr>
          <w:p w14:paraId="23B08B9E">
            <w:pPr>
              <w:spacing w:line="320" w:lineRule="exact"/>
              <w:jc w:val="center"/>
              <w:rPr>
                <w:rFonts w:ascii="Calibri" w:hAnsi="Calibri" w:eastAsiaTheme="minorEastAsia"/>
                <w:szCs w:val="21"/>
              </w:rPr>
            </w:pPr>
          </w:p>
        </w:tc>
        <w:tc>
          <w:tcPr>
            <w:tcW w:w="1974" w:type="pct"/>
            <w:vMerge w:val="continue"/>
            <w:vAlign w:val="center"/>
          </w:tcPr>
          <w:p w14:paraId="1D2F5845">
            <w:pPr>
              <w:spacing w:line="320" w:lineRule="exact"/>
              <w:jc w:val="center"/>
              <w:rPr>
                <w:rFonts w:ascii="Calibri" w:hAnsi="Calibri" w:eastAsiaTheme="minorEastAsia"/>
                <w:szCs w:val="21"/>
              </w:rPr>
            </w:pPr>
          </w:p>
        </w:tc>
        <w:tc>
          <w:tcPr>
            <w:tcW w:w="384" w:type="pct"/>
            <w:vMerge w:val="continue"/>
            <w:vAlign w:val="center"/>
          </w:tcPr>
          <w:p w14:paraId="100DDF3E">
            <w:pPr>
              <w:spacing w:line="320" w:lineRule="exact"/>
              <w:jc w:val="center"/>
              <w:rPr>
                <w:rFonts w:ascii="Calibri" w:hAnsi="Calibri" w:eastAsiaTheme="minorEastAsia"/>
                <w:szCs w:val="21"/>
              </w:rPr>
            </w:pPr>
          </w:p>
        </w:tc>
      </w:tr>
      <w:tr w14:paraId="7B3919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53A4B3FF">
            <w:pPr>
              <w:spacing w:line="320" w:lineRule="exact"/>
              <w:jc w:val="center"/>
              <w:rPr>
                <w:rFonts w:ascii="Calibri" w:hAnsi="Calibri" w:eastAsiaTheme="minorEastAsia"/>
                <w:szCs w:val="21"/>
              </w:rPr>
            </w:pPr>
            <w:r>
              <w:rPr>
                <w:rFonts w:hint="eastAsia" w:ascii="Calibri" w:hAnsi="Calibri" w:eastAsiaTheme="minorEastAsia"/>
                <w:szCs w:val="21"/>
              </w:rPr>
              <w:t>1</w:t>
            </w:r>
          </w:p>
        </w:tc>
        <w:tc>
          <w:tcPr>
            <w:tcW w:w="2400" w:type="pct"/>
            <w:vAlign w:val="center"/>
          </w:tcPr>
          <w:p w14:paraId="33715E33">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完善石材工业园区（含采矿区）规划。产业园区（含矿区）应尽快编制修建性详细规划或控制性总体规划，配套制定道路交通规划、给排水规划、电力规划、电讯规划、绿地规划、燃气规划、环境保护规划、环境卫生设施规划、消防规划等专项规划，进一步细化矿产资源开发综合利用规划，提出具体的矿山污染整治方案及石材产业发展水污染防治专项规划；规划编制中，应结合生态红线管控要求，重点关注周边环境敏感目标，给七尖峰森林公园、鸡鸣山风景区、兰花自然保护区、铁山红叶保护区等生态保护区留足缓冲地带，在划定的保护范围外再保留1~2公里的缓冲地带（生态廊道）。</w:t>
            </w:r>
          </w:p>
        </w:tc>
        <w:tc>
          <w:tcPr>
            <w:tcW w:w="1974" w:type="pct"/>
            <w:vAlign w:val="center"/>
          </w:tcPr>
          <w:p w14:paraId="77657368">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园区目前正在编制石材产业园规划及规划环评。规划实施中，严格结合生态红线管控要求，为七尖峰森林公园、鸡鸣山风景区、兰花自然保护区、铁山红叶保护区等生态保护区留足了缓冲地带。</w:t>
            </w:r>
          </w:p>
        </w:tc>
        <w:tc>
          <w:tcPr>
            <w:tcW w:w="384" w:type="pct"/>
            <w:vAlign w:val="center"/>
          </w:tcPr>
          <w:p w14:paraId="48A2726A">
            <w:pPr>
              <w:spacing w:line="320" w:lineRule="exact"/>
              <w:jc w:val="center"/>
              <w:rPr>
                <w:rFonts w:ascii="Calibri" w:hAnsi="Calibri" w:eastAsiaTheme="minorEastAsia"/>
                <w:szCs w:val="21"/>
              </w:rPr>
            </w:pPr>
            <w:r>
              <w:rPr>
                <w:rFonts w:ascii="Calibri" w:hAnsi="Calibri" w:eastAsiaTheme="minorEastAsia"/>
                <w:szCs w:val="21"/>
              </w:rPr>
              <w:t>部分落实</w:t>
            </w:r>
          </w:p>
        </w:tc>
      </w:tr>
      <w:tr w14:paraId="5AEB6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7FB3E905">
            <w:pPr>
              <w:spacing w:line="320" w:lineRule="exact"/>
              <w:jc w:val="center"/>
              <w:rPr>
                <w:rFonts w:ascii="Calibri" w:hAnsi="Calibri" w:eastAsiaTheme="minorEastAsia"/>
                <w:szCs w:val="21"/>
              </w:rPr>
            </w:pPr>
            <w:r>
              <w:rPr>
                <w:rFonts w:hint="eastAsia" w:ascii="Calibri" w:hAnsi="Calibri" w:eastAsiaTheme="minorEastAsia"/>
                <w:szCs w:val="21"/>
              </w:rPr>
              <w:t>2</w:t>
            </w:r>
          </w:p>
        </w:tc>
        <w:tc>
          <w:tcPr>
            <w:tcW w:w="2400" w:type="pct"/>
            <w:vAlign w:val="center"/>
          </w:tcPr>
          <w:p w14:paraId="3997D2A0">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优化石材产业园区空间布局。园区规划范围内不宜设置集中居住区，园区内分散居民点应制定合理的搬迁安置方案，有计划实施搬迁；石材产业园区与周边环境敏感点应设置防护隔离带，建议加工企业周边划定300米防护隔离带，防护范围内现有居民点规模不得进一步扩大，并结合园区具体的修建性规划逐步将居民迁出；吴山加工区将城镇发展控制区作为防护隔离带，至少保持200米的绿化隔离带（生态廊道）；将青苔街道作为未来的商住区，加工区至少要对青苔街道保有300米的绿化隔离带（生态廊道）；产业园区内近、远期人口控制在2.5万人以内。</w:t>
            </w:r>
          </w:p>
        </w:tc>
        <w:tc>
          <w:tcPr>
            <w:tcW w:w="1974" w:type="pct"/>
            <w:vAlign w:val="center"/>
          </w:tcPr>
          <w:p w14:paraId="4A0FE0A7">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园区规划范围内未设集中居住区，但存在少量分散居民点；生产企业与周边环境敏感点设置了防护隔离带，加工企业周边</w:t>
            </w:r>
            <w:r>
              <w:rPr>
                <w:rFonts w:ascii="Calibri" w:hAnsi="Calibri" w:eastAsiaTheme="minorEastAsia"/>
                <w:szCs w:val="21"/>
              </w:rPr>
              <w:t xml:space="preserve"> 300 </w:t>
            </w:r>
            <w:r>
              <w:rPr>
                <w:rFonts w:hint="eastAsia" w:ascii="Calibri" w:hAnsi="Calibri" w:eastAsiaTheme="minorEastAsia"/>
                <w:szCs w:val="21"/>
              </w:rPr>
              <w:t>米防护范围内现有居民点未扩大；吴山加工区以城镇发展控制区为防护隔离带，保持了至少</w:t>
            </w:r>
            <w:r>
              <w:rPr>
                <w:rFonts w:ascii="Calibri" w:hAnsi="Calibri" w:eastAsiaTheme="minorEastAsia"/>
                <w:szCs w:val="21"/>
              </w:rPr>
              <w:t xml:space="preserve"> 200 </w:t>
            </w:r>
            <w:r>
              <w:rPr>
                <w:rFonts w:hint="eastAsia" w:ascii="Calibri" w:hAnsi="Calibri" w:eastAsiaTheme="minorEastAsia"/>
                <w:szCs w:val="21"/>
              </w:rPr>
              <w:t>米绿化隔离带，对青苔街道保有</w:t>
            </w:r>
            <w:r>
              <w:rPr>
                <w:rFonts w:ascii="Calibri" w:hAnsi="Calibri" w:eastAsiaTheme="minorEastAsia"/>
                <w:szCs w:val="21"/>
              </w:rPr>
              <w:t xml:space="preserve"> 300 </w:t>
            </w:r>
            <w:r>
              <w:rPr>
                <w:rFonts w:hint="eastAsia" w:ascii="Calibri" w:hAnsi="Calibri" w:eastAsiaTheme="minorEastAsia"/>
                <w:szCs w:val="21"/>
              </w:rPr>
              <w:t>米绿化隔离带；园区近、远期人口均控制在</w:t>
            </w:r>
            <w:r>
              <w:rPr>
                <w:rFonts w:ascii="Calibri" w:hAnsi="Calibri" w:eastAsiaTheme="minorEastAsia"/>
                <w:szCs w:val="21"/>
              </w:rPr>
              <w:t xml:space="preserve"> 2.5 </w:t>
            </w:r>
            <w:r>
              <w:rPr>
                <w:rFonts w:hint="eastAsia" w:ascii="Calibri" w:hAnsi="Calibri" w:eastAsiaTheme="minorEastAsia"/>
                <w:szCs w:val="21"/>
              </w:rPr>
              <w:t>万人以内。</w:t>
            </w:r>
            <w:r>
              <w:rPr>
                <w:rFonts w:hint="eastAsia" w:ascii="MS Gothic" w:hAnsi="MS Gothic" w:eastAsia="MS Gothic" w:cs="MS Gothic"/>
                <w:szCs w:val="21"/>
              </w:rPr>
              <w:t>​</w:t>
            </w:r>
          </w:p>
        </w:tc>
        <w:tc>
          <w:tcPr>
            <w:tcW w:w="384" w:type="pct"/>
            <w:vAlign w:val="center"/>
          </w:tcPr>
          <w:p w14:paraId="7B293446">
            <w:pPr>
              <w:spacing w:line="320" w:lineRule="exact"/>
              <w:jc w:val="center"/>
              <w:rPr>
                <w:rFonts w:ascii="Calibri" w:hAnsi="Calibri" w:eastAsiaTheme="minorEastAsia"/>
                <w:szCs w:val="21"/>
              </w:rPr>
            </w:pPr>
            <w:r>
              <w:rPr>
                <w:rFonts w:ascii="Calibri" w:hAnsi="Calibri" w:eastAsiaTheme="minorEastAsia"/>
                <w:szCs w:val="21"/>
              </w:rPr>
              <w:t>部分落实</w:t>
            </w:r>
          </w:p>
        </w:tc>
      </w:tr>
      <w:tr w14:paraId="0E7FB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139EFECE">
            <w:pPr>
              <w:spacing w:line="320" w:lineRule="exact"/>
              <w:jc w:val="center"/>
              <w:rPr>
                <w:rFonts w:ascii="Calibri" w:hAnsi="Calibri" w:eastAsiaTheme="minorEastAsia"/>
                <w:szCs w:val="21"/>
              </w:rPr>
            </w:pPr>
            <w:r>
              <w:rPr>
                <w:rFonts w:hint="eastAsia" w:ascii="Calibri" w:hAnsi="Calibri" w:eastAsiaTheme="minorEastAsia"/>
                <w:szCs w:val="21"/>
              </w:rPr>
              <w:t>3</w:t>
            </w:r>
          </w:p>
        </w:tc>
        <w:tc>
          <w:tcPr>
            <w:tcW w:w="2400" w:type="pct"/>
            <w:vAlign w:val="center"/>
          </w:tcPr>
          <w:p w14:paraId="741C71B8">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严格石材开采与加工企业准入。石材开采加工项目应严格遵循总体规划要求，严禁违反国家产业政策及不符合规划的建设项目入驻石材产业园区，应综合参考园区规划、投资限制、建设期限、采矿权限、采矿规模等因素，由园区管理机构核准准入，并依法取得相关部门审批手续后方可建设；对现有不符合规划和环保要求的企业，应限制发展，并逐步实施改造或关停，保障环境安全。</w:t>
            </w:r>
          </w:p>
        </w:tc>
        <w:tc>
          <w:tcPr>
            <w:tcW w:w="1974" w:type="pct"/>
            <w:vAlign w:val="center"/>
          </w:tcPr>
          <w:p w14:paraId="72819087">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石材开采加工项目严格遵循总体规划，无违反国家产业政策及不符合规划的项目入驻，项目准入均经园区管理机构结合园区规划、投资限制等因素核准，并依法取得相关审批手续；现有不符合规划和环保要求的企业已被限制发展，正逐步改造或关停。</w:t>
            </w:r>
          </w:p>
        </w:tc>
        <w:tc>
          <w:tcPr>
            <w:tcW w:w="384" w:type="pct"/>
            <w:vAlign w:val="center"/>
          </w:tcPr>
          <w:p w14:paraId="4F7CB1F8">
            <w:pPr>
              <w:spacing w:line="320" w:lineRule="exact"/>
              <w:jc w:val="center"/>
              <w:rPr>
                <w:rFonts w:ascii="Calibri" w:hAnsi="Calibri" w:eastAsiaTheme="minorEastAsia"/>
                <w:szCs w:val="21"/>
              </w:rPr>
            </w:pPr>
            <w:r>
              <w:rPr>
                <w:rFonts w:hint="eastAsia" w:ascii="Calibri" w:hAnsi="Calibri" w:eastAsiaTheme="minorEastAsia"/>
                <w:szCs w:val="21"/>
              </w:rPr>
              <w:t>已</w:t>
            </w:r>
            <w:r>
              <w:rPr>
                <w:rFonts w:ascii="Calibri" w:hAnsi="Calibri" w:eastAsiaTheme="minorEastAsia"/>
                <w:szCs w:val="21"/>
              </w:rPr>
              <w:t>落实</w:t>
            </w:r>
          </w:p>
        </w:tc>
      </w:tr>
      <w:tr w14:paraId="01952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689E3CA1">
            <w:pPr>
              <w:spacing w:line="320" w:lineRule="exact"/>
              <w:jc w:val="center"/>
              <w:rPr>
                <w:rFonts w:ascii="Calibri" w:hAnsi="Calibri" w:eastAsiaTheme="minorEastAsia"/>
                <w:szCs w:val="21"/>
              </w:rPr>
            </w:pPr>
            <w:r>
              <w:rPr>
                <w:rFonts w:hint="eastAsia" w:ascii="Calibri" w:hAnsi="Calibri" w:eastAsiaTheme="minorEastAsia"/>
                <w:szCs w:val="21"/>
              </w:rPr>
              <w:t>4</w:t>
            </w:r>
          </w:p>
        </w:tc>
        <w:tc>
          <w:tcPr>
            <w:tcW w:w="2400" w:type="pct"/>
            <w:vAlign w:val="center"/>
          </w:tcPr>
          <w:p w14:paraId="415E6370">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按照基础设施先行的原则，完善园区雨污分流管网及污水处理设施。加快为区截污管网、污水处理厂建设，统筹考虑镇区与园区污水处理设施建设，避免重复投资，建议吴山镇闽商石材工业园不再建设生活污水处理厂，直接将其产生的生活污水纳入吴山镇污水处理厂进行处理，吴山镇污水处理厂规模为6000立方米/日；万和镇区产生的生活污水纳入随县石材循环经济产业园生活污水处理厂进行处理，污水处理厂规模为8000立方米/日。产业园区污水处理厂尾水必须满足《城镇污水处理厂污染物排放标准》一级A标准；处理工艺应强化脱氮除磷设施，结合区域环境承载力，从环境保护、技术经济等方面，选取自建污水处理厂尾水排放去向最佳方案；污水处理设施排水口应设置在线、视频监控设施及自控阀门。</w:t>
            </w:r>
          </w:p>
        </w:tc>
        <w:tc>
          <w:tcPr>
            <w:tcW w:w="1974" w:type="pct"/>
            <w:vAlign w:val="center"/>
          </w:tcPr>
          <w:p w14:paraId="67224839">
            <w:pPr>
              <w:spacing w:line="320" w:lineRule="exact"/>
              <w:ind w:firstLine="420" w:firstLineChars="200"/>
              <w:jc w:val="left"/>
              <w:rPr>
                <w:rFonts w:ascii="Calibri" w:hAnsi="Calibri" w:eastAsiaTheme="minorEastAsia"/>
                <w:szCs w:val="21"/>
              </w:rPr>
            </w:pPr>
            <w:r>
              <w:rPr>
                <w:rFonts w:ascii="Calibri" w:hAnsi="Calibri" w:eastAsiaTheme="minorEastAsia"/>
                <w:szCs w:val="21"/>
              </w:rPr>
              <w:t>园区</w:t>
            </w:r>
            <w:r>
              <w:rPr>
                <w:rFonts w:hint="eastAsia" w:ascii="Calibri" w:hAnsi="Calibri" w:eastAsiaTheme="minorEastAsia"/>
                <w:szCs w:val="21"/>
              </w:rPr>
              <w:t>部分区域建设完善了雨污分流管网，但未覆盖园区全部企业。园区目前企业生产废水经处理后循环使用，不外排。生活污水大部分通过化粪池处理后用于农田施肥，仅有少量靠近镇区的部分企业生活污水能接入乡镇污水处理厂进一步处理。园区范围现状大部分均未建设污水管网，大部分废水未纳入各镇污水处理厂处理。</w:t>
            </w:r>
          </w:p>
        </w:tc>
        <w:tc>
          <w:tcPr>
            <w:tcW w:w="384" w:type="pct"/>
            <w:vAlign w:val="center"/>
          </w:tcPr>
          <w:p w14:paraId="409BB6A5">
            <w:pPr>
              <w:spacing w:line="320" w:lineRule="exact"/>
              <w:jc w:val="center"/>
              <w:rPr>
                <w:rFonts w:ascii="Calibri" w:hAnsi="Calibri" w:eastAsiaTheme="minorEastAsia"/>
                <w:bCs/>
                <w:szCs w:val="21"/>
              </w:rPr>
            </w:pPr>
            <w:r>
              <w:rPr>
                <w:rFonts w:ascii="Calibri" w:hAnsi="Calibri" w:eastAsiaTheme="minorEastAsia"/>
                <w:bCs/>
                <w:szCs w:val="21"/>
              </w:rPr>
              <w:t>部分落实</w:t>
            </w:r>
          </w:p>
        </w:tc>
      </w:tr>
      <w:tr w14:paraId="24384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6841BFBC">
            <w:pPr>
              <w:spacing w:line="320" w:lineRule="exact"/>
              <w:jc w:val="center"/>
              <w:rPr>
                <w:rFonts w:ascii="Calibri" w:hAnsi="Calibri" w:eastAsiaTheme="minorEastAsia"/>
                <w:szCs w:val="21"/>
              </w:rPr>
            </w:pPr>
            <w:r>
              <w:rPr>
                <w:rFonts w:hint="eastAsia" w:ascii="Calibri" w:hAnsi="Calibri" w:eastAsiaTheme="minorEastAsia"/>
                <w:szCs w:val="21"/>
              </w:rPr>
              <w:t>5</w:t>
            </w:r>
          </w:p>
        </w:tc>
        <w:tc>
          <w:tcPr>
            <w:tcW w:w="2400" w:type="pct"/>
            <w:vAlign w:val="center"/>
          </w:tcPr>
          <w:p w14:paraId="78ADF558">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严格落实各项环保措施，降低产业发展对环境的不利影响。贯彻循环经济理念，减少水资源消耗量，降低废水排放量，提高区域水资源利用率，加大对采矿区及加工区水污染和水环境治理投入，沉淀池及污水处理站等要落实防渗措施；切实加强粉尘、噪声防控，推广使用清洁能源，加强园区燃气管道建设，优先使用天然气、液化气及电等清洁能源，限制使用煤炭；提高石材利用率，优化延伸产业链，减少废石废料的产生，产业发展中产生的固体废物和危险废物必须严格按照国家规定和规范安全处置，并建设符合国家环保和安全标准的沉淀池、堆渣场等，要通过综合管控，确保环境安全；鉴于目前吴山水库等水环境敏感目标为Ⅱ类水体，应对企业生产及生活废水综合利用，禁止废水流入敏感水体造成环境污染，同时，积极申请对水体功能区划进行调整。</w:t>
            </w:r>
          </w:p>
        </w:tc>
        <w:tc>
          <w:tcPr>
            <w:tcW w:w="1974" w:type="pct"/>
            <w:vAlign w:val="center"/>
          </w:tcPr>
          <w:p w14:paraId="48E3E165">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规划区域生产企业生产废水处理后循环使用，减少了水资源消耗量，降低废水排放量，提高区域水资源利用率，沉淀池及污水处理站等落实了防渗措施；对粉尘、噪声等采取了相应的处理措施；目前吴山闽商石材产业园区建设了燃气管道，其他园区主要使用液化石油气及电等清洁能源，不涉及使用煤炭；园区规划建设了资源循环利用项目，对园区产生的可利用石料进行综合利用，减少废石废料的产生，提高了石材利用率；产业发展中产生的固体废物和危险废物严格按照国家规定和规范安全处置，并建设了符合国家环保和安全标准的沉淀池、堆渣场等。</w:t>
            </w:r>
          </w:p>
          <w:p w14:paraId="757E1E2F">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目前吴山水库水环境功能为III类水体，同时吴山闽商石材产业园区企业生产及生活废水综合利用，未排入吴山水库。</w:t>
            </w:r>
          </w:p>
        </w:tc>
        <w:tc>
          <w:tcPr>
            <w:tcW w:w="384" w:type="pct"/>
            <w:vAlign w:val="center"/>
          </w:tcPr>
          <w:p w14:paraId="02ADEE09">
            <w:pPr>
              <w:spacing w:line="320" w:lineRule="exact"/>
              <w:jc w:val="center"/>
              <w:rPr>
                <w:rFonts w:ascii="Calibri" w:hAnsi="Calibri" w:eastAsiaTheme="minorEastAsia"/>
                <w:bCs/>
                <w:szCs w:val="21"/>
              </w:rPr>
            </w:pPr>
            <w:r>
              <w:rPr>
                <w:rFonts w:ascii="Calibri" w:hAnsi="Calibri" w:eastAsiaTheme="minorEastAsia"/>
                <w:bCs/>
                <w:szCs w:val="21"/>
              </w:rPr>
              <w:t>已落实</w:t>
            </w:r>
          </w:p>
        </w:tc>
      </w:tr>
      <w:tr w14:paraId="02B2A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6AF15DBB">
            <w:pPr>
              <w:spacing w:line="320" w:lineRule="exact"/>
              <w:jc w:val="center"/>
              <w:rPr>
                <w:rFonts w:ascii="Calibri" w:hAnsi="Calibri" w:eastAsiaTheme="minorEastAsia"/>
                <w:szCs w:val="21"/>
              </w:rPr>
            </w:pPr>
            <w:r>
              <w:rPr>
                <w:rFonts w:hint="eastAsia" w:ascii="Calibri" w:hAnsi="Calibri" w:eastAsiaTheme="minorEastAsia"/>
                <w:szCs w:val="21"/>
              </w:rPr>
              <w:t>6</w:t>
            </w:r>
          </w:p>
        </w:tc>
        <w:tc>
          <w:tcPr>
            <w:tcW w:w="2400" w:type="pct"/>
            <w:vAlign w:val="center"/>
          </w:tcPr>
          <w:p w14:paraId="3283D786">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突出环境风险防范。严格落实各项环境风险防范措施，针对采矿区、加工区不同环境风险完善应急预案，配备应急处置措施，加强环境应急演练，杜绝重大环境污染事故发生。</w:t>
            </w:r>
          </w:p>
        </w:tc>
        <w:tc>
          <w:tcPr>
            <w:tcW w:w="1974" w:type="pct"/>
            <w:vAlign w:val="center"/>
          </w:tcPr>
          <w:p w14:paraId="68C52F6D">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部分企业落实了环境风险防范措施，编制了环境风险应急预案，落实了应急处置措施和环境应急演练，部分企业未按要求编制环境风险应急预案，未落实应急处置措施和环境应急演练。</w:t>
            </w:r>
          </w:p>
        </w:tc>
        <w:tc>
          <w:tcPr>
            <w:tcW w:w="384" w:type="pct"/>
            <w:vAlign w:val="center"/>
          </w:tcPr>
          <w:p w14:paraId="22AD7CB1">
            <w:pPr>
              <w:spacing w:line="320" w:lineRule="exact"/>
              <w:jc w:val="center"/>
              <w:rPr>
                <w:rFonts w:ascii="Calibri" w:hAnsi="Calibri" w:eastAsiaTheme="minorEastAsia"/>
                <w:bCs/>
                <w:szCs w:val="21"/>
              </w:rPr>
            </w:pPr>
            <w:r>
              <w:rPr>
                <w:rFonts w:ascii="Calibri" w:hAnsi="Calibri" w:eastAsiaTheme="minorEastAsia"/>
                <w:bCs/>
                <w:szCs w:val="21"/>
              </w:rPr>
              <w:t>部分落实</w:t>
            </w:r>
          </w:p>
        </w:tc>
      </w:tr>
      <w:tr w14:paraId="05087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01D6268E">
            <w:pPr>
              <w:spacing w:line="320" w:lineRule="exact"/>
              <w:jc w:val="center"/>
              <w:rPr>
                <w:rFonts w:ascii="Calibri" w:hAnsi="Calibri" w:eastAsiaTheme="minorEastAsia"/>
                <w:szCs w:val="21"/>
              </w:rPr>
            </w:pPr>
            <w:r>
              <w:rPr>
                <w:rFonts w:hint="eastAsia" w:ascii="Calibri" w:hAnsi="Calibri" w:eastAsiaTheme="minorEastAsia"/>
                <w:szCs w:val="21"/>
              </w:rPr>
              <w:t>7</w:t>
            </w:r>
          </w:p>
        </w:tc>
        <w:tc>
          <w:tcPr>
            <w:tcW w:w="2400" w:type="pct"/>
            <w:vAlign w:val="center"/>
          </w:tcPr>
          <w:p w14:paraId="097E1542">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切实抓好产业发展生态环境保护和生态建设。以“谁开发、谁保护；谁污染、谁治理；谁破坏，谁恢复；谁使用，谁补偿”为原则，按照“矿产资源开发与矿山地质环境保护并重，预防为主，防治结合”的方针，切实抓好矿山地质环境恢复治理、水土流失与保护等生态保护工作；应尽快制定产业园区（含矿区）生态修复方案，涉及复垦、植被恢复、异地生态补偿等，明确的时间节点和任务进度，强力推进，保障生态环境安全；</w:t>
            </w:r>
          </w:p>
        </w:tc>
        <w:tc>
          <w:tcPr>
            <w:tcW w:w="1974" w:type="pct"/>
            <w:vAlign w:val="center"/>
          </w:tcPr>
          <w:p w14:paraId="78BA851E">
            <w:pPr>
              <w:spacing w:line="320" w:lineRule="exact"/>
              <w:ind w:firstLine="420" w:firstLineChars="200"/>
              <w:jc w:val="left"/>
              <w:rPr>
                <w:rFonts w:ascii="Calibri" w:hAnsi="Calibri" w:eastAsiaTheme="minorEastAsia"/>
                <w:szCs w:val="21"/>
              </w:rPr>
            </w:pPr>
            <w:r>
              <w:rPr>
                <w:rFonts w:ascii="Calibri" w:hAnsi="Calibri" w:eastAsiaTheme="minorEastAsia"/>
                <w:szCs w:val="21"/>
              </w:rPr>
              <w:t>已对现状矿区落实了</w:t>
            </w:r>
            <w:r>
              <w:rPr>
                <w:rFonts w:hint="eastAsia" w:ascii="Calibri" w:hAnsi="Calibri" w:eastAsiaTheme="minorEastAsia"/>
                <w:szCs w:val="21"/>
              </w:rPr>
              <w:t>生态修复方案，采取了土地复垦、植被恢复等措施回复矿区生态环境，保障生态环境安全。</w:t>
            </w:r>
          </w:p>
        </w:tc>
        <w:tc>
          <w:tcPr>
            <w:tcW w:w="384" w:type="pct"/>
            <w:vAlign w:val="center"/>
          </w:tcPr>
          <w:p w14:paraId="1E73EF55">
            <w:pPr>
              <w:spacing w:line="320" w:lineRule="exact"/>
              <w:jc w:val="center"/>
              <w:rPr>
                <w:rFonts w:ascii="Calibri" w:hAnsi="Calibri" w:eastAsiaTheme="minorEastAsia"/>
                <w:bCs/>
                <w:szCs w:val="21"/>
              </w:rPr>
            </w:pPr>
            <w:r>
              <w:rPr>
                <w:rFonts w:ascii="Calibri" w:hAnsi="Calibri" w:eastAsiaTheme="minorEastAsia"/>
                <w:bCs/>
                <w:szCs w:val="21"/>
              </w:rPr>
              <w:t>已落实</w:t>
            </w:r>
          </w:p>
        </w:tc>
      </w:tr>
      <w:tr w14:paraId="32A447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180B2477">
            <w:pPr>
              <w:spacing w:line="320" w:lineRule="exact"/>
              <w:jc w:val="center"/>
              <w:rPr>
                <w:rFonts w:ascii="Calibri" w:hAnsi="Calibri" w:eastAsiaTheme="minorEastAsia"/>
                <w:szCs w:val="21"/>
              </w:rPr>
            </w:pPr>
            <w:r>
              <w:rPr>
                <w:rFonts w:hint="eastAsia" w:ascii="Calibri" w:hAnsi="Calibri" w:eastAsiaTheme="minorEastAsia"/>
                <w:szCs w:val="21"/>
              </w:rPr>
              <w:t>8</w:t>
            </w:r>
          </w:p>
        </w:tc>
        <w:tc>
          <w:tcPr>
            <w:tcW w:w="2400" w:type="pct"/>
            <w:vAlign w:val="center"/>
          </w:tcPr>
          <w:p w14:paraId="6BF69068">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产业规划实施中新增大气污染物、水污染物排放总量应按照国家有关污染物排放总量控制的要求严格执行，切实履行总量控制要求。</w:t>
            </w:r>
          </w:p>
        </w:tc>
        <w:tc>
          <w:tcPr>
            <w:tcW w:w="1974" w:type="pct"/>
            <w:vAlign w:val="center"/>
          </w:tcPr>
          <w:p w14:paraId="4D27CB88">
            <w:pPr>
              <w:spacing w:line="320" w:lineRule="exact"/>
              <w:ind w:firstLine="420" w:firstLineChars="200"/>
              <w:jc w:val="left"/>
              <w:rPr>
                <w:rFonts w:ascii="Calibri" w:hAnsi="Calibri" w:eastAsiaTheme="minorEastAsia"/>
                <w:szCs w:val="21"/>
              </w:rPr>
            </w:pPr>
            <w:r>
              <w:rPr>
                <w:rFonts w:ascii="Calibri" w:hAnsi="Calibri" w:eastAsiaTheme="minorEastAsia"/>
                <w:szCs w:val="21"/>
              </w:rPr>
              <w:t>园区现状生产废水处理后综合利用，不涉及水污染物总量控制指标</w:t>
            </w:r>
            <w:r>
              <w:rPr>
                <w:rFonts w:hint="eastAsia" w:ascii="Calibri" w:hAnsi="Calibri" w:eastAsiaTheme="minorEastAsia"/>
                <w:szCs w:val="21"/>
              </w:rPr>
              <w:t>；</w:t>
            </w:r>
            <w:r>
              <w:rPr>
                <w:rFonts w:ascii="Calibri" w:hAnsi="Calibri" w:eastAsiaTheme="minorEastAsia"/>
                <w:szCs w:val="21"/>
              </w:rPr>
              <w:t>涉及的大气污染物总量指标各企业按要求进行申请，管理部门加强对企业的监督。</w:t>
            </w:r>
          </w:p>
        </w:tc>
        <w:tc>
          <w:tcPr>
            <w:tcW w:w="384" w:type="pct"/>
            <w:vAlign w:val="center"/>
          </w:tcPr>
          <w:p w14:paraId="421931AF">
            <w:pPr>
              <w:spacing w:line="320" w:lineRule="exact"/>
              <w:jc w:val="center"/>
              <w:rPr>
                <w:rFonts w:ascii="Calibri" w:hAnsi="Calibri" w:eastAsiaTheme="minorEastAsia"/>
                <w:bCs/>
                <w:szCs w:val="21"/>
              </w:rPr>
            </w:pPr>
            <w:r>
              <w:rPr>
                <w:rFonts w:ascii="Calibri" w:hAnsi="Calibri" w:eastAsiaTheme="minorEastAsia"/>
                <w:bCs/>
                <w:szCs w:val="21"/>
              </w:rPr>
              <w:t>已落实</w:t>
            </w:r>
          </w:p>
        </w:tc>
      </w:tr>
      <w:tr w14:paraId="0B047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42" w:type="pct"/>
            <w:vAlign w:val="center"/>
          </w:tcPr>
          <w:p w14:paraId="7DC73B8C">
            <w:pPr>
              <w:spacing w:line="320" w:lineRule="exact"/>
              <w:jc w:val="center"/>
              <w:rPr>
                <w:rFonts w:ascii="Calibri" w:hAnsi="Calibri" w:eastAsiaTheme="minorEastAsia"/>
                <w:szCs w:val="21"/>
              </w:rPr>
            </w:pPr>
            <w:r>
              <w:rPr>
                <w:rFonts w:hint="eastAsia" w:ascii="Calibri" w:hAnsi="Calibri" w:eastAsiaTheme="minorEastAsia"/>
                <w:szCs w:val="21"/>
              </w:rPr>
              <w:t>9</w:t>
            </w:r>
          </w:p>
        </w:tc>
        <w:tc>
          <w:tcPr>
            <w:tcW w:w="2400" w:type="pct"/>
            <w:vAlign w:val="center"/>
          </w:tcPr>
          <w:p w14:paraId="323A7140">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完善石材产业园环境监测体系和日常监测工作方案，按照监测计划开展日常监测工作，编制年度环境质量报告书。</w:t>
            </w:r>
          </w:p>
        </w:tc>
        <w:tc>
          <w:tcPr>
            <w:tcW w:w="1974" w:type="pct"/>
            <w:vAlign w:val="center"/>
          </w:tcPr>
          <w:p w14:paraId="79241EB6">
            <w:pPr>
              <w:spacing w:line="320" w:lineRule="exact"/>
              <w:ind w:firstLine="420" w:firstLineChars="200"/>
              <w:jc w:val="left"/>
              <w:rPr>
                <w:rFonts w:ascii="Calibri" w:hAnsi="Calibri" w:eastAsiaTheme="minorEastAsia"/>
                <w:szCs w:val="21"/>
              </w:rPr>
            </w:pPr>
            <w:r>
              <w:rPr>
                <w:rFonts w:hint="eastAsia" w:ascii="Calibri" w:hAnsi="Calibri" w:eastAsiaTheme="minorEastAsia"/>
                <w:szCs w:val="21"/>
              </w:rPr>
              <w:t>石材产业园已着手完善环境监测体系和日常监测工作方案，并按监测计划开展了部分日常监测工作。目前年度环境质量报告书的编制工作仍在推进中，后续将加快进度，确保相关监测工作全面落实到位。</w:t>
            </w:r>
          </w:p>
        </w:tc>
        <w:tc>
          <w:tcPr>
            <w:tcW w:w="384" w:type="pct"/>
            <w:vAlign w:val="center"/>
          </w:tcPr>
          <w:p w14:paraId="3162274E">
            <w:pPr>
              <w:spacing w:line="320" w:lineRule="exact"/>
              <w:jc w:val="center"/>
              <w:rPr>
                <w:rFonts w:ascii="Calibri" w:hAnsi="Calibri" w:eastAsiaTheme="minorEastAsia"/>
                <w:bCs/>
                <w:szCs w:val="21"/>
              </w:rPr>
            </w:pPr>
            <w:r>
              <w:rPr>
                <w:rFonts w:ascii="Calibri" w:hAnsi="Calibri" w:eastAsiaTheme="minorEastAsia"/>
                <w:bCs/>
                <w:szCs w:val="21"/>
              </w:rPr>
              <w:t>部分落实</w:t>
            </w:r>
          </w:p>
        </w:tc>
      </w:tr>
    </w:tbl>
    <w:p w14:paraId="4145638D">
      <w:pPr>
        <w:spacing w:line="360" w:lineRule="auto"/>
        <w:ind w:firstLine="480" w:firstLineChars="200"/>
        <w:rPr>
          <w:rFonts w:eastAsiaTheme="minorEastAsia"/>
          <w:sz w:val="24"/>
        </w:rPr>
        <w:sectPr>
          <w:pgSz w:w="16838" w:h="11906" w:orient="landscape"/>
          <w:pgMar w:top="1797" w:right="1559" w:bottom="1797" w:left="1559" w:header="851" w:footer="862" w:gutter="0"/>
          <w:cols w:space="425" w:num="1"/>
          <w:docGrid w:type="linesAndChars" w:linePitch="312" w:charSpace="0"/>
        </w:sectPr>
      </w:pPr>
    </w:p>
    <w:p w14:paraId="1DD282DF">
      <w:pPr>
        <w:keepNext/>
        <w:keepLines/>
        <w:widowControl/>
        <w:numPr>
          <w:ilvl w:val="2"/>
          <w:numId w:val="1"/>
        </w:numPr>
        <w:spacing w:before="120" w:after="120" w:line="360" w:lineRule="auto"/>
        <w:jc w:val="left"/>
        <w:outlineLvl w:val="2"/>
        <w:rPr>
          <w:rFonts w:eastAsiaTheme="minorEastAsia"/>
          <w:b/>
          <w:bCs/>
          <w:sz w:val="24"/>
        </w:rPr>
      </w:pPr>
      <w:bookmarkStart w:id="123" w:name="_Toc206494956"/>
      <w:r>
        <w:rPr>
          <w:rFonts w:hint="eastAsia" w:eastAsiaTheme="minorEastAsia"/>
          <w:b/>
          <w:bCs/>
          <w:sz w:val="24"/>
        </w:rPr>
        <w:t>区域产业开发现状</w:t>
      </w:r>
      <w:bookmarkEnd w:id="123"/>
    </w:p>
    <w:p w14:paraId="135D4D6B">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产业发展现状</w:t>
      </w:r>
    </w:p>
    <w:p w14:paraId="01B686FF">
      <w:pPr>
        <w:spacing w:line="360" w:lineRule="auto"/>
        <w:ind w:firstLine="480" w:firstLineChars="200"/>
        <w:rPr>
          <w:rFonts w:eastAsiaTheme="minorEastAsia"/>
          <w:sz w:val="24"/>
        </w:rPr>
      </w:pPr>
      <w:r>
        <w:rPr>
          <w:rFonts w:hint="eastAsia" w:eastAsiaTheme="minorEastAsia"/>
          <w:sz w:val="24"/>
        </w:rPr>
        <w:t>随县石材开采加工始于2006年，石材产业发展至今已有18年历史，历经从无到有、由小到大、由大而强的发展过程，并已成为支撑随县经济社会发展的主导产业之一。2022年全县石材产业实现产值156.62亿元，占全县规上工业总产值的27.5%，利税2.26亿元，占全县税费总收入25.11%。截至目前，随县共有石材开采企业6家，加工企业162家。已经形成吴山、万和两大石材工业园，累计投资170余亿元，具备年开采600万立方米荒料、加工1.8亿平方米板材的生产能力。配套产业方面，孕育了石材销售市场主体50家、运输物流市场主体3000家、餐饮商贸80家、机械修理等服务业市场主体20家。</w:t>
      </w:r>
    </w:p>
    <w:p w14:paraId="063D9878">
      <w:pPr>
        <w:spacing w:line="360" w:lineRule="auto"/>
        <w:ind w:firstLine="480" w:firstLineChars="200"/>
        <w:rPr>
          <w:rFonts w:eastAsiaTheme="minorEastAsia"/>
          <w:sz w:val="24"/>
        </w:rPr>
      </w:pPr>
      <w:r>
        <w:rPr>
          <w:rFonts w:hint="eastAsia" w:eastAsiaTheme="minorEastAsia"/>
          <w:sz w:val="24"/>
        </w:rPr>
        <w:t>石材产业的发展助推随县在成立不到三年之时就一跃成为“全省县域经济发展进位先进县”。自建县以来，依托石材资源优势，石材产业不断发展壮大，对促进经济发展，增加地方财税，转移农村劳动力，增加农民收入起到了积极的助推作用。石材产业高峰期，直接从业人员与关联产业就业7万余人，为当地群众增加20余亿元的年经营性和务工性收入。</w:t>
      </w:r>
    </w:p>
    <w:p w14:paraId="612D36E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资源条件现状</w:t>
      </w:r>
    </w:p>
    <w:p w14:paraId="2F4C8264">
      <w:pPr>
        <w:spacing w:line="360" w:lineRule="auto"/>
        <w:ind w:firstLine="480" w:firstLineChars="200"/>
        <w:rPr>
          <w:rFonts w:eastAsiaTheme="minorEastAsia"/>
          <w:sz w:val="24"/>
        </w:rPr>
      </w:pPr>
      <w:r>
        <w:rPr>
          <w:rFonts w:hint="eastAsia" w:eastAsiaTheme="minorEastAsia"/>
          <w:sz w:val="24"/>
        </w:rPr>
        <w:t>随县石材资源以饰面用花岗岩为主，主要分布在随县北部的吴山镇和万和镇（吴山—万和交界的七尖峰岩体周围），已探明矿石量5.55亿立方米、荒料量1.9亿立方米。石材品种以“黄金麻”和“芝麻白”为主，具有色差小、出材率高、耐压强度大、吸水率低等特点，深受市场欢迎，鼎盛时期随县石材占全国石材市场的20%，“黄金麻”品种更曾经占全国石材市场80%的份额。在矿权整治方面，原有矿权到期后，按照“矿业开发和生态保护并重，生态优先，合理有序”的思路，在保障市场供应的前提下，将全县原有19宗采矿权整合优化为6宗，设计年开采荒料量530万立方。</w:t>
      </w:r>
    </w:p>
    <w:p w14:paraId="06AE275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产业园现有企业发展现状</w:t>
      </w:r>
    </w:p>
    <w:p w14:paraId="4A947EE9">
      <w:pPr>
        <w:spacing w:line="360" w:lineRule="auto"/>
        <w:ind w:firstLine="480" w:firstLineChars="200"/>
        <w:rPr>
          <w:rFonts w:eastAsiaTheme="minorEastAsia"/>
          <w:sz w:val="24"/>
        </w:rPr>
      </w:pPr>
      <w:r>
        <w:rPr>
          <w:rFonts w:hint="eastAsia" w:eastAsiaTheme="minorEastAsia"/>
          <w:sz w:val="24"/>
        </w:rPr>
        <w:t>根据调查资料统计及现场踏勘，规划产业集聚区范围内已建成石材加工企业约163家，其中吴山闽商石材产业园区内现有石材加工企业约79家，万和石材产业园区内现有石材加工企业约67家，太白顶石材产业园区内现有石材加工企业约15家，草店石材产业园区内现有石材加工企业约2家。各企业具体情况如下表。</w:t>
      </w:r>
    </w:p>
    <w:p w14:paraId="5EC43D1A">
      <w:pPr>
        <w:spacing w:line="360" w:lineRule="auto"/>
        <w:ind w:firstLine="422"/>
        <w:jc w:val="center"/>
        <w:rPr>
          <w:rFonts w:eastAsiaTheme="minorEastAsia"/>
          <w:b/>
          <w:szCs w:val="21"/>
        </w:rPr>
      </w:pPr>
      <w:r>
        <w:rPr>
          <w:rFonts w:hint="eastAsia" w:eastAsiaTheme="minorEastAsia"/>
          <w:b/>
          <w:szCs w:val="21"/>
        </w:rPr>
        <w:t>表3.4.3-1   现有企业生产情况汇总表</w:t>
      </w:r>
    </w:p>
    <w:tbl>
      <w:tblPr>
        <w:tblStyle w:val="88"/>
        <w:tblW w:w="503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7"/>
        <w:gridCol w:w="1600"/>
        <w:gridCol w:w="1425"/>
        <w:gridCol w:w="1135"/>
        <w:gridCol w:w="2551"/>
        <w:gridCol w:w="1105"/>
      </w:tblGrid>
      <w:tr w14:paraId="77962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47" w:type="pct"/>
            <w:vAlign w:val="center"/>
          </w:tcPr>
          <w:p w14:paraId="2625E83E">
            <w:pPr>
              <w:widowControl/>
              <w:spacing w:line="320" w:lineRule="exact"/>
              <w:ind w:left="-25" w:right="-25"/>
              <w:jc w:val="center"/>
              <w:rPr>
                <w:rFonts w:eastAsiaTheme="minorEastAsia"/>
                <w:kern w:val="0"/>
                <w:szCs w:val="21"/>
              </w:rPr>
            </w:pPr>
            <w:r>
              <w:rPr>
                <w:rFonts w:eastAsiaTheme="minorEastAsia"/>
                <w:kern w:val="0"/>
                <w:szCs w:val="21"/>
              </w:rPr>
              <w:t>序号</w:t>
            </w:r>
          </w:p>
        </w:tc>
        <w:tc>
          <w:tcPr>
            <w:tcW w:w="932" w:type="pct"/>
            <w:vAlign w:val="center"/>
          </w:tcPr>
          <w:p w14:paraId="7794A10B">
            <w:pPr>
              <w:widowControl/>
              <w:spacing w:line="320" w:lineRule="exact"/>
              <w:ind w:left="-25" w:right="-25"/>
              <w:jc w:val="center"/>
              <w:rPr>
                <w:rFonts w:eastAsiaTheme="minorEastAsia"/>
                <w:kern w:val="0"/>
                <w:szCs w:val="21"/>
              </w:rPr>
            </w:pPr>
            <w:r>
              <w:rPr>
                <w:rFonts w:hint="eastAsia" w:eastAsiaTheme="minorEastAsia"/>
                <w:kern w:val="0"/>
                <w:szCs w:val="21"/>
              </w:rPr>
              <w:t>选址范围</w:t>
            </w:r>
          </w:p>
        </w:tc>
        <w:tc>
          <w:tcPr>
            <w:tcW w:w="830" w:type="pct"/>
            <w:tcBorders>
              <w:right w:val="single" w:color="auto" w:sz="4" w:space="0"/>
            </w:tcBorders>
            <w:vAlign w:val="center"/>
          </w:tcPr>
          <w:p w14:paraId="659EF5ED">
            <w:pPr>
              <w:widowControl/>
              <w:spacing w:line="320" w:lineRule="exact"/>
              <w:ind w:left="-25" w:right="-25"/>
              <w:jc w:val="center"/>
              <w:rPr>
                <w:rFonts w:eastAsiaTheme="minorEastAsia"/>
                <w:kern w:val="0"/>
                <w:szCs w:val="21"/>
              </w:rPr>
            </w:pPr>
            <w:r>
              <w:rPr>
                <w:rFonts w:hint="eastAsia" w:eastAsiaTheme="minorEastAsia"/>
                <w:kern w:val="0"/>
                <w:szCs w:val="21"/>
              </w:rPr>
              <w:t>主要行业类别</w:t>
            </w:r>
          </w:p>
        </w:tc>
        <w:tc>
          <w:tcPr>
            <w:tcW w:w="661" w:type="pct"/>
            <w:tcBorders>
              <w:left w:val="single" w:color="auto" w:sz="4" w:space="0"/>
            </w:tcBorders>
            <w:vAlign w:val="center"/>
          </w:tcPr>
          <w:p w14:paraId="63DF3CBB">
            <w:pPr>
              <w:widowControl/>
              <w:spacing w:line="320" w:lineRule="exact"/>
              <w:ind w:left="-25" w:right="-25"/>
              <w:jc w:val="center"/>
              <w:rPr>
                <w:rFonts w:eastAsiaTheme="minorEastAsia"/>
                <w:kern w:val="0"/>
                <w:szCs w:val="21"/>
              </w:rPr>
            </w:pPr>
            <w:r>
              <w:rPr>
                <w:rFonts w:eastAsiaTheme="minorEastAsia"/>
                <w:kern w:val="0"/>
                <w:szCs w:val="21"/>
              </w:rPr>
              <w:t>已建成企业数量</w:t>
            </w:r>
          </w:p>
        </w:tc>
        <w:tc>
          <w:tcPr>
            <w:tcW w:w="1486" w:type="pct"/>
            <w:tcBorders>
              <w:right w:val="single" w:color="auto" w:sz="4" w:space="0"/>
            </w:tcBorders>
            <w:vAlign w:val="center"/>
          </w:tcPr>
          <w:p w14:paraId="5C293A55">
            <w:pPr>
              <w:widowControl/>
              <w:spacing w:line="320" w:lineRule="exact"/>
              <w:ind w:left="-25" w:right="-25"/>
              <w:jc w:val="center"/>
              <w:rPr>
                <w:rFonts w:eastAsiaTheme="minorEastAsia"/>
                <w:kern w:val="0"/>
                <w:szCs w:val="21"/>
              </w:rPr>
            </w:pPr>
            <w:r>
              <w:rPr>
                <w:rFonts w:hint="eastAsia" w:eastAsiaTheme="minorEastAsia"/>
                <w:kern w:val="0"/>
                <w:szCs w:val="21"/>
              </w:rPr>
              <w:t>主要产品及规模</w:t>
            </w:r>
          </w:p>
        </w:tc>
        <w:tc>
          <w:tcPr>
            <w:tcW w:w="643" w:type="pct"/>
            <w:tcBorders>
              <w:left w:val="single" w:color="auto" w:sz="4" w:space="0"/>
            </w:tcBorders>
            <w:vAlign w:val="center"/>
          </w:tcPr>
          <w:p w14:paraId="17B77FA9">
            <w:pPr>
              <w:widowControl/>
              <w:spacing w:line="320" w:lineRule="exact"/>
              <w:ind w:left="-25" w:right="-25"/>
              <w:jc w:val="center"/>
              <w:rPr>
                <w:rFonts w:eastAsiaTheme="minorEastAsia"/>
                <w:kern w:val="0"/>
                <w:szCs w:val="21"/>
              </w:rPr>
            </w:pPr>
            <w:r>
              <w:rPr>
                <w:rFonts w:hint="eastAsia" w:eastAsiaTheme="minorEastAsia"/>
                <w:kern w:val="0"/>
                <w:szCs w:val="21"/>
              </w:rPr>
              <w:t>石材加工量（万t/a）</w:t>
            </w:r>
          </w:p>
        </w:tc>
      </w:tr>
      <w:tr w14:paraId="03C3A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47" w:type="pct"/>
            <w:shd w:val="clear" w:color="auto" w:fill="auto"/>
            <w:vAlign w:val="center"/>
          </w:tcPr>
          <w:p w14:paraId="072546F6">
            <w:pPr>
              <w:widowControl/>
              <w:spacing w:line="320" w:lineRule="exact"/>
              <w:ind w:left="-25" w:right="-25"/>
              <w:jc w:val="center"/>
              <w:rPr>
                <w:rFonts w:eastAsiaTheme="minorEastAsia"/>
                <w:kern w:val="0"/>
                <w:szCs w:val="21"/>
              </w:rPr>
            </w:pPr>
            <w:r>
              <w:rPr>
                <w:rFonts w:eastAsiaTheme="minorEastAsia"/>
                <w:kern w:val="0"/>
                <w:szCs w:val="21"/>
              </w:rPr>
              <w:t>1</w:t>
            </w:r>
          </w:p>
        </w:tc>
        <w:tc>
          <w:tcPr>
            <w:tcW w:w="932" w:type="pct"/>
            <w:vAlign w:val="center"/>
          </w:tcPr>
          <w:p w14:paraId="09CEC65E">
            <w:pPr>
              <w:widowControl/>
              <w:spacing w:line="320" w:lineRule="exact"/>
              <w:ind w:left="-25" w:right="-25"/>
              <w:jc w:val="center"/>
              <w:rPr>
                <w:rFonts w:eastAsiaTheme="minorEastAsia"/>
                <w:kern w:val="0"/>
                <w:szCs w:val="21"/>
              </w:rPr>
            </w:pPr>
            <w:r>
              <w:rPr>
                <w:rFonts w:hint="eastAsia" w:eastAsiaTheme="minorEastAsia"/>
                <w:kern w:val="0"/>
                <w:szCs w:val="21"/>
              </w:rPr>
              <w:t>吴山闽商石材产业园</w:t>
            </w:r>
          </w:p>
        </w:tc>
        <w:tc>
          <w:tcPr>
            <w:tcW w:w="830" w:type="pct"/>
            <w:tcBorders>
              <w:right w:val="single" w:color="auto" w:sz="4" w:space="0"/>
            </w:tcBorders>
            <w:vAlign w:val="center"/>
          </w:tcPr>
          <w:p w14:paraId="146A94A3">
            <w:pPr>
              <w:widowControl/>
              <w:spacing w:line="320" w:lineRule="exact"/>
              <w:ind w:left="-25" w:right="-25"/>
              <w:jc w:val="center"/>
              <w:rPr>
                <w:rFonts w:eastAsiaTheme="minorEastAsia"/>
                <w:kern w:val="0"/>
                <w:szCs w:val="21"/>
              </w:rPr>
            </w:pPr>
            <w:r>
              <w:rPr>
                <w:rFonts w:hint="eastAsia" w:eastAsiaTheme="minorEastAsia"/>
                <w:kern w:val="0"/>
                <w:szCs w:val="21"/>
              </w:rPr>
              <w:t>C3032 建筑用石加工</w:t>
            </w:r>
          </w:p>
        </w:tc>
        <w:tc>
          <w:tcPr>
            <w:tcW w:w="661" w:type="pct"/>
            <w:tcBorders>
              <w:left w:val="single" w:color="auto" w:sz="4" w:space="0"/>
            </w:tcBorders>
            <w:vAlign w:val="center"/>
          </w:tcPr>
          <w:p w14:paraId="0DF309D4">
            <w:pPr>
              <w:widowControl/>
              <w:spacing w:line="320" w:lineRule="exact"/>
              <w:ind w:left="-25" w:right="-25"/>
              <w:jc w:val="center"/>
              <w:rPr>
                <w:rFonts w:eastAsiaTheme="minorEastAsia"/>
                <w:kern w:val="0"/>
                <w:szCs w:val="21"/>
              </w:rPr>
            </w:pPr>
            <w:r>
              <w:rPr>
                <w:rFonts w:hint="eastAsia" w:eastAsiaTheme="minorEastAsia"/>
                <w:kern w:val="0"/>
                <w:szCs w:val="21"/>
              </w:rPr>
              <w:t>79</w:t>
            </w:r>
          </w:p>
        </w:tc>
        <w:tc>
          <w:tcPr>
            <w:tcW w:w="1486" w:type="pct"/>
            <w:tcBorders>
              <w:right w:val="single" w:color="auto" w:sz="4" w:space="0"/>
            </w:tcBorders>
            <w:shd w:val="clear" w:color="auto" w:fill="auto"/>
            <w:vAlign w:val="center"/>
          </w:tcPr>
          <w:p w14:paraId="3FB44720">
            <w:pPr>
              <w:widowControl/>
              <w:spacing w:line="320" w:lineRule="exact"/>
              <w:ind w:left="-25" w:right="-25"/>
              <w:jc w:val="center"/>
              <w:rPr>
                <w:rFonts w:eastAsiaTheme="minorEastAsia"/>
                <w:kern w:val="0"/>
                <w:szCs w:val="21"/>
              </w:rPr>
            </w:pPr>
            <w:r>
              <w:rPr>
                <w:rFonts w:hint="eastAsia" w:eastAsiaTheme="minorEastAsia"/>
                <w:kern w:val="0"/>
                <w:szCs w:val="21"/>
              </w:rPr>
              <w:t>年加工8430</w:t>
            </w:r>
            <w:r>
              <w:rPr>
                <w:rFonts w:eastAsiaTheme="minorEastAsia"/>
                <w:kern w:val="0"/>
                <w:szCs w:val="21"/>
              </w:rPr>
              <w:t>万平方米花岗岩、</w:t>
            </w:r>
            <w:r>
              <w:rPr>
                <w:rFonts w:hint="eastAsia" w:eastAsiaTheme="minorEastAsia"/>
                <w:kern w:val="0"/>
                <w:szCs w:val="21"/>
              </w:rPr>
              <w:t>300万吨砂石骨料</w:t>
            </w:r>
          </w:p>
        </w:tc>
        <w:tc>
          <w:tcPr>
            <w:tcW w:w="643" w:type="pct"/>
            <w:tcBorders>
              <w:left w:val="single" w:color="auto" w:sz="4" w:space="0"/>
            </w:tcBorders>
            <w:shd w:val="clear" w:color="auto" w:fill="auto"/>
            <w:vAlign w:val="center"/>
          </w:tcPr>
          <w:p w14:paraId="3646B95A">
            <w:pPr>
              <w:widowControl/>
              <w:spacing w:line="320" w:lineRule="exact"/>
              <w:ind w:left="-25" w:right="-25"/>
              <w:jc w:val="center"/>
              <w:rPr>
                <w:rFonts w:eastAsiaTheme="minorEastAsia"/>
                <w:kern w:val="0"/>
                <w:szCs w:val="21"/>
              </w:rPr>
            </w:pPr>
            <w:r>
              <w:rPr>
                <w:rFonts w:hint="eastAsia" w:eastAsiaTheme="minorEastAsia"/>
                <w:kern w:val="0"/>
                <w:szCs w:val="21"/>
              </w:rPr>
              <w:t>755.22</w:t>
            </w:r>
          </w:p>
        </w:tc>
      </w:tr>
      <w:tr w14:paraId="77736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47" w:type="pct"/>
            <w:shd w:val="clear" w:color="auto" w:fill="auto"/>
            <w:vAlign w:val="center"/>
          </w:tcPr>
          <w:p w14:paraId="7E4BB649">
            <w:pPr>
              <w:widowControl/>
              <w:spacing w:line="320" w:lineRule="exact"/>
              <w:ind w:left="-25" w:right="-25"/>
              <w:jc w:val="center"/>
              <w:rPr>
                <w:rFonts w:eastAsiaTheme="minorEastAsia"/>
                <w:kern w:val="0"/>
                <w:szCs w:val="21"/>
              </w:rPr>
            </w:pPr>
            <w:r>
              <w:rPr>
                <w:rFonts w:eastAsiaTheme="minorEastAsia"/>
                <w:kern w:val="0"/>
                <w:szCs w:val="21"/>
              </w:rPr>
              <w:t>2</w:t>
            </w:r>
          </w:p>
        </w:tc>
        <w:tc>
          <w:tcPr>
            <w:tcW w:w="932" w:type="pct"/>
            <w:vAlign w:val="center"/>
          </w:tcPr>
          <w:p w14:paraId="2921D80A">
            <w:pPr>
              <w:widowControl/>
              <w:spacing w:line="320" w:lineRule="exact"/>
              <w:ind w:left="-25" w:right="-25"/>
              <w:jc w:val="center"/>
              <w:rPr>
                <w:rFonts w:eastAsiaTheme="minorEastAsia"/>
                <w:kern w:val="0"/>
                <w:szCs w:val="21"/>
              </w:rPr>
            </w:pPr>
            <w:r>
              <w:rPr>
                <w:rFonts w:hint="eastAsia" w:eastAsiaTheme="minorEastAsia"/>
                <w:kern w:val="0"/>
                <w:szCs w:val="21"/>
              </w:rPr>
              <w:t>万和石材产业园</w:t>
            </w:r>
          </w:p>
        </w:tc>
        <w:tc>
          <w:tcPr>
            <w:tcW w:w="830" w:type="pct"/>
            <w:tcBorders>
              <w:right w:val="single" w:color="auto" w:sz="4" w:space="0"/>
            </w:tcBorders>
            <w:vAlign w:val="center"/>
          </w:tcPr>
          <w:p w14:paraId="2A55F865">
            <w:pPr>
              <w:widowControl/>
              <w:spacing w:line="320" w:lineRule="exact"/>
              <w:ind w:left="-25" w:right="-25"/>
              <w:jc w:val="center"/>
              <w:rPr>
                <w:rFonts w:eastAsiaTheme="minorEastAsia"/>
                <w:kern w:val="0"/>
                <w:szCs w:val="21"/>
              </w:rPr>
            </w:pPr>
            <w:r>
              <w:rPr>
                <w:rFonts w:hint="eastAsia" w:eastAsiaTheme="minorEastAsia"/>
                <w:kern w:val="0"/>
                <w:szCs w:val="21"/>
              </w:rPr>
              <w:t>C3032 建筑用石加工</w:t>
            </w:r>
          </w:p>
        </w:tc>
        <w:tc>
          <w:tcPr>
            <w:tcW w:w="661" w:type="pct"/>
            <w:tcBorders>
              <w:left w:val="single" w:color="auto" w:sz="4" w:space="0"/>
            </w:tcBorders>
            <w:vAlign w:val="center"/>
          </w:tcPr>
          <w:p w14:paraId="22CC44E3">
            <w:pPr>
              <w:widowControl/>
              <w:spacing w:line="320" w:lineRule="exact"/>
              <w:ind w:left="-25" w:right="-25"/>
              <w:jc w:val="center"/>
              <w:rPr>
                <w:rFonts w:eastAsiaTheme="minorEastAsia"/>
                <w:kern w:val="0"/>
                <w:szCs w:val="21"/>
              </w:rPr>
            </w:pPr>
            <w:r>
              <w:rPr>
                <w:rFonts w:hint="eastAsia" w:eastAsiaTheme="minorEastAsia"/>
                <w:kern w:val="0"/>
                <w:szCs w:val="21"/>
              </w:rPr>
              <w:t>67</w:t>
            </w:r>
          </w:p>
        </w:tc>
        <w:tc>
          <w:tcPr>
            <w:tcW w:w="1486" w:type="pct"/>
            <w:tcBorders>
              <w:right w:val="single" w:color="auto" w:sz="4" w:space="0"/>
            </w:tcBorders>
            <w:shd w:val="clear" w:color="auto" w:fill="auto"/>
            <w:vAlign w:val="center"/>
          </w:tcPr>
          <w:p w14:paraId="23334EAF">
            <w:pPr>
              <w:widowControl/>
              <w:spacing w:line="320" w:lineRule="exact"/>
              <w:ind w:left="-25" w:right="-25"/>
              <w:jc w:val="center"/>
              <w:rPr>
                <w:rFonts w:eastAsiaTheme="minorEastAsia"/>
                <w:kern w:val="0"/>
                <w:szCs w:val="21"/>
              </w:rPr>
            </w:pPr>
            <w:r>
              <w:rPr>
                <w:rFonts w:hint="eastAsia" w:eastAsiaTheme="minorEastAsia"/>
                <w:kern w:val="0"/>
                <w:szCs w:val="21"/>
              </w:rPr>
              <w:t>年加工7560</w:t>
            </w:r>
            <w:r>
              <w:rPr>
                <w:rFonts w:eastAsiaTheme="minorEastAsia"/>
                <w:kern w:val="0"/>
                <w:szCs w:val="21"/>
              </w:rPr>
              <w:t>万平方米花岗岩、</w:t>
            </w:r>
            <w:r>
              <w:rPr>
                <w:rFonts w:hint="eastAsia" w:eastAsiaTheme="minorEastAsia"/>
                <w:kern w:val="0"/>
                <w:szCs w:val="21"/>
              </w:rPr>
              <w:t>400万吨砂石骨料</w:t>
            </w:r>
          </w:p>
        </w:tc>
        <w:tc>
          <w:tcPr>
            <w:tcW w:w="643" w:type="pct"/>
            <w:tcBorders>
              <w:left w:val="single" w:color="auto" w:sz="4" w:space="0"/>
            </w:tcBorders>
            <w:shd w:val="clear" w:color="auto" w:fill="auto"/>
            <w:vAlign w:val="center"/>
          </w:tcPr>
          <w:p w14:paraId="04B5B57C">
            <w:pPr>
              <w:widowControl/>
              <w:spacing w:line="320" w:lineRule="exact"/>
              <w:ind w:left="-25" w:right="-25"/>
              <w:jc w:val="center"/>
              <w:rPr>
                <w:rFonts w:eastAsiaTheme="minorEastAsia"/>
                <w:kern w:val="0"/>
                <w:szCs w:val="21"/>
              </w:rPr>
            </w:pPr>
            <w:r>
              <w:rPr>
                <w:rFonts w:hint="eastAsia" w:eastAsiaTheme="minorEastAsia"/>
                <w:kern w:val="0"/>
                <w:szCs w:val="21"/>
              </w:rPr>
              <w:t>808.24</w:t>
            </w:r>
          </w:p>
        </w:tc>
      </w:tr>
      <w:tr w14:paraId="4425F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47" w:type="pct"/>
            <w:shd w:val="clear" w:color="auto" w:fill="auto"/>
            <w:vAlign w:val="center"/>
          </w:tcPr>
          <w:p w14:paraId="602D1E65">
            <w:pPr>
              <w:widowControl/>
              <w:spacing w:line="320" w:lineRule="exact"/>
              <w:ind w:left="-25" w:right="-25"/>
              <w:jc w:val="center"/>
              <w:rPr>
                <w:rFonts w:eastAsiaTheme="minorEastAsia"/>
                <w:kern w:val="0"/>
                <w:szCs w:val="21"/>
              </w:rPr>
            </w:pPr>
            <w:r>
              <w:rPr>
                <w:rFonts w:eastAsiaTheme="minorEastAsia"/>
                <w:kern w:val="0"/>
                <w:szCs w:val="21"/>
              </w:rPr>
              <w:t>3</w:t>
            </w:r>
          </w:p>
        </w:tc>
        <w:tc>
          <w:tcPr>
            <w:tcW w:w="932" w:type="pct"/>
            <w:vAlign w:val="center"/>
          </w:tcPr>
          <w:p w14:paraId="36FA9461">
            <w:pPr>
              <w:widowControl/>
              <w:spacing w:line="320" w:lineRule="exact"/>
              <w:ind w:left="-25" w:right="-25"/>
              <w:jc w:val="center"/>
              <w:rPr>
                <w:rFonts w:eastAsiaTheme="minorEastAsia"/>
                <w:kern w:val="0"/>
                <w:szCs w:val="21"/>
              </w:rPr>
            </w:pPr>
            <w:r>
              <w:rPr>
                <w:rFonts w:hint="eastAsia" w:eastAsiaTheme="minorEastAsia"/>
                <w:kern w:val="0"/>
                <w:szCs w:val="21"/>
              </w:rPr>
              <w:t>太白顶石材产业园</w:t>
            </w:r>
          </w:p>
        </w:tc>
        <w:tc>
          <w:tcPr>
            <w:tcW w:w="830" w:type="pct"/>
            <w:tcBorders>
              <w:right w:val="single" w:color="auto" w:sz="4" w:space="0"/>
            </w:tcBorders>
            <w:vAlign w:val="center"/>
          </w:tcPr>
          <w:p w14:paraId="1F2C76E6">
            <w:pPr>
              <w:widowControl/>
              <w:spacing w:line="320" w:lineRule="exact"/>
              <w:ind w:left="-25" w:right="-25"/>
              <w:jc w:val="center"/>
              <w:rPr>
                <w:rFonts w:eastAsiaTheme="minorEastAsia"/>
                <w:kern w:val="0"/>
                <w:szCs w:val="21"/>
              </w:rPr>
            </w:pPr>
            <w:r>
              <w:rPr>
                <w:rFonts w:hint="eastAsia" w:eastAsiaTheme="minorEastAsia"/>
                <w:kern w:val="0"/>
                <w:szCs w:val="21"/>
              </w:rPr>
              <w:t>C3032 建筑用石加工</w:t>
            </w:r>
          </w:p>
        </w:tc>
        <w:tc>
          <w:tcPr>
            <w:tcW w:w="661" w:type="pct"/>
            <w:tcBorders>
              <w:left w:val="single" w:color="auto" w:sz="4" w:space="0"/>
            </w:tcBorders>
            <w:vAlign w:val="center"/>
          </w:tcPr>
          <w:p w14:paraId="3CBFFBAC">
            <w:pPr>
              <w:widowControl/>
              <w:spacing w:line="320" w:lineRule="exact"/>
              <w:ind w:left="-25" w:right="-25"/>
              <w:jc w:val="center"/>
              <w:rPr>
                <w:rFonts w:eastAsiaTheme="minorEastAsia"/>
                <w:kern w:val="0"/>
                <w:szCs w:val="21"/>
              </w:rPr>
            </w:pPr>
            <w:r>
              <w:rPr>
                <w:rFonts w:hint="eastAsia" w:eastAsiaTheme="minorEastAsia"/>
                <w:kern w:val="0"/>
                <w:szCs w:val="21"/>
              </w:rPr>
              <w:t>15</w:t>
            </w:r>
          </w:p>
        </w:tc>
        <w:tc>
          <w:tcPr>
            <w:tcW w:w="1486" w:type="pct"/>
            <w:tcBorders>
              <w:right w:val="single" w:color="auto" w:sz="4" w:space="0"/>
            </w:tcBorders>
            <w:shd w:val="clear" w:color="auto" w:fill="auto"/>
            <w:vAlign w:val="center"/>
          </w:tcPr>
          <w:p w14:paraId="44D7A04D">
            <w:pPr>
              <w:widowControl/>
              <w:spacing w:line="320" w:lineRule="exact"/>
              <w:ind w:left="-25" w:right="-25"/>
              <w:jc w:val="center"/>
              <w:rPr>
                <w:rFonts w:eastAsiaTheme="minorEastAsia"/>
                <w:kern w:val="0"/>
                <w:szCs w:val="21"/>
              </w:rPr>
            </w:pPr>
            <w:r>
              <w:rPr>
                <w:rFonts w:hint="eastAsia" w:eastAsiaTheme="minorEastAsia"/>
                <w:kern w:val="0"/>
                <w:szCs w:val="21"/>
              </w:rPr>
              <w:t>年加工1850</w:t>
            </w:r>
            <w:r>
              <w:rPr>
                <w:rFonts w:eastAsiaTheme="minorEastAsia"/>
                <w:kern w:val="0"/>
                <w:szCs w:val="21"/>
              </w:rPr>
              <w:t>万平方米花岗岩、</w:t>
            </w:r>
            <w:r>
              <w:rPr>
                <w:rFonts w:hint="eastAsia" w:eastAsiaTheme="minorEastAsia"/>
                <w:kern w:val="0"/>
                <w:szCs w:val="21"/>
              </w:rPr>
              <w:t>200万吨砂石骨料</w:t>
            </w:r>
          </w:p>
        </w:tc>
        <w:tc>
          <w:tcPr>
            <w:tcW w:w="643" w:type="pct"/>
            <w:tcBorders>
              <w:left w:val="single" w:color="auto" w:sz="4" w:space="0"/>
            </w:tcBorders>
            <w:shd w:val="clear" w:color="auto" w:fill="auto"/>
            <w:vAlign w:val="center"/>
          </w:tcPr>
          <w:p w14:paraId="56B75C1E">
            <w:pPr>
              <w:widowControl/>
              <w:spacing w:line="320" w:lineRule="exact"/>
              <w:ind w:left="-25" w:right="-25"/>
              <w:jc w:val="center"/>
              <w:rPr>
                <w:rFonts w:eastAsiaTheme="minorEastAsia"/>
                <w:kern w:val="0"/>
                <w:szCs w:val="21"/>
              </w:rPr>
            </w:pPr>
            <w:r>
              <w:rPr>
                <w:rFonts w:hint="eastAsia" w:eastAsiaTheme="minorEastAsia"/>
                <w:kern w:val="0"/>
                <w:szCs w:val="21"/>
              </w:rPr>
              <w:t>299.9</w:t>
            </w:r>
          </w:p>
        </w:tc>
      </w:tr>
      <w:tr w14:paraId="6D68A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47" w:type="pct"/>
            <w:shd w:val="clear" w:color="auto" w:fill="auto"/>
            <w:vAlign w:val="center"/>
          </w:tcPr>
          <w:p w14:paraId="62F9CDA6">
            <w:pPr>
              <w:widowControl/>
              <w:spacing w:line="320" w:lineRule="exact"/>
              <w:ind w:left="-25" w:right="-25"/>
              <w:jc w:val="center"/>
              <w:rPr>
                <w:rFonts w:eastAsiaTheme="minorEastAsia"/>
                <w:kern w:val="0"/>
                <w:szCs w:val="21"/>
              </w:rPr>
            </w:pPr>
            <w:r>
              <w:rPr>
                <w:rFonts w:eastAsiaTheme="minorEastAsia"/>
                <w:kern w:val="0"/>
                <w:szCs w:val="21"/>
              </w:rPr>
              <w:t>4</w:t>
            </w:r>
          </w:p>
        </w:tc>
        <w:tc>
          <w:tcPr>
            <w:tcW w:w="932" w:type="pct"/>
            <w:vAlign w:val="center"/>
          </w:tcPr>
          <w:p w14:paraId="734C7448">
            <w:pPr>
              <w:widowControl/>
              <w:spacing w:line="320" w:lineRule="exact"/>
              <w:ind w:left="-25" w:right="-25"/>
              <w:jc w:val="center"/>
              <w:rPr>
                <w:rFonts w:eastAsiaTheme="minorEastAsia"/>
                <w:kern w:val="0"/>
                <w:szCs w:val="21"/>
              </w:rPr>
            </w:pPr>
            <w:r>
              <w:rPr>
                <w:rFonts w:hint="eastAsia" w:eastAsiaTheme="minorEastAsia"/>
                <w:kern w:val="0"/>
                <w:szCs w:val="21"/>
              </w:rPr>
              <w:t>草店石材产业园</w:t>
            </w:r>
          </w:p>
        </w:tc>
        <w:tc>
          <w:tcPr>
            <w:tcW w:w="830" w:type="pct"/>
            <w:tcBorders>
              <w:right w:val="single" w:color="auto" w:sz="4" w:space="0"/>
            </w:tcBorders>
            <w:vAlign w:val="center"/>
          </w:tcPr>
          <w:p w14:paraId="6DC8E121">
            <w:pPr>
              <w:widowControl/>
              <w:spacing w:line="320" w:lineRule="exact"/>
              <w:ind w:left="-25" w:right="-25"/>
              <w:jc w:val="center"/>
              <w:rPr>
                <w:rFonts w:eastAsiaTheme="minorEastAsia"/>
                <w:kern w:val="0"/>
                <w:szCs w:val="21"/>
              </w:rPr>
            </w:pPr>
            <w:r>
              <w:rPr>
                <w:rFonts w:hint="eastAsia" w:eastAsiaTheme="minorEastAsia"/>
                <w:kern w:val="0"/>
                <w:szCs w:val="21"/>
              </w:rPr>
              <w:t>C3032 建筑用石加工</w:t>
            </w:r>
          </w:p>
        </w:tc>
        <w:tc>
          <w:tcPr>
            <w:tcW w:w="661" w:type="pct"/>
            <w:tcBorders>
              <w:left w:val="single" w:color="auto" w:sz="4" w:space="0"/>
            </w:tcBorders>
            <w:vAlign w:val="center"/>
          </w:tcPr>
          <w:p w14:paraId="2CBF3C19">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486" w:type="pct"/>
            <w:tcBorders>
              <w:right w:val="single" w:color="auto" w:sz="4" w:space="0"/>
            </w:tcBorders>
            <w:shd w:val="clear" w:color="auto" w:fill="auto"/>
            <w:vAlign w:val="center"/>
          </w:tcPr>
          <w:p w14:paraId="77269ED9">
            <w:pPr>
              <w:widowControl/>
              <w:spacing w:line="320" w:lineRule="exact"/>
              <w:ind w:left="-25" w:right="-25"/>
              <w:jc w:val="center"/>
              <w:rPr>
                <w:rFonts w:eastAsiaTheme="minorEastAsia"/>
                <w:kern w:val="0"/>
                <w:szCs w:val="21"/>
              </w:rPr>
            </w:pPr>
            <w:r>
              <w:rPr>
                <w:rFonts w:hint="eastAsia" w:eastAsiaTheme="minorEastAsia"/>
                <w:kern w:val="0"/>
                <w:szCs w:val="21"/>
              </w:rPr>
              <w:t>年加工180</w:t>
            </w:r>
            <w:r>
              <w:rPr>
                <w:rFonts w:eastAsiaTheme="minorEastAsia"/>
                <w:kern w:val="0"/>
                <w:szCs w:val="21"/>
              </w:rPr>
              <w:t>万平方米花岗岩、</w:t>
            </w:r>
            <w:r>
              <w:rPr>
                <w:rFonts w:hint="eastAsia" w:eastAsiaTheme="minorEastAsia"/>
                <w:kern w:val="0"/>
                <w:szCs w:val="21"/>
              </w:rPr>
              <w:t>100万吨砂石骨料</w:t>
            </w:r>
          </w:p>
        </w:tc>
        <w:tc>
          <w:tcPr>
            <w:tcW w:w="643" w:type="pct"/>
            <w:tcBorders>
              <w:left w:val="single" w:color="auto" w:sz="4" w:space="0"/>
            </w:tcBorders>
            <w:shd w:val="clear" w:color="auto" w:fill="auto"/>
            <w:vAlign w:val="center"/>
          </w:tcPr>
          <w:p w14:paraId="6877F1E4">
            <w:pPr>
              <w:widowControl/>
              <w:spacing w:line="320" w:lineRule="exact"/>
              <w:ind w:left="-25" w:right="-25"/>
              <w:jc w:val="center"/>
              <w:rPr>
                <w:rFonts w:eastAsiaTheme="minorEastAsia"/>
                <w:kern w:val="0"/>
                <w:szCs w:val="21"/>
              </w:rPr>
            </w:pPr>
            <w:r>
              <w:rPr>
                <w:rFonts w:hint="eastAsia" w:eastAsiaTheme="minorEastAsia"/>
                <w:kern w:val="0"/>
                <w:szCs w:val="21"/>
              </w:rPr>
              <w:t>109.72</w:t>
            </w:r>
          </w:p>
        </w:tc>
      </w:tr>
      <w:tr w14:paraId="35C55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379" w:type="pct"/>
            <w:gridSpan w:val="2"/>
            <w:shd w:val="clear" w:color="auto" w:fill="auto"/>
            <w:vAlign w:val="center"/>
          </w:tcPr>
          <w:p w14:paraId="40ED4DBA">
            <w:pPr>
              <w:widowControl/>
              <w:spacing w:line="320" w:lineRule="exact"/>
              <w:ind w:left="-25" w:right="-25"/>
              <w:jc w:val="center"/>
              <w:rPr>
                <w:rFonts w:eastAsiaTheme="minorEastAsia"/>
                <w:kern w:val="0"/>
                <w:szCs w:val="21"/>
              </w:rPr>
            </w:pPr>
            <w:r>
              <w:rPr>
                <w:rFonts w:hint="eastAsia" w:eastAsiaTheme="minorEastAsia"/>
                <w:kern w:val="0"/>
                <w:szCs w:val="21"/>
              </w:rPr>
              <w:t>合计</w:t>
            </w:r>
          </w:p>
        </w:tc>
        <w:tc>
          <w:tcPr>
            <w:tcW w:w="830" w:type="pct"/>
            <w:tcBorders>
              <w:right w:val="single" w:color="auto" w:sz="4" w:space="0"/>
            </w:tcBorders>
            <w:vAlign w:val="center"/>
          </w:tcPr>
          <w:p w14:paraId="640D2829">
            <w:pPr>
              <w:widowControl/>
              <w:spacing w:line="320" w:lineRule="exact"/>
              <w:ind w:left="-25" w:right="-25"/>
              <w:jc w:val="center"/>
              <w:rPr>
                <w:rFonts w:eastAsiaTheme="minorEastAsia"/>
                <w:kern w:val="0"/>
                <w:szCs w:val="21"/>
              </w:rPr>
            </w:pPr>
            <w:r>
              <w:rPr>
                <w:rFonts w:hint="eastAsia" w:eastAsiaTheme="minorEastAsia"/>
                <w:kern w:val="0"/>
                <w:szCs w:val="21"/>
              </w:rPr>
              <w:t>/</w:t>
            </w:r>
          </w:p>
        </w:tc>
        <w:tc>
          <w:tcPr>
            <w:tcW w:w="661" w:type="pct"/>
            <w:tcBorders>
              <w:left w:val="single" w:color="auto" w:sz="4" w:space="0"/>
            </w:tcBorders>
            <w:vAlign w:val="center"/>
          </w:tcPr>
          <w:p w14:paraId="06AD7A10">
            <w:pPr>
              <w:widowControl/>
              <w:spacing w:line="320" w:lineRule="exact"/>
              <w:ind w:right="-25"/>
              <w:jc w:val="center"/>
              <w:rPr>
                <w:rFonts w:eastAsiaTheme="minorEastAsia"/>
                <w:kern w:val="0"/>
                <w:szCs w:val="21"/>
              </w:rPr>
            </w:pPr>
            <w:r>
              <w:rPr>
                <w:rFonts w:hint="eastAsia" w:eastAsiaTheme="minorEastAsia"/>
                <w:kern w:val="0"/>
                <w:szCs w:val="21"/>
              </w:rPr>
              <w:t>163</w:t>
            </w:r>
          </w:p>
        </w:tc>
        <w:tc>
          <w:tcPr>
            <w:tcW w:w="1486" w:type="pct"/>
            <w:tcBorders>
              <w:right w:val="single" w:color="auto" w:sz="4" w:space="0"/>
            </w:tcBorders>
            <w:shd w:val="clear" w:color="auto" w:fill="auto"/>
            <w:vAlign w:val="center"/>
          </w:tcPr>
          <w:p w14:paraId="3E561BB4">
            <w:pPr>
              <w:widowControl/>
              <w:spacing w:line="320" w:lineRule="exact"/>
              <w:ind w:left="-25" w:right="-25"/>
              <w:jc w:val="center"/>
              <w:rPr>
                <w:rFonts w:eastAsiaTheme="minorEastAsia"/>
                <w:kern w:val="0"/>
                <w:szCs w:val="21"/>
              </w:rPr>
            </w:pPr>
            <w:r>
              <w:rPr>
                <w:rFonts w:hint="eastAsia" w:eastAsiaTheme="minorEastAsia"/>
                <w:kern w:val="0"/>
                <w:szCs w:val="21"/>
              </w:rPr>
              <w:t>年加工18020</w:t>
            </w:r>
            <w:r>
              <w:rPr>
                <w:rFonts w:eastAsiaTheme="minorEastAsia"/>
                <w:kern w:val="0"/>
                <w:szCs w:val="21"/>
              </w:rPr>
              <w:t>万平方米花岗岩、</w:t>
            </w:r>
            <w:r>
              <w:rPr>
                <w:rFonts w:hint="eastAsia" w:eastAsiaTheme="minorEastAsia"/>
                <w:kern w:val="0"/>
                <w:szCs w:val="21"/>
              </w:rPr>
              <w:t>1000万吨砂石骨料</w:t>
            </w:r>
          </w:p>
        </w:tc>
        <w:tc>
          <w:tcPr>
            <w:tcW w:w="643" w:type="pct"/>
            <w:tcBorders>
              <w:left w:val="single" w:color="auto" w:sz="4" w:space="0"/>
            </w:tcBorders>
            <w:shd w:val="clear" w:color="auto" w:fill="auto"/>
            <w:vAlign w:val="center"/>
          </w:tcPr>
          <w:p w14:paraId="1A41325E">
            <w:pPr>
              <w:widowControl/>
              <w:spacing w:line="320" w:lineRule="exact"/>
              <w:ind w:left="-25" w:right="-25"/>
              <w:jc w:val="center"/>
              <w:rPr>
                <w:rFonts w:eastAsiaTheme="minorEastAsia"/>
                <w:kern w:val="0"/>
                <w:szCs w:val="21"/>
              </w:rPr>
            </w:pPr>
            <w:r>
              <w:rPr>
                <w:rFonts w:hint="eastAsia" w:eastAsiaTheme="minorEastAsia"/>
                <w:kern w:val="0"/>
                <w:szCs w:val="21"/>
              </w:rPr>
              <w:t>1973.08</w:t>
            </w:r>
          </w:p>
        </w:tc>
      </w:tr>
    </w:tbl>
    <w:p w14:paraId="4DDC3A4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现有</w:t>
      </w:r>
      <w:r>
        <w:rPr>
          <w:rFonts w:ascii="Times New Roman" w:hAnsi="Times New Roman" w:eastAsiaTheme="minorEastAsia"/>
          <w:b w:val="0"/>
          <w:sz w:val="24"/>
          <w:szCs w:val="24"/>
        </w:rPr>
        <w:t>主导产业工艺</w:t>
      </w:r>
      <w:r>
        <w:rPr>
          <w:rFonts w:hint="eastAsia" w:ascii="Times New Roman" w:hAnsi="Times New Roman" w:eastAsiaTheme="minorEastAsia"/>
          <w:b w:val="0"/>
          <w:sz w:val="24"/>
          <w:szCs w:val="24"/>
        </w:rPr>
        <w:t>流程及产排污环节</w:t>
      </w:r>
    </w:p>
    <w:p w14:paraId="7AC45464">
      <w:pPr>
        <w:spacing w:line="360" w:lineRule="auto"/>
        <w:ind w:firstLine="480" w:firstLineChars="200"/>
        <w:rPr>
          <w:sz w:val="24"/>
        </w:rPr>
      </w:pPr>
      <w:r>
        <w:rPr>
          <w:rFonts w:hint="eastAsia"/>
          <w:sz w:val="24"/>
        </w:rPr>
        <w:t>经调查，规划园区内石材加工企业典型加工工艺流程包括：磨边、切边，大切、表面加工、磨光、火烧面加工、切边、开槽或验收入库等。同时园区建设了资源化循环利用项目，主要利用部分废石料经破碎、筛分后生产</w:t>
      </w:r>
      <w:r>
        <w:rPr>
          <w:rFonts w:hint="eastAsia" w:eastAsiaTheme="minorEastAsia"/>
          <w:sz w:val="24"/>
        </w:rPr>
        <w:t>建筑砂石骨料产品</w:t>
      </w:r>
      <w:r>
        <w:rPr>
          <w:rFonts w:hint="eastAsia"/>
          <w:sz w:val="24"/>
        </w:rPr>
        <w:t>。</w:t>
      </w:r>
    </w:p>
    <w:p w14:paraId="4EE6DBBC">
      <w:pPr>
        <w:spacing w:line="360" w:lineRule="auto"/>
        <w:ind w:firstLine="480" w:firstLineChars="200"/>
        <w:rPr>
          <w:sz w:val="24"/>
        </w:rPr>
      </w:pPr>
      <w:r>
        <w:rPr>
          <w:rFonts w:hint="eastAsia"/>
          <w:sz w:val="24"/>
        </w:rPr>
        <w:t>（1）磨边、切边：将外购进厂的花岗岩半成品板用磨边机将板材进行磨边处理，再根据订单要求规格尺寸用切边机切边即为成品。异形板材使用花岗岩半成品板作为原料，即外购进厂的花岗岩半成品板按产品所需用多种设备自动仿型机进行造型加工，再将异形板材用倒角机进行倒角处理即为成品。此工序会产生加工粉尘、湿法加工废水、噪声及边角料。</w:t>
      </w:r>
    </w:p>
    <w:p w14:paraId="433B0C7D">
      <w:pPr>
        <w:spacing w:line="360" w:lineRule="auto"/>
        <w:ind w:firstLine="480" w:firstLineChars="200"/>
        <w:rPr>
          <w:sz w:val="24"/>
        </w:rPr>
      </w:pPr>
      <w:r>
        <w:rPr>
          <w:rFonts w:hint="eastAsia"/>
          <w:sz w:val="24"/>
        </w:rPr>
        <w:t>（2）大切：根据定单的要求选择适合规格尺寸的花岗岩荒料，将外购来的花岗岩荒料块用装载机搬运至大切车间内，根据生产要求分别用大切机将不同规格的荒料锯割成一定厚度的具有块状、条状和异形状等不同规格形状的半成品毛板，进入下一步工序。切割设备自带水冲设施，切割产生的石材粉尘大部分随水流进厂区内沉淀池。此工序会产生大切粉尘、湿法加工废水、废边角料及噪声。</w:t>
      </w:r>
    </w:p>
    <w:p w14:paraId="2832B395">
      <w:pPr>
        <w:spacing w:line="360" w:lineRule="auto"/>
        <w:ind w:firstLine="480" w:firstLineChars="200"/>
        <w:rPr>
          <w:sz w:val="24"/>
        </w:rPr>
      </w:pPr>
      <w:r>
        <w:rPr>
          <w:rFonts w:hint="eastAsia"/>
          <w:sz w:val="24"/>
        </w:rPr>
        <w:t>（3）表面加工：根据客户对产品的要求选用磨光、喷砂面加工、荔枝面加工、火焰喷烧工艺。</w:t>
      </w:r>
    </w:p>
    <w:p w14:paraId="484EF78C">
      <w:pPr>
        <w:spacing w:line="360" w:lineRule="auto"/>
        <w:ind w:firstLine="480" w:firstLineChars="200"/>
        <w:rPr>
          <w:sz w:val="24"/>
        </w:rPr>
      </w:pPr>
      <w:r>
        <w:rPr>
          <w:rFonts w:hint="eastAsia"/>
          <w:sz w:val="24"/>
        </w:rPr>
        <w:t>①磨光：切好的绝大部分块状或条状毛板首先需进行粗磨校厚，然后逐步经过半细磨或细磨直至其表面形成光面，此工序采用湿式（带水）磨光机，此工序会产生磨光粉尘、湿法加工废水及噪声。</w:t>
      </w:r>
    </w:p>
    <w:p w14:paraId="552CA724">
      <w:pPr>
        <w:spacing w:line="360" w:lineRule="auto"/>
        <w:ind w:firstLine="480" w:firstLineChars="200"/>
        <w:rPr>
          <w:sz w:val="24"/>
        </w:rPr>
      </w:pPr>
      <w:r>
        <w:rPr>
          <w:rFonts w:hint="eastAsia"/>
          <w:sz w:val="24"/>
        </w:rPr>
        <w:t>异型加工：利用雕刻机和仿形机对半成品板材加工成客户需要的不同样式的异形板，采用湿法加工。此工序会产生仿形粉尘、湿法加工废水、废边角料及噪声。</w:t>
      </w:r>
    </w:p>
    <w:p w14:paraId="5A608BB8">
      <w:pPr>
        <w:spacing w:line="360" w:lineRule="auto"/>
        <w:ind w:firstLine="480" w:firstLineChars="200"/>
        <w:rPr>
          <w:sz w:val="24"/>
        </w:rPr>
      </w:pPr>
      <w:r>
        <w:rPr>
          <w:rFonts w:hint="eastAsia"/>
          <w:sz w:val="24"/>
        </w:rPr>
        <w:t>喷砂面加工：利用喷砂机，将钢砂高速喷射到需处理半成品板材表面，使板材外表面发生变化。利用压缩空气在高压罐内高速流动行成高压作用，将高压罐内的砂料通过输砂管喷出，然后随压缩气流由喷枪嘴高速喷射到工件表面，达到喷砂加工的目的。喷砂机配备有自动分离和自带滤芯除尘系统，使用过的钢砂被负压从机器的底部输送到旋风分离器中进行分离，储存在分离器下部料斗中的钢砂被循环使用。此工序主要产生喷砂面粉尘、废钢砂及废滤芯、噪声。</w:t>
      </w:r>
    </w:p>
    <w:p w14:paraId="61DB0BCB">
      <w:pPr>
        <w:spacing w:line="360" w:lineRule="auto"/>
        <w:ind w:firstLine="480" w:firstLineChars="200"/>
        <w:rPr>
          <w:sz w:val="24"/>
        </w:rPr>
      </w:pPr>
      <w:r>
        <w:rPr>
          <w:rFonts w:hint="eastAsia"/>
          <w:sz w:val="24"/>
        </w:rPr>
        <w:t>荔枝面加工：利用荔枝机形如荔枝皮的锤在石材表面敲击而成，从而在石材表面形成形如荔枝皮的粗糙表面，使板材外表面的外表变得粗糙。此工序主要产生荔枝面粉尘、湿法加工废水及噪声。</w:t>
      </w:r>
    </w:p>
    <w:p w14:paraId="2612924F">
      <w:pPr>
        <w:spacing w:line="360" w:lineRule="auto"/>
        <w:ind w:firstLine="480" w:firstLineChars="200"/>
        <w:rPr>
          <w:sz w:val="24"/>
        </w:rPr>
      </w:pPr>
      <w:r>
        <w:rPr>
          <w:rFonts w:hint="eastAsia"/>
          <w:sz w:val="24"/>
        </w:rPr>
        <w:t>火烧面加工：利用组成花岗石的不同矿物颗粒热胀系数的差异，用火焰喷烧使其表面部分颗粒热胀破裂脱落，形成起伏有序的粗面纹饰。本工序采用机器火烧，以液化石油气作火焰燃料，利用耐热火焰喷头对锯割合格的半成品板材表面进行火烧处理。此工序主要产生火烧面废气。</w:t>
      </w:r>
    </w:p>
    <w:p w14:paraId="37F962FC">
      <w:pPr>
        <w:spacing w:line="360" w:lineRule="auto"/>
        <w:ind w:firstLine="480" w:firstLineChars="200"/>
        <w:rPr>
          <w:sz w:val="24"/>
        </w:rPr>
      </w:pPr>
      <w:r>
        <w:rPr>
          <w:rFonts w:hint="eastAsia"/>
          <w:sz w:val="24"/>
        </w:rPr>
        <w:t>（4）切边</w:t>
      </w:r>
    </w:p>
    <w:p w14:paraId="7913F911">
      <w:pPr>
        <w:spacing w:line="360" w:lineRule="auto"/>
        <w:ind w:firstLine="480" w:firstLineChars="200"/>
        <w:rPr>
          <w:sz w:val="24"/>
        </w:rPr>
      </w:pPr>
      <w:r>
        <w:rPr>
          <w:rFonts w:hint="eastAsia"/>
          <w:sz w:val="24"/>
        </w:rPr>
        <w:t>用中切机或红外线切边机将已经过表面处理的板材按所需规格尺寸进行定形切割加工。此工序会产生切边粉尘、湿法加工废水、废边角料及噪声。</w:t>
      </w:r>
    </w:p>
    <w:p w14:paraId="130B9C3A">
      <w:pPr>
        <w:spacing w:line="360" w:lineRule="auto"/>
        <w:ind w:firstLine="480" w:firstLineChars="200"/>
        <w:rPr>
          <w:sz w:val="24"/>
        </w:rPr>
      </w:pPr>
      <w:r>
        <w:rPr>
          <w:rFonts w:hint="eastAsia"/>
          <w:sz w:val="24"/>
        </w:rPr>
        <w:t>（5）开槽或验收入库</w:t>
      </w:r>
    </w:p>
    <w:p w14:paraId="53599878">
      <w:pPr>
        <w:spacing w:line="360" w:lineRule="auto"/>
        <w:ind w:firstLine="480" w:firstLineChars="200"/>
        <w:rPr>
          <w:sz w:val="24"/>
        </w:rPr>
      </w:pPr>
      <w:r>
        <w:rPr>
          <w:rFonts w:hint="eastAsia"/>
          <w:sz w:val="24"/>
        </w:rPr>
        <w:t>根据客户对产品的要求，对成品板材开槽精加工，经检验合格后入库，或者直接对成品板材检验合格后入库。开槽工序会产生开槽粉尘、加工废水、废边角料及噪声，验收入库。工序会产生不合格品。</w:t>
      </w:r>
    </w:p>
    <w:p w14:paraId="7E25F5E4">
      <w:pPr>
        <w:spacing w:line="360" w:lineRule="auto"/>
        <w:ind w:firstLine="480" w:firstLineChars="200"/>
        <w:rPr>
          <w:sz w:val="24"/>
        </w:rPr>
      </w:pPr>
      <w:r>
        <w:rPr>
          <w:rFonts w:hint="eastAsia"/>
          <w:sz w:val="24"/>
        </w:rPr>
        <w:t>（6）资源化循环利用</w:t>
      </w:r>
    </w:p>
    <w:p w14:paraId="634FB5F9">
      <w:pPr>
        <w:spacing w:line="360" w:lineRule="auto"/>
        <w:ind w:firstLine="480" w:firstLineChars="200"/>
        <w:rPr>
          <w:sz w:val="24"/>
        </w:rPr>
      </w:pPr>
      <w:r>
        <w:rPr>
          <w:rFonts w:hint="eastAsia"/>
          <w:sz w:val="24"/>
        </w:rPr>
        <w:t>破碎：石材加工企业产生的废石料由装载机给入颚式破碎机，经粗碎后石料由皮带（密闭廊道）输送进入反击破工序进行细碎。此工序产生破碎粉尘。</w:t>
      </w:r>
    </w:p>
    <w:p w14:paraId="2A909685">
      <w:pPr>
        <w:spacing w:line="360" w:lineRule="auto"/>
        <w:ind w:firstLine="480" w:firstLineChars="200"/>
        <w:rPr>
          <w:sz w:val="24"/>
        </w:rPr>
      </w:pPr>
      <w:r>
        <w:rPr>
          <w:rFonts w:hint="eastAsia"/>
          <w:sz w:val="24"/>
        </w:rPr>
        <w:t>筛分：经两段破碎后的石料通过皮带（密闭廊道）送至筛分机，经筛分后得到建筑砂石骨料成品。此工序产生破碎粉尘。</w:t>
      </w:r>
    </w:p>
    <w:p w14:paraId="1786F331">
      <w:pPr>
        <w:spacing w:line="360" w:lineRule="auto"/>
        <w:ind w:firstLine="480" w:firstLineChars="200"/>
        <w:rPr>
          <w:sz w:val="24"/>
        </w:rPr>
      </w:pPr>
      <w:r>
        <w:rPr>
          <w:rFonts w:hint="eastAsia"/>
          <w:sz w:val="24"/>
        </w:rPr>
        <w:t>园区石材加工企业典型加工工艺流程及产排污环节见下图。</w:t>
      </w:r>
    </w:p>
    <w:p w14:paraId="03D8AEA8">
      <w:pPr>
        <w:spacing w:line="360" w:lineRule="auto"/>
        <w:ind w:firstLine="420" w:firstLineChars="200"/>
        <w:jc w:val="center"/>
        <w:rPr>
          <w:b/>
          <w:szCs w:val="21"/>
        </w:rPr>
      </w:pPr>
      <w:r>
        <w:object>
          <v:shape id="_x0000_i1025" o:spt="75" type="#_x0000_t75" style="height:363.15pt;width:414.45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r>
        <w:rPr>
          <w:b/>
          <w:szCs w:val="21"/>
        </w:rPr>
        <w:t>图</w:t>
      </w:r>
      <w:r>
        <w:rPr>
          <w:rFonts w:hint="eastAsia"/>
          <w:b/>
          <w:szCs w:val="21"/>
        </w:rPr>
        <w:t>3.4.3</w:t>
      </w:r>
      <w:r>
        <w:rPr>
          <w:b/>
          <w:szCs w:val="21"/>
        </w:rPr>
        <w:t xml:space="preserve">-1  </w:t>
      </w:r>
      <w:r>
        <w:rPr>
          <w:rFonts w:hint="eastAsia"/>
          <w:b/>
          <w:szCs w:val="21"/>
        </w:rPr>
        <w:t>园区石材加工企业典型加工工艺流程及产排污环节</w:t>
      </w:r>
      <w:r>
        <w:rPr>
          <w:b/>
          <w:szCs w:val="21"/>
        </w:rPr>
        <w:t>图</w:t>
      </w:r>
    </w:p>
    <w:p w14:paraId="3415AF41">
      <w:pPr>
        <w:spacing w:line="360" w:lineRule="auto"/>
        <w:ind w:firstLine="480" w:firstLineChars="200"/>
        <w:rPr>
          <w:sz w:val="24"/>
        </w:rPr>
      </w:pPr>
      <w:r>
        <w:rPr>
          <w:rFonts w:hint="eastAsia"/>
          <w:sz w:val="24"/>
        </w:rPr>
        <w:t>规划园区石材加工企业主要产排污环节具体见下表。</w:t>
      </w:r>
    </w:p>
    <w:p w14:paraId="67CC3370">
      <w:pPr>
        <w:spacing w:line="360" w:lineRule="auto"/>
        <w:ind w:firstLine="422" w:firstLineChars="200"/>
        <w:jc w:val="center"/>
        <w:rPr>
          <w:b/>
          <w:szCs w:val="21"/>
        </w:rPr>
      </w:pPr>
      <w:r>
        <w:rPr>
          <w:rFonts w:hint="eastAsia" w:eastAsiaTheme="minorEastAsia"/>
          <w:b/>
          <w:szCs w:val="21"/>
        </w:rPr>
        <w:t>表3.4.3</w:t>
      </w:r>
      <w:r>
        <w:rPr>
          <w:rFonts w:hint="eastAsia"/>
          <w:b/>
          <w:szCs w:val="21"/>
        </w:rPr>
        <w:t>-2   园区石材加工企业主要产排污环节一览表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9"/>
        <w:gridCol w:w="2125"/>
        <w:gridCol w:w="1417"/>
        <w:gridCol w:w="1639"/>
        <w:gridCol w:w="2528"/>
      </w:tblGrid>
      <w:tr w14:paraId="312FC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480" w:type="pct"/>
            <w:noWrap/>
            <w:vAlign w:val="center"/>
          </w:tcPr>
          <w:p w14:paraId="343F38C5">
            <w:pPr>
              <w:widowControl/>
              <w:spacing w:line="320" w:lineRule="exact"/>
              <w:ind w:left="-53" w:leftChars="-25" w:right="-53" w:rightChars="-25"/>
              <w:contextualSpacing/>
              <w:jc w:val="center"/>
              <w:rPr>
                <w:kern w:val="0"/>
                <w:szCs w:val="21"/>
              </w:rPr>
            </w:pPr>
            <w:r>
              <w:rPr>
                <w:kern w:val="0"/>
                <w:szCs w:val="21"/>
              </w:rPr>
              <w:t>污染物种类</w:t>
            </w:r>
          </w:p>
        </w:tc>
        <w:tc>
          <w:tcPr>
            <w:tcW w:w="1246" w:type="pct"/>
            <w:noWrap/>
            <w:vAlign w:val="center"/>
          </w:tcPr>
          <w:p w14:paraId="394F4878">
            <w:pPr>
              <w:widowControl/>
              <w:spacing w:line="320" w:lineRule="exact"/>
              <w:ind w:left="-53" w:leftChars="-25" w:right="-53" w:rightChars="-25"/>
              <w:contextualSpacing/>
              <w:jc w:val="center"/>
              <w:rPr>
                <w:kern w:val="0"/>
                <w:szCs w:val="21"/>
              </w:rPr>
            </w:pPr>
            <w:r>
              <w:rPr>
                <w:kern w:val="0"/>
                <w:szCs w:val="21"/>
              </w:rPr>
              <w:t>产污工段</w:t>
            </w:r>
          </w:p>
          <w:p w14:paraId="0FF07922">
            <w:pPr>
              <w:widowControl/>
              <w:spacing w:line="320" w:lineRule="exact"/>
              <w:ind w:left="-53" w:leftChars="-25" w:right="-53" w:rightChars="-25"/>
              <w:contextualSpacing/>
              <w:jc w:val="center"/>
              <w:rPr>
                <w:kern w:val="0"/>
                <w:szCs w:val="21"/>
              </w:rPr>
            </w:pPr>
            <w:r>
              <w:rPr>
                <w:kern w:val="0"/>
                <w:szCs w:val="21"/>
              </w:rPr>
              <w:t>/</w:t>
            </w:r>
            <w:r>
              <w:rPr>
                <w:rFonts w:ascii="宋体" w:hAnsi="宋体"/>
                <w:kern w:val="0"/>
                <w:szCs w:val="21"/>
              </w:rPr>
              <w:t>污染源</w:t>
            </w:r>
          </w:p>
        </w:tc>
        <w:tc>
          <w:tcPr>
            <w:tcW w:w="831" w:type="pct"/>
            <w:noWrap/>
            <w:vAlign w:val="center"/>
          </w:tcPr>
          <w:p w14:paraId="7BACB7AF">
            <w:pPr>
              <w:widowControl/>
              <w:spacing w:line="320" w:lineRule="exact"/>
              <w:ind w:left="-53" w:leftChars="-25" w:right="-53" w:rightChars="-25"/>
              <w:contextualSpacing/>
              <w:jc w:val="center"/>
              <w:rPr>
                <w:kern w:val="0"/>
                <w:szCs w:val="21"/>
              </w:rPr>
            </w:pPr>
            <w:r>
              <w:rPr>
                <w:kern w:val="0"/>
                <w:szCs w:val="21"/>
              </w:rPr>
              <w:t>污染物</w:t>
            </w:r>
          </w:p>
        </w:tc>
        <w:tc>
          <w:tcPr>
            <w:tcW w:w="961" w:type="pct"/>
            <w:vAlign w:val="center"/>
          </w:tcPr>
          <w:p w14:paraId="568103D1">
            <w:pPr>
              <w:widowControl/>
              <w:spacing w:line="320" w:lineRule="exact"/>
              <w:ind w:left="-53" w:leftChars="-25" w:right="-53" w:rightChars="-25"/>
              <w:contextualSpacing/>
              <w:jc w:val="center"/>
              <w:rPr>
                <w:kern w:val="0"/>
                <w:szCs w:val="21"/>
              </w:rPr>
            </w:pPr>
            <w:r>
              <w:rPr>
                <w:rFonts w:hint="eastAsia"/>
                <w:kern w:val="0"/>
                <w:szCs w:val="21"/>
              </w:rPr>
              <w:t>污染</w:t>
            </w:r>
            <w:r>
              <w:rPr>
                <w:kern w:val="0"/>
                <w:szCs w:val="21"/>
              </w:rPr>
              <w:t>因子</w:t>
            </w:r>
          </w:p>
        </w:tc>
        <w:tc>
          <w:tcPr>
            <w:tcW w:w="1482" w:type="pct"/>
            <w:noWrap/>
            <w:vAlign w:val="center"/>
          </w:tcPr>
          <w:p w14:paraId="39243252">
            <w:pPr>
              <w:widowControl/>
              <w:spacing w:line="320" w:lineRule="exact"/>
              <w:ind w:left="-53" w:leftChars="-25" w:right="-53" w:rightChars="-25"/>
              <w:contextualSpacing/>
              <w:jc w:val="center"/>
              <w:rPr>
                <w:kern w:val="0"/>
                <w:szCs w:val="21"/>
              </w:rPr>
            </w:pPr>
            <w:r>
              <w:rPr>
                <w:kern w:val="0"/>
                <w:szCs w:val="21"/>
              </w:rPr>
              <w:t>处置措施</w:t>
            </w:r>
          </w:p>
        </w:tc>
      </w:tr>
      <w:tr w14:paraId="73460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restart"/>
            <w:noWrap/>
            <w:vAlign w:val="center"/>
          </w:tcPr>
          <w:p w14:paraId="26011488">
            <w:pPr>
              <w:spacing w:line="320" w:lineRule="exact"/>
              <w:ind w:left="-53" w:leftChars="-25" w:right="-53" w:rightChars="-25"/>
              <w:contextualSpacing/>
              <w:jc w:val="center"/>
              <w:rPr>
                <w:kern w:val="0"/>
                <w:szCs w:val="21"/>
              </w:rPr>
            </w:pPr>
            <w:r>
              <w:rPr>
                <w:kern w:val="0"/>
                <w:szCs w:val="21"/>
              </w:rPr>
              <w:t>废气</w:t>
            </w:r>
          </w:p>
        </w:tc>
        <w:tc>
          <w:tcPr>
            <w:tcW w:w="1246" w:type="pct"/>
            <w:tcBorders>
              <w:bottom w:val="single" w:color="auto" w:sz="4" w:space="0"/>
            </w:tcBorders>
            <w:noWrap/>
            <w:vAlign w:val="center"/>
          </w:tcPr>
          <w:p w14:paraId="71736CA9">
            <w:pPr>
              <w:spacing w:line="320" w:lineRule="exact"/>
              <w:ind w:left="-53" w:leftChars="-25" w:right="-53" w:rightChars="-25"/>
              <w:contextualSpacing/>
              <w:jc w:val="center"/>
              <w:rPr>
                <w:kern w:val="0"/>
                <w:szCs w:val="21"/>
              </w:rPr>
            </w:pPr>
            <w:r>
              <w:rPr>
                <w:rFonts w:hint="eastAsia"/>
                <w:kern w:val="0"/>
                <w:szCs w:val="21"/>
              </w:rPr>
              <w:t>磨边、切边、大切、表面加工、磨光、开槽</w:t>
            </w:r>
          </w:p>
        </w:tc>
        <w:tc>
          <w:tcPr>
            <w:tcW w:w="831" w:type="pct"/>
            <w:tcBorders>
              <w:bottom w:val="single" w:color="auto" w:sz="4" w:space="0"/>
            </w:tcBorders>
            <w:noWrap/>
            <w:vAlign w:val="center"/>
          </w:tcPr>
          <w:p w14:paraId="15AEC640">
            <w:pPr>
              <w:widowControl/>
              <w:spacing w:line="320" w:lineRule="exact"/>
              <w:ind w:left="-53" w:leftChars="-25" w:right="-53" w:rightChars="-25"/>
              <w:contextualSpacing/>
              <w:jc w:val="center"/>
              <w:rPr>
                <w:kern w:val="0"/>
                <w:szCs w:val="21"/>
              </w:rPr>
            </w:pPr>
            <w:r>
              <w:rPr>
                <w:kern w:val="0"/>
                <w:szCs w:val="21"/>
              </w:rPr>
              <w:t>加工粉尘</w:t>
            </w:r>
          </w:p>
        </w:tc>
        <w:tc>
          <w:tcPr>
            <w:tcW w:w="961" w:type="pct"/>
            <w:tcBorders>
              <w:bottom w:val="single" w:color="auto" w:sz="4" w:space="0"/>
            </w:tcBorders>
            <w:vAlign w:val="center"/>
          </w:tcPr>
          <w:p w14:paraId="0E802D79">
            <w:pPr>
              <w:widowControl/>
              <w:spacing w:line="320" w:lineRule="exact"/>
              <w:ind w:left="-53" w:leftChars="-25" w:right="-53" w:rightChars="-25"/>
              <w:contextualSpacing/>
              <w:jc w:val="center"/>
              <w:rPr>
                <w:kern w:val="0"/>
                <w:szCs w:val="21"/>
              </w:rPr>
            </w:pPr>
            <w:r>
              <w:rPr>
                <w:kern w:val="0"/>
                <w:szCs w:val="21"/>
              </w:rPr>
              <w:t>粉尘</w:t>
            </w:r>
          </w:p>
        </w:tc>
        <w:tc>
          <w:tcPr>
            <w:tcW w:w="1482" w:type="pct"/>
            <w:tcBorders>
              <w:bottom w:val="single" w:color="auto" w:sz="4" w:space="0"/>
            </w:tcBorders>
            <w:noWrap/>
            <w:vAlign w:val="center"/>
          </w:tcPr>
          <w:p w14:paraId="30FE4020">
            <w:pPr>
              <w:widowControl/>
              <w:spacing w:line="320" w:lineRule="exact"/>
              <w:ind w:left="-53" w:leftChars="-25" w:right="-53" w:rightChars="-25"/>
              <w:contextualSpacing/>
              <w:jc w:val="center"/>
              <w:rPr>
                <w:kern w:val="0"/>
                <w:szCs w:val="21"/>
              </w:rPr>
            </w:pPr>
            <w:r>
              <w:rPr>
                <w:rFonts w:hint="eastAsia"/>
                <w:kern w:val="0"/>
                <w:szCs w:val="21"/>
              </w:rPr>
              <w:t>湿法作业、厂房封闭，喷砂机配备有自动分离和自带滤芯除尘系统</w:t>
            </w:r>
          </w:p>
        </w:tc>
      </w:tr>
      <w:tr w14:paraId="50FB6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4E5F334B">
            <w:pPr>
              <w:spacing w:line="320" w:lineRule="exact"/>
              <w:ind w:left="-53" w:leftChars="-25" w:right="-53" w:rightChars="-25"/>
              <w:contextualSpacing/>
              <w:jc w:val="center"/>
              <w:rPr>
                <w:kern w:val="0"/>
                <w:szCs w:val="21"/>
              </w:rPr>
            </w:pPr>
          </w:p>
        </w:tc>
        <w:tc>
          <w:tcPr>
            <w:tcW w:w="1246" w:type="pct"/>
            <w:tcBorders>
              <w:top w:val="single" w:color="auto" w:sz="4" w:space="0"/>
              <w:bottom w:val="single" w:color="auto" w:sz="4" w:space="0"/>
            </w:tcBorders>
            <w:noWrap/>
            <w:vAlign w:val="center"/>
          </w:tcPr>
          <w:p w14:paraId="41908EFF">
            <w:pPr>
              <w:spacing w:line="320" w:lineRule="exact"/>
              <w:ind w:left="-53" w:leftChars="-25" w:right="-53" w:rightChars="-25"/>
              <w:contextualSpacing/>
              <w:jc w:val="center"/>
              <w:rPr>
                <w:kern w:val="0"/>
                <w:szCs w:val="21"/>
              </w:rPr>
            </w:pPr>
            <w:r>
              <w:rPr>
                <w:kern w:val="0"/>
                <w:szCs w:val="21"/>
              </w:rPr>
              <w:t>火烧面加工</w:t>
            </w:r>
          </w:p>
        </w:tc>
        <w:tc>
          <w:tcPr>
            <w:tcW w:w="831" w:type="pct"/>
            <w:tcBorders>
              <w:top w:val="single" w:color="auto" w:sz="4" w:space="0"/>
              <w:bottom w:val="single" w:color="auto" w:sz="4" w:space="0"/>
            </w:tcBorders>
            <w:noWrap/>
            <w:vAlign w:val="center"/>
          </w:tcPr>
          <w:p w14:paraId="399C1187">
            <w:pPr>
              <w:widowControl/>
              <w:spacing w:line="320" w:lineRule="exact"/>
              <w:ind w:left="-53" w:leftChars="-25" w:right="-53" w:rightChars="-25"/>
              <w:contextualSpacing/>
              <w:jc w:val="center"/>
              <w:rPr>
                <w:kern w:val="0"/>
                <w:szCs w:val="21"/>
              </w:rPr>
            </w:pPr>
            <w:r>
              <w:rPr>
                <w:kern w:val="0"/>
                <w:szCs w:val="21"/>
              </w:rPr>
              <w:t>火烧面废气</w:t>
            </w:r>
          </w:p>
        </w:tc>
        <w:tc>
          <w:tcPr>
            <w:tcW w:w="961" w:type="pct"/>
            <w:tcBorders>
              <w:top w:val="single" w:color="auto" w:sz="4" w:space="0"/>
              <w:bottom w:val="single" w:color="auto" w:sz="4" w:space="0"/>
            </w:tcBorders>
            <w:vAlign w:val="center"/>
          </w:tcPr>
          <w:p w14:paraId="18EBBB3D">
            <w:pPr>
              <w:widowControl/>
              <w:spacing w:line="320" w:lineRule="exact"/>
              <w:ind w:left="-53" w:leftChars="-25" w:right="-53" w:rightChars="-25"/>
              <w:contextualSpacing/>
              <w:jc w:val="center"/>
              <w:rPr>
                <w:kern w:val="0"/>
                <w:szCs w:val="21"/>
              </w:rPr>
            </w:pPr>
            <w:r>
              <w:rPr>
                <w:rFonts w:hint="eastAsia"/>
                <w:kern w:val="0"/>
                <w:szCs w:val="21"/>
              </w:rPr>
              <w:t>CO</w:t>
            </w:r>
            <w:r>
              <w:rPr>
                <w:rFonts w:hint="eastAsia"/>
                <w:kern w:val="0"/>
                <w:szCs w:val="21"/>
                <w:vertAlign w:val="subscript"/>
              </w:rPr>
              <w:t>2</w:t>
            </w:r>
            <w:r>
              <w:rPr>
                <w:rFonts w:hint="eastAsia"/>
                <w:kern w:val="0"/>
                <w:szCs w:val="21"/>
              </w:rPr>
              <w:t>、水蒸气</w:t>
            </w:r>
          </w:p>
        </w:tc>
        <w:tc>
          <w:tcPr>
            <w:tcW w:w="1482" w:type="pct"/>
            <w:tcBorders>
              <w:top w:val="single" w:color="auto" w:sz="4" w:space="0"/>
              <w:bottom w:val="single" w:color="auto" w:sz="4" w:space="0"/>
            </w:tcBorders>
            <w:noWrap/>
            <w:vAlign w:val="center"/>
          </w:tcPr>
          <w:p w14:paraId="613F8E27">
            <w:pPr>
              <w:spacing w:line="320" w:lineRule="exact"/>
              <w:ind w:left="-53" w:leftChars="-25" w:right="-53" w:rightChars="-25"/>
              <w:contextualSpacing/>
              <w:jc w:val="center"/>
              <w:rPr>
                <w:kern w:val="0"/>
                <w:szCs w:val="21"/>
              </w:rPr>
            </w:pPr>
            <w:r>
              <w:rPr>
                <w:rFonts w:hint="eastAsia"/>
                <w:kern w:val="0"/>
                <w:szCs w:val="21"/>
              </w:rPr>
              <w:t>加强车间通风</w:t>
            </w:r>
          </w:p>
        </w:tc>
      </w:tr>
      <w:tr w14:paraId="5150C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3E4D2230">
            <w:pPr>
              <w:spacing w:line="320" w:lineRule="exact"/>
              <w:ind w:left="-53" w:leftChars="-25" w:right="-53" w:rightChars="-25"/>
              <w:contextualSpacing/>
              <w:jc w:val="center"/>
              <w:rPr>
                <w:kern w:val="0"/>
                <w:szCs w:val="21"/>
              </w:rPr>
            </w:pPr>
          </w:p>
        </w:tc>
        <w:tc>
          <w:tcPr>
            <w:tcW w:w="1246" w:type="pct"/>
            <w:tcBorders>
              <w:top w:val="single" w:color="auto" w:sz="4" w:space="0"/>
              <w:bottom w:val="single" w:color="auto" w:sz="4" w:space="0"/>
            </w:tcBorders>
            <w:noWrap/>
            <w:vAlign w:val="center"/>
          </w:tcPr>
          <w:p w14:paraId="20D9C642">
            <w:pPr>
              <w:spacing w:line="320" w:lineRule="exact"/>
              <w:ind w:left="-53" w:leftChars="-25" w:right="-53" w:rightChars="-25"/>
              <w:contextualSpacing/>
              <w:jc w:val="center"/>
              <w:rPr>
                <w:kern w:val="0"/>
                <w:szCs w:val="21"/>
              </w:rPr>
            </w:pPr>
            <w:r>
              <w:rPr>
                <w:kern w:val="0"/>
                <w:szCs w:val="21"/>
              </w:rPr>
              <w:t>堆场</w:t>
            </w:r>
          </w:p>
        </w:tc>
        <w:tc>
          <w:tcPr>
            <w:tcW w:w="831" w:type="pct"/>
            <w:tcBorders>
              <w:top w:val="single" w:color="auto" w:sz="4" w:space="0"/>
              <w:bottom w:val="single" w:color="auto" w:sz="4" w:space="0"/>
            </w:tcBorders>
            <w:noWrap/>
            <w:vAlign w:val="center"/>
          </w:tcPr>
          <w:p w14:paraId="6E4EBB7C">
            <w:pPr>
              <w:widowControl/>
              <w:spacing w:line="320" w:lineRule="exact"/>
              <w:ind w:left="-53" w:leftChars="-25" w:right="-53" w:rightChars="-25"/>
              <w:contextualSpacing/>
              <w:jc w:val="center"/>
              <w:rPr>
                <w:kern w:val="0"/>
                <w:szCs w:val="21"/>
              </w:rPr>
            </w:pPr>
            <w:r>
              <w:rPr>
                <w:kern w:val="0"/>
                <w:szCs w:val="21"/>
              </w:rPr>
              <w:t>堆场扬尘</w:t>
            </w:r>
          </w:p>
        </w:tc>
        <w:tc>
          <w:tcPr>
            <w:tcW w:w="961" w:type="pct"/>
            <w:tcBorders>
              <w:top w:val="single" w:color="auto" w:sz="4" w:space="0"/>
              <w:bottom w:val="single" w:color="auto" w:sz="4" w:space="0"/>
            </w:tcBorders>
            <w:vAlign w:val="center"/>
          </w:tcPr>
          <w:p w14:paraId="405BC630">
            <w:pPr>
              <w:widowControl/>
              <w:spacing w:line="320" w:lineRule="exact"/>
              <w:ind w:left="-53" w:leftChars="-25" w:right="-53" w:rightChars="-25"/>
              <w:contextualSpacing/>
              <w:jc w:val="center"/>
              <w:rPr>
                <w:kern w:val="0"/>
                <w:szCs w:val="21"/>
              </w:rPr>
            </w:pPr>
            <w:r>
              <w:rPr>
                <w:kern w:val="0"/>
                <w:szCs w:val="21"/>
              </w:rPr>
              <w:t>粉尘</w:t>
            </w:r>
          </w:p>
        </w:tc>
        <w:tc>
          <w:tcPr>
            <w:tcW w:w="1482" w:type="pct"/>
            <w:tcBorders>
              <w:top w:val="single" w:color="auto" w:sz="4" w:space="0"/>
              <w:bottom w:val="single" w:color="auto" w:sz="4" w:space="0"/>
            </w:tcBorders>
            <w:noWrap/>
            <w:vAlign w:val="center"/>
          </w:tcPr>
          <w:p w14:paraId="3457B12B">
            <w:pPr>
              <w:spacing w:line="320" w:lineRule="exact"/>
              <w:ind w:left="-53" w:leftChars="-25" w:right="-53" w:rightChars="-25"/>
              <w:contextualSpacing/>
              <w:jc w:val="center"/>
              <w:rPr>
                <w:kern w:val="0"/>
                <w:szCs w:val="21"/>
              </w:rPr>
            </w:pPr>
            <w:r>
              <w:rPr>
                <w:rFonts w:hint="eastAsia"/>
                <w:kern w:val="0"/>
                <w:szCs w:val="21"/>
              </w:rPr>
              <w:t>合理布局堆料场、减少物料露天堆放、及时清理地面粉尘、建筑围挡、喷淋等</w:t>
            </w:r>
          </w:p>
        </w:tc>
      </w:tr>
      <w:tr w14:paraId="5BA2E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0FC9117D">
            <w:pPr>
              <w:spacing w:line="320" w:lineRule="exact"/>
              <w:ind w:left="-53" w:leftChars="-25" w:right="-53" w:rightChars="-25"/>
              <w:contextualSpacing/>
              <w:jc w:val="center"/>
              <w:rPr>
                <w:kern w:val="0"/>
                <w:szCs w:val="21"/>
              </w:rPr>
            </w:pPr>
          </w:p>
        </w:tc>
        <w:tc>
          <w:tcPr>
            <w:tcW w:w="1246" w:type="pct"/>
            <w:tcBorders>
              <w:top w:val="single" w:color="auto" w:sz="4" w:space="0"/>
              <w:bottom w:val="single" w:color="auto" w:sz="4" w:space="0"/>
            </w:tcBorders>
            <w:noWrap/>
            <w:vAlign w:val="center"/>
          </w:tcPr>
          <w:p w14:paraId="52C7DB78">
            <w:pPr>
              <w:spacing w:line="320" w:lineRule="exact"/>
              <w:ind w:left="-53" w:leftChars="-25" w:right="-53" w:rightChars="-25"/>
              <w:contextualSpacing/>
              <w:jc w:val="center"/>
              <w:rPr>
                <w:kern w:val="0"/>
                <w:szCs w:val="21"/>
              </w:rPr>
            </w:pPr>
            <w:r>
              <w:rPr>
                <w:kern w:val="0"/>
                <w:szCs w:val="21"/>
              </w:rPr>
              <w:t>破碎筛分</w:t>
            </w:r>
          </w:p>
        </w:tc>
        <w:tc>
          <w:tcPr>
            <w:tcW w:w="831" w:type="pct"/>
            <w:tcBorders>
              <w:top w:val="single" w:color="auto" w:sz="4" w:space="0"/>
              <w:bottom w:val="single" w:color="auto" w:sz="4" w:space="0"/>
            </w:tcBorders>
            <w:noWrap/>
            <w:vAlign w:val="center"/>
          </w:tcPr>
          <w:p w14:paraId="25F8D9AF">
            <w:pPr>
              <w:widowControl/>
              <w:spacing w:line="320" w:lineRule="exact"/>
              <w:ind w:left="-53" w:leftChars="-25" w:right="-53" w:rightChars="-25"/>
              <w:contextualSpacing/>
              <w:jc w:val="center"/>
              <w:rPr>
                <w:kern w:val="0"/>
                <w:szCs w:val="21"/>
              </w:rPr>
            </w:pPr>
            <w:r>
              <w:rPr>
                <w:kern w:val="0"/>
                <w:szCs w:val="21"/>
              </w:rPr>
              <w:t>加工粉尘</w:t>
            </w:r>
          </w:p>
        </w:tc>
        <w:tc>
          <w:tcPr>
            <w:tcW w:w="961" w:type="pct"/>
            <w:tcBorders>
              <w:top w:val="single" w:color="auto" w:sz="4" w:space="0"/>
              <w:bottom w:val="single" w:color="auto" w:sz="4" w:space="0"/>
            </w:tcBorders>
            <w:vAlign w:val="center"/>
          </w:tcPr>
          <w:p w14:paraId="6A73B8B6">
            <w:pPr>
              <w:widowControl/>
              <w:spacing w:line="320" w:lineRule="exact"/>
              <w:ind w:left="-53" w:leftChars="-25" w:right="-53" w:rightChars="-25"/>
              <w:contextualSpacing/>
              <w:jc w:val="center"/>
              <w:rPr>
                <w:kern w:val="0"/>
                <w:szCs w:val="21"/>
              </w:rPr>
            </w:pPr>
            <w:r>
              <w:rPr>
                <w:kern w:val="0"/>
                <w:szCs w:val="21"/>
              </w:rPr>
              <w:t>粉尘</w:t>
            </w:r>
          </w:p>
        </w:tc>
        <w:tc>
          <w:tcPr>
            <w:tcW w:w="1482" w:type="pct"/>
            <w:tcBorders>
              <w:top w:val="single" w:color="auto" w:sz="4" w:space="0"/>
              <w:bottom w:val="single" w:color="auto" w:sz="4" w:space="0"/>
            </w:tcBorders>
            <w:noWrap/>
            <w:vAlign w:val="center"/>
          </w:tcPr>
          <w:p w14:paraId="3FA14906">
            <w:pPr>
              <w:widowControl/>
              <w:spacing w:line="320" w:lineRule="exact"/>
              <w:ind w:left="-53" w:leftChars="-25" w:right="-53" w:rightChars="-25"/>
              <w:contextualSpacing/>
              <w:jc w:val="center"/>
              <w:rPr>
                <w:kern w:val="0"/>
                <w:szCs w:val="21"/>
              </w:rPr>
            </w:pPr>
            <w:r>
              <w:rPr>
                <w:rFonts w:hint="eastAsia"/>
                <w:kern w:val="0"/>
                <w:szCs w:val="21"/>
              </w:rPr>
              <w:t>厂房封闭，破碎、筛分机配备除尘系统</w:t>
            </w:r>
          </w:p>
        </w:tc>
      </w:tr>
      <w:tr w14:paraId="56A71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676594CC">
            <w:pPr>
              <w:spacing w:line="320" w:lineRule="exact"/>
              <w:ind w:left="-53" w:leftChars="-25" w:right="-53" w:rightChars="-25"/>
              <w:contextualSpacing/>
              <w:jc w:val="center"/>
              <w:rPr>
                <w:kern w:val="0"/>
                <w:szCs w:val="21"/>
              </w:rPr>
            </w:pPr>
          </w:p>
        </w:tc>
        <w:tc>
          <w:tcPr>
            <w:tcW w:w="1246" w:type="pct"/>
            <w:tcBorders>
              <w:top w:val="single" w:color="auto" w:sz="4" w:space="0"/>
              <w:bottom w:val="single" w:color="auto" w:sz="4" w:space="0"/>
            </w:tcBorders>
            <w:noWrap/>
            <w:vAlign w:val="center"/>
          </w:tcPr>
          <w:p w14:paraId="4CF8843D">
            <w:pPr>
              <w:spacing w:line="320" w:lineRule="exact"/>
              <w:ind w:left="-53" w:leftChars="-25" w:right="-53" w:rightChars="-25"/>
              <w:contextualSpacing/>
              <w:jc w:val="center"/>
              <w:rPr>
                <w:kern w:val="0"/>
                <w:szCs w:val="21"/>
              </w:rPr>
            </w:pPr>
            <w:r>
              <w:rPr>
                <w:kern w:val="0"/>
                <w:szCs w:val="21"/>
              </w:rPr>
              <w:t>运输</w:t>
            </w:r>
          </w:p>
        </w:tc>
        <w:tc>
          <w:tcPr>
            <w:tcW w:w="831" w:type="pct"/>
            <w:tcBorders>
              <w:top w:val="single" w:color="auto" w:sz="4" w:space="0"/>
              <w:bottom w:val="single" w:color="auto" w:sz="4" w:space="0"/>
            </w:tcBorders>
            <w:noWrap/>
            <w:vAlign w:val="center"/>
          </w:tcPr>
          <w:p w14:paraId="7803D0C8">
            <w:pPr>
              <w:widowControl/>
              <w:spacing w:line="320" w:lineRule="exact"/>
              <w:ind w:left="-53" w:leftChars="-25" w:right="-53" w:rightChars="-25"/>
              <w:contextualSpacing/>
              <w:jc w:val="center"/>
              <w:rPr>
                <w:kern w:val="0"/>
                <w:szCs w:val="21"/>
              </w:rPr>
            </w:pPr>
            <w:r>
              <w:rPr>
                <w:kern w:val="0"/>
                <w:szCs w:val="21"/>
              </w:rPr>
              <w:t>运输粉尘</w:t>
            </w:r>
          </w:p>
        </w:tc>
        <w:tc>
          <w:tcPr>
            <w:tcW w:w="961" w:type="pct"/>
            <w:tcBorders>
              <w:top w:val="single" w:color="auto" w:sz="4" w:space="0"/>
              <w:bottom w:val="single" w:color="auto" w:sz="4" w:space="0"/>
            </w:tcBorders>
            <w:vAlign w:val="center"/>
          </w:tcPr>
          <w:p w14:paraId="22BCAFFE">
            <w:pPr>
              <w:widowControl/>
              <w:spacing w:line="320" w:lineRule="exact"/>
              <w:ind w:left="-53" w:leftChars="-25" w:right="-53" w:rightChars="-25"/>
              <w:contextualSpacing/>
              <w:jc w:val="center"/>
              <w:rPr>
                <w:kern w:val="0"/>
                <w:szCs w:val="21"/>
              </w:rPr>
            </w:pPr>
            <w:r>
              <w:rPr>
                <w:kern w:val="0"/>
                <w:szCs w:val="21"/>
              </w:rPr>
              <w:t>粉尘</w:t>
            </w:r>
          </w:p>
        </w:tc>
        <w:tc>
          <w:tcPr>
            <w:tcW w:w="1482" w:type="pct"/>
            <w:tcBorders>
              <w:top w:val="single" w:color="auto" w:sz="4" w:space="0"/>
              <w:bottom w:val="single" w:color="auto" w:sz="4" w:space="0"/>
            </w:tcBorders>
            <w:noWrap/>
            <w:vAlign w:val="center"/>
          </w:tcPr>
          <w:p w14:paraId="4E3BA6AB">
            <w:pPr>
              <w:spacing w:line="320" w:lineRule="exact"/>
              <w:ind w:left="-53" w:leftChars="-25" w:right="-53" w:rightChars="-25"/>
              <w:contextualSpacing/>
              <w:jc w:val="center"/>
              <w:rPr>
                <w:kern w:val="0"/>
                <w:szCs w:val="21"/>
              </w:rPr>
            </w:pPr>
            <w:r>
              <w:rPr>
                <w:rFonts w:hint="eastAsia"/>
                <w:kern w:val="0"/>
                <w:szCs w:val="21"/>
              </w:rPr>
              <w:t>厂区内地面硬化、定期清扫、洒水降尘等</w:t>
            </w:r>
          </w:p>
        </w:tc>
      </w:tr>
      <w:tr w14:paraId="6B951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restart"/>
            <w:vAlign w:val="center"/>
          </w:tcPr>
          <w:p w14:paraId="1320EC7F">
            <w:pPr>
              <w:spacing w:line="320" w:lineRule="exact"/>
              <w:ind w:left="-53" w:leftChars="-25" w:right="-53" w:rightChars="-25"/>
              <w:contextualSpacing/>
              <w:jc w:val="center"/>
              <w:rPr>
                <w:kern w:val="0"/>
                <w:szCs w:val="21"/>
              </w:rPr>
            </w:pPr>
            <w:r>
              <w:rPr>
                <w:kern w:val="0"/>
                <w:szCs w:val="21"/>
              </w:rPr>
              <w:t>废水</w:t>
            </w:r>
          </w:p>
        </w:tc>
        <w:tc>
          <w:tcPr>
            <w:tcW w:w="1246" w:type="pct"/>
            <w:tcBorders>
              <w:bottom w:val="single" w:color="auto" w:sz="4" w:space="0"/>
            </w:tcBorders>
            <w:noWrap/>
            <w:vAlign w:val="center"/>
          </w:tcPr>
          <w:p w14:paraId="0D955FE2">
            <w:pPr>
              <w:spacing w:line="320" w:lineRule="exact"/>
              <w:ind w:left="-53" w:leftChars="-25" w:right="-53" w:rightChars="-25"/>
              <w:contextualSpacing/>
              <w:jc w:val="center"/>
              <w:rPr>
                <w:kern w:val="0"/>
                <w:szCs w:val="21"/>
              </w:rPr>
            </w:pPr>
            <w:r>
              <w:rPr>
                <w:rFonts w:hint="eastAsia"/>
                <w:kern w:val="0"/>
                <w:szCs w:val="21"/>
              </w:rPr>
              <w:t>磨边、切边、大切、表面加工、磨光、开槽</w:t>
            </w:r>
          </w:p>
        </w:tc>
        <w:tc>
          <w:tcPr>
            <w:tcW w:w="831" w:type="pct"/>
            <w:noWrap/>
            <w:vAlign w:val="center"/>
          </w:tcPr>
          <w:p w14:paraId="2FFC3BC6">
            <w:pPr>
              <w:widowControl/>
              <w:spacing w:line="320" w:lineRule="exact"/>
              <w:ind w:left="-53" w:leftChars="-25" w:right="-53" w:rightChars="-25"/>
              <w:contextualSpacing/>
              <w:jc w:val="center"/>
              <w:rPr>
                <w:kern w:val="0"/>
                <w:szCs w:val="21"/>
              </w:rPr>
            </w:pPr>
            <w:r>
              <w:rPr>
                <w:kern w:val="0"/>
                <w:szCs w:val="21"/>
              </w:rPr>
              <w:t>湿法加工废水</w:t>
            </w:r>
          </w:p>
        </w:tc>
        <w:tc>
          <w:tcPr>
            <w:tcW w:w="961" w:type="pct"/>
            <w:vAlign w:val="center"/>
          </w:tcPr>
          <w:p w14:paraId="0C9B9887">
            <w:pPr>
              <w:widowControl/>
              <w:spacing w:line="320" w:lineRule="exact"/>
              <w:ind w:left="-53" w:leftChars="-25" w:right="-53" w:rightChars="-25"/>
              <w:contextualSpacing/>
              <w:jc w:val="center"/>
              <w:rPr>
                <w:kern w:val="0"/>
                <w:szCs w:val="21"/>
              </w:rPr>
            </w:pPr>
            <w:r>
              <w:rPr>
                <w:kern w:val="0"/>
                <w:szCs w:val="21"/>
              </w:rPr>
              <w:t>SS</w:t>
            </w:r>
          </w:p>
        </w:tc>
        <w:tc>
          <w:tcPr>
            <w:tcW w:w="1482" w:type="pct"/>
            <w:vMerge w:val="restart"/>
            <w:noWrap/>
            <w:vAlign w:val="center"/>
          </w:tcPr>
          <w:p w14:paraId="5039E871">
            <w:pPr>
              <w:spacing w:line="320" w:lineRule="exact"/>
              <w:ind w:left="-53" w:leftChars="-25" w:right="-53" w:rightChars="-25"/>
              <w:contextualSpacing/>
              <w:jc w:val="center"/>
              <w:rPr>
                <w:kern w:val="0"/>
                <w:szCs w:val="21"/>
              </w:rPr>
            </w:pPr>
            <w:r>
              <w:rPr>
                <w:rFonts w:hint="eastAsia"/>
                <w:kern w:val="0"/>
                <w:szCs w:val="21"/>
              </w:rPr>
              <w:t>沉淀池处理后回用于生产过程及洒水降尘</w:t>
            </w:r>
          </w:p>
        </w:tc>
      </w:tr>
      <w:tr w14:paraId="3660F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vAlign w:val="center"/>
          </w:tcPr>
          <w:p w14:paraId="6DD92B08">
            <w:pPr>
              <w:spacing w:line="320" w:lineRule="exact"/>
              <w:ind w:left="-53" w:leftChars="-25" w:right="-53" w:rightChars="-25"/>
              <w:contextualSpacing/>
              <w:jc w:val="center"/>
              <w:rPr>
                <w:kern w:val="0"/>
                <w:szCs w:val="21"/>
              </w:rPr>
            </w:pPr>
          </w:p>
        </w:tc>
        <w:tc>
          <w:tcPr>
            <w:tcW w:w="1246" w:type="pct"/>
            <w:tcBorders>
              <w:bottom w:val="single" w:color="auto" w:sz="4" w:space="0"/>
            </w:tcBorders>
            <w:noWrap/>
            <w:vAlign w:val="center"/>
          </w:tcPr>
          <w:p w14:paraId="5DC494AA">
            <w:pPr>
              <w:spacing w:line="320" w:lineRule="exact"/>
              <w:ind w:left="-53" w:leftChars="-25" w:right="-53" w:rightChars="-25"/>
              <w:contextualSpacing/>
              <w:jc w:val="center"/>
              <w:rPr>
                <w:kern w:val="0"/>
                <w:szCs w:val="21"/>
              </w:rPr>
            </w:pPr>
            <w:r>
              <w:rPr>
                <w:rFonts w:hint="eastAsia"/>
                <w:kern w:val="0"/>
                <w:szCs w:val="21"/>
              </w:rPr>
              <w:t>车间地面冲洗</w:t>
            </w:r>
          </w:p>
        </w:tc>
        <w:tc>
          <w:tcPr>
            <w:tcW w:w="831" w:type="pct"/>
            <w:noWrap/>
            <w:vAlign w:val="center"/>
          </w:tcPr>
          <w:p w14:paraId="6B86CCE5">
            <w:pPr>
              <w:widowControl/>
              <w:spacing w:line="320" w:lineRule="exact"/>
              <w:ind w:left="-53" w:leftChars="-25" w:right="-53" w:rightChars="-25"/>
              <w:contextualSpacing/>
              <w:jc w:val="center"/>
              <w:rPr>
                <w:kern w:val="0"/>
                <w:szCs w:val="21"/>
              </w:rPr>
            </w:pPr>
            <w:r>
              <w:rPr>
                <w:rFonts w:hint="eastAsia"/>
                <w:kern w:val="0"/>
                <w:szCs w:val="21"/>
              </w:rPr>
              <w:t>车间地面冲洗废水</w:t>
            </w:r>
          </w:p>
        </w:tc>
        <w:tc>
          <w:tcPr>
            <w:tcW w:w="961" w:type="pct"/>
            <w:vAlign w:val="center"/>
          </w:tcPr>
          <w:p w14:paraId="1CA63477">
            <w:pPr>
              <w:widowControl/>
              <w:spacing w:line="320" w:lineRule="exact"/>
              <w:ind w:left="-53" w:leftChars="-25" w:right="-53" w:rightChars="-25"/>
              <w:contextualSpacing/>
              <w:jc w:val="center"/>
              <w:rPr>
                <w:kern w:val="0"/>
                <w:szCs w:val="21"/>
              </w:rPr>
            </w:pPr>
            <w:r>
              <w:rPr>
                <w:kern w:val="0"/>
                <w:szCs w:val="21"/>
              </w:rPr>
              <w:t>SS</w:t>
            </w:r>
          </w:p>
        </w:tc>
        <w:tc>
          <w:tcPr>
            <w:tcW w:w="1482" w:type="pct"/>
            <w:vMerge w:val="continue"/>
            <w:noWrap/>
            <w:vAlign w:val="center"/>
          </w:tcPr>
          <w:p w14:paraId="0D3BFFD8">
            <w:pPr>
              <w:spacing w:line="320" w:lineRule="exact"/>
              <w:ind w:left="-53" w:leftChars="-25" w:right="-53" w:rightChars="-25"/>
              <w:contextualSpacing/>
              <w:jc w:val="center"/>
              <w:rPr>
                <w:kern w:val="0"/>
                <w:szCs w:val="21"/>
              </w:rPr>
            </w:pPr>
          </w:p>
        </w:tc>
      </w:tr>
      <w:tr w14:paraId="4F42F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vAlign w:val="center"/>
          </w:tcPr>
          <w:p w14:paraId="1B817503">
            <w:pPr>
              <w:spacing w:line="320" w:lineRule="exact"/>
              <w:ind w:left="-53" w:leftChars="-25" w:right="-53" w:rightChars="-25"/>
              <w:contextualSpacing/>
              <w:jc w:val="center"/>
              <w:rPr>
                <w:kern w:val="0"/>
                <w:szCs w:val="21"/>
              </w:rPr>
            </w:pPr>
          </w:p>
        </w:tc>
        <w:tc>
          <w:tcPr>
            <w:tcW w:w="1246" w:type="pct"/>
            <w:tcBorders>
              <w:bottom w:val="single" w:color="auto" w:sz="4" w:space="0"/>
            </w:tcBorders>
            <w:noWrap/>
            <w:vAlign w:val="center"/>
          </w:tcPr>
          <w:p w14:paraId="49A2E86D">
            <w:pPr>
              <w:spacing w:line="320" w:lineRule="exact"/>
              <w:ind w:left="-53" w:leftChars="-25" w:right="-53" w:rightChars="-25"/>
              <w:contextualSpacing/>
              <w:jc w:val="center"/>
              <w:rPr>
                <w:kern w:val="0"/>
                <w:szCs w:val="21"/>
              </w:rPr>
            </w:pPr>
            <w:r>
              <w:rPr>
                <w:rFonts w:hint="eastAsia"/>
                <w:kern w:val="0"/>
                <w:szCs w:val="21"/>
              </w:rPr>
              <w:t>初期雨水</w:t>
            </w:r>
          </w:p>
        </w:tc>
        <w:tc>
          <w:tcPr>
            <w:tcW w:w="831" w:type="pct"/>
            <w:noWrap/>
            <w:vAlign w:val="center"/>
          </w:tcPr>
          <w:p w14:paraId="3A47253F">
            <w:pPr>
              <w:widowControl/>
              <w:spacing w:line="320" w:lineRule="exact"/>
              <w:ind w:left="-53" w:leftChars="-25" w:right="-53" w:rightChars="-25"/>
              <w:contextualSpacing/>
              <w:jc w:val="center"/>
              <w:rPr>
                <w:kern w:val="0"/>
                <w:szCs w:val="21"/>
              </w:rPr>
            </w:pPr>
            <w:r>
              <w:rPr>
                <w:rFonts w:hint="eastAsia"/>
                <w:kern w:val="0"/>
                <w:szCs w:val="21"/>
              </w:rPr>
              <w:t>初期雨水</w:t>
            </w:r>
          </w:p>
        </w:tc>
        <w:tc>
          <w:tcPr>
            <w:tcW w:w="961" w:type="pct"/>
            <w:vAlign w:val="center"/>
          </w:tcPr>
          <w:p w14:paraId="2CA12249">
            <w:pPr>
              <w:widowControl/>
              <w:spacing w:line="320" w:lineRule="exact"/>
              <w:ind w:left="-53" w:leftChars="-25" w:right="-53" w:rightChars="-25"/>
              <w:contextualSpacing/>
              <w:jc w:val="center"/>
              <w:rPr>
                <w:kern w:val="0"/>
                <w:szCs w:val="21"/>
              </w:rPr>
            </w:pPr>
            <w:r>
              <w:rPr>
                <w:kern w:val="0"/>
                <w:szCs w:val="21"/>
              </w:rPr>
              <w:t>SS</w:t>
            </w:r>
          </w:p>
        </w:tc>
        <w:tc>
          <w:tcPr>
            <w:tcW w:w="1482" w:type="pct"/>
            <w:vMerge w:val="continue"/>
            <w:noWrap/>
            <w:vAlign w:val="center"/>
          </w:tcPr>
          <w:p w14:paraId="2EA5A7F6">
            <w:pPr>
              <w:widowControl/>
              <w:spacing w:line="320" w:lineRule="exact"/>
              <w:ind w:left="-53" w:leftChars="-25" w:right="-53" w:rightChars="-25"/>
              <w:contextualSpacing/>
              <w:jc w:val="center"/>
              <w:rPr>
                <w:kern w:val="0"/>
                <w:szCs w:val="21"/>
              </w:rPr>
            </w:pPr>
          </w:p>
        </w:tc>
      </w:tr>
      <w:tr w14:paraId="28FBE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480" w:type="pct"/>
            <w:vMerge w:val="continue"/>
            <w:vAlign w:val="center"/>
          </w:tcPr>
          <w:p w14:paraId="2A606ABA">
            <w:pPr>
              <w:spacing w:line="320" w:lineRule="exact"/>
              <w:ind w:left="-53" w:leftChars="-25" w:right="-53" w:rightChars="-25"/>
              <w:contextualSpacing/>
              <w:jc w:val="center"/>
              <w:rPr>
                <w:kern w:val="0"/>
                <w:szCs w:val="21"/>
              </w:rPr>
            </w:pPr>
          </w:p>
        </w:tc>
        <w:tc>
          <w:tcPr>
            <w:tcW w:w="1246" w:type="pct"/>
            <w:tcBorders>
              <w:top w:val="single" w:color="auto" w:sz="4" w:space="0"/>
            </w:tcBorders>
            <w:noWrap/>
            <w:vAlign w:val="center"/>
          </w:tcPr>
          <w:p w14:paraId="04C5E522">
            <w:pPr>
              <w:widowControl/>
              <w:spacing w:line="320" w:lineRule="exact"/>
              <w:ind w:left="-53" w:leftChars="-25" w:right="-53" w:rightChars="-25"/>
              <w:contextualSpacing/>
              <w:jc w:val="center"/>
              <w:rPr>
                <w:kern w:val="0"/>
                <w:szCs w:val="21"/>
              </w:rPr>
            </w:pPr>
            <w:r>
              <w:rPr>
                <w:rFonts w:hint="eastAsia"/>
                <w:kern w:val="0"/>
                <w:szCs w:val="21"/>
              </w:rPr>
              <w:t>员工生活污水</w:t>
            </w:r>
          </w:p>
        </w:tc>
        <w:tc>
          <w:tcPr>
            <w:tcW w:w="831" w:type="pct"/>
            <w:tcBorders>
              <w:top w:val="single" w:color="auto" w:sz="4" w:space="0"/>
            </w:tcBorders>
            <w:noWrap/>
            <w:vAlign w:val="center"/>
          </w:tcPr>
          <w:p w14:paraId="064E6286">
            <w:pPr>
              <w:spacing w:line="320" w:lineRule="exact"/>
              <w:ind w:left="-53" w:leftChars="-25" w:right="-53" w:rightChars="-25"/>
              <w:contextualSpacing/>
              <w:jc w:val="center"/>
              <w:rPr>
                <w:kern w:val="0"/>
                <w:szCs w:val="21"/>
              </w:rPr>
            </w:pPr>
            <w:r>
              <w:rPr>
                <w:kern w:val="0"/>
                <w:szCs w:val="21"/>
              </w:rPr>
              <w:t>生活污水</w:t>
            </w:r>
          </w:p>
        </w:tc>
        <w:tc>
          <w:tcPr>
            <w:tcW w:w="961" w:type="pct"/>
            <w:tcBorders>
              <w:top w:val="single" w:color="auto" w:sz="4" w:space="0"/>
            </w:tcBorders>
            <w:vAlign w:val="center"/>
          </w:tcPr>
          <w:p w14:paraId="513809B6">
            <w:pPr>
              <w:spacing w:line="320" w:lineRule="exact"/>
              <w:ind w:left="-53" w:leftChars="-25" w:right="-53" w:rightChars="-25"/>
              <w:contextualSpacing/>
              <w:jc w:val="center"/>
              <w:rPr>
                <w:kern w:val="0"/>
                <w:szCs w:val="21"/>
              </w:rPr>
            </w:pPr>
            <w:r>
              <w:rPr>
                <w:kern w:val="0"/>
                <w:szCs w:val="21"/>
              </w:rPr>
              <w:t>COD</w:t>
            </w:r>
            <w:r>
              <w:rPr>
                <w:rFonts w:ascii="宋体" w:hAnsi="宋体"/>
                <w:kern w:val="0"/>
                <w:szCs w:val="21"/>
              </w:rPr>
              <w:t>、</w:t>
            </w:r>
            <w:r>
              <w:rPr>
                <w:kern w:val="0"/>
                <w:szCs w:val="21"/>
              </w:rPr>
              <w:t>BOD</w:t>
            </w:r>
            <w:r>
              <w:rPr>
                <w:kern w:val="0"/>
                <w:szCs w:val="21"/>
                <w:vertAlign w:val="subscript"/>
              </w:rPr>
              <w:t>5</w:t>
            </w:r>
            <w:r>
              <w:rPr>
                <w:kern w:val="0"/>
                <w:szCs w:val="21"/>
              </w:rPr>
              <w:t>、SS</w:t>
            </w:r>
            <w:r>
              <w:rPr>
                <w:rFonts w:ascii="宋体" w:hAnsi="宋体"/>
                <w:kern w:val="0"/>
                <w:szCs w:val="21"/>
              </w:rPr>
              <w:t>、</w:t>
            </w:r>
            <w:r>
              <w:rPr>
                <w:kern w:val="0"/>
                <w:szCs w:val="21"/>
              </w:rPr>
              <w:t>NH</w:t>
            </w:r>
            <w:r>
              <w:rPr>
                <w:kern w:val="0"/>
                <w:szCs w:val="21"/>
                <w:vertAlign w:val="subscript"/>
              </w:rPr>
              <w:t>3</w:t>
            </w:r>
            <w:r>
              <w:rPr>
                <w:kern w:val="0"/>
                <w:szCs w:val="21"/>
              </w:rPr>
              <w:t>-N、动植物油</w:t>
            </w:r>
          </w:p>
        </w:tc>
        <w:tc>
          <w:tcPr>
            <w:tcW w:w="1482" w:type="pct"/>
            <w:tcBorders>
              <w:top w:val="single" w:color="auto" w:sz="4" w:space="0"/>
            </w:tcBorders>
            <w:noWrap/>
            <w:vAlign w:val="center"/>
          </w:tcPr>
          <w:p w14:paraId="6D073C20">
            <w:pPr>
              <w:spacing w:line="320" w:lineRule="exact"/>
              <w:ind w:left="-53" w:leftChars="-25" w:right="-53" w:rightChars="-25"/>
              <w:contextualSpacing/>
              <w:jc w:val="center"/>
              <w:rPr>
                <w:kern w:val="0"/>
                <w:szCs w:val="21"/>
              </w:rPr>
            </w:pPr>
            <w:r>
              <w:rPr>
                <w:kern w:val="0"/>
                <w:szCs w:val="21"/>
              </w:rPr>
              <w:t>隔油池、化粪池处理后</w:t>
            </w:r>
            <w:r>
              <w:rPr>
                <w:rFonts w:hint="eastAsia"/>
                <w:kern w:val="0"/>
                <w:szCs w:val="21"/>
              </w:rPr>
              <w:t>排入</w:t>
            </w:r>
            <w:r>
              <w:rPr>
                <w:kern w:val="0"/>
                <w:szCs w:val="21"/>
              </w:rPr>
              <w:t>乡镇污水处理厂</w:t>
            </w:r>
          </w:p>
        </w:tc>
      </w:tr>
      <w:tr w14:paraId="00F3C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restart"/>
            <w:noWrap/>
            <w:vAlign w:val="center"/>
          </w:tcPr>
          <w:p w14:paraId="146A09D7">
            <w:pPr>
              <w:widowControl/>
              <w:spacing w:line="320" w:lineRule="exact"/>
              <w:ind w:left="-53" w:leftChars="-25" w:right="-53" w:rightChars="-25"/>
              <w:contextualSpacing/>
              <w:jc w:val="center"/>
              <w:rPr>
                <w:kern w:val="0"/>
                <w:szCs w:val="21"/>
              </w:rPr>
            </w:pPr>
            <w:r>
              <w:rPr>
                <w:kern w:val="0"/>
                <w:szCs w:val="21"/>
              </w:rPr>
              <w:t>固废</w:t>
            </w:r>
          </w:p>
        </w:tc>
        <w:tc>
          <w:tcPr>
            <w:tcW w:w="1246" w:type="pct"/>
            <w:noWrap/>
            <w:vAlign w:val="center"/>
          </w:tcPr>
          <w:p w14:paraId="226AC2DC">
            <w:pPr>
              <w:spacing w:line="320" w:lineRule="exact"/>
              <w:ind w:left="-53" w:leftChars="-25" w:right="-53" w:rightChars="-25"/>
              <w:contextualSpacing/>
              <w:jc w:val="center"/>
              <w:rPr>
                <w:kern w:val="0"/>
                <w:szCs w:val="21"/>
              </w:rPr>
            </w:pPr>
            <w:r>
              <w:rPr>
                <w:rFonts w:hint="eastAsia"/>
                <w:kern w:val="0"/>
                <w:szCs w:val="21"/>
              </w:rPr>
              <w:t>切边、大切、开槽</w:t>
            </w:r>
          </w:p>
        </w:tc>
        <w:tc>
          <w:tcPr>
            <w:tcW w:w="831" w:type="pct"/>
            <w:noWrap/>
            <w:vAlign w:val="center"/>
          </w:tcPr>
          <w:p w14:paraId="049AC03D">
            <w:pPr>
              <w:widowControl/>
              <w:spacing w:line="320" w:lineRule="exact"/>
              <w:ind w:left="-53" w:leftChars="-25" w:right="-53" w:rightChars="-25"/>
              <w:contextualSpacing/>
              <w:jc w:val="center"/>
              <w:rPr>
                <w:kern w:val="0"/>
                <w:szCs w:val="21"/>
              </w:rPr>
            </w:pPr>
            <w:r>
              <w:rPr>
                <w:rFonts w:hint="eastAsia"/>
                <w:kern w:val="0"/>
                <w:szCs w:val="21"/>
              </w:rPr>
              <w:t>废边角料</w:t>
            </w:r>
          </w:p>
        </w:tc>
        <w:tc>
          <w:tcPr>
            <w:tcW w:w="961" w:type="pct"/>
            <w:vAlign w:val="center"/>
          </w:tcPr>
          <w:p w14:paraId="5BC42C88">
            <w:pPr>
              <w:widowControl/>
              <w:spacing w:line="320" w:lineRule="exact"/>
              <w:ind w:left="-53" w:leftChars="-25" w:right="-53" w:rightChars="-25"/>
              <w:contextualSpacing/>
              <w:jc w:val="center"/>
              <w:rPr>
                <w:kern w:val="0"/>
                <w:szCs w:val="21"/>
              </w:rPr>
            </w:pPr>
            <w:r>
              <w:rPr>
                <w:rFonts w:hint="eastAsia"/>
                <w:kern w:val="0"/>
                <w:szCs w:val="21"/>
              </w:rPr>
              <w:t>废边角料</w:t>
            </w:r>
          </w:p>
        </w:tc>
        <w:tc>
          <w:tcPr>
            <w:tcW w:w="1482" w:type="pct"/>
            <w:noWrap/>
            <w:vAlign w:val="center"/>
          </w:tcPr>
          <w:p w14:paraId="29140107">
            <w:pPr>
              <w:widowControl/>
              <w:spacing w:line="320" w:lineRule="exact"/>
              <w:ind w:left="-53" w:leftChars="-25" w:right="-53" w:rightChars="-25"/>
              <w:contextualSpacing/>
              <w:jc w:val="center"/>
              <w:rPr>
                <w:kern w:val="0"/>
                <w:szCs w:val="21"/>
              </w:rPr>
            </w:pPr>
            <w:r>
              <w:rPr>
                <w:rFonts w:hint="eastAsia"/>
                <w:kern w:val="0"/>
                <w:szCs w:val="21"/>
              </w:rPr>
              <w:t>外售建材厂综合利用</w:t>
            </w:r>
          </w:p>
        </w:tc>
      </w:tr>
      <w:tr w14:paraId="3513A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6DE5C5A3">
            <w:pPr>
              <w:widowControl/>
              <w:spacing w:line="320" w:lineRule="exact"/>
              <w:ind w:left="-53" w:leftChars="-25" w:right="-53" w:rightChars="-25"/>
              <w:contextualSpacing/>
              <w:jc w:val="center"/>
              <w:rPr>
                <w:kern w:val="0"/>
                <w:szCs w:val="21"/>
              </w:rPr>
            </w:pPr>
          </w:p>
        </w:tc>
        <w:tc>
          <w:tcPr>
            <w:tcW w:w="1246" w:type="pct"/>
            <w:noWrap/>
            <w:vAlign w:val="center"/>
          </w:tcPr>
          <w:p w14:paraId="21F01752">
            <w:pPr>
              <w:spacing w:line="320" w:lineRule="exact"/>
              <w:ind w:left="-53" w:leftChars="-25" w:right="-53" w:rightChars="-25"/>
              <w:contextualSpacing/>
              <w:jc w:val="center"/>
              <w:rPr>
                <w:kern w:val="0"/>
                <w:szCs w:val="21"/>
              </w:rPr>
            </w:pPr>
            <w:r>
              <w:rPr>
                <w:rFonts w:hint="eastAsia"/>
                <w:kern w:val="0"/>
                <w:szCs w:val="21"/>
              </w:rPr>
              <w:t>喷砂</w:t>
            </w:r>
          </w:p>
        </w:tc>
        <w:tc>
          <w:tcPr>
            <w:tcW w:w="831" w:type="pct"/>
            <w:noWrap/>
            <w:vAlign w:val="center"/>
          </w:tcPr>
          <w:p w14:paraId="23ACDA00">
            <w:pPr>
              <w:widowControl/>
              <w:spacing w:line="320" w:lineRule="exact"/>
              <w:ind w:left="-53" w:leftChars="-25" w:right="-53" w:rightChars="-25"/>
              <w:contextualSpacing/>
              <w:jc w:val="center"/>
              <w:rPr>
                <w:kern w:val="0"/>
                <w:szCs w:val="21"/>
              </w:rPr>
            </w:pPr>
            <w:r>
              <w:rPr>
                <w:rFonts w:hint="eastAsia"/>
                <w:kern w:val="0"/>
                <w:szCs w:val="21"/>
              </w:rPr>
              <w:t>废钢砂、废滤芯、除尘灰</w:t>
            </w:r>
          </w:p>
        </w:tc>
        <w:tc>
          <w:tcPr>
            <w:tcW w:w="961" w:type="pct"/>
            <w:vAlign w:val="center"/>
          </w:tcPr>
          <w:p w14:paraId="36742CA0">
            <w:pPr>
              <w:widowControl/>
              <w:spacing w:line="320" w:lineRule="exact"/>
              <w:ind w:left="-53" w:leftChars="-25" w:right="-53" w:rightChars="-25"/>
              <w:contextualSpacing/>
              <w:jc w:val="center"/>
              <w:rPr>
                <w:kern w:val="0"/>
                <w:szCs w:val="21"/>
              </w:rPr>
            </w:pPr>
            <w:r>
              <w:rPr>
                <w:rFonts w:hint="eastAsia"/>
                <w:kern w:val="0"/>
                <w:szCs w:val="21"/>
              </w:rPr>
              <w:t>废钢砂、废滤芯、除尘灰</w:t>
            </w:r>
          </w:p>
        </w:tc>
        <w:tc>
          <w:tcPr>
            <w:tcW w:w="1482" w:type="pct"/>
            <w:noWrap/>
            <w:vAlign w:val="center"/>
          </w:tcPr>
          <w:p w14:paraId="7085D20A">
            <w:pPr>
              <w:widowControl/>
              <w:spacing w:line="320" w:lineRule="exact"/>
              <w:ind w:left="-53" w:leftChars="-25" w:right="-53" w:rightChars="-25"/>
              <w:contextualSpacing/>
              <w:jc w:val="center"/>
              <w:rPr>
                <w:kern w:val="0"/>
                <w:szCs w:val="21"/>
              </w:rPr>
            </w:pPr>
            <w:r>
              <w:rPr>
                <w:rFonts w:hint="eastAsia"/>
                <w:kern w:val="0"/>
                <w:szCs w:val="21"/>
              </w:rPr>
              <w:t>外售给物资回收单位综合利用</w:t>
            </w:r>
          </w:p>
        </w:tc>
      </w:tr>
      <w:tr w14:paraId="3D49D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noWrap/>
            <w:vAlign w:val="center"/>
          </w:tcPr>
          <w:p w14:paraId="4129B07C">
            <w:pPr>
              <w:widowControl/>
              <w:spacing w:line="320" w:lineRule="exact"/>
              <w:ind w:left="-53" w:leftChars="-25" w:right="-53" w:rightChars="-25"/>
              <w:contextualSpacing/>
              <w:jc w:val="center"/>
              <w:rPr>
                <w:kern w:val="0"/>
                <w:szCs w:val="21"/>
              </w:rPr>
            </w:pPr>
          </w:p>
        </w:tc>
        <w:tc>
          <w:tcPr>
            <w:tcW w:w="1246" w:type="pct"/>
            <w:noWrap/>
            <w:vAlign w:val="center"/>
          </w:tcPr>
          <w:p w14:paraId="40733B79">
            <w:pPr>
              <w:spacing w:line="320" w:lineRule="exact"/>
              <w:ind w:left="-53" w:leftChars="-25" w:right="-53" w:rightChars="-25"/>
              <w:contextualSpacing/>
              <w:jc w:val="center"/>
              <w:rPr>
                <w:kern w:val="0"/>
                <w:szCs w:val="21"/>
              </w:rPr>
            </w:pPr>
            <w:r>
              <w:rPr>
                <w:rFonts w:hint="eastAsia"/>
                <w:kern w:val="0"/>
                <w:szCs w:val="21"/>
              </w:rPr>
              <w:t>检验入库</w:t>
            </w:r>
          </w:p>
        </w:tc>
        <w:tc>
          <w:tcPr>
            <w:tcW w:w="831" w:type="pct"/>
            <w:noWrap/>
            <w:vAlign w:val="center"/>
          </w:tcPr>
          <w:p w14:paraId="0F0015AC">
            <w:pPr>
              <w:widowControl/>
              <w:spacing w:line="320" w:lineRule="exact"/>
              <w:ind w:left="-53" w:leftChars="-25" w:right="-53" w:rightChars="-25"/>
              <w:contextualSpacing/>
              <w:jc w:val="center"/>
              <w:rPr>
                <w:kern w:val="0"/>
                <w:szCs w:val="21"/>
              </w:rPr>
            </w:pPr>
            <w:r>
              <w:rPr>
                <w:rFonts w:hint="eastAsia"/>
                <w:kern w:val="0"/>
                <w:szCs w:val="21"/>
              </w:rPr>
              <w:t>不合格品</w:t>
            </w:r>
          </w:p>
        </w:tc>
        <w:tc>
          <w:tcPr>
            <w:tcW w:w="961" w:type="pct"/>
            <w:vAlign w:val="center"/>
          </w:tcPr>
          <w:p w14:paraId="1D4B3B3D">
            <w:pPr>
              <w:widowControl/>
              <w:spacing w:line="320" w:lineRule="exact"/>
              <w:ind w:left="-53" w:leftChars="-25" w:right="-53" w:rightChars="-25"/>
              <w:contextualSpacing/>
              <w:jc w:val="center"/>
              <w:rPr>
                <w:kern w:val="0"/>
                <w:szCs w:val="21"/>
              </w:rPr>
            </w:pPr>
            <w:r>
              <w:rPr>
                <w:rFonts w:hint="eastAsia"/>
                <w:kern w:val="0"/>
                <w:szCs w:val="21"/>
              </w:rPr>
              <w:t>不合格品</w:t>
            </w:r>
          </w:p>
        </w:tc>
        <w:tc>
          <w:tcPr>
            <w:tcW w:w="1482" w:type="pct"/>
            <w:noWrap/>
            <w:vAlign w:val="center"/>
          </w:tcPr>
          <w:p w14:paraId="51D7FC70">
            <w:pPr>
              <w:widowControl/>
              <w:spacing w:line="320" w:lineRule="exact"/>
              <w:ind w:left="-53" w:leftChars="-25" w:right="-53" w:rightChars="-25"/>
              <w:contextualSpacing/>
              <w:jc w:val="center"/>
              <w:rPr>
                <w:kern w:val="0"/>
                <w:szCs w:val="21"/>
              </w:rPr>
            </w:pPr>
            <w:r>
              <w:rPr>
                <w:rFonts w:hint="eastAsia"/>
                <w:kern w:val="0"/>
                <w:szCs w:val="21"/>
              </w:rPr>
              <w:t>外售建材厂综合利用</w:t>
            </w:r>
          </w:p>
        </w:tc>
      </w:tr>
      <w:tr w14:paraId="11E75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vAlign w:val="center"/>
          </w:tcPr>
          <w:p w14:paraId="77ECA664">
            <w:pPr>
              <w:widowControl/>
              <w:jc w:val="center"/>
              <w:rPr>
                <w:kern w:val="0"/>
                <w:szCs w:val="21"/>
              </w:rPr>
            </w:pPr>
          </w:p>
        </w:tc>
        <w:tc>
          <w:tcPr>
            <w:tcW w:w="1246" w:type="pct"/>
            <w:noWrap/>
            <w:vAlign w:val="center"/>
          </w:tcPr>
          <w:p w14:paraId="358FC5C9">
            <w:pPr>
              <w:widowControl/>
              <w:spacing w:line="320" w:lineRule="exact"/>
              <w:ind w:left="-53" w:leftChars="-25" w:right="-53" w:rightChars="-25"/>
              <w:contextualSpacing/>
              <w:jc w:val="center"/>
              <w:rPr>
                <w:kern w:val="0"/>
                <w:szCs w:val="21"/>
              </w:rPr>
            </w:pPr>
            <w:r>
              <w:rPr>
                <w:kern w:val="0"/>
                <w:szCs w:val="21"/>
              </w:rPr>
              <w:t>沉淀池</w:t>
            </w:r>
            <w:r>
              <w:rPr>
                <w:rFonts w:hint="eastAsia"/>
                <w:kern w:val="0"/>
                <w:szCs w:val="21"/>
              </w:rPr>
              <w:t>底泥</w:t>
            </w:r>
          </w:p>
        </w:tc>
        <w:tc>
          <w:tcPr>
            <w:tcW w:w="831" w:type="pct"/>
            <w:noWrap/>
            <w:vAlign w:val="center"/>
          </w:tcPr>
          <w:p w14:paraId="4FA9BE57">
            <w:pPr>
              <w:widowControl/>
              <w:spacing w:line="320" w:lineRule="exact"/>
              <w:ind w:left="-53" w:leftChars="-25" w:right="-53" w:rightChars="-25"/>
              <w:contextualSpacing/>
              <w:jc w:val="center"/>
              <w:rPr>
                <w:kern w:val="0"/>
                <w:szCs w:val="21"/>
              </w:rPr>
            </w:pPr>
            <w:r>
              <w:rPr>
                <w:kern w:val="0"/>
                <w:szCs w:val="21"/>
              </w:rPr>
              <w:t>底泥</w:t>
            </w:r>
          </w:p>
        </w:tc>
        <w:tc>
          <w:tcPr>
            <w:tcW w:w="961" w:type="pct"/>
            <w:vAlign w:val="center"/>
          </w:tcPr>
          <w:p w14:paraId="2C0FDEC1">
            <w:pPr>
              <w:widowControl/>
              <w:spacing w:line="320" w:lineRule="exact"/>
              <w:ind w:left="-53" w:leftChars="-25" w:right="-53" w:rightChars="-25"/>
              <w:contextualSpacing/>
              <w:jc w:val="center"/>
              <w:rPr>
                <w:kern w:val="0"/>
                <w:szCs w:val="21"/>
              </w:rPr>
            </w:pPr>
            <w:r>
              <w:rPr>
                <w:rFonts w:hint="eastAsia"/>
                <w:kern w:val="0"/>
                <w:szCs w:val="21"/>
              </w:rPr>
              <w:t>底泥</w:t>
            </w:r>
          </w:p>
        </w:tc>
        <w:tc>
          <w:tcPr>
            <w:tcW w:w="1482" w:type="pct"/>
            <w:noWrap/>
            <w:vAlign w:val="center"/>
          </w:tcPr>
          <w:p w14:paraId="2993DCBA">
            <w:pPr>
              <w:widowControl/>
              <w:spacing w:line="320" w:lineRule="exact"/>
              <w:ind w:left="-53" w:leftChars="-25" w:right="-53" w:rightChars="-25"/>
              <w:contextualSpacing/>
              <w:jc w:val="center"/>
              <w:rPr>
                <w:kern w:val="0"/>
                <w:szCs w:val="21"/>
              </w:rPr>
            </w:pPr>
            <w:r>
              <w:rPr>
                <w:rFonts w:hint="eastAsia"/>
                <w:kern w:val="0"/>
                <w:szCs w:val="21"/>
              </w:rPr>
              <w:t>外售建材厂综合利用</w:t>
            </w:r>
          </w:p>
        </w:tc>
      </w:tr>
      <w:tr w14:paraId="6DE13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vAlign w:val="center"/>
          </w:tcPr>
          <w:p w14:paraId="202C673F">
            <w:pPr>
              <w:widowControl/>
              <w:jc w:val="center"/>
              <w:rPr>
                <w:kern w:val="0"/>
                <w:szCs w:val="21"/>
              </w:rPr>
            </w:pPr>
          </w:p>
        </w:tc>
        <w:tc>
          <w:tcPr>
            <w:tcW w:w="1246" w:type="pct"/>
            <w:noWrap/>
            <w:vAlign w:val="center"/>
          </w:tcPr>
          <w:p w14:paraId="516BBA97">
            <w:pPr>
              <w:widowControl/>
              <w:spacing w:line="320" w:lineRule="exact"/>
              <w:ind w:left="-53" w:leftChars="-25" w:right="-53" w:rightChars="-25"/>
              <w:contextualSpacing/>
              <w:jc w:val="center"/>
              <w:rPr>
                <w:kern w:val="0"/>
                <w:szCs w:val="21"/>
              </w:rPr>
            </w:pPr>
            <w:r>
              <w:rPr>
                <w:kern w:val="0"/>
                <w:szCs w:val="21"/>
              </w:rPr>
              <w:t>设备维修保养</w:t>
            </w:r>
          </w:p>
        </w:tc>
        <w:tc>
          <w:tcPr>
            <w:tcW w:w="831" w:type="pct"/>
            <w:noWrap/>
            <w:vAlign w:val="center"/>
          </w:tcPr>
          <w:p w14:paraId="049550AD">
            <w:pPr>
              <w:widowControl/>
              <w:spacing w:line="320" w:lineRule="exact"/>
              <w:ind w:left="-53" w:leftChars="-25" w:right="-53" w:rightChars="-25"/>
              <w:contextualSpacing/>
              <w:jc w:val="center"/>
              <w:rPr>
                <w:kern w:val="0"/>
                <w:szCs w:val="21"/>
              </w:rPr>
            </w:pPr>
            <w:r>
              <w:rPr>
                <w:kern w:val="0"/>
                <w:szCs w:val="21"/>
              </w:rPr>
              <w:t>废矿物油</w:t>
            </w:r>
          </w:p>
        </w:tc>
        <w:tc>
          <w:tcPr>
            <w:tcW w:w="961" w:type="pct"/>
            <w:vAlign w:val="center"/>
          </w:tcPr>
          <w:p w14:paraId="72CE4462">
            <w:pPr>
              <w:widowControl/>
              <w:spacing w:line="320" w:lineRule="exact"/>
              <w:ind w:left="-53" w:leftChars="-25" w:right="-53" w:rightChars="-25"/>
              <w:contextualSpacing/>
              <w:jc w:val="center"/>
              <w:rPr>
                <w:kern w:val="0"/>
                <w:szCs w:val="21"/>
              </w:rPr>
            </w:pPr>
            <w:r>
              <w:rPr>
                <w:kern w:val="0"/>
                <w:szCs w:val="21"/>
              </w:rPr>
              <w:t>废矿物油</w:t>
            </w:r>
          </w:p>
        </w:tc>
        <w:tc>
          <w:tcPr>
            <w:tcW w:w="1482" w:type="pct"/>
            <w:noWrap/>
            <w:vAlign w:val="center"/>
          </w:tcPr>
          <w:p w14:paraId="6CC60674">
            <w:pPr>
              <w:widowControl/>
              <w:spacing w:line="320" w:lineRule="exact"/>
              <w:ind w:left="-53" w:leftChars="-25" w:right="-53" w:rightChars="-25"/>
              <w:contextualSpacing/>
              <w:jc w:val="center"/>
              <w:rPr>
                <w:kern w:val="0"/>
                <w:szCs w:val="21"/>
              </w:rPr>
            </w:pPr>
            <w:r>
              <w:rPr>
                <w:kern w:val="0"/>
                <w:szCs w:val="21"/>
              </w:rPr>
              <w:t>委托有资质单位处置</w:t>
            </w:r>
          </w:p>
        </w:tc>
      </w:tr>
      <w:tr w14:paraId="0757F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vMerge w:val="continue"/>
            <w:vAlign w:val="center"/>
          </w:tcPr>
          <w:p w14:paraId="5883F99D">
            <w:pPr>
              <w:widowControl/>
              <w:jc w:val="center"/>
              <w:rPr>
                <w:kern w:val="0"/>
                <w:szCs w:val="21"/>
              </w:rPr>
            </w:pPr>
          </w:p>
        </w:tc>
        <w:tc>
          <w:tcPr>
            <w:tcW w:w="1246" w:type="pct"/>
            <w:noWrap/>
            <w:vAlign w:val="center"/>
          </w:tcPr>
          <w:p w14:paraId="78400663">
            <w:pPr>
              <w:spacing w:line="320" w:lineRule="exact"/>
              <w:ind w:left="-53" w:leftChars="-25" w:right="-53" w:rightChars="-25"/>
              <w:contextualSpacing/>
              <w:jc w:val="center"/>
              <w:rPr>
                <w:kern w:val="0"/>
                <w:szCs w:val="21"/>
              </w:rPr>
            </w:pPr>
            <w:r>
              <w:rPr>
                <w:rFonts w:hint="eastAsia"/>
                <w:kern w:val="0"/>
                <w:szCs w:val="21"/>
              </w:rPr>
              <w:t>员工生活</w:t>
            </w:r>
          </w:p>
        </w:tc>
        <w:tc>
          <w:tcPr>
            <w:tcW w:w="831" w:type="pct"/>
            <w:noWrap/>
            <w:vAlign w:val="center"/>
          </w:tcPr>
          <w:p w14:paraId="04B057AA">
            <w:pPr>
              <w:widowControl/>
              <w:spacing w:line="320" w:lineRule="exact"/>
              <w:ind w:left="-53" w:leftChars="-25" w:right="-53" w:rightChars="-25"/>
              <w:contextualSpacing/>
              <w:jc w:val="center"/>
              <w:rPr>
                <w:kern w:val="0"/>
                <w:szCs w:val="21"/>
              </w:rPr>
            </w:pPr>
            <w:r>
              <w:rPr>
                <w:kern w:val="0"/>
                <w:szCs w:val="21"/>
              </w:rPr>
              <w:t>生</w:t>
            </w:r>
            <w:r>
              <w:rPr>
                <w:rFonts w:hint="eastAsia" w:ascii="宋体" w:hAnsi="宋体"/>
                <w:kern w:val="0"/>
                <w:szCs w:val="21"/>
              </w:rPr>
              <w:t>活</w:t>
            </w:r>
            <w:r>
              <w:rPr>
                <w:kern w:val="0"/>
                <w:szCs w:val="21"/>
              </w:rPr>
              <w:t>垃圾</w:t>
            </w:r>
          </w:p>
        </w:tc>
        <w:tc>
          <w:tcPr>
            <w:tcW w:w="961" w:type="pct"/>
            <w:vAlign w:val="center"/>
          </w:tcPr>
          <w:p w14:paraId="253C6A51">
            <w:pPr>
              <w:widowControl/>
              <w:spacing w:line="320" w:lineRule="exact"/>
              <w:ind w:left="-53" w:leftChars="-25" w:right="-53" w:rightChars="-25"/>
              <w:contextualSpacing/>
              <w:jc w:val="center"/>
              <w:rPr>
                <w:kern w:val="0"/>
                <w:szCs w:val="21"/>
              </w:rPr>
            </w:pPr>
            <w:r>
              <w:rPr>
                <w:kern w:val="0"/>
                <w:szCs w:val="21"/>
              </w:rPr>
              <w:t>生</w:t>
            </w:r>
            <w:r>
              <w:rPr>
                <w:rFonts w:hint="eastAsia" w:ascii="宋体" w:hAnsi="宋体"/>
                <w:kern w:val="0"/>
                <w:szCs w:val="21"/>
              </w:rPr>
              <w:t>活</w:t>
            </w:r>
            <w:r>
              <w:rPr>
                <w:kern w:val="0"/>
                <w:szCs w:val="21"/>
              </w:rPr>
              <w:t>垃圾</w:t>
            </w:r>
          </w:p>
        </w:tc>
        <w:tc>
          <w:tcPr>
            <w:tcW w:w="1482" w:type="pct"/>
            <w:noWrap/>
            <w:vAlign w:val="center"/>
          </w:tcPr>
          <w:p w14:paraId="3DA8B9F2">
            <w:pPr>
              <w:widowControl/>
              <w:spacing w:line="320" w:lineRule="exact"/>
              <w:ind w:left="-53" w:leftChars="-25" w:right="-53" w:rightChars="-25"/>
              <w:contextualSpacing/>
              <w:jc w:val="center"/>
              <w:rPr>
                <w:kern w:val="0"/>
                <w:szCs w:val="21"/>
              </w:rPr>
            </w:pPr>
            <w:r>
              <w:rPr>
                <w:kern w:val="0"/>
                <w:szCs w:val="21"/>
              </w:rPr>
              <w:t>环卫部门统一清运</w:t>
            </w:r>
          </w:p>
        </w:tc>
      </w:tr>
      <w:tr w14:paraId="17799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80" w:type="pct"/>
            <w:noWrap/>
            <w:vAlign w:val="center"/>
          </w:tcPr>
          <w:p w14:paraId="21030D4E">
            <w:pPr>
              <w:widowControl/>
              <w:spacing w:line="320" w:lineRule="exact"/>
              <w:ind w:left="-53" w:leftChars="-25" w:right="-53" w:rightChars="-25"/>
              <w:contextualSpacing/>
              <w:jc w:val="center"/>
              <w:rPr>
                <w:kern w:val="0"/>
                <w:szCs w:val="21"/>
              </w:rPr>
            </w:pPr>
            <w:r>
              <w:rPr>
                <w:kern w:val="0"/>
                <w:szCs w:val="21"/>
              </w:rPr>
              <w:t>噪声</w:t>
            </w:r>
          </w:p>
        </w:tc>
        <w:tc>
          <w:tcPr>
            <w:tcW w:w="1246" w:type="pct"/>
            <w:noWrap/>
            <w:vAlign w:val="center"/>
          </w:tcPr>
          <w:p w14:paraId="097D54E2">
            <w:pPr>
              <w:widowControl/>
              <w:spacing w:line="320" w:lineRule="exact"/>
              <w:ind w:left="-53" w:leftChars="-25" w:right="-53" w:rightChars="-25"/>
              <w:contextualSpacing/>
              <w:jc w:val="center"/>
              <w:rPr>
                <w:kern w:val="0"/>
                <w:szCs w:val="21"/>
              </w:rPr>
            </w:pPr>
            <w:r>
              <w:rPr>
                <w:kern w:val="0"/>
                <w:szCs w:val="21"/>
              </w:rPr>
              <w:t>各种设备运转</w:t>
            </w:r>
          </w:p>
        </w:tc>
        <w:tc>
          <w:tcPr>
            <w:tcW w:w="831" w:type="pct"/>
            <w:noWrap/>
            <w:vAlign w:val="center"/>
          </w:tcPr>
          <w:p w14:paraId="29BD572C">
            <w:pPr>
              <w:widowControl/>
              <w:spacing w:line="320" w:lineRule="exact"/>
              <w:ind w:left="-53" w:leftChars="-25" w:right="-53" w:rightChars="-25"/>
              <w:contextualSpacing/>
              <w:jc w:val="center"/>
              <w:rPr>
                <w:kern w:val="0"/>
                <w:szCs w:val="21"/>
              </w:rPr>
            </w:pPr>
            <w:r>
              <w:rPr>
                <w:kern w:val="0"/>
                <w:szCs w:val="21"/>
              </w:rPr>
              <w:t>噪声</w:t>
            </w:r>
          </w:p>
        </w:tc>
        <w:tc>
          <w:tcPr>
            <w:tcW w:w="961" w:type="pct"/>
            <w:vAlign w:val="center"/>
          </w:tcPr>
          <w:p w14:paraId="327325DC">
            <w:pPr>
              <w:widowControl/>
              <w:spacing w:line="320" w:lineRule="exact"/>
              <w:ind w:left="-53" w:leftChars="-25" w:right="-53" w:rightChars="-25"/>
              <w:contextualSpacing/>
              <w:jc w:val="center"/>
              <w:rPr>
                <w:kern w:val="0"/>
                <w:szCs w:val="21"/>
              </w:rPr>
            </w:pPr>
            <w:r>
              <w:rPr>
                <w:kern w:val="0"/>
                <w:szCs w:val="21"/>
              </w:rPr>
              <w:t>等效连续声级LAeq</w:t>
            </w:r>
          </w:p>
        </w:tc>
        <w:tc>
          <w:tcPr>
            <w:tcW w:w="1482" w:type="pct"/>
            <w:noWrap/>
            <w:vAlign w:val="center"/>
          </w:tcPr>
          <w:p w14:paraId="6DB6BFCE">
            <w:pPr>
              <w:widowControl/>
              <w:spacing w:line="320" w:lineRule="exact"/>
              <w:ind w:left="-53" w:leftChars="-25" w:right="-53" w:rightChars="-25"/>
              <w:contextualSpacing/>
              <w:jc w:val="center"/>
              <w:rPr>
                <w:kern w:val="0"/>
                <w:szCs w:val="21"/>
              </w:rPr>
            </w:pPr>
            <w:r>
              <w:rPr>
                <w:kern w:val="0"/>
                <w:szCs w:val="21"/>
              </w:rPr>
              <w:t>减振、隔声、距离衰减等</w:t>
            </w:r>
          </w:p>
        </w:tc>
      </w:tr>
    </w:tbl>
    <w:p w14:paraId="0EEC16B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现有企业生产污染源调查</w:t>
      </w:r>
    </w:p>
    <w:p w14:paraId="2A5094C5">
      <w:pPr>
        <w:spacing w:line="360" w:lineRule="auto"/>
        <w:ind w:firstLine="480" w:firstLineChars="200"/>
        <w:rPr>
          <w:rFonts w:eastAsiaTheme="minorEastAsia"/>
          <w:sz w:val="24"/>
        </w:rPr>
      </w:pPr>
      <w:r>
        <w:rPr>
          <w:rFonts w:hint="eastAsia" w:eastAsiaTheme="minorEastAsia"/>
          <w:sz w:val="24"/>
        </w:rPr>
        <w:t>根据污染源调查及资料收集，统计分析现有工业污染源。</w:t>
      </w:r>
    </w:p>
    <w:p w14:paraId="2A11CDDD">
      <w:pPr>
        <w:spacing w:line="360" w:lineRule="auto"/>
        <w:ind w:firstLine="480" w:firstLineChars="200"/>
        <w:rPr>
          <w:rFonts w:eastAsiaTheme="minorEastAsia"/>
          <w:sz w:val="24"/>
        </w:rPr>
      </w:pPr>
      <w:r>
        <w:rPr>
          <w:rFonts w:hint="eastAsia" w:eastAsiaTheme="minorEastAsia"/>
          <w:sz w:val="24"/>
        </w:rPr>
        <w:t>（1）大气污染源</w:t>
      </w:r>
    </w:p>
    <w:p w14:paraId="04E8AE2C">
      <w:pPr>
        <w:spacing w:line="360" w:lineRule="auto"/>
        <w:ind w:firstLine="480" w:firstLineChars="200"/>
        <w:rPr>
          <w:rFonts w:eastAsiaTheme="minorEastAsia"/>
          <w:sz w:val="24"/>
        </w:rPr>
      </w:pPr>
      <w:r>
        <w:rPr>
          <w:rFonts w:hint="eastAsia" w:eastAsiaTheme="minorEastAsia"/>
          <w:sz w:val="24"/>
        </w:rPr>
        <w:t>磨边、切边、大切、荔枝面加工、磨光、开槽等工序过程全程采取湿法作业；喷砂面加工粉尘经设备自带滤芯除尘系统处理后排放；将所有加工设备均设置于封闭厂房内，车间除进出通道外均密封，四周设置喷淋降尘装置，生产粉尘通过采取上述措施后无组织排放；火烧面废气于车间加强通风后无组织排放；破碎、筛分粉尘经除尘器处理后排放；原料堆场风蚀扬尘通过采取四周设置围挡、定时喷淋降尘、篷布覆盖等措施处理后无组织排放；装卸粉尘通过装卸口设置喷淋系统，喷淋抑尘后无组织排放；车辆运输扬尘通过厂区内地面硬化，地面定时洒水保持地面湿润，并及时清扫道路等措施后无组织排放。石材加工过程火烧面工序以液化石油气和氧气作火焰燃料，利用耐热火焰喷头对锯割合格的半成品板材表面进行火烧处理。液化石油气（纯度&gt;99.95%）和氧气经充分燃烧后主要生成和水蒸汽，并排放少量的颗粒物、二氧化硫、氮氧化物。</w:t>
      </w:r>
    </w:p>
    <w:p w14:paraId="7CFF8291">
      <w:pPr>
        <w:spacing w:line="360" w:lineRule="auto"/>
        <w:ind w:firstLine="480" w:firstLineChars="200"/>
        <w:rPr>
          <w:rFonts w:eastAsiaTheme="minorEastAsia"/>
          <w:sz w:val="24"/>
        </w:rPr>
      </w:pPr>
      <w:r>
        <w:rPr>
          <w:rFonts w:hint="eastAsia" w:eastAsiaTheme="minorEastAsia"/>
          <w:sz w:val="24"/>
        </w:rPr>
        <w:t>根据目前各园区生产规模及燃料用量估算（计算过程具体见5.1.1章节），统计本次评估区域内各园区生产废气的排放情况，具体见下表。</w:t>
      </w:r>
    </w:p>
    <w:p w14:paraId="28E088C8">
      <w:pPr>
        <w:spacing w:line="360" w:lineRule="auto"/>
        <w:ind w:firstLine="422"/>
        <w:jc w:val="center"/>
        <w:rPr>
          <w:rFonts w:eastAsiaTheme="minorEastAsia"/>
          <w:b/>
          <w:szCs w:val="21"/>
        </w:rPr>
      </w:pPr>
      <w:r>
        <w:rPr>
          <w:b/>
          <w:szCs w:val="21"/>
        </w:rPr>
        <w:t>表</w:t>
      </w:r>
      <w:r>
        <w:rPr>
          <w:rFonts w:hint="eastAsia"/>
          <w:b/>
          <w:szCs w:val="21"/>
        </w:rPr>
        <w:t>3.4.3-3</w:t>
      </w:r>
      <w:r>
        <w:rPr>
          <w:rFonts w:hint="eastAsia" w:eastAsiaTheme="minorEastAsia"/>
          <w:b/>
          <w:szCs w:val="21"/>
        </w:rPr>
        <w:t xml:space="preserve">   各园区大气污染物排放情况</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0"/>
        <w:gridCol w:w="2699"/>
        <w:gridCol w:w="1844"/>
        <w:gridCol w:w="1276"/>
        <w:gridCol w:w="1899"/>
      </w:tblGrid>
      <w:tr w14:paraId="165A0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Merge w:val="restart"/>
            <w:vAlign w:val="center"/>
          </w:tcPr>
          <w:p w14:paraId="1AD8067A">
            <w:pPr>
              <w:widowControl/>
              <w:spacing w:line="320" w:lineRule="exact"/>
              <w:ind w:left="-25" w:right="-25"/>
              <w:jc w:val="center"/>
              <w:rPr>
                <w:rFonts w:eastAsiaTheme="minorEastAsia"/>
                <w:kern w:val="0"/>
                <w:szCs w:val="21"/>
              </w:rPr>
            </w:pPr>
            <w:r>
              <w:rPr>
                <w:rFonts w:eastAsiaTheme="minorEastAsia"/>
                <w:kern w:val="0"/>
                <w:szCs w:val="21"/>
              </w:rPr>
              <w:t>序号</w:t>
            </w:r>
          </w:p>
        </w:tc>
        <w:tc>
          <w:tcPr>
            <w:tcW w:w="1582" w:type="pct"/>
            <w:vMerge w:val="restart"/>
            <w:vAlign w:val="center"/>
          </w:tcPr>
          <w:p w14:paraId="12DC20D2">
            <w:pPr>
              <w:widowControl/>
              <w:spacing w:line="320" w:lineRule="exact"/>
              <w:ind w:left="-25" w:right="-25"/>
              <w:jc w:val="center"/>
              <w:rPr>
                <w:rFonts w:eastAsiaTheme="minorEastAsia"/>
                <w:kern w:val="0"/>
                <w:szCs w:val="21"/>
              </w:rPr>
            </w:pPr>
            <w:r>
              <w:rPr>
                <w:rFonts w:hint="eastAsia" w:eastAsiaTheme="minorEastAsia"/>
                <w:kern w:val="0"/>
                <w:szCs w:val="21"/>
              </w:rPr>
              <w:t>园区名称</w:t>
            </w:r>
          </w:p>
        </w:tc>
        <w:tc>
          <w:tcPr>
            <w:tcW w:w="2942" w:type="pct"/>
            <w:gridSpan w:val="3"/>
            <w:tcBorders>
              <w:bottom w:val="single" w:color="auto" w:sz="4" w:space="0"/>
            </w:tcBorders>
            <w:vAlign w:val="center"/>
          </w:tcPr>
          <w:p w14:paraId="4AEF48D0">
            <w:pPr>
              <w:widowControl/>
              <w:spacing w:line="320" w:lineRule="exact"/>
              <w:ind w:left="-25" w:right="-25"/>
              <w:jc w:val="center"/>
              <w:rPr>
                <w:rFonts w:eastAsiaTheme="minorEastAsia"/>
                <w:kern w:val="0"/>
                <w:szCs w:val="21"/>
              </w:rPr>
            </w:pPr>
            <w:r>
              <w:rPr>
                <w:rFonts w:eastAsiaTheme="minorEastAsia"/>
                <w:kern w:val="0"/>
                <w:szCs w:val="21"/>
              </w:rPr>
              <w:t>污染物排放量（t/a）</w:t>
            </w:r>
          </w:p>
        </w:tc>
      </w:tr>
      <w:tr w14:paraId="7749E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Merge w:val="continue"/>
            <w:vAlign w:val="center"/>
          </w:tcPr>
          <w:p w14:paraId="505030BE">
            <w:pPr>
              <w:widowControl/>
              <w:spacing w:line="320" w:lineRule="exact"/>
              <w:ind w:left="-25" w:right="-25"/>
              <w:jc w:val="center"/>
              <w:rPr>
                <w:rFonts w:eastAsiaTheme="minorEastAsia"/>
                <w:kern w:val="0"/>
                <w:szCs w:val="21"/>
              </w:rPr>
            </w:pPr>
          </w:p>
        </w:tc>
        <w:tc>
          <w:tcPr>
            <w:tcW w:w="1582" w:type="pct"/>
            <w:vMerge w:val="continue"/>
            <w:vAlign w:val="center"/>
          </w:tcPr>
          <w:p w14:paraId="58DF749F">
            <w:pPr>
              <w:widowControl/>
              <w:spacing w:line="320" w:lineRule="exact"/>
              <w:ind w:left="-25" w:right="-25"/>
              <w:jc w:val="center"/>
              <w:rPr>
                <w:rFonts w:eastAsiaTheme="minorEastAsia"/>
                <w:kern w:val="0"/>
                <w:szCs w:val="21"/>
              </w:rPr>
            </w:pPr>
          </w:p>
        </w:tc>
        <w:tc>
          <w:tcPr>
            <w:tcW w:w="1081" w:type="pct"/>
            <w:tcBorders>
              <w:top w:val="single" w:color="auto" w:sz="4" w:space="0"/>
              <w:bottom w:val="single" w:color="auto" w:sz="4" w:space="0"/>
            </w:tcBorders>
            <w:vAlign w:val="center"/>
          </w:tcPr>
          <w:p w14:paraId="682C8EB2">
            <w:pPr>
              <w:spacing w:line="320" w:lineRule="exact"/>
              <w:ind w:left="-25" w:right="-25"/>
              <w:jc w:val="center"/>
              <w:rPr>
                <w:rFonts w:eastAsiaTheme="minorEastAsia"/>
                <w:kern w:val="0"/>
                <w:szCs w:val="21"/>
              </w:rPr>
            </w:pPr>
            <w:r>
              <w:rPr>
                <w:rFonts w:eastAsiaTheme="minorEastAsia"/>
                <w:kern w:val="0"/>
                <w:szCs w:val="21"/>
              </w:rPr>
              <w:t>颗粒物</w:t>
            </w:r>
          </w:p>
        </w:tc>
        <w:tc>
          <w:tcPr>
            <w:tcW w:w="748" w:type="pct"/>
            <w:tcBorders>
              <w:top w:val="single" w:color="auto" w:sz="4" w:space="0"/>
              <w:bottom w:val="single" w:color="auto" w:sz="4" w:space="0"/>
            </w:tcBorders>
            <w:vAlign w:val="center"/>
          </w:tcPr>
          <w:p w14:paraId="44F5309C">
            <w:pPr>
              <w:spacing w:line="320" w:lineRule="exact"/>
              <w:ind w:left="-25" w:right="-25"/>
              <w:jc w:val="center"/>
              <w:rPr>
                <w:rFonts w:eastAsiaTheme="minorEastAsia"/>
                <w:kern w:val="0"/>
                <w:szCs w:val="21"/>
              </w:rPr>
            </w:pPr>
            <w:r>
              <w:rPr>
                <w:rFonts w:hint="eastAsia" w:eastAsiaTheme="minorEastAsia"/>
                <w:kern w:val="0"/>
                <w:szCs w:val="21"/>
              </w:rPr>
              <w:t>二氧化硫</w:t>
            </w:r>
          </w:p>
        </w:tc>
        <w:tc>
          <w:tcPr>
            <w:tcW w:w="1113" w:type="pct"/>
            <w:tcBorders>
              <w:top w:val="single" w:color="auto" w:sz="4" w:space="0"/>
              <w:bottom w:val="single" w:color="auto" w:sz="4" w:space="0"/>
            </w:tcBorders>
            <w:vAlign w:val="center"/>
          </w:tcPr>
          <w:p w14:paraId="0B1840CA">
            <w:pPr>
              <w:spacing w:line="320" w:lineRule="exact"/>
              <w:ind w:left="-25" w:right="-25"/>
              <w:jc w:val="center"/>
              <w:rPr>
                <w:rFonts w:eastAsiaTheme="minorEastAsia"/>
                <w:kern w:val="0"/>
                <w:szCs w:val="21"/>
              </w:rPr>
            </w:pPr>
            <w:r>
              <w:rPr>
                <w:rFonts w:hint="eastAsia" w:eastAsiaTheme="minorEastAsia"/>
                <w:kern w:val="0"/>
                <w:szCs w:val="21"/>
              </w:rPr>
              <w:t>氮氧化物</w:t>
            </w:r>
          </w:p>
        </w:tc>
      </w:tr>
      <w:tr w14:paraId="0FAA7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33AE668C">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1582" w:type="pct"/>
            <w:vAlign w:val="center"/>
          </w:tcPr>
          <w:p w14:paraId="6DEBCF27">
            <w:pPr>
              <w:widowControl/>
              <w:spacing w:line="320" w:lineRule="exact"/>
              <w:ind w:left="-25" w:right="-25"/>
              <w:jc w:val="center"/>
              <w:rPr>
                <w:rFonts w:eastAsiaTheme="minorEastAsia"/>
                <w:kern w:val="0"/>
                <w:szCs w:val="21"/>
              </w:rPr>
            </w:pPr>
            <w:r>
              <w:rPr>
                <w:rFonts w:eastAsiaTheme="minorEastAsia"/>
                <w:kern w:val="0"/>
                <w:szCs w:val="21"/>
              </w:rPr>
              <w:t>吴山闽商石材产业园</w:t>
            </w:r>
          </w:p>
        </w:tc>
        <w:tc>
          <w:tcPr>
            <w:tcW w:w="1081" w:type="pct"/>
            <w:tcBorders>
              <w:top w:val="single" w:color="auto" w:sz="4" w:space="0"/>
              <w:bottom w:val="single" w:color="auto" w:sz="4" w:space="0"/>
            </w:tcBorders>
            <w:vAlign w:val="center"/>
          </w:tcPr>
          <w:p w14:paraId="4A3B8D58">
            <w:pPr>
              <w:widowControl/>
              <w:spacing w:line="320" w:lineRule="exact"/>
              <w:ind w:left="-25" w:right="-25"/>
              <w:jc w:val="center"/>
              <w:rPr>
                <w:rFonts w:eastAsiaTheme="minorEastAsia"/>
                <w:kern w:val="0"/>
                <w:szCs w:val="21"/>
              </w:rPr>
            </w:pPr>
            <w:r>
              <w:rPr>
                <w:rFonts w:eastAsiaTheme="minorEastAsia"/>
                <w:kern w:val="0"/>
                <w:szCs w:val="21"/>
              </w:rPr>
              <w:t xml:space="preserve">175.92 </w:t>
            </w:r>
          </w:p>
        </w:tc>
        <w:tc>
          <w:tcPr>
            <w:tcW w:w="748" w:type="pct"/>
            <w:tcBorders>
              <w:top w:val="single" w:color="auto" w:sz="4" w:space="0"/>
              <w:bottom w:val="single" w:color="auto" w:sz="4" w:space="0"/>
            </w:tcBorders>
            <w:vAlign w:val="center"/>
          </w:tcPr>
          <w:p w14:paraId="73AC111C">
            <w:pPr>
              <w:widowControl/>
              <w:spacing w:line="320" w:lineRule="exact"/>
              <w:ind w:left="-25" w:right="-25"/>
              <w:jc w:val="center"/>
              <w:rPr>
                <w:rFonts w:eastAsiaTheme="minorEastAsia"/>
                <w:kern w:val="0"/>
                <w:szCs w:val="21"/>
              </w:rPr>
            </w:pPr>
            <w:r>
              <w:rPr>
                <w:rFonts w:eastAsiaTheme="minorEastAsia"/>
                <w:kern w:val="0"/>
                <w:szCs w:val="21"/>
              </w:rPr>
              <w:t xml:space="preserve">0.0045 </w:t>
            </w:r>
          </w:p>
        </w:tc>
        <w:tc>
          <w:tcPr>
            <w:tcW w:w="1113" w:type="pct"/>
            <w:tcBorders>
              <w:top w:val="single" w:color="auto" w:sz="4" w:space="0"/>
              <w:bottom w:val="single" w:color="auto" w:sz="4" w:space="0"/>
            </w:tcBorders>
            <w:vAlign w:val="center"/>
          </w:tcPr>
          <w:p w14:paraId="19B5EC4F">
            <w:pPr>
              <w:widowControl/>
              <w:spacing w:line="320" w:lineRule="exact"/>
              <w:ind w:left="-25" w:right="-25"/>
              <w:jc w:val="center"/>
              <w:rPr>
                <w:rFonts w:eastAsiaTheme="minorEastAsia"/>
                <w:kern w:val="0"/>
                <w:szCs w:val="21"/>
              </w:rPr>
            </w:pPr>
            <w:r>
              <w:rPr>
                <w:rFonts w:eastAsiaTheme="minorEastAsia"/>
                <w:kern w:val="0"/>
                <w:szCs w:val="21"/>
              </w:rPr>
              <w:t xml:space="preserve">0.1336 </w:t>
            </w:r>
          </w:p>
        </w:tc>
      </w:tr>
      <w:tr w14:paraId="66147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76D12B57">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582" w:type="pct"/>
            <w:vAlign w:val="center"/>
          </w:tcPr>
          <w:p w14:paraId="47E2986F">
            <w:pPr>
              <w:widowControl/>
              <w:spacing w:line="320" w:lineRule="exact"/>
              <w:ind w:left="-25" w:right="-25"/>
              <w:jc w:val="center"/>
              <w:rPr>
                <w:rFonts w:eastAsiaTheme="minorEastAsia"/>
                <w:kern w:val="0"/>
                <w:szCs w:val="21"/>
              </w:rPr>
            </w:pPr>
            <w:r>
              <w:rPr>
                <w:rFonts w:eastAsiaTheme="minorEastAsia"/>
                <w:kern w:val="0"/>
                <w:szCs w:val="21"/>
              </w:rPr>
              <w:t>万和石材产业园</w:t>
            </w:r>
          </w:p>
        </w:tc>
        <w:tc>
          <w:tcPr>
            <w:tcW w:w="1081" w:type="pct"/>
            <w:tcBorders>
              <w:top w:val="single" w:color="auto" w:sz="4" w:space="0"/>
              <w:bottom w:val="single" w:color="auto" w:sz="4" w:space="0"/>
            </w:tcBorders>
            <w:vAlign w:val="center"/>
          </w:tcPr>
          <w:p w14:paraId="69F86841">
            <w:pPr>
              <w:widowControl/>
              <w:spacing w:line="320" w:lineRule="exact"/>
              <w:ind w:left="-25" w:right="-25"/>
              <w:jc w:val="center"/>
              <w:rPr>
                <w:rFonts w:eastAsiaTheme="minorEastAsia"/>
                <w:kern w:val="0"/>
                <w:szCs w:val="21"/>
              </w:rPr>
            </w:pPr>
            <w:r>
              <w:rPr>
                <w:rFonts w:eastAsiaTheme="minorEastAsia"/>
                <w:kern w:val="0"/>
                <w:szCs w:val="21"/>
              </w:rPr>
              <w:t xml:space="preserve">165.20 </w:t>
            </w:r>
          </w:p>
        </w:tc>
        <w:tc>
          <w:tcPr>
            <w:tcW w:w="748" w:type="pct"/>
            <w:tcBorders>
              <w:top w:val="single" w:color="auto" w:sz="4" w:space="0"/>
              <w:bottom w:val="single" w:color="auto" w:sz="4" w:space="0"/>
            </w:tcBorders>
            <w:vAlign w:val="center"/>
          </w:tcPr>
          <w:p w14:paraId="4F5AD17F">
            <w:pPr>
              <w:widowControl/>
              <w:spacing w:line="320" w:lineRule="exact"/>
              <w:ind w:left="-25" w:right="-25"/>
              <w:jc w:val="center"/>
              <w:rPr>
                <w:rFonts w:eastAsiaTheme="minorEastAsia"/>
                <w:kern w:val="0"/>
                <w:szCs w:val="21"/>
              </w:rPr>
            </w:pPr>
            <w:r>
              <w:rPr>
                <w:rFonts w:eastAsiaTheme="minorEastAsia"/>
                <w:kern w:val="0"/>
                <w:szCs w:val="21"/>
              </w:rPr>
              <w:t xml:space="preserve">0.0117 </w:t>
            </w:r>
          </w:p>
        </w:tc>
        <w:tc>
          <w:tcPr>
            <w:tcW w:w="1113" w:type="pct"/>
            <w:tcBorders>
              <w:top w:val="single" w:color="auto" w:sz="4" w:space="0"/>
              <w:bottom w:val="single" w:color="auto" w:sz="4" w:space="0"/>
            </w:tcBorders>
            <w:vAlign w:val="center"/>
          </w:tcPr>
          <w:p w14:paraId="49BE6A21">
            <w:pPr>
              <w:widowControl/>
              <w:spacing w:line="320" w:lineRule="exact"/>
              <w:ind w:left="-25" w:right="-25"/>
              <w:jc w:val="center"/>
              <w:rPr>
                <w:rFonts w:eastAsiaTheme="minorEastAsia"/>
                <w:kern w:val="0"/>
                <w:szCs w:val="21"/>
              </w:rPr>
            </w:pPr>
            <w:r>
              <w:rPr>
                <w:rFonts w:eastAsiaTheme="minorEastAsia"/>
                <w:kern w:val="0"/>
                <w:szCs w:val="21"/>
              </w:rPr>
              <w:t xml:space="preserve">0.3502 </w:t>
            </w:r>
          </w:p>
        </w:tc>
      </w:tr>
      <w:tr w14:paraId="4B11B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619E383C">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1582" w:type="pct"/>
            <w:vAlign w:val="center"/>
          </w:tcPr>
          <w:p w14:paraId="3A39D686">
            <w:pPr>
              <w:widowControl/>
              <w:spacing w:line="320" w:lineRule="exact"/>
              <w:ind w:left="-25" w:right="-25"/>
              <w:jc w:val="center"/>
              <w:rPr>
                <w:rFonts w:eastAsiaTheme="minorEastAsia"/>
                <w:kern w:val="0"/>
                <w:szCs w:val="21"/>
              </w:rPr>
            </w:pPr>
            <w:r>
              <w:rPr>
                <w:rFonts w:eastAsiaTheme="minorEastAsia"/>
                <w:kern w:val="0"/>
                <w:szCs w:val="21"/>
              </w:rPr>
              <w:t>太白顶石材产业园</w:t>
            </w:r>
          </w:p>
        </w:tc>
        <w:tc>
          <w:tcPr>
            <w:tcW w:w="1081" w:type="pct"/>
            <w:tcBorders>
              <w:top w:val="single" w:color="auto" w:sz="4" w:space="0"/>
              <w:bottom w:val="single" w:color="auto" w:sz="4" w:space="0"/>
            </w:tcBorders>
            <w:vAlign w:val="center"/>
          </w:tcPr>
          <w:p w14:paraId="2CA261D4">
            <w:pPr>
              <w:widowControl/>
              <w:spacing w:line="320" w:lineRule="exact"/>
              <w:ind w:left="-25" w:right="-25"/>
              <w:jc w:val="center"/>
              <w:rPr>
                <w:rFonts w:eastAsiaTheme="minorEastAsia"/>
                <w:kern w:val="0"/>
                <w:szCs w:val="21"/>
              </w:rPr>
            </w:pPr>
            <w:r>
              <w:rPr>
                <w:rFonts w:eastAsiaTheme="minorEastAsia"/>
                <w:kern w:val="0"/>
                <w:szCs w:val="21"/>
              </w:rPr>
              <w:t xml:space="preserve">46.22 </w:t>
            </w:r>
          </w:p>
        </w:tc>
        <w:tc>
          <w:tcPr>
            <w:tcW w:w="748" w:type="pct"/>
            <w:tcBorders>
              <w:top w:val="single" w:color="auto" w:sz="4" w:space="0"/>
              <w:bottom w:val="single" w:color="auto" w:sz="4" w:space="0"/>
            </w:tcBorders>
            <w:vAlign w:val="center"/>
          </w:tcPr>
          <w:p w14:paraId="6F4E9143">
            <w:pPr>
              <w:widowControl/>
              <w:spacing w:line="320" w:lineRule="exact"/>
              <w:ind w:left="-25" w:right="-25"/>
              <w:jc w:val="center"/>
              <w:rPr>
                <w:rFonts w:eastAsiaTheme="minorEastAsia"/>
                <w:kern w:val="0"/>
                <w:szCs w:val="21"/>
              </w:rPr>
            </w:pPr>
            <w:r>
              <w:rPr>
                <w:rFonts w:eastAsiaTheme="minorEastAsia"/>
                <w:kern w:val="0"/>
                <w:szCs w:val="21"/>
              </w:rPr>
              <w:t xml:space="preserve">0.0061 </w:t>
            </w:r>
          </w:p>
        </w:tc>
        <w:tc>
          <w:tcPr>
            <w:tcW w:w="1113" w:type="pct"/>
            <w:tcBorders>
              <w:top w:val="single" w:color="auto" w:sz="4" w:space="0"/>
              <w:bottom w:val="single" w:color="auto" w:sz="4" w:space="0"/>
            </w:tcBorders>
            <w:vAlign w:val="center"/>
          </w:tcPr>
          <w:p w14:paraId="03666BCB">
            <w:pPr>
              <w:widowControl/>
              <w:spacing w:line="320" w:lineRule="exact"/>
              <w:ind w:left="-25" w:right="-25"/>
              <w:jc w:val="center"/>
              <w:rPr>
                <w:rFonts w:eastAsiaTheme="minorEastAsia"/>
                <w:kern w:val="0"/>
                <w:szCs w:val="21"/>
              </w:rPr>
            </w:pPr>
            <w:r>
              <w:rPr>
                <w:rFonts w:eastAsiaTheme="minorEastAsia"/>
                <w:kern w:val="0"/>
                <w:szCs w:val="21"/>
              </w:rPr>
              <w:t xml:space="preserve">0.1818 </w:t>
            </w:r>
          </w:p>
        </w:tc>
      </w:tr>
      <w:tr w14:paraId="17CF8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6D618102">
            <w:pPr>
              <w:widowControl/>
              <w:spacing w:line="320" w:lineRule="exact"/>
              <w:ind w:left="-25" w:right="-25"/>
              <w:jc w:val="center"/>
              <w:rPr>
                <w:rFonts w:eastAsiaTheme="minorEastAsia"/>
                <w:kern w:val="0"/>
                <w:szCs w:val="21"/>
              </w:rPr>
            </w:pPr>
            <w:r>
              <w:rPr>
                <w:rFonts w:hint="eastAsia" w:eastAsiaTheme="minorEastAsia"/>
                <w:kern w:val="0"/>
                <w:szCs w:val="21"/>
              </w:rPr>
              <w:t>4</w:t>
            </w:r>
          </w:p>
        </w:tc>
        <w:tc>
          <w:tcPr>
            <w:tcW w:w="1582" w:type="pct"/>
            <w:vAlign w:val="center"/>
          </w:tcPr>
          <w:p w14:paraId="36C0DE05">
            <w:pPr>
              <w:widowControl/>
              <w:spacing w:line="320" w:lineRule="exact"/>
              <w:ind w:left="-25" w:right="-25"/>
              <w:jc w:val="center"/>
              <w:rPr>
                <w:rFonts w:eastAsiaTheme="minorEastAsia"/>
                <w:kern w:val="0"/>
                <w:szCs w:val="21"/>
              </w:rPr>
            </w:pPr>
            <w:r>
              <w:rPr>
                <w:rFonts w:eastAsiaTheme="minorEastAsia"/>
                <w:kern w:val="0"/>
                <w:szCs w:val="21"/>
              </w:rPr>
              <w:t>草店石材产业园</w:t>
            </w:r>
          </w:p>
        </w:tc>
        <w:tc>
          <w:tcPr>
            <w:tcW w:w="1081" w:type="pct"/>
            <w:tcBorders>
              <w:top w:val="single" w:color="auto" w:sz="4" w:space="0"/>
              <w:bottom w:val="single" w:color="auto" w:sz="4" w:space="0"/>
            </w:tcBorders>
            <w:vAlign w:val="center"/>
          </w:tcPr>
          <w:p w14:paraId="68C0C4BE">
            <w:pPr>
              <w:widowControl/>
              <w:spacing w:line="320" w:lineRule="exact"/>
              <w:ind w:left="-25" w:right="-25"/>
              <w:jc w:val="center"/>
              <w:rPr>
                <w:rFonts w:eastAsiaTheme="minorEastAsia"/>
                <w:kern w:val="0"/>
                <w:szCs w:val="21"/>
              </w:rPr>
            </w:pPr>
            <w:r>
              <w:rPr>
                <w:rFonts w:eastAsiaTheme="minorEastAsia"/>
                <w:kern w:val="0"/>
                <w:szCs w:val="21"/>
              </w:rPr>
              <w:t xml:space="preserve">9.06 </w:t>
            </w:r>
          </w:p>
        </w:tc>
        <w:tc>
          <w:tcPr>
            <w:tcW w:w="748" w:type="pct"/>
            <w:tcBorders>
              <w:top w:val="single" w:color="auto" w:sz="4" w:space="0"/>
              <w:bottom w:val="single" w:color="auto" w:sz="4" w:space="0"/>
            </w:tcBorders>
            <w:vAlign w:val="center"/>
          </w:tcPr>
          <w:p w14:paraId="36D36025">
            <w:pPr>
              <w:widowControl/>
              <w:spacing w:line="320" w:lineRule="exact"/>
              <w:ind w:left="-25" w:right="-25"/>
              <w:jc w:val="center"/>
              <w:rPr>
                <w:rFonts w:eastAsiaTheme="minorEastAsia"/>
                <w:kern w:val="0"/>
                <w:szCs w:val="21"/>
              </w:rPr>
            </w:pPr>
            <w:r>
              <w:rPr>
                <w:rFonts w:eastAsiaTheme="minorEastAsia"/>
                <w:kern w:val="0"/>
                <w:szCs w:val="21"/>
              </w:rPr>
              <w:t xml:space="preserve">0.0012 </w:t>
            </w:r>
          </w:p>
        </w:tc>
        <w:tc>
          <w:tcPr>
            <w:tcW w:w="1113" w:type="pct"/>
            <w:tcBorders>
              <w:top w:val="single" w:color="auto" w:sz="4" w:space="0"/>
              <w:bottom w:val="single" w:color="auto" w:sz="4" w:space="0"/>
            </w:tcBorders>
            <w:vAlign w:val="center"/>
          </w:tcPr>
          <w:p w14:paraId="0C464F5A">
            <w:pPr>
              <w:widowControl/>
              <w:spacing w:line="320" w:lineRule="exact"/>
              <w:ind w:left="-25" w:right="-25"/>
              <w:jc w:val="center"/>
              <w:rPr>
                <w:rFonts w:eastAsiaTheme="minorEastAsia"/>
                <w:kern w:val="0"/>
                <w:szCs w:val="21"/>
              </w:rPr>
            </w:pPr>
            <w:r>
              <w:rPr>
                <w:rFonts w:eastAsiaTheme="minorEastAsia"/>
                <w:kern w:val="0"/>
                <w:szCs w:val="21"/>
              </w:rPr>
              <w:t xml:space="preserve">0.0347 </w:t>
            </w:r>
          </w:p>
        </w:tc>
      </w:tr>
      <w:tr w14:paraId="57286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687CCFAA">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1582" w:type="pct"/>
            <w:vAlign w:val="center"/>
          </w:tcPr>
          <w:p w14:paraId="192BE65E">
            <w:pPr>
              <w:widowControl/>
              <w:spacing w:line="320" w:lineRule="exact"/>
              <w:ind w:left="-25" w:right="-25"/>
              <w:jc w:val="center"/>
              <w:rPr>
                <w:rFonts w:eastAsiaTheme="minorEastAsia"/>
                <w:kern w:val="0"/>
                <w:szCs w:val="21"/>
              </w:rPr>
            </w:pPr>
            <w:r>
              <w:rPr>
                <w:rFonts w:eastAsiaTheme="minorEastAsia"/>
                <w:kern w:val="0"/>
                <w:szCs w:val="21"/>
              </w:rPr>
              <w:t>合计</w:t>
            </w:r>
          </w:p>
        </w:tc>
        <w:tc>
          <w:tcPr>
            <w:tcW w:w="1081" w:type="pct"/>
            <w:tcBorders>
              <w:top w:val="single" w:color="auto" w:sz="4" w:space="0"/>
            </w:tcBorders>
            <w:vAlign w:val="center"/>
          </w:tcPr>
          <w:p w14:paraId="173BE94D">
            <w:pPr>
              <w:widowControl/>
              <w:spacing w:line="320" w:lineRule="exact"/>
              <w:ind w:left="-25" w:right="-25"/>
              <w:jc w:val="center"/>
              <w:rPr>
                <w:rFonts w:eastAsiaTheme="minorEastAsia"/>
                <w:kern w:val="0"/>
                <w:szCs w:val="21"/>
              </w:rPr>
            </w:pPr>
            <w:r>
              <w:rPr>
                <w:rFonts w:eastAsiaTheme="minorEastAsia"/>
                <w:kern w:val="0"/>
                <w:szCs w:val="21"/>
              </w:rPr>
              <w:t>396.4</w:t>
            </w:r>
            <w:r>
              <w:rPr>
                <w:rFonts w:hint="eastAsia" w:eastAsiaTheme="minorEastAsia"/>
                <w:kern w:val="0"/>
                <w:szCs w:val="21"/>
              </w:rPr>
              <w:t>1</w:t>
            </w:r>
          </w:p>
        </w:tc>
        <w:tc>
          <w:tcPr>
            <w:tcW w:w="748" w:type="pct"/>
            <w:tcBorders>
              <w:top w:val="single" w:color="auto" w:sz="4" w:space="0"/>
            </w:tcBorders>
            <w:vAlign w:val="center"/>
          </w:tcPr>
          <w:p w14:paraId="2987F7D0">
            <w:pPr>
              <w:widowControl/>
              <w:spacing w:line="320" w:lineRule="exact"/>
              <w:ind w:left="-25" w:right="-25"/>
              <w:jc w:val="center"/>
              <w:rPr>
                <w:rFonts w:eastAsiaTheme="minorEastAsia"/>
                <w:kern w:val="0"/>
                <w:szCs w:val="21"/>
              </w:rPr>
            </w:pPr>
            <w:r>
              <w:rPr>
                <w:rFonts w:eastAsiaTheme="minorEastAsia"/>
                <w:kern w:val="0"/>
                <w:szCs w:val="21"/>
              </w:rPr>
              <w:t xml:space="preserve">0.023 </w:t>
            </w:r>
          </w:p>
        </w:tc>
        <w:tc>
          <w:tcPr>
            <w:tcW w:w="1113" w:type="pct"/>
            <w:tcBorders>
              <w:top w:val="single" w:color="auto" w:sz="4" w:space="0"/>
            </w:tcBorders>
            <w:vAlign w:val="center"/>
          </w:tcPr>
          <w:p w14:paraId="5A6F1807">
            <w:pPr>
              <w:widowControl/>
              <w:spacing w:line="320" w:lineRule="exact"/>
              <w:ind w:left="-25" w:right="-25"/>
              <w:jc w:val="center"/>
              <w:rPr>
                <w:rFonts w:eastAsiaTheme="minorEastAsia"/>
                <w:kern w:val="0"/>
                <w:szCs w:val="21"/>
              </w:rPr>
            </w:pPr>
            <w:r>
              <w:rPr>
                <w:rFonts w:eastAsiaTheme="minorEastAsia"/>
                <w:kern w:val="0"/>
                <w:szCs w:val="21"/>
              </w:rPr>
              <w:t xml:space="preserve">0.700 </w:t>
            </w:r>
          </w:p>
        </w:tc>
      </w:tr>
    </w:tbl>
    <w:p w14:paraId="2E7F0103">
      <w:pPr>
        <w:spacing w:line="360" w:lineRule="auto"/>
        <w:ind w:firstLine="480" w:firstLineChars="200"/>
        <w:rPr>
          <w:rFonts w:eastAsiaTheme="minorEastAsia"/>
          <w:sz w:val="24"/>
        </w:rPr>
      </w:pPr>
      <w:r>
        <w:rPr>
          <w:rFonts w:hint="eastAsia" w:eastAsiaTheme="minorEastAsia"/>
          <w:sz w:val="24"/>
        </w:rPr>
        <w:t>（2）废水污染源</w:t>
      </w:r>
    </w:p>
    <w:p w14:paraId="432A4BB9">
      <w:pPr>
        <w:spacing w:line="360" w:lineRule="auto"/>
        <w:ind w:firstLine="480" w:firstLineChars="200"/>
        <w:rPr>
          <w:rFonts w:eastAsiaTheme="minorEastAsia"/>
          <w:sz w:val="24"/>
        </w:rPr>
      </w:pPr>
      <w:r>
        <w:rPr>
          <w:rFonts w:hint="eastAsia" w:eastAsiaTheme="minorEastAsia"/>
          <w:sz w:val="24"/>
        </w:rPr>
        <w:t>根据调查资料，本次评估区域内现有企业现状生产废水均经处理后回用于生产或洒水降尘，不外排。</w:t>
      </w:r>
      <w:r>
        <w:rPr>
          <w:rFonts w:hint="eastAsia" w:eastAsiaTheme="minorEastAsia"/>
          <w:color w:val="000000" w:themeColor="text1"/>
          <w:sz w:val="24"/>
          <w14:textFill>
            <w14:solidFill>
              <w14:schemeClr w14:val="tx1"/>
            </w14:solidFill>
          </w14:textFill>
        </w:rPr>
        <w:t>石材加工厂外排废水主要为员工办公生活废水，目</w:t>
      </w:r>
      <w:r>
        <w:rPr>
          <w:rFonts w:hint="eastAsia" w:eastAsiaTheme="minorEastAsia"/>
          <w:sz w:val="24"/>
        </w:rPr>
        <w:t>前生活污水大部分通过化粪池处理后用于农田施肥，仅有少量靠近镇区的部分企业生活污水能接入乡镇污水处理厂，根据调查统计，纳入污水处理厂范围的区域人口数约2200人，参照2021年6月11日生态环境部在其官方网站公布的《生活污染源产排污系数手册》，计算得生活污水排放量约105.6m³/d。</w:t>
      </w:r>
    </w:p>
    <w:p w14:paraId="2B36ED9A">
      <w:pPr>
        <w:spacing w:line="360" w:lineRule="auto"/>
        <w:ind w:firstLine="480" w:firstLineChars="200"/>
        <w:rPr>
          <w:rFonts w:eastAsiaTheme="minorEastAsia"/>
          <w:sz w:val="24"/>
        </w:rPr>
      </w:pPr>
      <w:r>
        <w:rPr>
          <w:rFonts w:hint="eastAsia" w:eastAsiaTheme="minorEastAsia"/>
          <w:sz w:val="24"/>
        </w:rPr>
        <w:t>生活污水主要污染物为COD、BOD</w:t>
      </w:r>
      <w:r>
        <w:rPr>
          <w:rFonts w:hint="eastAsia" w:eastAsiaTheme="minorEastAsia"/>
          <w:sz w:val="24"/>
          <w:vertAlign w:val="subscript"/>
        </w:rPr>
        <w:t>5</w:t>
      </w:r>
      <w:r>
        <w:rPr>
          <w:rFonts w:hint="eastAsia" w:eastAsiaTheme="minorEastAsia"/>
          <w:sz w:val="24"/>
        </w:rPr>
        <w:t>、SS、氨氮、动植物油，产生浓度分别为300mg/L、120mg/L、250mg/L、26mg/L、60mg/L，经隔油池+化粪池处理后通过市政管网排入各乡镇污水处理厂，尾水达到《城镇污水处理厂污染物排放标准》（GB18918-2002）一级A标准后排入地表水体。本次废水排放总量核算按废水最终排入地表水体所需执行的《城镇污水处理厂污染物排放标准》（GB18918-2002）一级A标准值进行核算。</w:t>
      </w:r>
    </w:p>
    <w:p w14:paraId="17445B25">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现状园区内水污染物产生及排放情况见下表。</w:t>
      </w:r>
    </w:p>
    <w:p w14:paraId="495E2A04">
      <w:pPr>
        <w:spacing w:line="360" w:lineRule="auto"/>
        <w:ind w:firstLine="422"/>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表</w:t>
      </w:r>
      <w:r>
        <w:rPr>
          <w:rFonts w:hint="eastAsia" w:eastAsiaTheme="minorEastAsia"/>
          <w:b/>
          <w:color w:val="000000" w:themeColor="text1"/>
          <w:szCs w:val="21"/>
          <w14:textFill>
            <w14:solidFill>
              <w14:schemeClr w14:val="tx1"/>
            </w14:solidFill>
          </w14:textFill>
        </w:rPr>
        <w:t>3.4.3-4   园区近期2025年废水产生和排放情况表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3"/>
        <w:gridCol w:w="1393"/>
        <w:gridCol w:w="1114"/>
        <w:gridCol w:w="1115"/>
        <w:gridCol w:w="930"/>
        <w:gridCol w:w="1181"/>
        <w:gridCol w:w="1192"/>
      </w:tblGrid>
      <w:tr w14:paraId="53C0F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996" w:type="dxa"/>
            <w:gridSpan w:val="2"/>
            <w:vMerge w:val="restart"/>
            <w:vAlign w:val="center"/>
          </w:tcPr>
          <w:p w14:paraId="3DDC1F09">
            <w:pPr>
              <w:widowControl/>
              <w:spacing w:line="320" w:lineRule="exact"/>
              <w:jc w:val="center"/>
              <w:rPr>
                <w:kern w:val="0"/>
                <w:szCs w:val="21"/>
              </w:rPr>
            </w:pPr>
            <w:r>
              <w:rPr>
                <w:kern w:val="0"/>
                <w:szCs w:val="21"/>
              </w:rPr>
              <w:t>类别</w:t>
            </w:r>
          </w:p>
        </w:tc>
        <w:tc>
          <w:tcPr>
            <w:tcW w:w="5532" w:type="dxa"/>
            <w:gridSpan w:val="5"/>
            <w:vAlign w:val="center"/>
          </w:tcPr>
          <w:p w14:paraId="065CD9BE">
            <w:pPr>
              <w:widowControl/>
              <w:spacing w:line="320" w:lineRule="exact"/>
              <w:jc w:val="center"/>
              <w:rPr>
                <w:kern w:val="0"/>
                <w:szCs w:val="21"/>
              </w:rPr>
            </w:pPr>
            <w:r>
              <w:rPr>
                <w:kern w:val="0"/>
                <w:szCs w:val="21"/>
              </w:rPr>
              <w:t>主要污染物（浓度单位mg/L，量单位t/a）</w:t>
            </w:r>
          </w:p>
        </w:tc>
      </w:tr>
      <w:tr w14:paraId="11647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996" w:type="dxa"/>
            <w:gridSpan w:val="2"/>
            <w:vMerge w:val="continue"/>
            <w:vAlign w:val="center"/>
          </w:tcPr>
          <w:p w14:paraId="560CCF65">
            <w:pPr>
              <w:widowControl/>
              <w:spacing w:line="320" w:lineRule="exact"/>
              <w:jc w:val="center"/>
              <w:rPr>
                <w:kern w:val="0"/>
                <w:szCs w:val="21"/>
              </w:rPr>
            </w:pPr>
          </w:p>
        </w:tc>
        <w:tc>
          <w:tcPr>
            <w:tcW w:w="1114" w:type="dxa"/>
            <w:vAlign w:val="center"/>
          </w:tcPr>
          <w:p w14:paraId="6DBE78A6">
            <w:pPr>
              <w:widowControl/>
              <w:spacing w:line="320" w:lineRule="exact"/>
              <w:jc w:val="center"/>
              <w:rPr>
                <w:kern w:val="0"/>
                <w:szCs w:val="21"/>
              </w:rPr>
            </w:pPr>
            <w:r>
              <w:rPr>
                <w:kern w:val="0"/>
                <w:szCs w:val="21"/>
              </w:rPr>
              <w:t>COD</w:t>
            </w:r>
          </w:p>
        </w:tc>
        <w:tc>
          <w:tcPr>
            <w:tcW w:w="1115" w:type="dxa"/>
            <w:vAlign w:val="center"/>
          </w:tcPr>
          <w:p w14:paraId="4F5777F2">
            <w:pPr>
              <w:widowControl/>
              <w:spacing w:line="320" w:lineRule="exact"/>
              <w:jc w:val="center"/>
              <w:rPr>
                <w:kern w:val="0"/>
                <w:szCs w:val="21"/>
              </w:rPr>
            </w:pPr>
            <w:r>
              <w:rPr>
                <w:kern w:val="0"/>
                <w:szCs w:val="21"/>
              </w:rPr>
              <w:t>BOD</w:t>
            </w:r>
            <w:r>
              <w:rPr>
                <w:kern w:val="0"/>
                <w:szCs w:val="21"/>
                <w:vertAlign w:val="subscript"/>
              </w:rPr>
              <w:t>5</w:t>
            </w:r>
          </w:p>
        </w:tc>
        <w:tc>
          <w:tcPr>
            <w:tcW w:w="930" w:type="dxa"/>
            <w:vAlign w:val="center"/>
          </w:tcPr>
          <w:p w14:paraId="4D7E9523">
            <w:pPr>
              <w:widowControl/>
              <w:spacing w:line="320" w:lineRule="exact"/>
              <w:ind w:left="-53" w:leftChars="-25" w:right="-53" w:rightChars="-25"/>
              <w:contextualSpacing/>
              <w:jc w:val="center"/>
              <w:rPr>
                <w:kern w:val="0"/>
                <w:szCs w:val="21"/>
              </w:rPr>
            </w:pPr>
            <w:r>
              <w:rPr>
                <w:kern w:val="0"/>
                <w:szCs w:val="21"/>
              </w:rPr>
              <w:t>SS</w:t>
            </w:r>
          </w:p>
        </w:tc>
        <w:tc>
          <w:tcPr>
            <w:tcW w:w="1181" w:type="dxa"/>
            <w:vAlign w:val="center"/>
          </w:tcPr>
          <w:p w14:paraId="2F7600CE">
            <w:pPr>
              <w:spacing w:line="320" w:lineRule="exact"/>
              <w:ind w:left="-53" w:leftChars="-25" w:right="-53" w:rightChars="-25"/>
              <w:contextualSpacing/>
              <w:jc w:val="center"/>
              <w:rPr>
                <w:szCs w:val="21"/>
              </w:rPr>
            </w:pPr>
            <w:r>
              <w:rPr>
                <w:kern w:val="0"/>
                <w:szCs w:val="21"/>
              </w:rPr>
              <w:t>NH</w:t>
            </w:r>
            <w:r>
              <w:rPr>
                <w:kern w:val="0"/>
                <w:szCs w:val="21"/>
                <w:vertAlign w:val="subscript"/>
              </w:rPr>
              <w:t>3</w:t>
            </w:r>
            <w:r>
              <w:rPr>
                <w:kern w:val="0"/>
                <w:szCs w:val="21"/>
              </w:rPr>
              <w:t>-N</w:t>
            </w:r>
          </w:p>
        </w:tc>
        <w:tc>
          <w:tcPr>
            <w:tcW w:w="1192" w:type="dxa"/>
            <w:vAlign w:val="center"/>
          </w:tcPr>
          <w:p w14:paraId="50D05587">
            <w:pPr>
              <w:spacing w:line="320" w:lineRule="exact"/>
              <w:ind w:left="-53" w:leftChars="-25" w:right="-53" w:rightChars="-25"/>
              <w:contextualSpacing/>
              <w:jc w:val="center"/>
              <w:rPr>
                <w:szCs w:val="21"/>
              </w:rPr>
            </w:pPr>
            <w:r>
              <w:rPr>
                <w:szCs w:val="21"/>
              </w:rPr>
              <w:t>动植物油</w:t>
            </w:r>
          </w:p>
        </w:tc>
      </w:tr>
      <w:tr w14:paraId="2BEF4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restart"/>
            <w:vAlign w:val="center"/>
          </w:tcPr>
          <w:p w14:paraId="3A60BD9F">
            <w:pPr>
              <w:widowControl/>
              <w:spacing w:line="320" w:lineRule="exact"/>
              <w:jc w:val="center"/>
              <w:rPr>
                <w:kern w:val="0"/>
                <w:szCs w:val="21"/>
              </w:rPr>
            </w:pPr>
            <w:r>
              <w:rPr>
                <w:kern w:val="0"/>
                <w:szCs w:val="21"/>
              </w:rPr>
              <w:t>园区生活污水</w:t>
            </w:r>
            <w:r>
              <w:rPr>
                <w:rFonts w:hint="eastAsia"/>
                <w:kern w:val="0"/>
                <w:szCs w:val="21"/>
              </w:rPr>
              <w:t>105.6</w:t>
            </w:r>
            <w:r>
              <w:rPr>
                <w:kern w:val="0"/>
                <w:szCs w:val="21"/>
              </w:rPr>
              <w:t>m³/</w:t>
            </w:r>
            <w:r>
              <w:rPr>
                <w:rFonts w:hint="eastAsia"/>
                <w:kern w:val="0"/>
                <w:szCs w:val="21"/>
              </w:rPr>
              <w:t>d</w:t>
            </w:r>
          </w:p>
        </w:tc>
        <w:tc>
          <w:tcPr>
            <w:tcW w:w="1393" w:type="dxa"/>
            <w:vAlign w:val="center"/>
          </w:tcPr>
          <w:p w14:paraId="65521E1C">
            <w:pPr>
              <w:widowControl/>
              <w:spacing w:line="320" w:lineRule="exact"/>
              <w:jc w:val="center"/>
              <w:rPr>
                <w:kern w:val="0"/>
                <w:szCs w:val="21"/>
              </w:rPr>
            </w:pPr>
            <w:r>
              <w:rPr>
                <w:rFonts w:hint="eastAsia"/>
                <w:kern w:val="0"/>
                <w:szCs w:val="21"/>
              </w:rPr>
              <w:t>产生浓度</w:t>
            </w:r>
          </w:p>
        </w:tc>
        <w:tc>
          <w:tcPr>
            <w:tcW w:w="1114" w:type="dxa"/>
            <w:tcBorders>
              <w:top w:val="nil"/>
              <w:left w:val="nil"/>
              <w:bottom w:val="single" w:color="000000" w:sz="8" w:space="0"/>
              <w:right w:val="single" w:color="000000" w:sz="8" w:space="0"/>
            </w:tcBorders>
            <w:shd w:val="clear" w:color="auto" w:fill="auto"/>
            <w:vAlign w:val="center"/>
          </w:tcPr>
          <w:p w14:paraId="36A56ECB">
            <w:pPr>
              <w:jc w:val="center"/>
              <w:rPr>
                <w:color w:val="000000"/>
                <w:sz w:val="22"/>
                <w:szCs w:val="22"/>
              </w:rPr>
            </w:pPr>
            <w:r>
              <w:rPr>
                <w:color w:val="000000"/>
                <w:sz w:val="22"/>
                <w:szCs w:val="22"/>
              </w:rPr>
              <w:t>300</w:t>
            </w:r>
          </w:p>
        </w:tc>
        <w:tc>
          <w:tcPr>
            <w:tcW w:w="1115" w:type="dxa"/>
            <w:tcBorders>
              <w:top w:val="nil"/>
              <w:left w:val="nil"/>
              <w:bottom w:val="single" w:color="000000" w:sz="8" w:space="0"/>
              <w:right w:val="single" w:color="000000" w:sz="8" w:space="0"/>
            </w:tcBorders>
            <w:shd w:val="clear" w:color="auto" w:fill="auto"/>
            <w:vAlign w:val="center"/>
          </w:tcPr>
          <w:p w14:paraId="52A822E1">
            <w:pPr>
              <w:jc w:val="center"/>
              <w:rPr>
                <w:color w:val="000000"/>
                <w:sz w:val="22"/>
                <w:szCs w:val="22"/>
              </w:rPr>
            </w:pPr>
            <w:r>
              <w:rPr>
                <w:color w:val="000000"/>
                <w:sz w:val="22"/>
                <w:szCs w:val="22"/>
              </w:rPr>
              <w:t>120</w:t>
            </w:r>
          </w:p>
        </w:tc>
        <w:tc>
          <w:tcPr>
            <w:tcW w:w="930" w:type="dxa"/>
            <w:tcBorders>
              <w:top w:val="nil"/>
              <w:left w:val="nil"/>
              <w:bottom w:val="single" w:color="000000" w:sz="8" w:space="0"/>
              <w:right w:val="single" w:color="000000" w:sz="8" w:space="0"/>
            </w:tcBorders>
            <w:shd w:val="clear" w:color="auto" w:fill="auto"/>
            <w:vAlign w:val="center"/>
          </w:tcPr>
          <w:p w14:paraId="53DC1A90">
            <w:pPr>
              <w:jc w:val="center"/>
              <w:rPr>
                <w:color w:val="000000"/>
                <w:sz w:val="22"/>
                <w:szCs w:val="22"/>
              </w:rPr>
            </w:pPr>
            <w:r>
              <w:rPr>
                <w:color w:val="000000"/>
                <w:sz w:val="22"/>
                <w:szCs w:val="22"/>
              </w:rPr>
              <w:t>250</w:t>
            </w:r>
          </w:p>
        </w:tc>
        <w:tc>
          <w:tcPr>
            <w:tcW w:w="1181" w:type="dxa"/>
            <w:tcBorders>
              <w:top w:val="nil"/>
              <w:left w:val="nil"/>
              <w:bottom w:val="single" w:color="000000" w:sz="8" w:space="0"/>
              <w:right w:val="single" w:color="000000" w:sz="8" w:space="0"/>
            </w:tcBorders>
            <w:shd w:val="clear" w:color="auto" w:fill="auto"/>
            <w:vAlign w:val="center"/>
          </w:tcPr>
          <w:p w14:paraId="59B75B42">
            <w:pPr>
              <w:jc w:val="center"/>
              <w:rPr>
                <w:color w:val="000000"/>
                <w:sz w:val="22"/>
                <w:szCs w:val="22"/>
              </w:rPr>
            </w:pPr>
            <w:r>
              <w:rPr>
                <w:color w:val="000000"/>
                <w:sz w:val="22"/>
                <w:szCs w:val="22"/>
              </w:rPr>
              <w:t>26</w:t>
            </w:r>
          </w:p>
        </w:tc>
        <w:tc>
          <w:tcPr>
            <w:tcW w:w="1192" w:type="dxa"/>
            <w:tcBorders>
              <w:top w:val="nil"/>
              <w:left w:val="nil"/>
              <w:bottom w:val="single" w:color="000000" w:sz="8" w:space="0"/>
              <w:right w:val="single" w:color="000000" w:sz="12" w:space="0"/>
            </w:tcBorders>
            <w:shd w:val="clear" w:color="auto" w:fill="auto"/>
            <w:vAlign w:val="center"/>
          </w:tcPr>
          <w:p w14:paraId="14E418DC">
            <w:pPr>
              <w:jc w:val="center"/>
              <w:rPr>
                <w:color w:val="000000"/>
                <w:sz w:val="22"/>
                <w:szCs w:val="22"/>
              </w:rPr>
            </w:pPr>
            <w:r>
              <w:rPr>
                <w:color w:val="000000"/>
                <w:sz w:val="22"/>
                <w:szCs w:val="22"/>
              </w:rPr>
              <w:t>60</w:t>
            </w:r>
          </w:p>
        </w:tc>
      </w:tr>
      <w:tr w14:paraId="69E15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vAlign w:val="center"/>
          </w:tcPr>
          <w:p w14:paraId="0FD81727">
            <w:pPr>
              <w:widowControl/>
              <w:spacing w:line="320" w:lineRule="exact"/>
              <w:jc w:val="center"/>
              <w:rPr>
                <w:kern w:val="0"/>
                <w:szCs w:val="21"/>
              </w:rPr>
            </w:pPr>
          </w:p>
        </w:tc>
        <w:tc>
          <w:tcPr>
            <w:tcW w:w="1393" w:type="dxa"/>
            <w:vAlign w:val="center"/>
          </w:tcPr>
          <w:p w14:paraId="1D007333">
            <w:pPr>
              <w:widowControl/>
              <w:spacing w:line="320" w:lineRule="exact"/>
              <w:jc w:val="center"/>
              <w:rPr>
                <w:kern w:val="0"/>
                <w:szCs w:val="21"/>
              </w:rPr>
            </w:pPr>
            <w:r>
              <w:rPr>
                <w:rFonts w:hint="eastAsia"/>
                <w:kern w:val="0"/>
                <w:szCs w:val="21"/>
              </w:rPr>
              <w:t>产生量</w:t>
            </w:r>
          </w:p>
        </w:tc>
        <w:tc>
          <w:tcPr>
            <w:tcW w:w="1114" w:type="dxa"/>
            <w:tcBorders>
              <w:top w:val="nil"/>
              <w:left w:val="nil"/>
              <w:bottom w:val="single" w:color="000000" w:sz="8" w:space="0"/>
              <w:right w:val="single" w:color="000000" w:sz="8" w:space="0"/>
            </w:tcBorders>
            <w:shd w:val="clear" w:color="auto" w:fill="auto"/>
            <w:vAlign w:val="center"/>
          </w:tcPr>
          <w:p w14:paraId="4E8E8A96">
            <w:pPr>
              <w:jc w:val="center"/>
              <w:rPr>
                <w:color w:val="000000"/>
                <w:sz w:val="22"/>
                <w:szCs w:val="22"/>
              </w:rPr>
            </w:pPr>
            <w:r>
              <w:rPr>
                <w:color w:val="000000"/>
                <w:sz w:val="22"/>
                <w:szCs w:val="22"/>
              </w:rPr>
              <w:t xml:space="preserve">11.56 </w:t>
            </w:r>
          </w:p>
        </w:tc>
        <w:tc>
          <w:tcPr>
            <w:tcW w:w="1115" w:type="dxa"/>
            <w:tcBorders>
              <w:top w:val="nil"/>
              <w:left w:val="nil"/>
              <w:bottom w:val="single" w:color="000000" w:sz="8" w:space="0"/>
              <w:right w:val="single" w:color="000000" w:sz="8" w:space="0"/>
            </w:tcBorders>
            <w:shd w:val="clear" w:color="auto" w:fill="auto"/>
            <w:vAlign w:val="center"/>
          </w:tcPr>
          <w:p w14:paraId="7A008605">
            <w:pPr>
              <w:jc w:val="center"/>
              <w:rPr>
                <w:color w:val="000000"/>
                <w:sz w:val="22"/>
                <w:szCs w:val="22"/>
              </w:rPr>
            </w:pPr>
            <w:r>
              <w:rPr>
                <w:color w:val="000000"/>
                <w:sz w:val="22"/>
                <w:szCs w:val="22"/>
              </w:rPr>
              <w:t xml:space="preserve">4.63 </w:t>
            </w:r>
          </w:p>
        </w:tc>
        <w:tc>
          <w:tcPr>
            <w:tcW w:w="930" w:type="dxa"/>
            <w:tcBorders>
              <w:top w:val="nil"/>
              <w:left w:val="nil"/>
              <w:bottom w:val="single" w:color="000000" w:sz="8" w:space="0"/>
              <w:right w:val="single" w:color="000000" w:sz="8" w:space="0"/>
            </w:tcBorders>
            <w:shd w:val="clear" w:color="auto" w:fill="auto"/>
            <w:vAlign w:val="center"/>
          </w:tcPr>
          <w:p w14:paraId="70AC2DA3">
            <w:pPr>
              <w:jc w:val="center"/>
              <w:rPr>
                <w:color w:val="000000"/>
                <w:sz w:val="22"/>
                <w:szCs w:val="22"/>
              </w:rPr>
            </w:pPr>
            <w:r>
              <w:rPr>
                <w:color w:val="000000"/>
                <w:sz w:val="22"/>
                <w:szCs w:val="22"/>
              </w:rPr>
              <w:t xml:space="preserve">9.64 </w:t>
            </w:r>
          </w:p>
        </w:tc>
        <w:tc>
          <w:tcPr>
            <w:tcW w:w="1181" w:type="dxa"/>
            <w:tcBorders>
              <w:top w:val="nil"/>
              <w:left w:val="nil"/>
              <w:bottom w:val="single" w:color="000000" w:sz="8" w:space="0"/>
              <w:right w:val="single" w:color="000000" w:sz="8" w:space="0"/>
            </w:tcBorders>
            <w:shd w:val="clear" w:color="auto" w:fill="auto"/>
            <w:vAlign w:val="center"/>
          </w:tcPr>
          <w:p w14:paraId="74487E45">
            <w:pPr>
              <w:jc w:val="center"/>
              <w:rPr>
                <w:color w:val="000000"/>
                <w:sz w:val="22"/>
                <w:szCs w:val="22"/>
              </w:rPr>
            </w:pPr>
            <w:r>
              <w:rPr>
                <w:color w:val="000000"/>
                <w:sz w:val="22"/>
                <w:szCs w:val="22"/>
              </w:rPr>
              <w:t xml:space="preserve">1.00 </w:t>
            </w:r>
          </w:p>
        </w:tc>
        <w:tc>
          <w:tcPr>
            <w:tcW w:w="1192" w:type="dxa"/>
            <w:tcBorders>
              <w:top w:val="nil"/>
              <w:left w:val="nil"/>
              <w:bottom w:val="single" w:color="000000" w:sz="8" w:space="0"/>
              <w:right w:val="single" w:color="auto" w:sz="12" w:space="0"/>
            </w:tcBorders>
            <w:shd w:val="clear" w:color="auto" w:fill="auto"/>
            <w:vAlign w:val="center"/>
          </w:tcPr>
          <w:p w14:paraId="777CAB70">
            <w:pPr>
              <w:jc w:val="center"/>
              <w:rPr>
                <w:color w:val="000000"/>
                <w:sz w:val="22"/>
                <w:szCs w:val="22"/>
              </w:rPr>
            </w:pPr>
            <w:r>
              <w:rPr>
                <w:color w:val="000000"/>
                <w:sz w:val="22"/>
                <w:szCs w:val="22"/>
              </w:rPr>
              <w:t xml:space="preserve">2.31 </w:t>
            </w:r>
          </w:p>
        </w:tc>
      </w:tr>
      <w:tr w14:paraId="30650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603" w:type="dxa"/>
            <w:vMerge w:val="continue"/>
            <w:vAlign w:val="center"/>
          </w:tcPr>
          <w:p w14:paraId="1807F782">
            <w:pPr>
              <w:widowControl/>
              <w:spacing w:line="320" w:lineRule="exact"/>
              <w:jc w:val="center"/>
              <w:rPr>
                <w:kern w:val="0"/>
                <w:szCs w:val="21"/>
              </w:rPr>
            </w:pPr>
          </w:p>
        </w:tc>
        <w:tc>
          <w:tcPr>
            <w:tcW w:w="1393" w:type="dxa"/>
            <w:vAlign w:val="center"/>
          </w:tcPr>
          <w:p w14:paraId="0ECF84A7">
            <w:pPr>
              <w:widowControl/>
              <w:spacing w:line="320" w:lineRule="exact"/>
              <w:jc w:val="center"/>
              <w:rPr>
                <w:kern w:val="0"/>
                <w:szCs w:val="21"/>
              </w:rPr>
            </w:pPr>
            <w:r>
              <w:rPr>
                <w:rFonts w:hint="eastAsia"/>
                <w:kern w:val="0"/>
                <w:szCs w:val="21"/>
              </w:rPr>
              <w:t>排放</w:t>
            </w:r>
            <w:r>
              <w:rPr>
                <w:kern w:val="0"/>
                <w:szCs w:val="21"/>
              </w:rPr>
              <w:t>浓度</w:t>
            </w:r>
          </w:p>
        </w:tc>
        <w:tc>
          <w:tcPr>
            <w:tcW w:w="1114" w:type="dxa"/>
            <w:tcBorders>
              <w:top w:val="nil"/>
              <w:left w:val="nil"/>
              <w:bottom w:val="single" w:color="000000" w:sz="8" w:space="0"/>
              <w:right w:val="single" w:color="000000" w:sz="8" w:space="0"/>
            </w:tcBorders>
            <w:shd w:val="clear" w:color="auto" w:fill="auto"/>
            <w:vAlign w:val="center"/>
          </w:tcPr>
          <w:p w14:paraId="379DBC67">
            <w:pPr>
              <w:jc w:val="center"/>
              <w:rPr>
                <w:color w:val="000000"/>
                <w:sz w:val="22"/>
                <w:szCs w:val="22"/>
              </w:rPr>
            </w:pPr>
            <w:r>
              <w:rPr>
                <w:color w:val="000000"/>
                <w:sz w:val="22"/>
                <w:szCs w:val="22"/>
              </w:rPr>
              <w:t xml:space="preserve">210.0 </w:t>
            </w:r>
          </w:p>
        </w:tc>
        <w:tc>
          <w:tcPr>
            <w:tcW w:w="1115" w:type="dxa"/>
            <w:tcBorders>
              <w:top w:val="nil"/>
              <w:left w:val="nil"/>
              <w:bottom w:val="single" w:color="000000" w:sz="8" w:space="0"/>
              <w:right w:val="single" w:color="000000" w:sz="8" w:space="0"/>
            </w:tcBorders>
            <w:shd w:val="clear" w:color="auto" w:fill="auto"/>
            <w:vAlign w:val="center"/>
          </w:tcPr>
          <w:p w14:paraId="60917CB9">
            <w:pPr>
              <w:jc w:val="center"/>
              <w:rPr>
                <w:color w:val="000000"/>
                <w:sz w:val="22"/>
                <w:szCs w:val="22"/>
              </w:rPr>
            </w:pPr>
            <w:r>
              <w:rPr>
                <w:color w:val="000000"/>
                <w:sz w:val="22"/>
                <w:szCs w:val="22"/>
              </w:rPr>
              <w:t xml:space="preserve">84.0 </w:t>
            </w:r>
          </w:p>
        </w:tc>
        <w:tc>
          <w:tcPr>
            <w:tcW w:w="930" w:type="dxa"/>
            <w:tcBorders>
              <w:top w:val="nil"/>
              <w:left w:val="nil"/>
              <w:bottom w:val="single" w:color="000000" w:sz="8" w:space="0"/>
              <w:right w:val="single" w:color="000000" w:sz="8" w:space="0"/>
            </w:tcBorders>
            <w:shd w:val="clear" w:color="auto" w:fill="auto"/>
            <w:vAlign w:val="center"/>
          </w:tcPr>
          <w:p w14:paraId="31E6FAB2">
            <w:pPr>
              <w:jc w:val="center"/>
              <w:rPr>
                <w:color w:val="000000"/>
                <w:sz w:val="22"/>
                <w:szCs w:val="22"/>
              </w:rPr>
            </w:pPr>
            <w:r>
              <w:rPr>
                <w:color w:val="000000"/>
                <w:sz w:val="22"/>
                <w:szCs w:val="22"/>
              </w:rPr>
              <w:t xml:space="preserve">175.0 </w:t>
            </w:r>
          </w:p>
        </w:tc>
        <w:tc>
          <w:tcPr>
            <w:tcW w:w="1181" w:type="dxa"/>
            <w:tcBorders>
              <w:top w:val="nil"/>
              <w:left w:val="nil"/>
              <w:bottom w:val="single" w:color="000000" w:sz="8" w:space="0"/>
              <w:right w:val="single" w:color="000000" w:sz="8" w:space="0"/>
            </w:tcBorders>
            <w:shd w:val="clear" w:color="auto" w:fill="auto"/>
            <w:vAlign w:val="center"/>
          </w:tcPr>
          <w:p w14:paraId="1E21FF9F">
            <w:pPr>
              <w:jc w:val="center"/>
              <w:rPr>
                <w:color w:val="000000"/>
                <w:sz w:val="22"/>
                <w:szCs w:val="22"/>
              </w:rPr>
            </w:pPr>
            <w:r>
              <w:rPr>
                <w:color w:val="000000"/>
                <w:sz w:val="22"/>
                <w:szCs w:val="22"/>
              </w:rPr>
              <w:t xml:space="preserve">18.2 </w:t>
            </w:r>
          </w:p>
        </w:tc>
        <w:tc>
          <w:tcPr>
            <w:tcW w:w="1192" w:type="dxa"/>
            <w:tcBorders>
              <w:top w:val="nil"/>
              <w:left w:val="nil"/>
              <w:bottom w:val="single" w:color="000000" w:sz="8" w:space="0"/>
              <w:right w:val="single" w:color="auto" w:sz="12" w:space="0"/>
            </w:tcBorders>
            <w:shd w:val="clear" w:color="auto" w:fill="auto"/>
            <w:vAlign w:val="center"/>
          </w:tcPr>
          <w:p w14:paraId="0B93DCE7">
            <w:pPr>
              <w:jc w:val="center"/>
              <w:rPr>
                <w:color w:val="000000"/>
                <w:sz w:val="22"/>
                <w:szCs w:val="22"/>
              </w:rPr>
            </w:pPr>
            <w:r>
              <w:rPr>
                <w:color w:val="000000"/>
                <w:sz w:val="22"/>
                <w:szCs w:val="22"/>
              </w:rPr>
              <w:t xml:space="preserve">42.0 </w:t>
            </w:r>
          </w:p>
        </w:tc>
      </w:tr>
      <w:tr w14:paraId="7EB5C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vAlign w:val="center"/>
          </w:tcPr>
          <w:p w14:paraId="1E78EA4A">
            <w:pPr>
              <w:widowControl/>
              <w:spacing w:line="320" w:lineRule="exact"/>
              <w:jc w:val="center"/>
              <w:rPr>
                <w:kern w:val="0"/>
                <w:szCs w:val="21"/>
              </w:rPr>
            </w:pPr>
          </w:p>
        </w:tc>
        <w:tc>
          <w:tcPr>
            <w:tcW w:w="1393" w:type="dxa"/>
            <w:vAlign w:val="center"/>
          </w:tcPr>
          <w:p w14:paraId="5614F293">
            <w:pPr>
              <w:widowControl/>
              <w:spacing w:line="320" w:lineRule="exact"/>
              <w:jc w:val="center"/>
              <w:rPr>
                <w:kern w:val="0"/>
                <w:szCs w:val="21"/>
              </w:rPr>
            </w:pPr>
            <w:r>
              <w:rPr>
                <w:rFonts w:hint="eastAsia"/>
                <w:kern w:val="0"/>
                <w:szCs w:val="21"/>
              </w:rPr>
              <w:t>排放</w:t>
            </w:r>
            <w:r>
              <w:rPr>
                <w:kern w:val="0"/>
                <w:szCs w:val="21"/>
              </w:rPr>
              <w:t>量</w:t>
            </w:r>
          </w:p>
        </w:tc>
        <w:tc>
          <w:tcPr>
            <w:tcW w:w="1114" w:type="dxa"/>
            <w:tcBorders>
              <w:top w:val="nil"/>
              <w:left w:val="nil"/>
              <w:bottom w:val="single" w:color="000000" w:sz="8" w:space="0"/>
              <w:right w:val="single" w:color="000000" w:sz="8" w:space="0"/>
            </w:tcBorders>
            <w:shd w:val="clear" w:color="auto" w:fill="auto"/>
            <w:vAlign w:val="center"/>
          </w:tcPr>
          <w:p w14:paraId="5DC5D3DF">
            <w:pPr>
              <w:jc w:val="center"/>
              <w:rPr>
                <w:color w:val="000000"/>
                <w:sz w:val="22"/>
                <w:szCs w:val="22"/>
              </w:rPr>
            </w:pPr>
            <w:r>
              <w:rPr>
                <w:color w:val="000000"/>
                <w:sz w:val="22"/>
                <w:szCs w:val="22"/>
              </w:rPr>
              <w:t xml:space="preserve">8.09 </w:t>
            </w:r>
          </w:p>
        </w:tc>
        <w:tc>
          <w:tcPr>
            <w:tcW w:w="1115" w:type="dxa"/>
            <w:tcBorders>
              <w:top w:val="nil"/>
              <w:left w:val="nil"/>
              <w:bottom w:val="single" w:color="000000" w:sz="8" w:space="0"/>
              <w:right w:val="single" w:color="000000" w:sz="8" w:space="0"/>
            </w:tcBorders>
            <w:shd w:val="clear" w:color="auto" w:fill="auto"/>
            <w:vAlign w:val="center"/>
          </w:tcPr>
          <w:p w14:paraId="3B23AD7A">
            <w:pPr>
              <w:jc w:val="center"/>
              <w:rPr>
                <w:color w:val="000000"/>
                <w:sz w:val="22"/>
                <w:szCs w:val="22"/>
              </w:rPr>
            </w:pPr>
            <w:r>
              <w:rPr>
                <w:color w:val="000000"/>
                <w:sz w:val="22"/>
                <w:szCs w:val="22"/>
              </w:rPr>
              <w:t xml:space="preserve">3.24 </w:t>
            </w:r>
          </w:p>
        </w:tc>
        <w:tc>
          <w:tcPr>
            <w:tcW w:w="930" w:type="dxa"/>
            <w:tcBorders>
              <w:top w:val="nil"/>
              <w:left w:val="nil"/>
              <w:bottom w:val="single" w:color="000000" w:sz="8" w:space="0"/>
              <w:right w:val="single" w:color="000000" w:sz="8" w:space="0"/>
            </w:tcBorders>
            <w:shd w:val="clear" w:color="auto" w:fill="auto"/>
            <w:vAlign w:val="center"/>
          </w:tcPr>
          <w:p w14:paraId="0A7B770E">
            <w:pPr>
              <w:jc w:val="center"/>
              <w:rPr>
                <w:color w:val="000000"/>
                <w:sz w:val="22"/>
                <w:szCs w:val="22"/>
              </w:rPr>
            </w:pPr>
            <w:r>
              <w:rPr>
                <w:color w:val="000000"/>
                <w:sz w:val="22"/>
                <w:szCs w:val="22"/>
              </w:rPr>
              <w:t xml:space="preserve">6.75 </w:t>
            </w:r>
          </w:p>
        </w:tc>
        <w:tc>
          <w:tcPr>
            <w:tcW w:w="1181" w:type="dxa"/>
            <w:tcBorders>
              <w:top w:val="nil"/>
              <w:left w:val="nil"/>
              <w:bottom w:val="single" w:color="000000" w:sz="8" w:space="0"/>
              <w:right w:val="single" w:color="000000" w:sz="8" w:space="0"/>
            </w:tcBorders>
            <w:shd w:val="clear" w:color="auto" w:fill="auto"/>
            <w:vAlign w:val="center"/>
          </w:tcPr>
          <w:p w14:paraId="2C85A202">
            <w:pPr>
              <w:jc w:val="center"/>
              <w:rPr>
                <w:color w:val="000000"/>
                <w:sz w:val="22"/>
                <w:szCs w:val="22"/>
              </w:rPr>
            </w:pPr>
            <w:r>
              <w:rPr>
                <w:color w:val="000000"/>
                <w:sz w:val="22"/>
                <w:szCs w:val="22"/>
              </w:rPr>
              <w:t xml:space="preserve">0.70 </w:t>
            </w:r>
          </w:p>
        </w:tc>
        <w:tc>
          <w:tcPr>
            <w:tcW w:w="1192" w:type="dxa"/>
            <w:tcBorders>
              <w:top w:val="nil"/>
              <w:left w:val="nil"/>
              <w:bottom w:val="single" w:color="000000" w:sz="8" w:space="0"/>
              <w:right w:val="single" w:color="auto" w:sz="12" w:space="0"/>
            </w:tcBorders>
            <w:shd w:val="clear" w:color="auto" w:fill="auto"/>
            <w:vAlign w:val="center"/>
          </w:tcPr>
          <w:p w14:paraId="7DF5D0CB">
            <w:pPr>
              <w:jc w:val="center"/>
              <w:rPr>
                <w:color w:val="000000"/>
                <w:sz w:val="22"/>
                <w:szCs w:val="22"/>
              </w:rPr>
            </w:pPr>
            <w:r>
              <w:rPr>
                <w:color w:val="000000"/>
                <w:sz w:val="22"/>
                <w:szCs w:val="22"/>
              </w:rPr>
              <w:t xml:space="preserve">1.62 </w:t>
            </w:r>
          </w:p>
        </w:tc>
      </w:tr>
      <w:tr w14:paraId="0FB30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Align w:val="center"/>
          </w:tcPr>
          <w:p w14:paraId="5A9117CE">
            <w:pPr>
              <w:widowControl/>
              <w:spacing w:line="320" w:lineRule="exact"/>
              <w:jc w:val="center"/>
              <w:rPr>
                <w:kern w:val="0"/>
                <w:szCs w:val="21"/>
              </w:rPr>
            </w:pPr>
            <w:r>
              <w:rPr>
                <w:rFonts w:hint="eastAsia"/>
                <w:kern w:val="0"/>
                <w:szCs w:val="21"/>
              </w:rPr>
              <w:t>污水处理厂进水水质标准</w:t>
            </w:r>
          </w:p>
        </w:tc>
        <w:tc>
          <w:tcPr>
            <w:tcW w:w="1393" w:type="dxa"/>
            <w:vAlign w:val="center"/>
          </w:tcPr>
          <w:p w14:paraId="5D00F5C4">
            <w:pPr>
              <w:widowControl/>
              <w:spacing w:line="320" w:lineRule="exact"/>
              <w:jc w:val="center"/>
              <w:rPr>
                <w:kern w:val="0"/>
                <w:szCs w:val="21"/>
              </w:rPr>
            </w:pPr>
            <w:r>
              <w:rPr>
                <w:rFonts w:hint="eastAsia"/>
                <w:kern w:val="0"/>
                <w:szCs w:val="21"/>
              </w:rPr>
              <w:t>/</w:t>
            </w:r>
          </w:p>
        </w:tc>
        <w:tc>
          <w:tcPr>
            <w:tcW w:w="1114" w:type="dxa"/>
            <w:tcBorders>
              <w:top w:val="nil"/>
              <w:left w:val="nil"/>
              <w:bottom w:val="single" w:color="000000" w:sz="8" w:space="0"/>
              <w:right w:val="single" w:color="000000" w:sz="8" w:space="0"/>
            </w:tcBorders>
            <w:shd w:val="clear" w:color="auto" w:fill="auto"/>
            <w:vAlign w:val="center"/>
          </w:tcPr>
          <w:p w14:paraId="6CCC636A">
            <w:pPr>
              <w:jc w:val="center"/>
              <w:rPr>
                <w:color w:val="000000"/>
                <w:sz w:val="22"/>
                <w:szCs w:val="22"/>
              </w:rPr>
            </w:pPr>
            <w:r>
              <w:rPr>
                <w:color w:val="000000"/>
                <w:sz w:val="22"/>
                <w:szCs w:val="22"/>
              </w:rPr>
              <w:t xml:space="preserve">220 </w:t>
            </w:r>
          </w:p>
        </w:tc>
        <w:tc>
          <w:tcPr>
            <w:tcW w:w="1115" w:type="dxa"/>
            <w:tcBorders>
              <w:top w:val="nil"/>
              <w:left w:val="nil"/>
              <w:bottom w:val="single" w:color="000000" w:sz="8" w:space="0"/>
              <w:right w:val="single" w:color="000000" w:sz="8" w:space="0"/>
            </w:tcBorders>
            <w:shd w:val="clear" w:color="auto" w:fill="auto"/>
            <w:vAlign w:val="center"/>
          </w:tcPr>
          <w:p w14:paraId="6580AECE">
            <w:pPr>
              <w:jc w:val="center"/>
              <w:rPr>
                <w:color w:val="000000"/>
                <w:sz w:val="22"/>
                <w:szCs w:val="22"/>
              </w:rPr>
            </w:pPr>
            <w:r>
              <w:rPr>
                <w:color w:val="000000"/>
                <w:sz w:val="22"/>
                <w:szCs w:val="22"/>
              </w:rPr>
              <w:t xml:space="preserve">110 </w:t>
            </w:r>
          </w:p>
        </w:tc>
        <w:tc>
          <w:tcPr>
            <w:tcW w:w="930" w:type="dxa"/>
            <w:tcBorders>
              <w:top w:val="nil"/>
              <w:left w:val="nil"/>
              <w:bottom w:val="single" w:color="000000" w:sz="8" w:space="0"/>
              <w:right w:val="single" w:color="000000" w:sz="8" w:space="0"/>
            </w:tcBorders>
            <w:shd w:val="clear" w:color="auto" w:fill="auto"/>
            <w:vAlign w:val="center"/>
          </w:tcPr>
          <w:p w14:paraId="065519C9">
            <w:pPr>
              <w:jc w:val="center"/>
              <w:rPr>
                <w:color w:val="000000"/>
                <w:sz w:val="22"/>
                <w:szCs w:val="22"/>
              </w:rPr>
            </w:pPr>
            <w:r>
              <w:rPr>
                <w:color w:val="000000"/>
                <w:sz w:val="22"/>
                <w:szCs w:val="22"/>
              </w:rPr>
              <w:t xml:space="preserve">180 </w:t>
            </w:r>
          </w:p>
        </w:tc>
        <w:tc>
          <w:tcPr>
            <w:tcW w:w="1181" w:type="dxa"/>
            <w:tcBorders>
              <w:top w:val="nil"/>
              <w:left w:val="nil"/>
              <w:bottom w:val="single" w:color="000000" w:sz="8" w:space="0"/>
              <w:right w:val="single" w:color="000000" w:sz="8" w:space="0"/>
            </w:tcBorders>
            <w:shd w:val="clear" w:color="auto" w:fill="auto"/>
            <w:vAlign w:val="center"/>
          </w:tcPr>
          <w:p w14:paraId="06059113">
            <w:pPr>
              <w:jc w:val="center"/>
              <w:rPr>
                <w:color w:val="000000"/>
                <w:sz w:val="22"/>
                <w:szCs w:val="22"/>
              </w:rPr>
            </w:pPr>
            <w:r>
              <w:rPr>
                <w:color w:val="000000"/>
                <w:sz w:val="22"/>
                <w:szCs w:val="22"/>
              </w:rPr>
              <w:t xml:space="preserve">28 </w:t>
            </w:r>
          </w:p>
        </w:tc>
        <w:tc>
          <w:tcPr>
            <w:tcW w:w="1192" w:type="dxa"/>
            <w:tcBorders>
              <w:top w:val="nil"/>
              <w:left w:val="nil"/>
              <w:bottom w:val="single" w:color="000000" w:sz="8" w:space="0"/>
              <w:right w:val="single" w:color="auto" w:sz="12" w:space="0"/>
            </w:tcBorders>
            <w:shd w:val="clear" w:color="auto" w:fill="auto"/>
            <w:vAlign w:val="center"/>
          </w:tcPr>
          <w:p w14:paraId="1B39CE10">
            <w:pPr>
              <w:jc w:val="center"/>
              <w:rPr>
                <w:color w:val="000000"/>
                <w:sz w:val="22"/>
                <w:szCs w:val="22"/>
              </w:rPr>
            </w:pPr>
            <w:r>
              <w:rPr>
                <w:color w:val="000000"/>
                <w:sz w:val="22"/>
                <w:szCs w:val="22"/>
              </w:rPr>
              <w:t>100</w:t>
            </w:r>
          </w:p>
        </w:tc>
      </w:tr>
      <w:tr w14:paraId="36E88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restart"/>
            <w:vAlign w:val="center"/>
          </w:tcPr>
          <w:p w14:paraId="62DEABB3">
            <w:pPr>
              <w:spacing w:line="320" w:lineRule="exact"/>
              <w:jc w:val="center"/>
              <w:rPr>
                <w:kern w:val="0"/>
                <w:szCs w:val="21"/>
              </w:rPr>
            </w:pPr>
            <w:r>
              <w:rPr>
                <w:rFonts w:hint="eastAsia"/>
                <w:kern w:val="0"/>
                <w:szCs w:val="21"/>
              </w:rPr>
              <w:t>污水处理厂出水1005.6</w:t>
            </w:r>
            <w:r>
              <w:rPr>
                <w:kern w:val="0"/>
                <w:szCs w:val="21"/>
              </w:rPr>
              <w:t>m³/</w:t>
            </w:r>
            <w:r>
              <w:rPr>
                <w:rFonts w:hint="eastAsia"/>
                <w:kern w:val="0"/>
                <w:szCs w:val="21"/>
              </w:rPr>
              <w:t>d</w:t>
            </w:r>
          </w:p>
        </w:tc>
        <w:tc>
          <w:tcPr>
            <w:tcW w:w="1393" w:type="dxa"/>
            <w:vAlign w:val="center"/>
          </w:tcPr>
          <w:p w14:paraId="1125B8CC">
            <w:pPr>
              <w:widowControl/>
              <w:spacing w:line="320" w:lineRule="exact"/>
              <w:jc w:val="center"/>
              <w:rPr>
                <w:kern w:val="0"/>
                <w:szCs w:val="21"/>
              </w:rPr>
            </w:pPr>
            <w:r>
              <w:rPr>
                <w:rFonts w:hint="eastAsia"/>
                <w:kern w:val="0"/>
                <w:szCs w:val="21"/>
              </w:rPr>
              <w:t>排放</w:t>
            </w:r>
            <w:r>
              <w:rPr>
                <w:kern w:val="0"/>
                <w:szCs w:val="21"/>
              </w:rPr>
              <w:t>浓度</w:t>
            </w:r>
          </w:p>
        </w:tc>
        <w:tc>
          <w:tcPr>
            <w:tcW w:w="1114" w:type="dxa"/>
            <w:tcBorders>
              <w:top w:val="nil"/>
              <w:left w:val="nil"/>
              <w:bottom w:val="single" w:color="000000" w:sz="8" w:space="0"/>
              <w:right w:val="single" w:color="000000" w:sz="8" w:space="0"/>
            </w:tcBorders>
            <w:shd w:val="clear" w:color="auto" w:fill="auto"/>
            <w:vAlign w:val="center"/>
          </w:tcPr>
          <w:p w14:paraId="0C138ACD">
            <w:pPr>
              <w:jc w:val="center"/>
              <w:rPr>
                <w:color w:val="000000"/>
                <w:sz w:val="22"/>
                <w:szCs w:val="22"/>
              </w:rPr>
            </w:pPr>
            <w:r>
              <w:rPr>
                <w:color w:val="000000"/>
                <w:sz w:val="22"/>
                <w:szCs w:val="22"/>
              </w:rPr>
              <w:t>50</w:t>
            </w:r>
          </w:p>
        </w:tc>
        <w:tc>
          <w:tcPr>
            <w:tcW w:w="1115" w:type="dxa"/>
            <w:tcBorders>
              <w:top w:val="nil"/>
              <w:left w:val="nil"/>
              <w:bottom w:val="single" w:color="000000" w:sz="8" w:space="0"/>
              <w:right w:val="single" w:color="000000" w:sz="8" w:space="0"/>
            </w:tcBorders>
            <w:shd w:val="clear" w:color="auto" w:fill="auto"/>
            <w:vAlign w:val="center"/>
          </w:tcPr>
          <w:p w14:paraId="75B73455">
            <w:pPr>
              <w:jc w:val="center"/>
              <w:rPr>
                <w:color w:val="000000"/>
                <w:sz w:val="22"/>
                <w:szCs w:val="22"/>
              </w:rPr>
            </w:pPr>
            <w:r>
              <w:rPr>
                <w:color w:val="000000"/>
                <w:sz w:val="22"/>
                <w:szCs w:val="22"/>
              </w:rPr>
              <w:t>10</w:t>
            </w:r>
          </w:p>
        </w:tc>
        <w:tc>
          <w:tcPr>
            <w:tcW w:w="930" w:type="dxa"/>
            <w:tcBorders>
              <w:top w:val="nil"/>
              <w:left w:val="nil"/>
              <w:bottom w:val="single" w:color="000000" w:sz="8" w:space="0"/>
              <w:right w:val="single" w:color="000000" w:sz="8" w:space="0"/>
            </w:tcBorders>
            <w:shd w:val="clear" w:color="auto" w:fill="auto"/>
            <w:vAlign w:val="center"/>
          </w:tcPr>
          <w:p w14:paraId="6158DA95">
            <w:pPr>
              <w:jc w:val="center"/>
              <w:rPr>
                <w:color w:val="000000"/>
                <w:sz w:val="22"/>
                <w:szCs w:val="22"/>
              </w:rPr>
            </w:pPr>
            <w:r>
              <w:rPr>
                <w:color w:val="000000"/>
                <w:sz w:val="22"/>
                <w:szCs w:val="22"/>
              </w:rPr>
              <w:t>10</w:t>
            </w:r>
          </w:p>
        </w:tc>
        <w:tc>
          <w:tcPr>
            <w:tcW w:w="1181" w:type="dxa"/>
            <w:tcBorders>
              <w:top w:val="nil"/>
              <w:left w:val="nil"/>
              <w:bottom w:val="single" w:color="000000" w:sz="8" w:space="0"/>
              <w:right w:val="single" w:color="000000" w:sz="8" w:space="0"/>
            </w:tcBorders>
            <w:shd w:val="clear" w:color="auto" w:fill="auto"/>
            <w:vAlign w:val="center"/>
          </w:tcPr>
          <w:p w14:paraId="4C60F6CD">
            <w:pPr>
              <w:jc w:val="center"/>
              <w:rPr>
                <w:color w:val="000000"/>
                <w:sz w:val="22"/>
                <w:szCs w:val="22"/>
              </w:rPr>
            </w:pPr>
            <w:r>
              <w:rPr>
                <w:color w:val="000000"/>
                <w:sz w:val="22"/>
                <w:szCs w:val="22"/>
              </w:rPr>
              <w:t>5</w:t>
            </w:r>
          </w:p>
        </w:tc>
        <w:tc>
          <w:tcPr>
            <w:tcW w:w="1192" w:type="dxa"/>
            <w:tcBorders>
              <w:top w:val="nil"/>
              <w:left w:val="nil"/>
              <w:bottom w:val="single" w:color="000000" w:sz="8" w:space="0"/>
              <w:right w:val="single" w:color="auto" w:sz="12" w:space="0"/>
            </w:tcBorders>
            <w:shd w:val="clear" w:color="auto" w:fill="auto"/>
            <w:vAlign w:val="center"/>
          </w:tcPr>
          <w:p w14:paraId="1B00437C">
            <w:pPr>
              <w:jc w:val="center"/>
              <w:rPr>
                <w:color w:val="000000"/>
                <w:sz w:val="22"/>
                <w:szCs w:val="22"/>
              </w:rPr>
            </w:pPr>
            <w:r>
              <w:rPr>
                <w:color w:val="000000"/>
                <w:sz w:val="22"/>
                <w:szCs w:val="22"/>
              </w:rPr>
              <w:t>1</w:t>
            </w:r>
          </w:p>
        </w:tc>
      </w:tr>
      <w:tr w14:paraId="39AE8C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tcBorders>
              <w:bottom w:val="single" w:color="auto" w:sz="12" w:space="0"/>
            </w:tcBorders>
            <w:vAlign w:val="center"/>
          </w:tcPr>
          <w:p w14:paraId="45DEDE3D">
            <w:pPr>
              <w:widowControl/>
              <w:spacing w:line="320" w:lineRule="exact"/>
              <w:jc w:val="center"/>
              <w:rPr>
                <w:kern w:val="0"/>
                <w:szCs w:val="21"/>
              </w:rPr>
            </w:pPr>
          </w:p>
        </w:tc>
        <w:tc>
          <w:tcPr>
            <w:tcW w:w="1393" w:type="dxa"/>
            <w:tcBorders>
              <w:bottom w:val="single" w:color="auto" w:sz="12" w:space="0"/>
            </w:tcBorders>
            <w:vAlign w:val="center"/>
          </w:tcPr>
          <w:p w14:paraId="1E979AA9">
            <w:pPr>
              <w:widowControl/>
              <w:spacing w:line="320" w:lineRule="exact"/>
              <w:jc w:val="center"/>
              <w:rPr>
                <w:kern w:val="0"/>
                <w:szCs w:val="21"/>
              </w:rPr>
            </w:pPr>
            <w:r>
              <w:rPr>
                <w:rFonts w:hint="eastAsia"/>
                <w:kern w:val="0"/>
                <w:szCs w:val="21"/>
              </w:rPr>
              <w:t>排放</w:t>
            </w:r>
            <w:r>
              <w:rPr>
                <w:kern w:val="0"/>
                <w:szCs w:val="21"/>
              </w:rPr>
              <w:t>量</w:t>
            </w:r>
          </w:p>
        </w:tc>
        <w:tc>
          <w:tcPr>
            <w:tcW w:w="1114" w:type="dxa"/>
            <w:tcBorders>
              <w:top w:val="nil"/>
              <w:left w:val="nil"/>
              <w:bottom w:val="single" w:color="auto" w:sz="12" w:space="0"/>
              <w:right w:val="single" w:color="000000" w:sz="8" w:space="0"/>
            </w:tcBorders>
            <w:shd w:val="clear" w:color="auto" w:fill="auto"/>
            <w:vAlign w:val="center"/>
          </w:tcPr>
          <w:p w14:paraId="2B91CFB2">
            <w:pPr>
              <w:jc w:val="center"/>
              <w:rPr>
                <w:color w:val="000000"/>
                <w:sz w:val="22"/>
                <w:szCs w:val="22"/>
              </w:rPr>
            </w:pPr>
            <w:r>
              <w:rPr>
                <w:color w:val="000000"/>
                <w:sz w:val="22"/>
                <w:szCs w:val="22"/>
              </w:rPr>
              <w:t xml:space="preserve">1.93 </w:t>
            </w:r>
          </w:p>
        </w:tc>
        <w:tc>
          <w:tcPr>
            <w:tcW w:w="1115" w:type="dxa"/>
            <w:tcBorders>
              <w:top w:val="nil"/>
              <w:left w:val="nil"/>
              <w:bottom w:val="single" w:color="auto" w:sz="12" w:space="0"/>
              <w:right w:val="single" w:color="000000" w:sz="8" w:space="0"/>
            </w:tcBorders>
            <w:shd w:val="clear" w:color="auto" w:fill="auto"/>
            <w:vAlign w:val="center"/>
          </w:tcPr>
          <w:p w14:paraId="415F7404">
            <w:pPr>
              <w:jc w:val="center"/>
              <w:rPr>
                <w:color w:val="000000"/>
                <w:sz w:val="22"/>
                <w:szCs w:val="22"/>
              </w:rPr>
            </w:pPr>
            <w:r>
              <w:rPr>
                <w:color w:val="000000"/>
                <w:sz w:val="22"/>
                <w:szCs w:val="22"/>
              </w:rPr>
              <w:t xml:space="preserve">0.39 </w:t>
            </w:r>
          </w:p>
        </w:tc>
        <w:tc>
          <w:tcPr>
            <w:tcW w:w="930" w:type="dxa"/>
            <w:tcBorders>
              <w:top w:val="nil"/>
              <w:left w:val="nil"/>
              <w:bottom w:val="single" w:color="auto" w:sz="12" w:space="0"/>
              <w:right w:val="single" w:color="000000" w:sz="8" w:space="0"/>
            </w:tcBorders>
            <w:shd w:val="clear" w:color="auto" w:fill="auto"/>
            <w:vAlign w:val="center"/>
          </w:tcPr>
          <w:p w14:paraId="5B9ACA2E">
            <w:pPr>
              <w:jc w:val="center"/>
              <w:rPr>
                <w:color w:val="000000"/>
                <w:sz w:val="22"/>
                <w:szCs w:val="22"/>
              </w:rPr>
            </w:pPr>
            <w:r>
              <w:rPr>
                <w:color w:val="000000"/>
                <w:sz w:val="22"/>
                <w:szCs w:val="22"/>
              </w:rPr>
              <w:t xml:space="preserve">0.39 </w:t>
            </w:r>
          </w:p>
        </w:tc>
        <w:tc>
          <w:tcPr>
            <w:tcW w:w="1181" w:type="dxa"/>
            <w:tcBorders>
              <w:top w:val="nil"/>
              <w:left w:val="nil"/>
              <w:bottom w:val="single" w:color="auto" w:sz="12" w:space="0"/>
              <w:right w:val="single" w:color="000000" w:sz="8" w:space="0"/>
            </w:tcBorders>
            <w:shd w:val="clear" w:color="auto" w:fill="auto"/>
            <w:vAlign w:val="center"/>
          </w:tcPr>
          <w:p w14:paraId="7D229E62">
            <w:pPr>
              <w:jc w:val="center"/>
              <w:rPr>
                <w:color w:val="000000"/>
                <w:sz w:val="22"/>
                <w:szCs w:val="22"/>
              </w:rPr>
            </w:pPr>
            <w:r>
              <w:rPr>
                <w:color w:val="000000"/>
                <w:sz w:val="22"/>
                <w:szCs w:val="22"/>
              </w:rPr>
              <w:t xml:space="preserve">0.19 </w:t>
            </w:r>
          </w:p>
        </w:tc>
        <w:tc>
          <w:tcPr>
            <w:tcW w:w="1192" w:type="dxa"/>
            <w:tcBorders>
              <w:top w:val="nil"/>
              <w:left w:val="nil"/>
              <w:bottom w:val="single" w:color="auto" w:sz="12" w:space="0"/>
              <w:right w:val="single" w:color="auto" w:sz="12" w:space="0"/>
            </w:tcBorders>
            <w:shd w:val="clear" w:color="auto" w:fill="auto"/>
            <w:vAlign w:val="center"/>
          </w:tcPr>
          <w:p w14:paraId="45A28B69">
            <w:pPr>
              <w:jc w:val="center"/>
              <w:rPr>
                <w:color w:val="000000"/>
                <w:sz w:val="22"/>
                <w:szCs w:val="22"/>
              </w:rPr>
            </w:pPr>
            <w:r>
              <w:rPr>
                <w:color w:val="000000"/>
                <w:sz w:val="22"/>
                <w:szCs w:val="22"/>
              </w:rPr>
              <w:t xml:space="preserve">0.04 </w:t>
            </w:r>
          </w:p>
        </w:tc>
      </w:tr>
    </w:tbl>
    <w:p w14:paraId="40922C4B">
      <w:pPr>
        <w:spacing w:line="360" w:lineRule="auto"/>
        <w:ind w:firstLine="480" w:firstLineChars="200"/>
        <w:rPr>
          <w:rFonts w:eastAsiaTheme="minorEastAsia"/>
          <w:sz w:val="24"/>
        </w:rPr>
      </w:pPr>
      <w:r>
        <w:rPr>
          <w:rFonts w:hint="eastAsia" w:eastAsiaTheme="minorEastAsia"/>
          <w:sz w:val="24"/>
        </w:rPr>
        <w:t>（3）固体废物</w:t>
      </w:r>
    </w:p>
    <w:p w14:paraId="4001925E">
      <w:pPr>
        <w:spacing w:line="360" w:lineRule="auto"/>
        <w:ind w:firstLine="480" w:firstLineChars="200"/>
        <w:rPr>
          <w:rFonts w:eastAsiaTheme="minorEastAsia"/>
          <w:sz w:val="24"/>
        </w:rPr>
      </w:pPr>
      <w:r>
        <w:rPr>
          <w:rFonts w:hint="eastAsia" w:eastAsiaTheme="minorEastAsia"/>
          <w:sz w:val="24"/>
        </w:rPr>
        <w:t>根据调查，园区现有企业</w:t>
      </w:r>
      <w:r>
        <w:rPr>
          <w:rFonts w:eastAsiaTheme="minorEastAsia"/>
          <w:sz w:val="24"/>
        </w:rPr>
        <w:t>产生的固体废物主要包括</w:t>
      </w:r>
      <w:r>
        <w:rPr>
          <w:rFonts w:hint="eastAsia" w:eastAsiaTheme="minorEastAsia"/>
          <w:sz w:val="24"/>
        </w:rPr>
        <w:t>生产过程中的工业固体废物（包括一般工业固体废物、危险废物）、员工办公生活产生的生活垃圾（纳入生活源分析）。其中一般工业固体废物主要为废边角料、废钢砂及废滤芯、不合格品、底泥、除尘灰等，均分类收集后外售综合利用；危险废物主要为废润滑油，属于HW08废矿物油与含矿物油废物，废物代码为900-249-08，收集后暂存危险废物暂存间交有资质的单位处置。根据现状企业固废统计资料可知，园区内现状企业固废产生情况如下表。</w:t>
      </w:r>
    </w:p>
    <w:p w14:paraId="23776705">
      <w:pPr>
        <w:spacing w:line="360" w:lineRule="auto"/>
        <w:ind w:firstLine="422"/>
        <w:jc w:val="center"/>
        <w:rPr>
          <w:rFonts w:eastAsiaTheme="minorEastAsia"/>
          <w:b/>
          <w:szCs w:val="21"/>
        </w:rPr>
      </w:pPr>
      <w:r>
        <w:rPr>
          <w:b/>
          <w:szCs w:val="21"/>
        </w:rPr>
        <w:t>表</w:t>
      </w:r>
      <w:r>
        <w:rPr>
          <w:rFonts w:hint="eastAsia"/>
          <w:b/>
          <w:szCs w:val="21"/>
        </w:rPr>
        <w:t>3.4.3-4</w:t>
      </w:r>
      <w:r>
        <w:rPr>
          <w:rFonts w:hint="eastAsia" w:eastAsiaTheme="minorEastAsia"/>
          <w:b/>
          <w:szCs w:val="21"/>
        </w:rPr>
        <w:t xml:space="preserve">   各园区固体废物产生情况</w:t>
      </w:r>
    </w:p>
    <w:tbl>
      <w:tblPr>
        <w:tblStyle w:val="88"/>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788"/>
        <w:gridCol w:w="2450"/>
        <w:gridCol w:w="1825"/>
        <w:gridCol w:w="1826"/>
      </w:tblGrid>
      <w:tr w14:paraId="44834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431F3C5F">
            <w:pPr>
              <w:widowControl/>
              <w:spacing w:line="320" w:lineRule="exact"/>
              <w:ind w:left="-25" w:right="-25"/>
              <w:jc w:val="center"/>
              <w:rPr>
                <w:rFonts w:eastAsiaTheme="minorEastAsia"/>
                <w:kern w:val="0"/>
                <w:szCs w:val="21"/>
              </w:rPr>
            </w:pPr>
            <w:r>
              <w:rPr>
                <w:rFonts w:eastAsiaTheme="minorEastAsia"/>
                <w:kern w:val="0"/>
                <w:szCs w:val="21"/>
              </w:rPr>
              <w:t>序号</w:t>
            </w:r>
          </w:p>
        </w:tc>
        <w:tc>
          <w:tcPr>
            <w:tcW w:w="1048" w:type="pct"/>
            <w:vAlign w:val="center"/>
          </w:tcPr>
          <w:p w14:paraId="54ED341E">
            <w:pPr>
              <w:widowControl/>
              <w:spacing w:line="320" w:lineRule="exact"/>
              <w:ind w:left="-25" w:right="-25"/>
              <w:jc w:val="center"/>
              <w:rPr>
                <w:rFonts w:eastAsiaTheme="minorEastAsia"/>
                <w:kern w:val="0"/>
                <w:szCs w:val="21"/>
              </w:rPr>
            </w:pPr>
            <w:r>
              <w:rPr>
                <w:rFonts w:hint="eastAsia" w:eastAsiaTheme="minorEastAsia"/>
                <w:kern w:val="0"/>
                <w:szCs w:val="21"/>
              </w:rPr>
              <w:t>园区名称</w:t>
            </w:r>
          </w:p>
        </w:tc>
        <w:tc>
          <w:tcPr>
            <w:tcW w:w="1436" w:type="pct"/>
            <w:vAlign w:val="center"/>
          </w:tcPr>
          <w:p w14:paraId="2CAF0229">
            <w:pPr>
              <w:widowControl/>
              <w:spacing w:line="320" w:lineRule="exact"/>
              <w:ind w:left="-25" w:right="-25"/>
              <w:jc w:val="center"/>
              <w:rPr>
                <w:rFonts w:eastAsiaTheme="minorEastAsia"/>
                <w:kern w:val="0"/>
                <w:szCs w:val="21"/>
              </w:rPr>
            </w:pPr>
            <w:r>
              <w:rPr>
                <w:rFonts w:hint="eastAsia"/>
                <w:kern w:val="0"/>
                <w:szCs w:val="21"/>
              </w:rPr>
              <w:t>一般工业固体废物产生量（t/a）</w:t>
            </w:r>
          </w:p>
        </w:tc>
        <w:tc>
          <w:tcPr>
            <w:tcW w:w="1070" w:type="pct"/>
            <w:vAlign w:val="center"/>
          </w:tcPr>
          <w:p w14:paraId="608F50E3">
            <w:pPr>
              <w:widowControl/>
              <w:spacing w:line="320" w:lineRule="exact"/>
              <w:ind w:right="-25"/>
              <w:jc w:val="center"/>
              <w:rPr>
                <w:rFonts w:eastAsiaTheme="minorEastAsia"/>
                <w:kern w:val="0"/>
                <w:szCs w:val="21"/>
              </w:rPr>
            </w:pPr>
            <w:r>
              <w:rPr>
                <w:rFonts w:hint="eastAsia"/>
                <w:kern w:val="0"/>
                <w:szCs w:val="21"/>
              </w:rPr>
              <w:t>危险废物产生量（t/a）</w:t>
            </w:r>
          </w:p>
        </w:tc>
        <w:tc>
          <w:tcPr>
            <w:tcW w:w="1070" w:type="pct"/>
            <w:vAlign w:val="center"/>
          </w:tcPr>
          <w:p w14:paraId="3CB551D4">
            <w:pPr>
              <w:widowControl/>
              <w:spacing w:line="320" w:lineRule="exact"/>
              <w:ind w:right="-25"/>
              <w:jc w:val="center"/>
              <w:rPr>
                <w:kern w:val="0"/>
                <w:szCs w:val="21"/>
              </w:rPr>
            </w:pPr>
            <w:r>
              <w:rPr>
                <w:rFonts w:hint="eastAsia"/>
                <w:kern w:val="0"/>
                <w:szCs w:val="21"/>
              </w:rPr>
              <w:t>生活垃圾产生量（t/a）</w:t>
            </w:r>
          </w:p>
        </w:tc>
      </w:tr>
      <w:tr w14:paraId="4E60D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07A6CB67">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1048" w:type="pct"/>
            <w:vAlign w:val="center"/>
          </w:tcPr>
          <w:p w14:paraId="3B13932C">
            <w:pPr>
              <w:widowControl/>
              <w:spacing w:line="320" w:lineRule="exact"/>
              <w:ind w:left="-25" w:right="-25"/>
              <w:jc w:val="center"/>
              <w:rPr>
                <w:rFonts w:eastAsiaTheme="minorEastAsia"/>
                <w:kern w:val="0"/>
                <w:szCs w:val="21"/>
              </w:rPr>
            </w:pPr>
            <w:r>
              <w:rPr>
                <w:rFonts w:eastAsiaTheme="minorEastAsia"/>
                <w:kern w:val="0"/>
                <w:szCs w:val="21"/>
              </w:rPr>
              <w:t>吴山闽商石材产业园</w:t>
            </w:r>
          </w:p>
        </w:tc>
        <w:tc>
          <w:tcPr>
            <w:tcW w:w="1436" w:type="pct"/>
            <w:vAlign w:val="center"/>
          </w:tcPr>
          <w:p w14:paraId="6B0D562D">
            <w:pPr>
              <w:widowControl/>
              <w:spacing w:line="320" w:lineRule="exact"/>
              <w:ind w:left="-25" w:right="-25"/>
              <w:jc w:val="center"/>
              <w:rPr>
                <w:szCs w:val="21"/>
              </w:rPr>
            </w:pPr>
            <w:r>
              <w:rPr>
                <w:szCs w:val="21"/>
              </w:rPr>
              <w:t xml:space="preserve">2666954.2 </w:t>
            </w:r>
          </w:p>
        </w:tc>
        <w:tc>
          <w:tcPr>
            <w:tcW w:w="1070" w:type="pct"/>
            <w:vAlign w:val="center"/>
          </w:tcPr>
          <w:p w14:paraId="614C6AFA">
            <w:pPr>
              <w:widowControl/>
              <w:spacing w:line="320" w:lineRule="exact"/>
              <w:ind w:left="-25" w:right="-25"/>
              <w:jc w:val="center"/>
              <w:rPr>
                <w:szCs w:val="21"/>
              </w:rPr>
            </w:pPr>
            <w:r>
              <w:rPr>
                <w:szCs w:val="21"/>
              </w:rPr>
              <w:t xml:space="preserve">85.325 </w:t>
            </w:r>
          </w:p>
        </w:tc>
        <w:tc>
          <w:tcPr>
            <w:tcW w:w="1070" w:type="pct"/>
            <w:shd w:val="clear" w:color="auto" w:fill="auto"/>
            <w:vAlign w:val="center"/>
          </w:tcPr>
          <w:p w14:paraId="20A6A148">
            <w:pPr>
              <w:widowControl/>
              <w:spacing w:line="320" w:lineRule="exact"/>
              <w:jc w:val="center"/>
              <w:rPr>
                <w:kern w:val="0"/>
                <w:szCs w:val="21"/>
              </w:rPr>
            </w:pPr>
            <w:r>
              <w:rPr>
                <w:rFonts w:hint="eastAsia"/>
                <w:kern w:val="0"/>
                <w:szCs w:val="21"/>
              </w:rPr>
              <w:t>8395</w:t>
            </w:r>
          </w:p>
        </w:tc>
      </w:tr>
      <w:tr w14:paraId="7C744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6519C25B">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048" w:type="pct"/>
            <w:vAlign w:val="center"/>
          </w:tcPr>
          <w:p w14:paraId="5DF28FBA">
            <w:pPr>
              <w:widowControl/>
              <w:spacing w:line="320" w:lineRule="exact"/>
              <w:ind w:left="-25" w:right="-25"/>
              <w:jc w:val="center"/>
              <w:rPr>
                <w:rFonts w:eastAsiaTheme="minorEastAsia"/>
                <w:kern w:val="0"/>
                <w:szCs w:val="21"/>
              </w:rPr>
            </w:pPr>
            <w:r>
              <w:rPr>
                <w:rFonts w:eastAsiaTheme="minorEastAsia"/>
                <w:kern w:val="0"/>
                <w:szCs w:val="21"/>
              </w:rPr>
              <w:t>万和石材产业园</w:t>
            </w:r>
          </w:p>
        </w:tc>
        <w:tc>
          <w:tcPr>
            <w:tcW w:w="1436" w:type="pct"/>
            <w:vAlign w:val="center"/>
          </w:tcPr>
          <w:p w14:paraId="4B5A8059">
            <w:pPr>
              <w:widowControl/>
              <w:spacing w:line="320" w:lineRule="exact"/>
              <w:ind w:left="-25" w:right="-25"/>
              <w:jc w:val="center"/>
              <w:rPr>
                <w:szCs w:val="21"/>
              </w:rPr>
            </w:pPr>
            <w:r>
              <w:rPr>
                <w:szCs w:val="21"/>
              </w:rPr>
              <w:t xml:space="preserve">1286551.0 </w:t>
            </w:r>
          </w:p>
        </w:tc>
        <w:tc>
          <w:tcPr>
            <w:tcW w:w="1070" w:type="pct"/>
            <w:vAlign w:val="center"/>
          </w:tcPr>
          <w:p w14:paraId="396E8B43">
            <w:pPr>
              <w:widowControl/>
              <w:spacing w:line="320" w:lineRule="exact"/>
              <w:ind w:left="-25" w:right="-25"/>
              <w:jc w:val="center"/>
              <w:rPr>
                <w:szCs w:val="21"/>
              </w:rPr>
            </w:pPr>
            <w:r>
              <w:rPr>
                <w:szCs w:val="21"/>
              </w:rPr>
              <w:t xml:space="preserve">41.161 </w:t>
            </w:r>
          </w:p>
        </w:tc>
        <w:tc>
          <w:tcPr>
            <w:tcW w:w="1070" w:type="pct"/>
            <w:shd w:val="clear" w:color="auto" w:fill="auto"/>
            <w:vAlign w:val="center"/>
          </w:tcPr>
          <w:p w14:paraId="670F784A">
            <w:pPr>
              <w:widowControl/>
              <w:spacing w:line="320" w:lineRule="exact"/>
              <w:jc w:val="center"/>
              <w:rPr>
                <w:kern w:val="0"/>
                <w:szCs w:val="21"/>
              </w:rPr>
            </w:pPr>
            <w:r>
              <w:rPr>
                <w:rFonts w:hint="eastAsia"/>
                <w:kern w:val="0"/>
                <w:szCs w:val="21"/>
              </w:rPr>
              <w:t>5183</w:t>
            </w:r>
          </w:p>
        </w:tc>
      </w:tr>
      <w:tr w14:paraId="7FE9C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30C8A12F">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1048" w:type="pct"/>
            <w:vAlign w:val="center"/>
          </w:tcPr>
          <w:p w14:paraId="123C6F8C">
            <w:pPr>
              <w:widowControl/>
              <w:spacing w:line="320" w:lineRule="exact"/>
              <w:ind w:left="-25" w:right="-25"/>
              <w:jc w:val="center"/>
              <w:rPr>
                <w:rFonts w:eastAsiaTheme="minorEastAsia"/>
                <w:kern w:val="0"/>
                <w:szCs w:val="21"/>
              </w:rPr>
            </w:pPr>
            <w:r>
              <w:rPr>
                <w:rFonts w:eastAsiaTheme="minorEastAsia"/>
                <w:kern w:val="0"/>
                <w:szCs w:val="21"/>
              </w:rPr>
              <w:t>太白顶石材产业园</w:t>
            </w:r>
          </w:p>
        </w:tc>
        <w:tc>
          <w:tcPr>
            <w:tcW w:w="1436" w:type="pct"/>
            <w:vAlign w:val="center"/>
          </w:tcPr>
          <w:p w14:paraId="495D98F5">
            <w:pPr>
              <w:widowControl/>
              <w:spacing w:line="320" w:lineRule="exact"/>
              <w:jc w:val="center"/>
              <w:rPr>
                <w:kern w:val="0"/>
                <w:szCs w:val="21"/>
              </w:rPr>
            </w:pPr>
            <w:r>
              <w:rPr>
                <w:szCs w:val="21"/>
              </w:rPr>
              <w:t xml:space="preserve">285974.31 </w:t>
            </w:r>
          </w:p>
        </w:tc>
        <w:tc>
          <w:tcPr>
            <w:tcW w:w="1070" w:type="pct"/>
            <w:vAlign w:val="center"/>
          </w:tcPr>
          <w:p w14:paraId="01841BEF">
            <w:pPr>
              <w:widowControl/>
              <w:spacing w:line="320" w:lineRule="exact"/>
              <w:jc w:val="center"/>
              <w:rPr>
                <w:kern w:val="0"/>
                <w:szCs w:val="21"/>
              </w:rPr>
            </w:pPr>
            <w:r>
              <w:rPr>
                <w:rFonts w:hint="eastAsia"/>
                <w:szCs w:val="21"/>
              </w:rPr>
              <w:t>11.0</w:t>
            </w:r>
          </w:p>
        </w:tc>
        <w:tc>
          <w:tcPr>
            <w:tcW w:w="1070" w:type="pct"/>
            <w:shd w:val="clear" w:color="auto" w:fill="auto"/>
            <w:vAlign w:val="center"/>
          </w:tcPr>
          <w:p w14:paraId="2F565A87">
            <w:pPr>
              <w:widowControl/>
              <w:spacing w:line="320" w:lineRule="exact"/>
              <w:jc w:val="center"/>
              <w:rPr>
                <w:kern w:val="0"/>
                <w:szCs w:val="21"/>
              </w:rPr>
            </w:pPr>
            <w:r>
              <w:rPr>
                <w:rFonts w:hint="eastAsia"/>
                <w:kern w:val="0"/>
                <w:szCs w:val="21"/>
              </w:rPr>
              <w:t>657</w:t>
            </w:r>
          </w:p>
        </w:tc>
      </w:tr>
      <w:tr w14:paraId="2A85B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08F2AF6F">
            <w:pPr>
              <w:widowControl/>
              <w:spacing w:line="320" w:lineRule="exact"/>
              <w:ind w:left="-25" w:right="-25"/>
              <w:jc w:val="center"/>
              <w:rPr>
                <w:rFonts w:eastAsiaTheme="minorEastAsia"/>
                <w:kern w:val="0"/>
                <w:szCs w:val="21"/>
              </w:rPr>
            </w:pPr>
            <w:r>
              <w:rPr>
                <w:rFonts w:hint="eastAsia" w:eastAsiaTheme="minorEastAsia"/>
                <w:kern w:val="0"/>
                <w:szCs w:val="21"/>
              </w:rPr>
              <w:t>4</w:t>
            </w:r>
          </w:p>
        </w:tc>
        <w:tc>
          <w:tcPr>
            <w:tcW w:w="1048" w:type="pct"/>
            <w:vAlign w:val="center"/>
          </w:tcPr>
          <w:p w14:paraId="59BBDD52">
            <w:pPr>
              <w:widowControl/>
              <w:spacing w:line="320" w:lineRule="exact"/>
              <w:ind w:left="-25" w:right="-25"/>
              <w:jc w:val="center"/>
              <w:rPr>
                <w:rFonts w:eastAsiaTheme="minorEastAsia"/>
                <w:kern w:val="0"/>
                <w:szCs w:val="21"/>
              </w:rPr>
            </w:pPr>
            <w:r>
              <w:rPr>
                <w:rFonts w:eastAsiaTheme="minorEastAsia"/>
                <w:kern w:val="0"/>
                <w:szCs w:val="21"/>
              </w:rPr>
              <w:t>草店石材产业园</w:t>
            </w:r>
          </w:p>
        </w:tc>
        <w:tc>
          <w:tcPr>
            <w:tcW w:w="1436" w:type="pct"/>
            <w:vAlign w:val="center"/>
          </w:tcPr>
          <w:p w14:paraId="7BBEE876">
            <w:pPr>
              <w:widowControl/>
              <w:spacing w:line="320" w:lineRule="exact"/>
              <w:jc w:val="center"/>
              <w:rPr>
                <w:kern w:val="0"/>
                <w:szCs w:val="21"/>
              </w:rPr>
            </w:pPr>
            <w:r>
              <w:rPr>
                <w:rFonts w:hint="eastAsia"/>
                <w:kern w:val="0"/>
                <w:szCs w:val="21"/>
              </w:rPr>
              <w:t>150447</w:t>
            </w:r>
          </w:p>
        </w:tc>
        <w:tc>
          <w:tcPr>
            <w:tcW w:w="1070" w:type="pct"/>
            <w:vAlign w:val="center"/>
          </w:tcPr>
          <w:p w14:paraId="6C6A07C3">
            <w:pPr>
              <w:widowControl/>
              <w:spacing w:line="320" w:lineRule="exact"/>
              <w:jc w:val="center"/>
              <w:rPr>
                <w:kern w:val="0"/>
                <w:szCs w:val="21"/>
              </w:rPr>
            </w:pPr>
            <w:r>
              <w:rPr>
                <w:rFonts w:hint="eastAsia"/>
                <w:kern w:val="0"/>
                <w:szCs w:val="21"/>
              </w:rPr>
              <w:t>2.0</w:t>
            </w:r>
          </w:p>
        </w:tc>
        <w:tc>
          <w:tcPr>
            <w:tcW w:w="1070" w:type="pct"/>
            <w:shd w:val="clear" w:color="auto" w:fill="auto"/>
            <w:vAlign w:val="center"/>
          </w:tcPr>
          <w:p w14:paraId="323422EA">
            <w:pPr>
              <w:widowControl/>
              <w:spacing w:line="320" w:lineRule="exact"/>
              <w:jc w:val="center"/>
              <w:rPr>
                <w:kern w:val="0"/>
                <w:szCs w:val="21"/>
              </w:rPr>
            </w:pPr>
            <w:r>
              <w:rPr>
                <w:rFonts w:hint="eastAsia"/>
                <w:kern w:val="0"/>
                <w:szCs w:val="21"/>
              </w:rPr>
              <w:t>365</w:t>
            </w:r>
          </w:p>
        </w:tc>
      </w:tr>
      <w:tr w14:paraId="247E8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373" w:type="pct"/>
            <w:vAlign w:val="center"/>
          </w:tcPr>
          <w:p w14:paraId="2DF8C11A">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1048" w:type="pct"/>
            <w:vAlign w:val="center"/>
          </w:tcPr>
          <w:p w14:paraId="6D1AA28A">
            <w:pPr>
              <w:widowControl/>
              <w:spacing w:line="320" w:lineRule="exact"/>
              <w:ind w:left="-25" w:right="-25"/>
              <w:jc w:val="center"/>
              <w:rPr>
                <w:rFonts w:eastAsiaTheme="minorEastAsia"/>
                <w:kern w:val="0"/>
                <w:szCs w:val="21"/>
              </w:rPr>
            </w:pPr>
            <w:r>
              <w:rPr>
                <w:rFonts w:eastAsiaTheme="minorEastAsia"/>
                <w:kern w:val="0"/>
                <w:szCs w:val="21"/>
              </w:rPr>
              <w:t>合计</w:t>
            </w:r>
          </w:p>
        </w:tc>
        <w:tc>
          <w:tcPr>
            <w:tcW w:w="1436" w:type="pct"/>
            <w:vAlign w:val="center"/>
          </w:tcPr>
          <w:p w14:paraId="10F9343B">
            <w:pPr>
              <w:widowControl/>
              <w:spacing w:line="320" w:lineRule="exact"/>
              <w:jc w:val="center"/>
              <w:rPr>
                <w:kern w:val="0"/>
                <w:szCs w:val="21"/>
              </w:rPr>
            </w:pPr>
            <w:r>
              <w:rPr>
                <w:kern w:val="0"/>
                <w:szCs w:val="21"/>
              </w:rPr>
              <w:t>4389926.5</w:t>
            </w:r>
          </w:p>
        </w:tc>
        <w:tc>
          <w:tcPr>
            <w:tcW w:w="1070" w:type="pct"/>
            <w:vAlign w:val="center"/>
          </w:tcPr>
          <w:p w14:paraId="7A07DCB3">
            <w:pPr>
              <w:widowControl/>
              <w:spacing w:line="320" w:lineRule="exact"/>
              <w:jc w:val="center"/>
              <w:rPr>
                <w:kern w:val="0"/>
                <w:szCs w:val="21"/>
              </w:rPr>
            </w:pPr>
            <w:r>
              <w:rPr>
                <w:kern w:val="0"/>
                <w:szCs w:val="21"/>
              </w:rPr>
              <w:t>139.</w:t>
            </w:r>
            <w:r>
              <w:rPr>
                <w:rFonts w:hint="eastAsia"/>
                <w:kern w:val="0"/>
                <w:szCs w:val="21"/>
              </w:rPr>
              <w:t>5</w:t>
            </w:r>
          </w:p>
        </w:tc>
        <w:tc>
          <w:tcPr>
            <w:tcW w:w="1070" w:type="pct"/>
            <w:shd w:val="clear" w:color="auto" w:fill="auto"/>
            <w:vAlign w:val="center"/>
          </w:tcPr>
          <w:p w14:paraId="757F1F87">
            <w:pPr>
              <w:widowControl/>
              <w:spacing w:line="320" w:lineRule="exact"/>
              <w:jc w:val="center"/>
              <w:rPr>
                <w:kern w:val="0"/>
                <w:szCs w:val="21"/>
              </w:rPr>
            </w:pPr>
            <w:r>
              <w:rPr>
                <w:rFonts w:hint="eastAsia"/>
                <w:kern w:val="0"/>
                <w:szCs w:val="21"/>
              </w:rPr>
              <w:t>14600</w:t>
            </w:r>
          </w:p>
        </w:tc>
      </w:tr>
    </w:tbl>
    <w:p w14:paraId="216CE907">
      <w:pPr>
        <w:keepNext/>
        <w:keepLines/>
        <w:widowControl/>
        <w:numPr>
          <w:ilvl w:val="2"/>
          <w:numId w:val="1"/>
        </w:numPr>
        <w:spacing w:before="120" w:after="120" w:line="360" w:lineRule="auto"/>
        <w:jc w:val="left"/>
        <w:outlineLvl w:val="2"/>
        <w:rPr>
          <w:rFonts w:eastAsiaTheme="minorEastAsia"/>
          <w:b/>
          <w:bCs/>
          <w:sz w:val="24"/>
        </w:rPr>
      </w:pPr>
      <w:bookmarkStart w:id="124" w:name="_Toc206494957"/>
      <w:r>
        <w:rPr>
          <w:rFonts w:hint="eastAsia" w:eastAsiaTheme="minorEastAsia"/>
          <w:b/>
          <w:bCs/>
          <w:sz w:val="24"/>
        </w:rPr>
        <w:t>现状园区存在的主要环境问题及整改情况</w:t>
      </w:r>
      <w:bookmarkEnd w:id="124"/>
    </w:p>
    <w:p w14:paraId="64604153">
      <w:pPr>
        <w:spacing w:line="360" w:lineRule="auto"/>
        <w:ind w:firstLine="480" w:firstLineChars="200"/>
        <w:rPr>
          <w:rFonts w:eastAsiaTheme="minorEastAsia"/>
          <w:sz w:val="24"/>
        </w:rPr>
      </w:pPr>
      <w:r>
        <w:rPr>
          <w:rFonts w:hint="eastAsia" w:eastAsiaTheme="minorEastAsia"/>
          <w:sz w:val="24"/>
        </w:rPr>
        <w:t>根据随州市生态环境局随县分局反馈的近几年督查及相关整改落实情况的统计，规划园区范围内存在的主要环境问题及整改情况如下表。</w:t>
      </w:r>
    </w:p>
    <w:p w14:paraId="0659C071">
      <w:pPr>
        <w:spacing w:line="360" w:lineRule="auto"/>
        <w:ind w:firstLine="422"/>
        <w:jc w:val="center"/>
        <w:rPr>
          <w:rFonts w:eastAsiaTheme="minorEastAsia"/>
          <w:b/>
          <w:szCs w:val="21"/>
        </w:rPr>
        <w:sectPr>
          <w:pgSz w:w="11906" w:h="16838"/>
          <w:pgMar w:top="1560" w:right="1797" w:bottom="1560" w:left="1797" w:header="851" w:footer="861" w:gutter="0"/>
          <w:cols w:space="425" w:num="1"/>
          <w:docGrid w:type="lines" w:linePitch="312" w:charSpace="0"/>
        </w:sectPr>
      </w:pPr>
    </w:p>
    <w:p w14:paraId="7C7E1A68">
      <w:pPr>
        <w:spacing w:line="360" w:lineRule="auto"/>
        <w:ind w:firstLine="422"/>
        <w:jc w:val="center"/>
        <w:rPr>
          <w:rFonts w:eastAsiaTheme="minorEastAsia"/>
          <w:b/>
          <w:szCs w:val="21"/>
        </w:rPr>
      </w:pPr>
      <w:r>
        <w:rPr>
          <w:rFonts w:hint="eastAsia" w:eastAsiaTheme="minorEastAsia"/>
          <w:b/>
          <w:szCs w:val="21"/>
        </w:rPr>
        <w:t>表3.4.4-1  中央生态环境保护督察群众信访举报转办情况</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692"/>
        <w:gridCol w:w="5672"/>
        <w:gridCol w:w="2963"/>
        <w:gridCol w:w="1792"/>
      </w:tblGrid>
      <w:tr w14:paraId="73F82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138FD3B1">
            <w:pPr>
              <w:widowControl/>
              <w:spacing w:line="320" w:lineRule="exact"/>
              <w:jc w:val="center"/>
              <w:rPr>
                <w:kern w:val="0"/>
                <w:szCs w:val="21"/>
              </w:rPr>
            </w:pPr>
            <w:r>
              <w:rPr>
                <w:rFonts w:hint="eastAsia"/>
                <w:kern w:val="0"/>
                <w:szCs w:val="21"/>
              </w:rPr>
              <w:t>序号</w:t>
            </w:r>
          </w:p>
        </w:tc>
        <w:tc>
          <w:tcPr>
            <w:tcW w:w="966" w:type="pct"/>
            <w:vAlign w:val="center"/>
          </w:tcPr>
          <w:p w14:paraId="06E0B0C2">
            <w:pPr>
              <w:spacing w:line="320" w:lineRule="exact"/>
              <w:ind w:left="-52" w:leftChars="-25" w:right="-52" w:rightChars="-25"/>
              <w:contextualSpacing/>
              <w:jc w:val="center"/>
              <w:rPr>
                <w:szCs w:val="21"/>
              </w:rPr>
            </w:pPr>
            <w:r>
              <w:rPr>
                <w:rFonts w:hint="eastAsia"/>
                <w:szCs w:val="21"/>
              </w:rPr>
              <w:t>交办问题基本情况</w:t>
            </w:r>
          </w:p>
        </w:tc>
        <w:tc>
          <w:tcPr>
            <w:tcW w:w="2035" w:type="pct"/>
            <w:vAlign w:val="center"/>
          </w:tcPr>
          <w:p w14:paraId="265B1CA2">
            <w:pPr>
              <w:spacing w:line="320" w:lineRule="exact"/>
              <w:ind w:left="-52" w:leftChars="-25" w:right="-52" w:rightChars="-25"/>
              <w:contextualSpacing/>
              <w:jc w:val="center"/>
              <w:rPr>
                <w:szCs w:val="21"/>
              </w:rPr>
            </w:pPr>
            <w:r>
              <w:rPr>
                <w:rFonts w:hint="eastAsia"/>
                <w:szCs w:val="21"/>
              </w:rPr>
              <w:t>调查核实情况</w:t>
            </w:r>
          </w:p>
        </w:tc>
        <w:tc>
          <w:tcPr>
            <w:tcW w:w="1063" w:type="pct"/>
            <w:vAlign w:val="center"/>
          </w:tcPr>
          <w:p w14:paraId="144E1AB4">
            <w:pPr>
              <w:spacing w:line="320" w:lineRule="exact"/>
              <w:ind w:left="-52" w:leftChars="-25" w:right="-52" w:rightChars="-25"/>
              <w:contextualSpacing/>
              <w:jc w:val="center"/>
              <w:rPr>
                <w:szCs w:val="21"/>
              </w:rPr>
            </w:pPr>
            <w:r>
              <w:rPr>
                <w:rFonts w:hint="eastAsia"/>
                <w:szCs w:val="21"/>
              </w:rPr>
              <w:t>处理和整改情况</w:t>
            </w:r>
          </w:p>
        </w:tc>
        <w:tc>
          <w:tcPr>
            <w:tcW w:w="643" w:type="pct"/>
            <w:vAlign w:val="center"/>
          </w:tcPr>
          <w:p w14:paraId="7A110C57">
            <w:pPr>
              <w:spacing w:line="320" w:lineRule="exact"/>
              <w:ind w:left="-52" w:leftChars="-25" w:right="-52" w:rightChars="-25"/>
              <w:contextualSpacing/>
              <w:jc w:val="center"/>
              <w:rPr>
                <w:szCs w:val="21"/>
              </w:rPr>
            </w:pPr>
            <w:r>
              <w:rPr>
                <w:rFonts w:hint="eastAsia"/>
                <w:szCs w:val="21"/>
              </w:rPr>
              <w:t>备注</w:t>
            </w:r>
          </w:p>
        </w:tc>
      </w:tr>
      <w:tr w14:paraId="57D5B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796DE9E7">
            <w:pPr>
              <w:widowControl/>
              <w:spacing w:line="320" w:lineRule="exact"/>
              <w:jc w:val="center"/>
              <w:rPr>
                <w:kern w:val="0"/>
                <w:szCs w:val="21"/>
              </w:rPr>
            </w:pPr>
            <w:r>
              <w:rPr>
                <w:rFonts w:hint="eastAsia"/>
                <w:kern w:val="0"/>
                <w:szCs w:val="21"/>
              </w:rPr>
              <w:t>1</w:t>
            </w:r>
          </w:p>
        </w:tc>
        <w:tc>
          <w:tcPr>
            <w:tcW w:w="966" w:type="pct"/>
            <w:vAlign w:val="center"/>
          </w:tcPr>
          <w:p w14:paraId="1971F967">
            <w:pPr>
              <w:spacing w:line="320" w:lineRule="exact"/>
              <w:ind w:left="-52" w:leftChars="-25" w:right="-52" w:rightChars="-25"/>
              <w:contextualSpacing/>
              <w:jc w:val="center"/>
              <w:rPr>
                <w:szCs w:val="21"/>
              </w:rPr>
            </w:pPr>
            <w:r>
              <w:rPr>
                <w:rFonts w:hint="eastAsia"/>
                <w:szCs w:val="21"/>
              </w:rPr>
              <w:t>随州市随县新城镇白云村、尚家湾村建设有大量的大理石加工厂，对水源污染特别严重，当地老百姓有水源但不敢使用，患癌症的人特别多。</w:t>
            </w:r>
          </w:p>
        </w:tc>
        <w:tc>
          <w:tcPr>
            <w:tcW w:w="2035" w:type="pct"/>
            <w:vAlign w:val="center"/>
          </w:tcPr>
          <w:p w14:paraId="27B8A153">
            <w:pPr>
              <w:spacing w:line="320" w:lineRule="exact"/>
              <w:ind w:left="-52" w:leftChars="-25" w:right="-52" w:rightChars="-25" w:firstLine="420" w:firstLineChars="200"/>
              <w:contextualSpacing/>
              <w:jc w:val="left"/>
              <w:rPr>
                <w:szCs w:val="21"/>
              </w:rPr>
            </w:pPr>
            <w:r>
              <w:rPr>
                <w:rFonts w:hint="eastAsia"/>
                <w:szCs w:val="21"/>
              </w:rPr>
              <w:t>信访人反映1个事项。信访人反映的“随州市随县新城镇白云村、尚家湾村建设有大量的大理石加工厂，对水源污染特别严重，当地老百姓有水源但不敢使用，患癌症的人特别多。”事项，经调查，随州市桐柏山太白顶风景名胜区白云村、太白村（原尚家湾村已合并至太白村）现建有随州市鑫邦石业有限公司、随州市鑫福石业有限责任公司、随县万和新福鑫石业有限公司、随县万和镇鑫旺石业有限公司、随州市鑫伟石业有限公司、随州市鑫富达石业有限公司、随县新城鑫宏旺石材工艺厂、随县鑫辉石材加工厂8家石材加工企业。</w:t>
            </w:r>
          </w:p>
          <w:p w14:paraId="5523C2CF">
            <w:pPr>
              <w:spacing w:line="320" w:lineRule="exact"/>
              <w:ind w:left="-52" w:leftChars="-25" w:right="-52" w:rightChars="-25" w:firstLine="420" w:firstLineChars="200"/>
              <w:contextualSpacing/>
              <w:jc w:val="left"/>
              <w:rPr>
                <w:szCs w:val="21"/>
              </w:rPr>
            </w:pPr>
            <w:r>
              <w:rPr>
                <w:rFonts w:hint="eastAsia"/>
                <w:szCs w:val="21"/>
              </w:rPr>
              <w:t>上述8家石材加工企业因开采许可证到期，于2021年12月停产至今，厂区内无生产痕迹；且均配套建设有干湿分离设备、硬化废水循环池等污染防治设施，生产废水循环使用不外排。经沿河实地排查，也未发现外排迹象。现场对三夹河河道、太白村村委会水井、白云村村委会水井进行水质取样检测，据随县环测（WT）字2024第011号监测报告反映，三处水质均达到《地表水环境质量标准》（GB3838-2022）Ⅲ类标准；调阅太白顶饮用水源地宗庄水库2023、2024年度水质检测数据，其水质均达到《地表水环境质量标准》（GB3838-2022）Ⅲ类标准。随县卫生健康局对太白顶风景区白云村、太白村</w:t>
            </w:r>
            <w:r>
              <w:rPr>
                <w:rFonts w:hint="eastAsia"/>
                <w:szCs w:val="21"/>
                <w:lang w:eastAsia="zh-CN"/>
              </w:rPr>
              <w:t>常住人口</w:t>
            </w:r>
            <w:r>
              <w:rPr>
                <w:rFonts w:hint="eastAsia"/>
                <w:szCs w:val="21"/>
              </w:rPr>
              <w:t>3520名村民（不含外来务工人员）既往病史进行排查，该村肿瘤患病率远低于全国肿瘤患病率。信访人反映的情况属实。</w:t>
            </w:r>
          </w:p>
        </w:tc>
        <w:tc>
          <w:tcPr>
            <w:tcW w:w="1063" w:type="pct"/>
            <w:vAlign w:val="center"/>
          </w:tcPr>
          <w:p w14:paraId="4867C6BE">
            <w:pPr>
              <w:spacing w:line="320" w:lineRule="exact"/>
              <w:ind w:left="-52" w:leftChars="-25" w:right="-52" w:rightChars="-25" w:firstLine="420" w:firstLineChars="200"/>
              <w:contextualSpacing/>
              <w:jc w:val="left"/>
              <w:rPr>
                <w:szCs w:val="21"/>
              </w:rPr>
            </w:pPr>
            <w:r>
              <w:rPr>
                <w:rFonts w:hint="eastAsia"/>
                <w:szCs w:val="21"/>
              </w:rPr>
              <w:t>加大监管力度，督促随州市鑫邦石业有限公司、随州市鑫福石业有限责任公司、随县万和新福鑫石业有限公司、随县万和镇鑫旺石业有限公司、随州市鑫伟石业有限公司、随州市鑫富达石业有限公司、随县新城鑫宏旺石材工艺厂、随县鑫辉石材加工厂履行企业主体责任，恢复生产后落实精细化管理，加强环境保护设施的定期维护保养，确保正常使用，生产废水循环使用不外排，不对周边环境造成影响。</w:t>
            </w:r>
          </w:p>
        </w:tc>
        <w:tc>
          <w:tcPr>
            <w:tcW w:w="643" w:type="pct"/>
            <w:vAlign w:val="center"/>
          </w:tcPr>
          <w:p w14:paraId="395150AC">
            <w:pPr>
              <w:spacing w:line="320" w:lineRule="exact"/>
              <w:ind w:left="-52" w:leftChars="-25" w:right="-52" w:rightChars="-25"/>
              <w:contextualSpacing/>
              <w:jc w:val="center"/>
              <w:rPr>
                <w:szCs w:val="21"/>
              </w:rPr>
            </w:pPr>
            <w:r>
              <w:rPr>
                <w:rFonts w:hint="eastAsia"/>
                <w:szCs w:val="21"/>
              </w:rPr>
              <w:t>中央生态环境保护督察群众信访举报转办和边督边改公开情况一览表（第三批</w:t>
            </w:r>
            <w:r>
              <w:rPr>
                <w:szCs w:val="21"/>
              </w:rPr>
              <w:t>2024</w:t>
            </w:r>
            <w:r>
              <w:rPr>
                <w:rFonts w:hint="eastAsia"/>
                <w:szCs w:val="21"/>
              </w:rPr>
              <w:t>年</w:t>
            </w:r>
            <w:r>
              <w:rPr>
                <w:szCs w:val="21"/>
              </w:rPr>
              <w:t>5</w:t>
            </w:r>
            <w:r>
              <w:rPr>
                <w:rFonts w:hint="eastAsia"/>
                <w:szCs w:val="21"/>
              </w:rPr>
              <w:t>月</w:t>
            </w:r>
            <w:r>
              <w:rPr>
                <w:szCs w:val="21"/>
              </w:rPr>
              <w:t>20</w:t>
            </w:r>
            <w:r>
              <w:rPr>
                <w:rFonts w:hint="eastAsia"/>
                <w:szCs w:val="21"/>
              </w:rPr>
              <w:t>日）</w:t>
            </w:r>
          </w:p>
        </w:tc>
      </w:tr>
      <w:tr w14:paraId="6A066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050E2046">
            <w:pPr>
              <w:widowControl/>
              <w:spacing w:line="320" w:lineRule="exact"/>
              <w:jc w:val="center"/>
              <w:rPr>
                <w:kern w:val="0"/>
                <w:szCs w:val="21"/>
              </w:rPr>
            </w:pPr>
            <w:r>
              <w:rPr>
                <w:rFonts w:hint="eastAsia"/>
                <w:kern w:val="0"/>
                <w:szCs w:val="21"/>
              </w:rPr>
              <w:t>2</w:t>
            </w:r>
          </w:p>
        </w:tc>
        <w:tc>
          <w:tcPr>
            <w:tcW w:w="966" w:type="pct"/>
            <w:vAlign w:val="center"/>
          </w:tcPr>
          <w:p w14:paraId="5013EB09">
            <w:pPr>
              <w:spacing w:line="320" w:lineRule="exact"/>
              <w:ind w:left="-52" w:leftChars="-25" w:right="-52" w:rightChars="-25" w:firstLine="420" w:firstLineChars="200"/>
              <w:contextualSpacing/>
              <w:jc w:val="left"/>
              <w:rPr>
                <w:szCs w:val="21"/>
              </w:rPr>
            </w:pPr>
            <w:r>
              <w:rPr>
                <w:rFonts w:hint="eastAsia"/>
                <w:szCs w:val="21"/>
              </w:rPr>
              <w:t>随县草店镇岳家湾村鸿发石材厂，将生产期间产生的改料废水排进村里的集体池塘里，污染了水质及土壤，导致池塘里的水不能用。村里和鸿发石材厂进行沟通后，该厂表示村里先将池塘里的水抽干净，其后再清理河道，并将此地水质，土壤还原。但在村里把水抽干之后，该厂至今未进行任何处理，故希望相关部门督促鸿发石材厂清理河道还原池塘，并在清理结束后用专业仪器检测是否存在致癌物质，将检测报告公示。</w:t>
            </w:r>
          </w:p>
        </w:tc>
        <w:tc>
          <w:tcPr>
            <w:tcW w:w="2035" w:type="pct"/>
            <w:vAlign w:val="center"/>
          </w:tcPr>
          <w:p w14:paraId="292EE978">
            <w:pPr>
              <w:spacing w:line="320" w:lineRule="exact"/>
              <w:ind w:left="-52" w:leftChars="-25" w:right="-52" w:rightChars="-25" w:firstLine="420" w:firstLineChars="200"/>
              <w:contextualSpacing/>
              <w:jc w:val="left"/>
              <w:rPr>
                <w:szCs w:val="21"/>
              </w:rPr>
            </w:pPr>
            <w:r>
              <w:rPr>
                <w:rFonts w:hint="eastAsia"/>
                <w:szCs w:val="21"/>
              </w:rPr>
              <w:t>信访人反映情况属实。（一）关于反映的“随县草店镇岳家湾村鸿发石材厂，将生产期间产生的改料废水排进村里的集体池塘里”问题。</w:t>
            </w:r>
          </w:p>
          <w:p w14:paraId="07854558">
            <w:pPr>
              <w:spacing w:line="320" w:lineRule="exact"/>
              <w:ind w:left="-52" w:leftChars="-25" w:right="-52" w:rightChars="-25" w:firstLine="420" w:firstLineChars="200"/>
              <w:contextualSpacing/>
              <w:jc w:val="left"/>
              <w:rPr>
                <w:szCs w:val="21"/>
              </w:rPr>
            </w:pPr>
            <w:r>
              <w:rPr>
                <w:rFonts w:hint="eastAsia"/>
                <w:szCs w:val="21"/>
              </w:rPr>
              <w:t>经调查，反映情况属实。</w:t>
            </w:r>
          </w:p>
          <w:p w14:paraId="06A31B89">
            <w:pPr>
              <w:spacing w:line="320" w:lineRule="exact"/>
              <w:ind w:left="-52" w:leftChars="-25" w:right="-52" w:rightChars="-25" w:firstLine="420" w:firstLineChars="200"/>
              <w:contextualSpacing/>
              <w:jc w:val="left"/>
              <w:rPr>
                <w:szCs w:val="21"/>
              </w:rPr>
            </w:pPr>
            <w:r>
              <w:rPr>
                <w:rFonts w:hint="eastAsia"/>
                <w:szCs w:val="21"/>
              </w:rPr>
              <w:t>2023年12月9日，随县成立联合专班到信访人反映的随县鸿发石业有限公司进行调查核实。经查，随县鸿发石业有限公司于2022年4月停产至今。2023年11月18日因公司临时用地手续到期，对厂区南侧的原大切沉淀池（已停用3年）进行覆土修复，在施工过程中造成存放在沉淀池内的废水外溢，通过雨水沟排入下方信访人所反映的集体水塘（面积200平方米）内。</w:t>
            </w:r>
          </w:p>
          <w:p w14:paraId="4C531F77">
            <w:pPr>
              <w:spacing w:line="320" w:lineRule="exact"/>
              <w:ind w:left="-52" w:leftChars="-25" w:right="-52" w:rightChars="-25" w:firstLine="420" w:firstLineChars="200"/>
              <w:contextualSpacing/>
              <w:jc w:val="left"/>
              <w:rPr>
                <w:szCs w:val="21"/>
              </w:rPr>
            </w:pPr>
            <w:r>
              <w:rPr>
                <w:rFonts w:hint="eastAsia"/>
                <w:szCs w:val="21"/>
              </w:rPr>
              <w:t>（二）关于反映的“污染了水质及土壤，导致池塘里的水不能用，村里和鸿发石材厂进行沟通后，该厂表示村里先将池塘里的水抽干净，其后再清理河道，并将此地水质，土壤还原。但在村里把水抽干之后，该厂至今未进行任何处理，故希望相关部门督促鸿发石材厂清理河道还原池塘，并在清理结束后用专业仪器检测是否存在致癌物质，将检测报告公示”问题</w:t>
            </w:r>
          </w:p>
          <w:p w14:paraId="6625C1BD">
            <w:pPr>
              <w:spacing w:line="320" w:lineRule="exact"/>
              <w:ind w:left="-52" w:leftChars="-25" w:right="-52" w:rightChars="-25" w:firstLine="420" w:firstLineChars="200"/>
              <w:contextualSpacing/>
              <w:jc w:val="left"/>
              <w:rPr>
                <w:szCs w:val="21"/>
              </w:rPr>
            </w:pPr>
            <w:r>
              <w:rPr>
                <w:rFonts w:hint="eastAsia"/>
                <w:szCs w:val="21"/>
              </w:rPr>
              <w:t>经调查，反映情况属实。</w:t>
            </w:r>
          </w:p>
          <w:p w14:paraId="6C446C7D">
            <w:pPr>
              <w:spacing w:line="320" w:lineRule="exact"/>
              <w:ind w:left="-52" w:leftChars="-25" w:right="-52" w:rightChars="-25" w:firstLine="420" w:firstLineChars="200"/>
              <w:contextualSpacing/>
              <w:jc w:val="left"/>
              <w:rPr>
                <w:szCs w:val="21"/>
              </w:rPr>
            </w:pPr>
            <w:r>
              <w:rPr>
                <w:rFonts w:hint="eastAsia"/>
                <w:szCs w:val="21"/>
              </w:rPr>
              <w:t>2023年12月9日，专班到信访人反映的随县鸿发石业有限公司进行现场调查。该情况发生后，经村民要求，已将水塘内大部分水进行排放，现场检查时该水塘内水量较少，水质无明显异常，已于2023年12月9日在周边村民见证下对该水塘内水和底泥取样检测，目前正在检测中。</w:t>
            </w:r>
          </w:p>
        </w:tc>
        <w:tc>
          <w:tcPr>
            <w:tcW w:w="1063" w:type="pct"/>
            <w:vAlign w:val="center"/>
          </w:tcPr>
          <w:p w14:paraId="689AF5DA">
            <w:pPr>
              <w:spacing w:line="320" w:lineRule="exact"/>
              <w:ind w:left="-52" w:leftChars="-25" w:right="-52" w:rightChars="-25" w:firstLine="420" w:firstLineChars="200"/>
              <w:contextualSpacing/>
              <w:jc w:val="left"/>
              <w:rPr>
                <w:szCs w:val="21"/>
              </w:rPr>
            </w:pPr>
            <w:r>
              <w:rPr>
                <w:rFonts w:hint="eastAsia"/>
                <w:szCs w:val="21"/>
              </w:rPr>
              <w:t>1.2023年12月10日，随州市生态环境局随县分局对该公司存在的环境问题下达了《责令改正违法行为决定书》（随环随责改字〔2023〕136号），责令该公司对该水塘内水及底泥进行清理修复，待检测结果出来后将依法进行处置。</w:t>
            </w:r>
          </w:p>
          <w:p w14:paraId="7F4F98F6">
            <w:pPr>
              <w:spacing w:line="320" w:lineRule="exact"/>
              <w:ind w:left="-52" w:leftChars="-25" w:right="-52" w:rightChars="-25" w:firstLine="420" w:firstLineChars="200"/>
              <w:contextualSpacing/>
              <w:jc w:val="left"/>
              <w:rPr>
                <w:szCs w:val="21"/>
              </w:rPr>
            </w:pPr>
            <w:r>
              <w:rPr>
                <w:rFonts w:hint="eastAsia"/>
                <w:szCs w:val="21"/>
              </w:rPr>
              <w:t>2.督促企业履行主体责任，严格落实环境保护管理的相关制度，杜绝类似情况发生。</w:t>
            </w:r>
          </w:p>
          <w:p w14:paraId="5A2808DC">
            <w:pPr>
              <w:spacing w:line="320" w:lineRule="exact"/>
              <w:ind w:left="-52" w:leftChars="-25" w:right="-52" w:rightChars="-25" w:firstLine="420" w:firstLineChars="200"/>
              <w:contextualSpacing/>
              <w:jc w:val="left"/>
              <w:rPr>
                <w:szCs w:val="21"/>
              </w:rPr>
            </w:pPr>
            <w:r>
              <w:rPr>
                <w:rFonts w:hint="eastAsia"/>
                <w:szCs w:val="21"/>
              </w:rPr>
              <w:t>3.做好村民沟通解释工作，并将检测报告在草店镇岳家湾村村委会予以公示。</w:t>
            </w:r>
          </w:p>
        </w:tc>
        <w:tc>
          <w:tcPr>
            <w:tcW w:w="643" w:type="pct"/>
            <w:vAlign w:val="center"/>
          </w:tcPr>
          <w:p w14:paraId="290BE07B">
            <w:pPr>
              <w:spacing w:line="320" w:lineRule="exact"/>
              <w:ind w:left="-52" w:leftChars="-25" w:right="-52" w:rightChars="-25"/>
              <w:contextualSpacing/>
              <w:jc w:val="center"/>
              <w:rPr>
                <w:szCs w:val="21"/>
              </w:rPr>
            </w:pPr>
            <w:r>
              <w:rPr>
                <w:rFonts w:hint="eastAsia"/>
                <w:szCs w:val="21"/>
              </w:rPr>
              <w:t>随州市关于省第六生态环境保护督察组第二批交办件查处情况的公示</w:t>
            </w:r>
          </w:p>
          <w:p w14:paraId="1E6CB25F">
            <w:pPr>
              <w:spacing w:line="320" w:lineRule="exact"/>
              <w:ind w:left="-52" w:leftChars="-25" w:right="-52" w:rightChars="-25"/>
              <w:contextualSpacing/>
              <w:jc w:val="center"/>
              <w:rPr>
                <w:szCs w:val="21"/>
              </w:rPr>
            </w:pPr>
            <w:r>
              <w:rPr>
                <w:rFonts w:hint="eastAsia"/>
                <w:szCs w:val="21"/>
              </w:rPr>
              <w:t>（截至2023年12月15日10时）</w:t>
            </w:r>
          </w:p>
        </w:tc>
      </w:tr>
      <w:tr w14:paraId="1C863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651C5E08">
            <w:pPr>
              <w:widowControl/>
              <w:spacing w:line="320" w:lineRule="exact"/>
              <w:jc w:val="center"/>
              <w:rPr>
                <w:kern w:val="0"/>
                <w:szCs w:val="21"/>
              </w:rPr>
            </w:pPr>
            <w:r>
              <w:rPr>
                <w:rFonts w:hint="eastAsia"/>
                <w:kern w:val="0"/>
                <w:szCs w:val="21"/>
              </w:rPr>
              <w:t>3</w:t>
            </w:r>
          </w:p>
        </w:tc>
        <w:tc>
          <w:tcPr>
            <w:tcW w:w="966" w:type="pct"/>
            <w:vAlign w:val="center"/>
          </w:tcPr>
          <w:p w14:paraId="0AB1145F">
            <w:pPr>
              <w:spacing w:line="320" w:lineRule="exact"/>
              <w:ind w:left="-52" w:leftChars="-25" w:right="-52" w:rightChars="-25" w:firstLine="420" w:firstLineChars="200"/>
              <w:contextualSpacing/>
              <w:jc w:val="left"/>
              <w:rPr>
                <w:szCs w:val="21"/>
              </w:rPr>
            </w:pPr>
            <w:r>
              <w:rPr>
                <w:rFonts w:hint="eastAsia"/>
                <w:szCs w:val="21"/>
              </w:rPr>
              <w:t>1.随州市随县曹甸镇随州市鸿发石材厂和汉东石材厂路面未硬化，雨天冲刷矿山开采面泥水堆积在路面，水土流失严重。2.车辆运输石材时抛洒灰尘和石子，扬尘污染大。</w:t>
            </w:r>
          </w:p>
        </w:tc>
        <w:tc>
          <w:tcPr>
            <w:tcW w:w="2035" w:type="pct"/>
            <w:vAlign w:val="center"/>
          </w:tcPr>
          <w:p w14:paraId="46F19A2B">
            <w:pPr>
              <w:spacing w:line="320" w:lineRule="exact"/>
              <w:ind w:left="-52" w:leftChars="-25" w:right="-52" w:rightChars="-25" w:firstLine="420" w:firstLineChars="200"/>
              <w:contextualSpacing/>
              <w:jc w:val="left"/>
              <w:rPr>
                <w:szCs w:val="21"/>
              </w:rPr>
            </w:pPr>
            <w:r>
              <w:rPr>
                <w:rFonts w:hint="eastAsia"/>
                <w:szCs w:val="21"/>
              </w:rPr>
              <w:t>信访人反映4个事项。（一）关于信访人反映的“随州市随县曹甸镇随州市鸿发石材厂和汉东石材厂路面未硬化”问题。</w:t>
            </w:r>
          </w:p>
          <w:p w14:paraId="1ADF5F06">
            <w:pPr>
              <w:spacing w:line="320" w:lineRule="exact"/>
              <w:ind w:left="-52" w:leftChars="-25" w:right="-52" w:rightChars="-25" w:firstLine="420" w:firstLineChars="200"/>
              <w:contextualSpacing/>
              <w:jc w:val="left"/>
              <w:rPr>
                <w:szCs w:val="21"/>
              </w:rPr>
            </w:pPr>
            <w:r>
              <w:rPr>
                <w:rFonts w:hint="eastAsia"/>
                <w:szCs w:val="21"/>
              </w:rPr>
              <w:t>该问题不属实。经查：</w:t>
            </w:r>
          </w:p>
          <w:p w14:paraId="02F07616">
            <w:pPr>
              <w:spacing w:line="320" w:lineRule="exact"/>
              <w:ind w:left="-52" w:leftChars="-25" w:right="-52" w:rightChars="-25" w:firstLine="420" w:firstLineChars="200"/>
              <w:contextualSpacing/>
              <w:jc w:val="left"/>
              <w:rPr>
                <w:szCs w:val="21"/>
              </w:rPr>
            </w:pPr>
            <w:r>
              <w:rPr>
                <w:rFonts w:hint="eastAsia"/>
                <w:szCs w:val="21"/>
              </w:rPr>
              <w:t>随县鸿发石业有限公司及随州市汉东石业有限公司厂区路面均采用水泥硬化，随县鸿盛矿业有限公司修建了11公里水泥硬化矿区道路（7米宽），矿山至两个石材加工公司连接道路路面均采用水泥硬化。</w:t>
            </w:r>
          </w:p>
          <w:p w14:paraId="2B80D8CD">
            <w:pPr>
              <w:spacing w:line="320" w:lineRule="exact"/>
              <w:ind w:left="-52" w:leftChars="-25" w:right="-52" w:rightChars="-25" w:firstLine="420" w:firstLineChars="200"/>
              <w:contextualSpacing/>
              <w:jc w:val="left"/>
              <w:rPr>
                <w:szCs w:val="21"/>
              </w:rPr>
            </w:pPr>
            <w:r>
              <w:rPr>
                <w:rFonts w:hint="eastAsia"/>
                <w:szCs w:val="21"/>
              </w:rPr>
              <w:t>（二）关于信访人反映的“雨天冲刷矿山开采面泥水堆积在路面”问题。</w:t>
            </w:r>
          </w:p>
          <w:p w14:paraId="6D4C6796">
            <w:pPr>
              <w:spacing w:line="320" w:lineRule="exact"/>
              <w:ind w:left="-52" w:leftChars="-25" w:right="-52" w:rightChars="-25" w:firstLine="420" w:firstLineChars="200"/>
              <w:contextualSpacing/>
              <w:jc w:val="left"/>
              <w:rPr>
                <w:szCs w:val="21"/>
              </w:rPr>
            </w:pPr>
            <w:r>
              <w:rPr>
                <w:rFonts w:hint="eastAsia"/>
                <w:szCs w:val="21"/>
              </w:rPr>
              <w:t>该问题属实。经查：</w:t>
            </w:r>
          </w:p>
          <w:p w14:paraId="1EBBF7AA">
            <w:pPr>
              <w:spacing w:line="320" w:lineRule="exact"/>
              <w:ind w:left="-52" w:leftChars="-25" w:right="-52" w:rightChars="-25" w:firstLine="420" w:firstLineChars="200"/>
              <w:contextualSpacing/>
              <w:jc w:val="left"/>
              <w:rPr>
                <w:szCs w:val="21"/>
              </w:rPr>
            </w:pPr>
            <w:r>
              <w:rPr>
                <w:rFonts w:hint="eastAsia"/>
                <w:szCs w:val="21"/>
              </w:rPr>
              <w:t>随县鸿盛矿业有限公司开采方式为露天开采，雨天冲刷会将开采面泥水顺地势冲刷至矿山进出道路路面上。该公司配套建设了11公里长的挡土墙及截、排水沟，将泥水进行收集疏通。</w:t>
            </w:r>
          </w:p>
          <w:p w14:paraId="2A49573D">
            <w:pPr>
              <w:spacing w:line="320" w:lineRule="exact"/>
              <w:ind w:left="-52" w:leftChars="-25" w:right="-52" w:rightChars="-25" w:firstLine="420" w:firstLineChars="200"/>
              <w:contextualSpacing/>
              <w:jc w:val="left"/>
              <w:rPr>
                <w:szCs w:val="21"/>
              </w:rPr>
            </w:pPr>
            <w:r>
              <w:rPr>
                <w:rFonts w:hint="eastAsia"/>
                <w:szCs w:val="21"/>
              </w:rPr>
              <w:t>（三）关于信访人反映的“水土流失严重”问题。</w:t>
            </w:r>
          </w:p>
          <w:p w14:paraId="04BC5F2F">
            <w:pPr>
              <w:spacing w:line="320" w:lineRule="exact"/>
              <w:ind w:left="-52" w:leftChars="-25" w:right="-52" w:rightChars="-25" w:firstLine="420" w:firstLineChars="200"/>
              <w:contextualSpacing/>
              <w:jc w:val="left"/>
              <w:rPr>
                <w:szCs w:val="21"/>
              </w:rPr>
            </w:pPr>
            <w:r>
              <w:rPr>
                <w:rFonts w:hint="eastAsia"/>
                <w:szCs w:val="21"/>
              </w:rPr>
              <w:t>该问题不属实。经查：</w:t>
            </w:r>
          </w:p>
          <w:p w14:paraId="49DAB015">
            <w:pPr>
              <w:spacing w:line="320" w:lineRule="exact"/>
              <w:ind w:left="-52" w:leftChars="-25" w:right="-52" w:rightChars="-25" w:firstLine="420" w:firstLineChars="200"/>
              <w:contextualSpacing/>
              <w:jc w:val="left"/>
              <w:rPr>
                <w:szCs w:val="21"/>
              </w:rPr>
            </w:pPr>
            <w:r>
              <w:rPr>
                <w:rFonts w:hint="eastAsia"/>
                <w:szCs w:val="21"/>
              </w:rPr>
              <w:t>随县鸿盛矿业有限公司编制《随县白石岩矿区饰面用花岗岩矿项目水土保持方案报告书》通过专家评审通过后于2022年12月27日获得随县水利和湖泊局审批（随县水政函〔2022〕34号），并按照水土保持方案要求修建了截、排水沟和挡土墙等水土保持工程措施，对冲刷的泥水进行截留收集疏通，并种植了松树、刺槐等植被，起到了防止水土流失作用。</w:t>
            </w:r>
          </w:p>
          <w:p w14:paraId="165C62ED">
            <w:pPr>
              <w:spacing w:line="320" w:lineRule="exact"/>
              <w:ind w:left="-52" w:leftChars="-25" w:right="-52" w:rightChars="-25" w:firstLine="420" w:firstLineChars="200"/>
              <w:contextualSpacing/>
              <w:jc w:val="left"/>
              <w:rPr>
                <w:szCs w:val="21"/>
              </w:rPr>
            </w:pPr>
            <w:r>
              <w:rPr>
                <w:rFonts w:hint="eastAsia"/>
                <w:szCs w:val="21"/>
              </w:rPr>
              <w:t>（四）关于信访人反映的“车辆运输石材时抛洒灰尘和石子，扬尘污染大”问题。</w:t>
            </w:r>
          </w:p>
          <w:p w14:paraId="038EB402">
            <w:pPr>
              <w:spacing w:line="320" w:lineRule="exact"/>
              <w:ind w:left="-52" w:leftChars="-25" w:right="-52" w:rightChars="-25" w:firstLine="420" w:firstLineChars="200"/>
              <w:contextualSpacing/>
              <w:jc w:val="left"/>
              <w:rPr>
                <w:szCs w:val="21"/>
              </w:rPr>
            </w:pPr>
            <w:r>
              <w:rPr>
                <w:rFonts w:hint="eastAsia"/>
                <w:szCs w:val="21"/>
              </w:rPr>
              <w:t>该问题属实。经查：</w:t>
            </w:r>
          </w:p>
          <w:p w14:paraId="172B1D6A">
            <w:pPr>
              <w:spacing w:line="320" w:lineRule="exact"/>
              <w:ind w:left="-52" w:leftChars="-25" w:right="-52" w:rightChars="-25" w:firstLine="420" w:firstLineChars="200"/>
              <w:contextualSpacing/>
              <w:jc w:val="left"/>
              <w:rPr>
                <w:szCs w:val="21"/>
              </w:rPr>
            </w:pPr>
            <w:r>
              <w:rPr>
                <w:rFonts w:hint="eastAsia"/>
                <w:szCs w:val="21"/>
              </w:rPr>
              <w:t>随县鸿发石业有限公司、随州市汉东石业有限公司、随县鸿盛矿业有限公司外运车辆需经过草店镇岳家湾村200米的通村道路。该道路沿线有居民住户，车辆出厂未全部落实覆盖措施，运输过程中会造成石料洒落，行驶时带起的扬尘对周边环境造成影响。</w:t>
            </w:r>
          </w:p>
          <w:p w14:paraId="7EEAF9B3">
            <w:pPr>
              <w:spacing w:line="320" w:lineRule="exact"/>
              <w:ind w:left="-52" w:leftChars="-25" w:right="-52" w:rightChars="-25" w:firstLine="420" w:firstLineChars="200"/>
              <w:contextualSpacing/>
              <w:jc w:val="left"/>
              <w:rPr>
                <w:szCs w:val="21"/>
              </w:rPr>
            </w:pPr>
            <w:r>
              <w:rPr>
                <w:rFonts w:hint="eastAsia"/>
                <w:szCs w:val="21"/>
              </w:rPr>
              <w:t>综上所述，投诉反映情况属实。该问题属于群众身边的生态环境问题。</w:t>
            </w:r>
          </w:p>
        </w:tc>
        <w:tc>
          <w:tcPr>
            <w:tcW w:w="1063" w:type="pct"/>
            <w:vAlign w:val="center"/>
          </w:tcPr>
          <w:p w14:paraId="165F5277">
            <w:pPr>
              <w:spacing w:line="320" w:lineRule="exact"/>
              <w:ind w:left="-52" w:leftChars="-25" w:right="-52" w:rightChars="-25" w:firstLine="420" w:firstLineChars="200"/>
              <w:contextualSpacing/>
              <w:jc w:val="left"/>
              <w:rPr>
                <w:szCs w:val="21"/>
              </w:rPr>
            </w:pPr>
            <w:r>
              <w:rPr>
                <w:rFonts w:hint="eastAsia"/>
                <w:szCs w:val="21"/>
              </w:rPr>
              <w:t>1.加快基础设施建设。为避免石材外运车辆从岳家湾村穿行造成安全隐患及环境影响，草店镇人民政府于2024年4月投资1200万元建设总长1.5公里的镇区石材专用通道，现已基本完工，正进行最后养护，计划2024年6月底通车使用。届时，石材外运车辆将避开草店岳家湾通村公路，消除对岳家湾沿线居民住户的环境影响。</w:t>
            </w:r>
          </w:p>
          <w:p w14:paraId="76E01736">
            <w:pPr>
              <w:spacing w:line="320" w:lineRule="exact"/>
              <w:ind w:left="-52" w:leftChars="-25" w:right="-52" w:rightChars="-25" w:firstLine="420" w:firstLineChars="200"/>
              <w:contextualSpacing/>
              <w:jc w:val="left"/>
              <w:rPr>
                <w:szCs w:val="21"/>
              </w:rPr>
            </w:pPr>
            <w:r>
              <w:rPr>
                <w:rFonts w:hint="eastAsia"/>
                <w:szCs w:val="21"/>
              </w:rPr>
              <w:t>2.严格做好洒水降尘工作。建立健全矿山开采企业和加工企业生态环境保护机制，增加生态环境保护设备和经费投入，切实落实矿山开采清洁生产各项要求。多部门联合专班加大巡查监管力度，严格要求企业对石材运输道路、加工厂区及开采平台按时做好洒水降尘处理。确保运输车辆实现封闭覆盖运输，治理超载超量运输。出矿区运输车辆必须经过冲洗站冲洗，安排专人负责道路日常清扫养护。</w:t>
            </w:r>
          </w:p>
          <w:p w14:paraId="2DF81ED6">
            <w:pPr>
              <w:spacing w:line="320" w:lineRule="exact"/>
              <w:ind w:left="-52" w:leftChars="-25" w:right="-52" w:rightChars="-25" w:firstLine="420" w:firstLineChars="200"/>
              <w:contextualSpacing/>
              <w:jc w:val="left"/>
              <w:rPr>
                <w:szCs w:val="21"/>
              </w:rPr>
            </w:pPr>
            <w:r>
              <w:rPr>
                <w:rFonts w:hint="eastAsia"/>
                <w:szCs w:val="21"/>
              </w:rPr>
              <w:t>3.加大监管力度，定期开展巡查。落实各项污染治理设施正常运行，减少和消除对周边环境的影响。</w:t>
            </w:r>
          </w:p>
        </w:tc>
        <w:tc>
          <w:tcPr>
            <w:tcW w:w="643" w:type="pct"/>
            <w:vAlign w:val="center"/>
          </w:tcPr>
          <w:p w14:paraId="45D87623">
            <w:pPr>
              <w:spacing w:line="320" w:lineRule="exact"/>
              <w:ind w:left="-52" w:leftChars="-25" w:right="-52" w:rightChars="-25"/>
              <w:contextualSpacing/>
              <w:jc w:val="center"/>
              <w:rPr>
                <w:szCs w:val="21"/>
              </w:rPr>
            </w:pPr>
            <w:r>
              <w:rPr>
                <w:rFonts w:hint="eastAsia"/>
                <w:szCs w:val="21"/>
              </w:rPr>
              <w:t>中央生态环境保护督察群众信访举报转办和边督边改公开情况（第</w:t>
            </w:r>
            <w:r>
              <w:rPr>
                <w:szCs w:val="21"/>
              </w:rPr>
              <w:t>24</w:t>
            </w:r>
            <w:r>
              <w:rPr>
                <w:rFonts w:hint="eastAsia"/>
                <w:szCs w:val="21"/>
              </w:rPr>
              <w:t>批</w:t>
            </w:r>
            <w:r>
              <w:rPr>
                <w:szCs w:val="21"/>
              </w:rPr>
              <w:t xml:space="preserve">          2024</w:t>
            </w:r>
            <w:r>
              <w:rPr>
                <w:rFonts w:hint="eastAsia"/>
                <w:szCs w:val="21"/>
              </w:rPr>
              <w:t>年</w:t>
            </w:r>
            <w:r>
              <w:rPr>
                <w:szCs w:val="21"/>
              </w:rPr>
              <w:t>6</w:t>
            </w:r>
            <w:r>
              <w:rPr>
                <w:rFonts w:hint="eastAsia"/>
                <w:szCs w:val="21"/>
              </w:rPr>
              <w:t>月</w:t>
            </w:r>
            <w:r>
              <w:rPr>
                <w:szCs w:val="21"/>
              </w:rPr>
              <w:t>10</w:t>
            </w:r>
            <w:r>
              <w:rPr>
                <w:rFonts w:hint="eastAsia"/>
                <w:szCs w:val="21"/>
              </w:rPr>
              <w:t>日）</w:t>
            </w:r>
          </w:p>
        </w:tc>
      </w:tr>
    </w:tbl>
    <w:p w14:paraId="2667C9B2">
      <w:pPr>
        <w:spacing w:line="360" w:lineRule="auto"/>
        <w:ind w:firstLine="422"/>
        <w:jc w:val="center"/>
        <w:rPr>
          <w:b/>
          <w:szCs w:val="21"/>
        </w:rPr>
        <w:sectPr>
          <w:pgSz w:w="16838" w:h="11906" w:orient="landscape"/>
          <w:pgMar w:top="1797" w:right="1559" w:bottom="1797" w:left="1559" w:header="851" w:footer="862" w:gutter="0"/>
          <w:cols w:space="425" w:num="1"/>
          <w:docGrid w:type="linesAndChars" w:linePitch="312" w:charSpace="0"/>
        </w:sectPr>
      </w:pPr>
    </w:p>
    <w:p w14:paraId="281530D9">
      <w:pPr>
        <w:spacing w:line="360" w:lineRule="auto"/>
        <w:ind w:firstLine="422"/>
        <w:jc w:val="center"/>
        <w:rPr>
          <w:rFonts w:eastAsiaTheme="minorEastAsia"/>
          <w:b/>
          <w:szCs w:val="21"/>
        </w:rPr>
      </w:pPr>
      <w:r>
        <w:rPr>
          <w:b/>
          <w:szCs w:val="21"/>
        </w:rPr>
        <w:t>表</w:t>
      </w:r>
      <w:r>
        <w:rPr>
          <w:rFonts w:hint="eastAsia"/>
          <w:b/>
          <w:szCs w:val="21"/>
        </w:rPr>
        <w:t>3.4.4-2</w:t>
      </w:r>
      <w:r>
        <w:rPr>
          <w:rFonts w:hint="eastAsia" w:eastAsiaTheme="minorEastAsia"/>
          <w:b/>
          <w:szCs w:val="21"/>
        </w:rPr>
        <w:t xml:space="preserve">  近几年园区处罚案件及整改情况</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648"/>
        <w:gridCol w:w="1504"/>
        <w:gridCol w:w="2695"/>
        <w:gridCol w:w="2181"/>
      </w:tblGrid>
      <w:tr w14:paraId="7A83F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3B6675B0">
            <w:pPr>
              <w:widowControl/>
              <w:spacing w:line="320" w:lineRule="exact"/>
              <w:jc w:val="center"/>
              <w:rPr>
                <w:kern w:val="0"/>
                <w:szCs w:val="21"/>
              </w:rPr>
            </w:pPr>
            <w:r>
              <w:rPr>
                <w:rFonts w:hint="eastAsia" w:eastAsiaTheme="minorEastAsia"/>
                <w:kern w:val="0"/>
                <w:szCs w:val="21"/>
              </w:rPr>
              <w:t>序号</w:t>
            </w:r>
          </w:p>
        </w:tc>
        <w:tc>
          <w:tcPr>
            <w:tcW w:w="966" w:type="pct"/>
            <w:vAlign w:val="center"/>
          </w:tcPr>
          <w:p w14:paraId="39636E4A">
            <w:pPr>
              <w:spacing w:line="320" w:lineRule="exact"/>
              <w:ind w:left="-53" w:leftChars="-25" w:right="-53" w:rightChars="-25"/>
              <w:contextualSpacing/>
              <w:jc w:val="center"/>
              <w:rPr>
                <w:szCs w:val="21"/>
              </w:rPr>
            </w:pPr>
            <w:r>
              <w:rPr>
                <w:rFonts w:hint="eastAsia" w:eastAsiaTheme="minorEastAsia"/>
                <w:kern w:val="0"/>
                <w:szCs w:val="21"/>
              </w:rPr>
              <w:t>被处罚单位名称</w:t>
            </w:r>
          </w:p>
        </w:tc>
        <w:tc>
          <w:tcPr>
            <w:tcW w:w="882" w:type="pct"/>
            <w:tcBorders>
              <w:right w:val="single" w:color="auto" w:sz="4" w:space="0"/>
            </w:tcBorders>
            <w:vAlign w:val="center"/>
          </w:tcPr>
          <w:p w14:paraId="5DC964BA">
            <w:pPr>
              <w:spacing w:line="320" w:lineRule="exact"/>
              <w:ind w:left="-53" w:leftChars="-25" w:right="-53" w:rightChars="-25"/>
              <w:contextualSpacing/>
              <w:jc w:val="center"/>
              <w:rPr>
                <w:szCs w:val="21"/>
              </w:rPr>
            </w:pPr>
            <w:r>
              <w:rPr>
                <w:rFonts w:hint="eastAsia" w:eastAsiaTheme="minorEastAsia"/>
                <w:kern w:val="0"/>
                <w:szCs w:val="21"/>
              </w:rPr>
              <w:t>处罚文号</w:t>
            </w:r>
          </w:p>
        </w:tc>
        <w:tc>
          <w:tcPr>
            <w:tcW w:w="1580" w:type="pct"/>
            <w:tcBorders>
              <w:left w:val="single" w:color="auto" w:sz="4" w:space="0"/>
              <w:right w:val="single" w:color="auto" w:sz="4" w:space="0"/>
            </w:tcBorders>
            <w:vAlign w:val="center"/>
          </w:tcPr>
          <w:p w14:paraId="46210D00">
            <w:pPr>
              <w:spacing w:line="320" w:lineRule="exact"/>
              <w:ind w:left="-53" w:leftChars="-25" w:right="-53" w:rightChars="-25"/>
              <w:contextualSpacing/>
              <w:jc w:val="center"/>
              <w:rPr>
                <w:szCs w:val="21"/>
              </w:rPr>
            </w:pPr>
            <w:r>
              <w:rPr>
                <w:rFonts w:hint="eastAsia" w:eastAsiaTheme="minorEastAsia"/>
                <w:kern w:val="0"/>
                <w:szCs w:val="21"/>
              </w:rPr>
              <w:t>处罚事由</w:t>
            </w:r>
          </w:p>
        </w:tc>
        <w:tc>
          <w:tcPr>
            <w:tcW w:w="1279" w:type="pct"/>
            <w:tcBorders>
              <w:left w:val="single" w:color="auto" w:sz="4" w:space="0"/>
            </w:tcBorders>
            <w:vAlign w:val="center"/>
          </w:tcPr>
          <w:p w14:paraId="66970341">
            <w:pPr>
              <w:spacing w:line="320" w:lineRule="exact"/>
              <w:ind w:left="-53" w:leftChars="-25" w:right="-53" w:rightChars="-25"/>
              <w:contextualSpacing/>
              <w:jc w:val="center"/>
              <w:rPr>
                <w:szCs w:val="21"/>
              </w:rPr>
            </w:pPr>
            <w:r>
              <w:rPr>
                <w:rFonts w:hint="eastAsia" w:eastAsiaTheme="minorEastAsia"/>
                <w:kern w:val="0"/>
                <w:szCs w:val="21"/>
              </w:rPr>
              <w:t>整改情况</w:t>
            </w:r>
          </w:p>
        </w:tc>
      </w:tr>
      <w:tr w14:paraId="741A8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5D624227">
            <w:pPr>
              <w:widowControl/>
              <w:spacing w:line="320" w:lineRule="exact"/>
              <w:jc w:val="center"/>
              <w:rPr>
                <w:kern w:val="0"/>
                <w:szCs w:val="21"/>
              </w:rPr>
            </w:pPr>
            <w:r>
              <w:rPr>
                <w:rFonts w:hint="eastAsia" w:eastAsiaTheme="minorEastAsia"/>
                <w:kern w:val="0"/>
                <w:szCs w:val="21"/>
              </w:rPr>
              <w:t>1</w:t>
            </w:r>
          </w:p>
        </w:tc>
        <w:tc>
          <w:tcPr>
            <w:tcW w:w="966" w:type="pct"/>
            <w:vAlign w:val="center"/>
          </w:tcPr>
          <w:p w14:paraId="3ADB40BD">
            <w:pPr>
              <w:spacing w:line="320" w:lineRule="exact"/>
              <w:ind w:left="-53" w:leftChars="-25" w:right="-53" w:rightChars="-25"/>
              <w:contextualSpacing/>
              <w:jc w:val="center"/>
              <w:rPr>
                <w:szCs w:val="21"/>
              </w:rPr>
            </w:pPr>
            <w:r>
              <w:rPr>
                <w:rFonts w:hint="eastAsia" w:eastAsiaTheme="minorEastAsia"/>
                <w:kern w:val="0"/>
                <w:szCs w:val="21"/>
              </w:rPr>
              <w:t>随州市鹏兴石业有限公司</w:t>
            </w:r>
          </w:p>
        </w:tc>
        <w:tc>
          <w:tcPr>
            <w:tcW w:w="882" w:type="pct"/>
            <w:tcBorders>
              <w:right w:val="single" w:color="auto" w:sz="4" w:space="0"/>
            </w:tcBorders>
            <w:vAlign w:val="center"/>
          </w:tcPr>
          <w:p w14:paraId="347A132C">
            <w:pPr>
              <w:spacing w:line="320" w:lineRule="exact"/>
              <w:ind w:left="-53" w:leftChars="-25" w:right="-53" w:rightChars="-25"/>
              <w:contextualSpacing/>
              <w:jc w:val="center"/>
              <w:rPr>
                <w:szCs w:val="21"/>
              </w:rPr>
            </w:pPr>
            <w:r>
              <w:rPr>
                <w:rFonts w:hint="eastAsia" w:eastAsiaTheme="minorEastAsia"/>
                <w:kern w:val="0"/>
                <w:szCs w:val="21"/>
              </w:rPr>
              <w:t>随环随罚字〔2021〕42号</w:t>
            </w:r>
          </w:p>
        </w:tc>
        <w:tc>
          <w:tcPr>
            <w:tcW w:w="1580" w:type="pct"/>
            <w:tcBorders>
              <w:left w:val="single" w:color="auto" w:sz="4" w:space="0"/>
              <w:right w:val="single" w:color="auto" w:sz="4" w:space="0"/>
            </w:tcBorders>
            <w:vAlign w:val="center"/>
          </w:tcPr>
          <w:p w14:paraId="76C6D9D1">
            <w:pPr>
              <w:spacing w:line="320" w:lineRule="exact"/>
              <w:ind w:left="-53" w:leftChars="-25" w:right="-53" w:rightChars="-25" w:firstLine="420" w:firstLineChars="200"/>
              <w:contextualSpacing/>
              <w:jc w:val="left"/>
              <w:rPr>
                <w:szCs w:val="21"/>
              </w:rPr>
            </w:pPr>
            <w:r>
              <w:rPr>
                <w:rFonts w:hint="eastAsia" w:eastAsiaTheme="minorEastAsia"/>
                <w:kern w:val="0"/>
                <w:szCs w:val="21"/>
              </w:rPr>
              <w:t>未建立环境管理台账记录制度</w:t>
            </w:r>
          </w:p>
        </w:tc>
        <w:tc>
          <w:tcPr>
            <w:tcW w:w="1279" w:type="pct"/>
            <w:tcBorders>
              <w:left w:val="single" w:color="auto" w:sz="4" w:space="0"/>
            </w:tcBorders>
            <w:vAlign w:val="center"/>
          </w:tcPr>
          <w:p w14:paraId="2C30055A">
            <w:pPr>
              <w:spacing w:line="320" w:lineRule="exact"/>
              <w:ind w:left="-53" w:leftChars="-25" w:right="-53" w:rightChars="-25" w:firstLine="420" w:firstLineChars="200"/>
              <w:contextualSpacing/>
              <w:jc w:val="left"/>
              <w:rPr>
                <w:szCs w:val="21"/>
              </w:rPr>
            </w:pPr>
            <w:r>
              <w:rPr>
                <w:rFonts w:hint="eastAsia"/>
                <w:szCs w:val="21"/>
              </w:rPr>
              <w:t>按要求建立环境管理台账记录制度</w:t>
            </w:r>
          </w:p>
        </w:tc>
      </w:tr>
      <w:tr w14:paraId="5F364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6BD18BCE">
            <w:pPr>
              <w:widowControl/>
              <w:spacing w:line="320" w:lineRule="exact"/>
              <w:jc w:val="center"/>
              <w:rPr>
                <w:rFonts w:eastAsiaTheme="minorEastAsia"/>
                <w:kern w:val="0"/>
                <w:szCs w:val="21"/>
              </w:rPr>
            </w:pPr>
            <w:r>
              <w:rPr>
                <w:rFonts w:hint="eastAsia" w:eastAsiaTheme="minorEastAsia"/>
                <w:kern w:val="0"/>
                <w:szCs w:val="21"/>
              </w:rPr>
              <w:t>2</w:t>
            </w:r>
          </w:p>
        </w:tc>
        <w:tc>
          <w:tcPr>
            <w:tcW w:w="966" w:type="pct"/>
            <w:vAlign w:val="center"/>
          </w:tcPr>
          <w:p w14:paraId="5949680B">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随州华晨石业有限公司</w:t>
            </w:r>
          </w:p>
        </w:tc>
        <w:tc>
          <w:tcPr>
            <w:tcW w:w="882" w:type="pct"/>
            <w:tcBorders>
              <w:right w:val="single" w:color="auto" w:sz="4" w:space="0"/>
            </w:tcBorders>
            <w:vAlign w:val="center"/>
          </w:tcPr>
          <w:p w14:paraId="745274E3">
            <w:pPr>
              <w:widowControl/>
              <w:spacing w:line="320" w:lineRule="exact"/>
              <w:ind w:left="-25" w:right="-25"/>
              <w:jc w:val="center"/>
              <w:rPr>
                <w:rFonts w:eastAsiaTheme="minorEastAsia"/>
                <w:kern w:val="0"/>
                <w:szCs w:val="21"/>
              </w:rPr>
            </w:pPr>
            <w:r>
              <w:rPr>
                <w:rFonts w:hint="eastAsia" w:eastAsiaTheme="minorEastAsia"/>
                <w:kern w:val="0"/>
                <w:szCs w:val="21"/>
              </w:rPr>
              <w:t>随县环罚字〔2019〕66号</w:t>
            </w:r>
          </w:p>
        </w:tc>
        <w:tc>
          <w:tcPr>
            <w:tcW w:w="1580" w:type="pct"/>
            <w:tcBorders>
              <w:left w:val="single" w:color="auto" w:sz="4" w:space="0"/>
              <w:right w:val="single" w:color="auto" w:sz="4" w:space="0"/>
            </w:tcBorders>
            <w:vAlign w:val="center"/>
          </w:tcPr>
          <w:p w14:paraId="7FD39DBA">
            <w:pPr>
              <w:spacing w:line="320" w:lineRule="exact"/>
              <w:ind w:left="-53" w:leftChars="-25" w:right="-53" w:rightChars="-25" w:firstLine="420" w:firstLineChars="200"/>
              <w:contextualSpacing/>
              <w:jc w:val="left"/>
              <w:rPr>
                <w:szCs w:val="21"/>
              </w:rPr>
            </w:pPr>
            <w:r>
              <w:rPr>
                <w:rFonts w:hint="eastAsia" w:eastAsiaTheme="minorEastAsia"/>
                <w:kern w:val="0"/>
                <w:szCs w:val="21"/>
              </w:rPr>
              <w:t>生产废水收集池未采取防渗透措施。</w:t>
            </w:r>
          </w:p>
        </w:tc>
        <w:tc>
          <w:tcPr>
            <w:tcW w:w="1279" w:type="pct"/>
            <w:tcBorders>
              <w:left w:val="single" w:color="auto" w:sz="4" w:space="0"/>
            </w:tcBorders>
            <w:vAlign w:val="center"/>
          </w:tcPr>
          <w:p w14:paraId="14DE9516">
            <w:pPr>
              <w:spacing w:line="320" w:lineRule="exact"/>
              <w:ind w:left="-53" w:leftChars="-25" w:right="-53" w:rightChars="-25" w:firstLine="420" w:firstLineChars="200"/>
              <w:contextualSpacing/>
              <w:jc w:val="left"/>
              <w:rPr>
                <w:szCs w:val="21"/>
              </w:rPr>
            </w:pPr>
            <w:r>
              <w:rPr>
                <w:rFonts w:hint="eastAsia"/>
                <w:szCs w:val="21"/>
              </w:rPr>
              <w:t>按要求对生产废水收集池采取防渗透措施</w:t>
            </w:r>
          </w:p>
        </w:tc>
      </w:tr>
      <w:tr w14:paraId="04558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246818CF">
            <w:pPr>
              <w:widowControl/>
              <w:spacing w:line="320" w:lineRule="exact"/>
              <w:jc w:val="center"/>
              <w:rPr>
                <w:rFonts w:eastAsiaTheme="minorEastAsia"/>
                <w:kern w:val="0"/>
                <w:szCs w:val="21"/>
              </w:rPr>
            </w:pPr>
            <w:r>
              <w:rPr>
                <w:rFonts w:hint="eastAsia" w:eastAsiaTheme="minorEastAsia"/>
                <w:kern w:val="0"/>
                <w:szCs w:val="21"/>
              </w:rPr>
              <w:t>3</w:t>
            </w:r>
          </w:p>
        </w:tc>
        <w:tc>
          <w:tcPr>
            <w:tcW w:w="966" w:type="pct"/>
            <w:vAlign w:val="center"/>
          </w:tcPr>
          <w:p w14:paraId="7EEBE483">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随州市清源矿业有限公司</w:t>
            </w:r>
          </w:p>
        </w:tc>
        <w:tc>
          <w:tcPr>
            <w:tcW w:w="882" w:type="pct"/>
            <w:tcBorders>
              <w:right w:val="single" w:color="auto" w:sz="4" w:space="0"/>
            </w:tcBorders>
            <w:vAlign w:val="center"/>
          </w:tcPr>
          <w:p w14:paraId="0FCFA853">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随环随罚〔2024〕11号</w:t>
            </w:r>
          </w:p>
        </w:tc>
        <w:tc>
          <w:tcPr>
            <w:tcW w:w="1580" w:type="pct"/>
            <w:tcBorders>
              <w:left w:val="single" w:color="auto" w:sz="4" w:space="0"/>
              <w:right w:val="single" w:color="auto" w:sz="4" w:space="0"/>
            </w:tcBorders>
            <w:vAlign w:val="center"/>
          </w:tcPr>
          <w:p w14:paraId="5907A1D1">
            <w:pPr>
              <w:spacing w:line="320" w:lineRule="exact"/>
              <w:ind w:left="-53" w:leftChars="-25" w:right="-53" w:rightChars="-25" w:firstLine="420" w:firstLineChars="200"/>
              <w:contextualSpacing/>
              <w:jc w:val="left"/>
              <w:rPr>
                <w:szCs w:val="21"/>
              </w:rPr>
            </w:pPr>
            <w:r>
              <w:rPr>
                <w:rFonts w:hint="eastAsia" w:eastAsiaTheme="minorEastAsia"/>
                <w:kern w:val="0"/>
                <w:szCs w:val="21"/>
              </w:rPr>
              <w:t>切边车间内有1台非道路移动机械（内燃机平衡重式叉车鄂SD0926，车架号：010502P7809）正在作业，该机械属于国三排放阶段，没有安装污染控制装置，没有进行非道路移动机械信息编码登记。</w:t>
            </w:r>
          </w:p>
        </w:tc>
        <w:tc>
          <w:tcPr>
            <w:tcW w:w="1279" w:type="pct"/>
            <w:tcBorders>
              <w:left w:val="single" w:color="auto" w:sz="4" w:space="0"/>
            </w:tcBorders>
            <w:vAlign w:val="center"/>
          </w:tcPr>
          <w:p w14:paraId="3C3B22A3">
            <w:pPr>
              <w:spacing w:line="320" w:lineRule="exact"/>
              <w:ind w:left="-53" w:leftChars="-25" w:right="-53" w:rightChars="-25" w:firstLine="420" w:firstLineChars="200"/>
              <w:contextualSpacing/>
              <w:jc w:val="left"/>
              <w:rPr>
                <w:szCs w:val="21"/>
              </w:rPr>
            </w:pPr>
            <w:r>
              <w:rPr>
                <w:rFonts w:hint="eastAsia"/>
                <w:szCs w:val="21"/>
              </w:rPr>
              <w:t>对切边车间内非道路移动机械进行加装污染控制装置和进行非道路移动机械信息编码登记。</w:t>
            </w:r>
          </w:p>
        </w:tc>
      </w:tr>
      <w:tr w14:paraId="341A7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03078314">
            <w:pPr>
              <w:widowControl/>
              <w:spacing w:line="320" w:lineRule="exact"/>
              <w:jc w:val="center"/>
              <w:rPr>
                <w:rFonts w:eastAsiaTheme="minorEastAsia"/>
                <w:kern w:val="0"/>
                <w:szCs w:val="21"/>
              </w:rPr>
            </w:pPr>
            <w:r>
              <w:rPr>
                <w:rFonts w:hint="eastAsia" w:eastAsiaTheme="minorEastAsia"/>
                <w:kern w:val="0"/>
                <w:szCs w:val="21"/>
              </w:rPr>
              <w:t>4</w:t>
            </w:r>
          </w:p>
        </w:tc>
        <w:tc>
          <w:tcPr>
            <w:tcW w:w="966" w:type="pct"/>
            <w:vAlign w:val="center"/>
          </w:tcPr>
          <w:p w14:paraId="44FA762C">
            <w:pPr>
              <w:spacing w:line="320" w:lineRule="exact"/>
              <w:ind w:left="-53" w:leftChars="-25" w:right="-53" w:rightChars="-25"/>
              <w:contextualSpacing/>
              <w:jc w:val="center"/>
              <w:rPr>
                <w:szCs w:val="21"/>
              </w:rPr>
            </w:pPr>
            <w:r>
              <w:rPr>
                <w:rFonts w:hint="eastAsia" w:eastAsiaTheme="minorEastAsia"/>
                <w:kern w:val="0"/>
                <w:szCs w:val="21"/>
              </w:rPr>
              <w:t>随州市金源石业有限公司</w:t>
            </w:r>
          </w:p>
        </w:tc>
        <w:tc>
          <w:tcPr>
            <w:tcW w:w="882" w:type="pct"/>
            <w:tcBorders>
              <w:right w:val="single" w:color="auto" w:sz="4" w:space="0"/>
            </w:tcBorders>
            <w:vAlign w:val="center"/>
          </w:tcPr>
          <w:p w14:paraId="0F9FF285">
            <w:pPr>
              <w:spacing w:line="320" w:lineRule="exact"/>
              <w:ind w:left="-53" w:leftChars="-25" w:right="-53" w:rightChars="-25"/>
              <w:contextualSpacing/>
              <w:jc w:val="center"/>
              <w:rPr>
                <w:szCs w:val="21"/>
              </w:rPr>
            </w:pPr>
            <w:r>
              <w:rPr>
                <w:rFonts w:hint="eastAsia" w:eastAsiaTheme="minorEastAsia"/>
                <w:kern w:val="0"/>
                <w:szCs w:val="21"/>
              </w:rPr>
              <w:t>随环随罚字〔2021〕31号</w:t>
            </w:r>
          </w:p>
        </w:tc>
        <w:tc>
          <w:tcPr>
            <w:tcW w:w="1580" w:type="pct"/>
            <w:tcBorders>
              <w:left w:val="single" w:color="auto" w:sz="4" w:space="0"/>
              <w:right w:val="single" w:color="auto" w:sz="4" w:space="0"/>
            </w:tcBorders>
            <w:vAlign w:val="center"/>
          </w:tcPr>
          <w:p w14:paraId="6450F6EA">
            <w:pPr>
              <w:spacing w:line="320" w:lineRule="exact"/>
              <w:ind w:left="-53" w:leftChars="-25" w:right="-53" w:rightChars="-25" w:firstLine="420" w:firstLineChars="200"/>
              <w:contextualSpacing/>
              <w:jc w:val="left"/>
              <w:rPr>
                <w:szCs w:val="21"/>
              </w:rPr>
            </w:pPr>
            <w:r>
              <w:rPr>
                <w:rFonts w:hint="eastAsia" w:eastAsiaTheme="minorEastAsia"/>
                <w:kern w:val="0"/>
                <w:szCs w:val="21"/>
              </w:rPr>
              <w:t>用于收集大切生产废水沉淀池未采取防渗透措施，未建设地下水质监测井。</w:t>
            </w:r>
          </w:p>
        </w:tc>
        <w:tc>
          <w:tcPr>
            <w:tcW w:w="1279" w:type="pct"/>
            <w:tcBorders>
              <w:left w:val="single" w:color="auto" w:sz="4" w:space="0"/>
            </w:tcBorders>
            <w:vAlign w:val="center"/>
          </w:tcPr>
          <w:p w14:paraId="0FE42F0B">
            <w:pPr>
              <w:spacing w:line="320" w:lineRule="exact"/>
              <w:ind w:left="-53" w:leftChars="-25" w:right="-53" w:rightChars="-25" w:firstLine="420" w:firstLineChars="200"/>
              <w:contextualSpacing/>
              <w:jc w:val="left"/>
              <w:rPr>
                <w:szCs w:val="21"/>
              </w:rPr>
            </w:pPr>
            <w:r>
              <w:rPr>
                <w:rFonts w:hint="eastAsia"/>
                <w:szCs w:val="21"/>
              </w:rPr>
              <w:t>按要求对生产废水收集池采取防渗透措施，并建设地下水质监测井。</w:t>
            </w:r>
          </w:p>
        </w:tc>
      </w:tr>
      <w:tr w14:paraId="5540A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30550268">
            <w:pPr>
              <w:widowControl/>
              <w:spacing w:line="320" w:lineRule="exact"/>
              <w:jc w:val="center"/>
              <w:rPr>
                <w:rFonts w:eastAsiaTheme="minorEastAsia"/>
                <w:kern w:val="0"/>
                <w:szCs w:val="21"/>
              </w:rPr>
            </w:pPr>
            <w:r>
              <w:rPr>
                <w:rFonts w:hint="eastAsia" w:eastAsiaTheme="minorEastAsia"/>
                <w:kern w:val="0"/>
                <w:szCs w:val="21"/>
              </w:rPr>
              <w:t>5</w:t>
            </w:r>
          </w:p>
        </w:tc>
        <w:tc>
          <w:tcPr>
            <w:tcW w:w="966" w:type="pct"/>
            <w:vAlign w:val="center"/>
          </w:tcPr>
          <w:p w14:paraId="4E2B039E">
            <w:pPr>
              <w:spacing w:line="320" w:lineRule="exact"/>
              <w:ind w:left="-53" w:leftChars="-25" w:right="-53" w:rightChars="-25"/>
              <w:contextualSpacing/>
              <w:jc w:val="center"/>
              <w:rPr>
                <w:szCs w:val="21"/>
              </w:rPr>
            </w:pPr>
            <w:r>
              <w:rPr>
                <w:rFonts w:hint="eastAsia" w:eastAsiaTheme="minorEastAsia"/>
                <w:kern w:val="0"/>
                <w:szCs w:val="21"/>
              </w:rPr>
              <w:t>随州鑫瑞达石材有限公司</w:t>
            </w:r>
          </w:p>
        </w:tc>
        <w:tc>
          <w:tcPr>
            <w:tcW w:w="882" w:type="pct"/>
            <w:tcBorders>
              <w:right w:val="single" w:color="auto" w:sz="4" w:space="0"/>
            </w:tcBorders>
            <w:vAlign w:val="center"/>
          </w:tcPr>
          <w:p w14:paraId="58D5DD62">
            <w:pPr>
              <w:spacing w:line="320" w:lineRule="exact"/>
              <w:ind w:left="-53" w:leftChars="-25" w:right="-53" w:rightChars="-25"/>
              <w:contextualSpacing/>
              <w:jc w:val="center"/>
              <w:rPr>
                <w:szCs w:val="21"/>
              </w:rPr>
            </w:pPr>
            <w:r>
              <w:rPr>
                <w:rFonts w:hint="eastAsia" w:eastAsiaTheme="minorEastAsia"/>
                <w:kern w:val="0"/>
                <w:szCs w:val="21"/>
              </w:rPr>
              <w:t>随县环罚字〔2019〕70号</w:t>
            </w:r>
          </w:p>
        </w:tc>
        <w:tc>
          <w:tcPr>
            <w:tcW w:w="1580" w:type="pct"/>
            <w:tcBorders>
              <w:left w:val="single" w:color="auto" w:sz="4" w:space="0"/>
              <w:right w:val="single" w:color="auto" w:sz="4" w:space="0"/>
            </w:tcBorders>
            <w:vAlign w:val="center"/>
          </w:tcPr>
          <w:p w14:paraId="608523F0">
            <w:pPr>
              <w:spacing w:line="320" w:lineRule="exact"/>
              <w:ind w:left="-53" w:leftChars="-25" w:right="-53" w:rightChars="-25" w:firstLine="420" w:firstLineChars="200"/>
              <w:contextualSpacing/>
              <w:jc w:val="left"/>
              <w:rPr>
                <w:szCs w:val="21"/>
              </w:rPr>
            </w:pPr>
            <w:r>
              <w:rPr>
                <w:rFonts w:hint="eastAsia" w:eastAsiaTheme="minorEastAsia"/>
                <w:kern w:val="0"/>
                <w:szCs w:val="21"/>
              </w:rPr>
              <w:t>未依法报批环保审批手续，擅自投入建设；且固体废物未采取防流失措施。</w:t>
            </w:r>
          </w:p>
        </w:tc>
        <w:tc>
          <w:tcPr>
            <w:tcW w:w="1279" w:type="pct"/>
            <w:tcBorders>
              <w:left w:val="single" w:color="auto" w:sz="4" w:space="0"/>
            </w:tcBorders>
            <w:vAlign w:val="center"/>
          </w:tcPr>
          <w:p w14:paraId="77BF4A56">
            <w:pPr>
              <w:spacing w:line="320" w:lineRule="exact"/>
              <w:ind w:left="-53" w:leftChars="-25" w:right="-53" w:rightChars="-25" w:firstLine="420" w:firstLineChars="200"/>
              <w:contextualSpacing/>
              <w:jc w:val="left"/>
              <w:rPr>
                <w:szCs w:val="21"/>
              </w:rPr>
            </w:pPr>
            <w:r>
              <w:rPr>
                <w:szCs w:val="21"/>
              </w:rPr>
              <w:t>按要求完善环保审批手续，对固体废物采取防流失措施。</w:t>
            </w:r>
          </w:p>
        </w:tc>
      </w:tr>
      <w:tr w14:paraId="5ED2E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04876EA1">
            <w:pPr>
              <w:widowControl/>
              <w:spacing w:line="320" w:lineRule="exact"/>
              <w:jc w:val="center"/>
              <w:rPr>
                <w:rFonts w:eastAsiaTheme="minorEastAsia"/>
                <w:kern w:val="0"/>
                <w:szCs w:val="21"/>
              </w:rPr>
            </w:pPr>
            <w:r>
              <w:rPr>
                <w:rFonts w:hint="eastAsia" w:eastAsiaTheme="minorEastAsia"/>
                <w:kern w:val="0"/>
                <w:szCs w:val="21"/>
              </w:rPr>
              <w:t>6</w:t>
            </w:r>
          </w:p>
        </w:tc>
        <w:tc>
          <w:tcPr>
            <w:tcW w:w="966" w:type="pct"/>
            <w:vAlign w:val="center"/>
          </w:tcPr>
          <w:p w14:paraId="0C5B1646">
            <w:pPr>
              <w:spacing w:line="320" w:lineRule="exact"/>
              <w:ind w:left="-53" w:leftChars="-25" w:right="-53" w:rightChars="-25"/>
              <w:contextualSpacing/>
              <w:jc w:val="center"/>
              <w:rPr>
                <w:szCs w:val="21"/>
              </w:rPr>
            </w:pPr>
            <w:r>
              <w:rPr>
                <w:rFonts w:hint="eastAsia" w:eastAsiaTheme="minorEastAsia"/>
                <w:kern w:val="0"/>
                <w:szCs w:val="21"/>
              </w:rPr>
              <w:t>随州市天宇石材有限公司（天宇三厂）</w:t>
            </w:r>
          </w:p>
        </w:tc>
        <w:tc>
          <w:tcPr>
            <w:tcW w:w="882" w:type="pct"/>
            <w:tcBorders>
              <w:right w:val="single" w:color="auto" w:sz="4" w:space="0"/>
            </w:tcBorders>
            <w:vAlign w:val="center"/>
          </w:tcPr>
          <w:p w14:paraId="266B5D64">
            <w:pPr>
              <w:spacing w:line="320" w:lineRule="exact"/>
              <w:ind w:left="-53" w:leftChars="-25" w:right="-53" w:rightChars="-25"/>
              <w:contextualSpacing/>
              <w:jc w:val="center"/>
              <w:rPr>
                <w:szCs w:val="21"/>
              </w:rPr>
            </w:pPr>
            <w:r>
              <w:rPr>
                <w:rFonts w:hint="eastAsia" w:eastAsiaTheme="minorEastAsia"/>
                <w:kern w:val="0"/>
                <w:szCs w:val="21"/>
              </w:rPr>
              <w:t>随环随罚字〔2023〕10号</w:t>
            </w:r>
          </w:p>
        </w:tc>
        <w:tc>
          <w:tcPr>
            <w:tcW w:w="1580" w:type="pct"/>
            <w:tcBorders>
              <w:left w:val="single" w:color="auto" w:sz="4" w:space="0"/>
              <w:right w:val="single" w:color="auto" w:sz="4" w:space="0"/>
            </w:tcBorders>
            <w:vAlign w:val="center"/>
          </w:tcPr>
          <w:p w14:paraId="4D200975">
            <w:pPr>
              <w:spacing w:line="320" w:lineRule="exact"/>
              <w:ind w:left="-53" w:leftChars="-25" w:right="-53" w:rightChars="-25" w:firstLine="420" w:firstLineChars="200"/>
              <w:contextualSpacing/>
              <w:jc w:val="left"/>
              <w:rPr>
                <w:szCs w:val="21"/>
              </w:rPr>
            </w:pPr>
            <w:r>
              <w:rPr>
                <w:rFonts w:hint="eastAsia" w:eastAsiaTheme="minorEastAsia"/>
                <w:kern w:val="0"/>
                <w:szCs w:val="21"/>
              </w:rPr>
              <w:t>工业固体废物管理台账未如实记录产生工业固体废物的种类、数量、流向、贮存、利用、处置等信息。</w:t>
            </w:r>
          </w:p>
        </w:tc>
        <w:tc>
          <w:tcPr>
            <w:tcW w:w="1279" w:type="pct"/>
            <w:tcBorders>
              <w:left w:val="single" w:color="auto" w:sz="4" w:space="0"/>
            </w:tcBorders>
            <w:vAlign w:val="center"/>
          </w:tcPr>
          <w:p w14:paraId="583DD9B3">
            <w:pPr>
              <w:spacing w:line="320" w:lineRule="exact"/>
              <w:ind w:left="-53" w:leftChars="-25" w:right="-53" w:rightChars="-25" w:firstLine="420" w:firstLineChars="200"/>
              <w:contextualSpacing/>
              <w:jc w:val="left"/>
              <w:rPr>
                <w:szCs w:val="21"/>
              </w:rPr>
            </w:pPr>
            <w:r>
              <w:rPr>
                <w:rFonts w:hint="eastAsia"/>
                <w:szCs w:val="21"/>
              </w:rPr>
              <w:t>按要求建立</w:t>
            </w:r>
            <w:r>
              <w:rPr>
                <w:rFonts w:hint="eastAsia" w:eastAsiaTheme="minorEastAsia"/>
                <w:kern w:val="0"/>
                <w:szCs w:val="21"/>
              </w:rPr>
              <w:t>工业固体废物管理台账，如实记录相关信息。</w:t>
            </w:r>
          </w:p>
        </w:tc>
      </w:tr>
      <w:tr w14:paraId="087F0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5168CDA7">
            <w:pPr>
              <w:widowControl/>
              <w:spacing w:line="320" w:lineRule="exact"/>
              <w:jc w:val="center"/>
              <w:rPr>
                <w:rFonts w:eastAsiaTheme="minorEastAsia"/>
                <w:kern w:val="0"/>
                <w:szCs w:val="21"/>
              </w:rPr>
            </w:pPr>
            <w:r>
              <w:rPr>
                <w:rFonts w:hint="eastAsia" w:eastAsiaTheme="minorEastAsia"/>
                <w:kern w:val="0"/>
                <w:szCs w:val="21"/>
              </w:rPr>
              <w:t>7</w:t>
            </w:r>
          </w:p>
        </w:tc>
        <w:tc>
          <w:tcPr>
            <w:tcW w:w="966" w:type="pct"/>
            <w:vAlign w:val="center"/>
          </w:tcPr>
          <w:p w14:paraId="6F205F31">
            <w:pPr>
              <w:spacing w:line="320" w:lineRule="exact"/>
              <w:ind w:left="-53" w:leftChars="-25" w:right="-53" w:rightChars="-25"/>
              <w:contextualSpacing/>
              <w:jc w:val="center"/>
              <w:rPr>
                <w:szCs w:val="21"/>
              </w:rPr>
            </w:pPr>
            <w:r>
              <w:rPr>
                <w:rFonts w:hint="eastAsia" w:eastAsiaTheme="minorEastAsia"/>
                <w:kern w:val="0"/>
                <w:szCs w:val="21"/>
              </w:rPr>
              <w:t>湖北省随州市新瑞兴石业有限公司</w:t>
            </w:r>
          </w:p>
        </w:tc>
        <w:tc>
          <w:tcPr>
            <w:tcW w:w="882" w:type="pct"/>
            <w:tcBorders>
              <w:right w:val="single" w:color="auto" w:sz="4" w:space="0"/>
            </w:tcBorders>
            <w:vAlign w:val="center"/>
          </w:tcPr>
          <w:p w14:paraId="6311B6CE">
            <w:pPr>
              <w:spacing w:line="320" w:lineRule="exact"/>
              <w:ind w:left="-53" w:leftChars="-25" w:right="-53" w:rightChars="-25"/>
              <w:contextualSpacing/>
              <w:jc w:val="center"/>
              <w:rPr>
                <w:szCs w:val="21"/>
              </w:rPr>
            </w:pPr>
            <w:r>
              <w:rPr>
                <w:rFonts w:hint="eastAsia" w:eastAsiaTheme="minorEastAsia"/>
                <w:kern w:val="0"/>
                <w:szCs w:val="21"/>
              </w:rPr>
              <w:t>随环随罚字〔2023〕8号</w:t>
            </w:r>
          </w:p>
        </w:tc>
        <w:tc>
          <w:tcPr>
            <w:tcW w:w="1580" w:type="pct"/>
            <w:tcBorders>
              <w:left w:val="single" w:color="auto" w:sz="4" w:space="0"/>
              <w:right w:val="single" w:color="auto" w:sz="4" w:space="0"/>
            </w:tcBorders>
            <w:vAlign w:val="center"/>
          </w:tcPr>
          <w:p w14:paraId="1CFC9C81">
            <w:pPr>
              <w:spacing w:line="320" w:lineRule="exact"/>
              <w:ind w:left="-53" w:leftChars="-25" w:right="-53" w:rightChars="-25" w:firstLine="420" w:firstLineChars="200"/>
              <w:contextualSpacing/>
              <w:jc w:val="left"/>
              <w:rPr>
                <w:szCs w:val="21"/>
              </w:rPr>
            </w:pPr>
            <w:r>
              <w:rPr>
                <w:rFonts w:hint="eastAsia" w:eastAsiaTheme="minorEastAsia"/>
                <w:kern w:val="0"/>
                <w:szCs w:val="21"/>
              </w:rPr>
              <w:t>建设项目保护设施未经验收，擅自投入生产。</w:t>
            </w:r>
          </w:p>
        </w:tc>
        <w:tc>
          <w:tcPr>
            <w:tcW w:w="1279" w:type="pct"/>
            <w:tcBorders>
              <w:left w:val="single" w:color="auto" w:sz="4" w:space="0"/>
            </w:tcBorders>
            <w:vAlign w:val="center"/>
          </w:tcPr>
          <w:p w14:paraId="1BFA2733">
            <w:pPr>
              <w:spacing w:line="320" w:lineRule="exact"/>
              <w:ind w:left="-53" w:leftChars="-25" w:right="-53" w:rightChars="-25" w:firstLine="420" w:firstLineChars="200"/>
              <w:contextualSpacing/>
              <w:jc w:val="left"/>
              <w:rPr>
                <w:szCs w:val="21"/>
              </w:rPr>
            </w:pPr>
            <w:r>
              <w:rPr>
                <w:szCs w:val="21"/>
              </w:rPr>
              <w:t>及时完成竣工环保验收手续。</w:t>
            </w:r>
          </w:p>
        </w:tc>
      </w:tr>
      <w:tr w14:paraId="7AFAA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0870E464">
            <w:pPr>
              <w:widowControl/>
              <w:spacing w:line="320" w:lineRule="exact"/>
              <w:jc w:val="center"/>
              <w:rPr>
                <w:rFonts w:eastAsiaTheme="minorEastAsia"/>
                <w:kern w:val="0"/>
                <w:szCs w:val="21"/>
              </w:rPr>
            </w:pPr>
            <w:r>
              <w:rPr>
                <w:rFonts w:hint="eastAsia" w:eastAsiaTheme="minorEastAsia"/>
                <w:kern w:val="0"/>
                <w:szCs w:val="21"/>
              </w:rPr>
              <w:t>8</w:t>
            </w:r>
          </w:p>
        </w:tc>
        <w:tc>
          <w:tcPr>
            <w:tcW w:w="966" w:type="pct"/>
            <w:vAlign w:val="center"/>
          </w:tcPr>
          <w:p w14:paraId="2EFACE76">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随州市金宏石业有限公司</w:t>
            </w:r>
          </w:p>
        </w:tc>
        <w:tc>
          <w:tcPr>
            <w:tcW w:w="882" w:type="pct"/>
            <w:tcBorders>
              <w:right w:val="single" w:color="auto" w:sz="4" w:space="0"/>
            </w:tcBorders>
            <w:vAlign w:val="center"/>
          </w:tcPr>
          <w:p w14:paraId="555D370B">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随环随罚字〔2021〕28号</w:t>
            </w:r>
          </w:p>
        </w:tc>
        <w:tc>
          <w:tcPr>
            <w:tcW w:w="1580" w:type="pct"/>
            <w:tcBorders>
              <w:left w:val="single" w:color="auto" w:sz="4" w:space="0"/>
              <w:right w:val="single" w:color="auto" w:sz="4" w:space="0"/>
            </w:tcBorders>
            <w:vAlign w:val="center"/>
          </w:tcPr>
          <w:p w14:paraId="628AEBF1">
            <w:pPr>
              <w:spacing w:line="320" w:lineRule="exact"/>
              <w:ind w:left="-53" w:leftChars="-25" w:right="-53" w:rightChars="-25" w:firstLine="420" w:firstLineChars="200"/>
              <w:contextualSpacing/>
              <w:jc w:val="left"/>
              <w:rPr>
                <w:szCs w:val="21"/>
              </w:rPr>
            </w:pPr>
            <w:r>
              <w:rPr>
                <w:rFonts w:hint="eastAsia" w:eastAsiaTheme="minorEastAsia"/>
                <w:kern w:val="0"/>
                <w:szCs w:val="21"/>
              </w:rPr>
              <w:t>用于收集大切生产废水沉淀池未采取防渗透措施，未建设地下水质监测井。</w:t>
            </w:r>
          </w:p>
        </w:tc>
        <w:tc>
          <w:tcPr>
            <w:tcW w:w="1279" w:type="pct"/>
            <w:tcBorders>
              <w:left w:val="single" w:color="auto" w:sz="4" w:space="0"/>
            </w:tcBorders>
            <w:vAlign w:val="center"/>
          </w:tcPr>
          <w:p w14:paraId="2C58139F">
            <w:pPr>
              <w:spacing w:line="320" w:lineRule="exact"/>
              <w:ind w:left="-53" w:leftChars="-25" w:right="-53" w:rightChars="-25" w:firstLine="420" w:firstLineChars="200"/>
              <w:contextualSpacing/>
              <w:jc w:val="left"/>
              <w:rPr>
                <w:szCs w:val="21"/>
              </w:rPr>
            </w:pPr>
            <w:r>
              <w:rPr>
                <w:rFonts w:hint="eastAsia"/>
                <w:szCs w:val="21"/>
              </w:rPr>
              <w:t>按要求对生产废水收集池采取防渗透措施，并建设地下水质监测井。</w:t>
            </w:r>
          </w:p>
        </w:tc>
      </w:tr>
      <w:tr w14:paraId="7E4CE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24C407C5">
            <w:pPr>
              <w:widowControl/>
              <w:spacing w:line="320" w:lineRule="exact"/>
              <w:jc w:val="center"/>
              <w:rPr>
                <w:rFonts w:eastAsiaTheme="minorEastAsia"/>
                <w:kern w:val="0"/>
                <w:szCs w:val="21"/>
              </w:rPr>
            </w:pPr>
            <w:r>
              <w:rPr>
                <w:rFonts w:hint="eastAsia" w:eastAsiaTheme="minorEastAsia"/>
                <w:kern w:val="0"/>
                <w:szCs w:val="21"/>
              </w:rPr>
              <w:t>9</w:t>
            </w:r>
          </w:p>
        </w:tc>
        <w:tc>
          <w:tcPr>
            <w:tcW w:w="966" w:type="pct"/>
            <w:vAlign w:val="center"/>
          </w:tcPr>
          <w:p w14:paraId="00614D9D">
            <w:pPr>
              <w:spacing w:line="320" w:lineRule="exact"/>
              <w:ind w:left="-53" w:leftChars="-25" w:right="-53" w:rightChars="-25"/>
              <w:contextualSpacing/>
              <w:jc w:val="center"/>
              <w:rPr>
                <w:szCs w:val="21"/>
              </w:rPr>
            </w:pPr>
            <w:r>
              <w:rPr>
                <w:rFonts w:hint="eastAsia" w:eastAsiaTheme="minorEastAsia"/>
                <w:kern w:val="0"/>
                <w:szCs w:val="21"/>
              </w:rPr>
              <w:t>随县鑫峰环保建材有限公司</w:t>
            </w:r>
          </w:p>
        </w:tc>
        <w:tc>
          <w:tcPr>
            <w:tcW w:w="882" w:type="pct"/>
            <w:tcBorders>
              <w:right w:val="single" w:color="auto" w:sz="4" w:space="0"/>
            </w:tcBorders>
            <w:vAlign w:val="center"/>
          </w:tcPr>
          <w:p w14:paraId="676E6E90">
            <w:pPr>
              <w:spacing w:line="320" w:lineRule="exact"/>
              <w:ind w:left="-53" w:leftChars="-25" w:right="-53" w:rightChars="-25"/>
              <w:contextualSpacing/>
              <w:jc w:val="center"/>
              <w:rPr>
                <w:szCs w:val="21"/>
              </w:rPr>
            </w:pPr>
            <w:r>
              <w:rPr>
                <w:rFonts w:hint="eastAsia" w:eastAsiaTheme="minorEastAsia"/>
                <w:kern w:val="0"/>
                <w:szCs w:val="21"/>
              </w:rPr>
              <w:t>随县环罚字〔2020〕14号</w:t>
            </w:r>
          </w:p>
        </w:tc>
        <w:tc>
          <w:tcPr>
            <w:tcW w:w="1580" w:type="pct"/>
            <w:tcBorders>
              <w:left w:val="single" w:color="auto" w:sz="4" w:space="0"/>
              <w:right w:val="single" w:color="auto" w:sz="4" w:space="0"/>
            </w:tcBorders>
            <w:vAlign w:val="center"/>
          </w:tcPr>
          <w:p w14:paraId="024D1B38">
            <w:pPr>
              <w:spacing w:line="320" w:lineRule="exact"/>
              <w:ind w:left="-53" w:leftChars="-25" w:right="-53" w:rightChars="-25" w:firstLine="420" w:firstLineChars="200"/>
              <w:contextualSpacing/>
              <w:jc w:val="left"/>
              <w:rPr>
                <w:szCs w:val="21"/>
              </w:rPr>
            </w:pPr>
            <w:r>
              <w:rPr>
                <w:rFonts w:hint="eastAsia"/>
                <w:szCs w:val="21"/>
              </w:rPr>
              <w:t>随县鑫峰环保建材有限公司于2019年11月在随县太白顶风景区管委会太白村从事花岗岩废料综合利用项目以来，建设项目需要配套建设的环境保护设施未验收，擅自投入生产。</w:t>
            </w:r>
          </w:p>
        </w:tc>
        <w:tc>
          <w:tcPr>
            <w:tcW w:w="1279" w:type="pct"/>
            <w:tcBorders>
              <w:left w:val="single" w:color="auto" w:sz="4" w:space="0"/>
            </w:tcBorders>
            <w:vAlign w:val="center"/>
          </w:tcPr>
          <w:p w14:paraId="4E78484E">
            <w:pPr>
              <w:spacing w:line="320" w:lineRule="exact"/>
              <w:ind w:left="-53" w:leftChars="-25" w:right="-53" w:rightChars="-25" w:firstLine="420" w:firstLineChars="200"/>
              <w:contextualSpacing/>
              <w:jc w:val="left"/>
              <w:rPr>
                <w:szCs w:val="21"/>
              </w:rPr>
            </w:pPr>
            <w:r>
              <w:rPr>
                <w:rFonts w:hint="eastAsia"/>
                <w:szCs w:val="21"/>
              </w:rPr>
              <w:t>公司及时对该项目进行自主验收，验收合格后方能投入正式生产。</w:t>
            </w:r>
          </w:p>
        </w:tc>
      </w:tr>
      <w:tr w14:paraId="5EF5F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 w:type="pct"/>
            <w:vAlign w:val="center"/>
          </w:tcPr>
          <w:p w14:paraId="7CCDAC99">
            <w:pPr>
              <w:widowControl/>
              <w:spacing w:line="320" w:lineRule="exact"/>
              <w:jc w:val="center"/>
              <w:rPr>
                <w:rFonts w:eastAsiaTheme="minorEastAsia"/>
                <w:kern w:val="0"/>
                <w:szCs w:val="21"/>
              </w:rPr>
            </w:pPr>
            <w:r>
              <w:rPr>
                <w:rFonts w:hint="eastAsia" w:eastAsiaTheme="minorEastAsia"/>
                <w:kern w:val="0"/>
                <w:szCs w:val="21"/>
              </w:rPr>
              <w:t>10</w:t>
            </w:r>
          </w:p>
        </w:tc>
        <w:tc>
          <w:tcPr>
            <w:tcW w:w="966" w:type="pct"/>
            <w:vAlign w:val="center"/>
          </w:tcPr>
          <w:p w14:paraId="6135981D">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随州市鑫伟石业有限公司</w:t>
            </w:r>
          </w:p>
        </w:tc>
        <w:tc>
          <w:tcPr>
            <w:tcW w:w="882" w:type="pct"/>
            <w:tcBorders>
              <w:right w:val="single" w:color="auto" w:sz="4" w:space="0"/>
            </w:tcBorders>
            <w:vAlign w:val="center"/>
          </w:tcPr>
          <w:p w14:paraId="73F7186C">
            <w:pPr>
              <w:spacing w:line="320" w:lineRule="exact"/>
              <w:ind w:left="-53" w:leftChars="-25" w:right="-53" w:rightChars="-25"/>
              <w:contextualSpacing/>
              <w:jc w:val="center"/>
              <w:rPr>
                <w:rFonts w:eastAsiaTheme="minorEastAsia"/>
                <w:kern w:val="0"/>
                <w:szCs w:val="21"/>
              </w:rPr>
            </w:pPr>
            <w:r>
              <w:rPr>
                <w:rFonts w:hint="eastAsia" w:eastAsiaTheme="minorEastAsia"/>
                <w:kern w:val="0"/>
                <w:szCs w:val="21"/>
              </w:rPr>
              <w:t>随环随罚字〔2021〕17号</w:t>
            </w:r>
          </w:p>
        </w:tc>
        <w:tc>
          <w:tcPr>
            <w:tcW w:w="1580" w:type="pct"/>
            <w:tcBorders>
              <w:left w:val="single" w:color="auto" w:sz="4" w:space="0"/>
              <w:right w:val="single" w:color="auto" w:sz="4" w:space="0"/>
            </w:tcBorders>
            <w:vAlign w:val="center"/>
          </w:tcPr>
          <w:p w14:paraId="107D3D9E">
            <w:pPr>
              <w:spacing w:line="320" w:lineRule="exact"/>
              <w:ind w:left="-53" w:leftChars="-25" w:right="-53" w:rightChars="-25" w:firstLine="420" w:firstLineChars="200"/>
              <w:contextualSpacing/>
              <w:jc w:val="left"/>
              <w:rPr>
                <w:szCs w:val="21"/>
              </w:rPr>
            </w:pPr>
            <w:r>
              <w:rPr>
                <w:rFonts w:hint="eastAsia"/>
                <w:szCs w:val="21"/>
              </w:rPr>
              <w:t>1、未如实记录产生固体废物的种类、数量、流向、贮存、利用、处置等信息；2、产生固体废物委托他人运输、利用、处置，未对受托方的主体资格和技术能力进行核实，也未依法签订书面合同等信息。导致运输固体废物时遗撒在道路上，造成了扬尘污染。</w:t>
            </w:r>
          </w:p>
        </w:tc>
        <w:tc>
          <w:tcPr>
            <w:tcW w:w="1279" w:type="pct"/>
            <w:tcBorders>
              <w:left w:val="single" w:color="auto" w:sz="4" w:space="0"/>
            </w:tcBorders>
            <w:vAlign w:val="center"/>
          </w:tcPr>
          <w:p w14:paraId="16864482">
            <w:pPr>
              <w:spacing w:line="320" w:lineRule="exact"/>
              <w:ind w:left="-53" w:leftChars="-25" w:right="-53" w:rightChars="-25" w:firstLine="420" w:firstLineChars="200"/>
              <w:contextualSpacing/>
              <w:jc w:val="left"/>
              <w:rPr>
                <w:szCs w:val="21"/>
              </w:rPr>
            </w:pPr>
            <w:r>
              <w:rPr>
                <w:rFonts w:hint="eastAsia"/>
                <w:szCs w:val="21"/>
              </w:rPr>
              <w:t>公司严格按要求如实记录产生固体废物的种类、数量、流向、贮存、利用、处置等信息；对产生固体废物委托他人运输、利用、处置，核实对方主体资格和技术能力，并签订合同，落实相应的污染防治责任，减少扬尘污染。</w:t>
            </w:r>
          </w:p>
        </w:tc>
      </w:tr>
    </w:tbl>
    <w:p w14:paraId="7A2B6AA8">
      <w:pPr>
        <w:keepNext/>
        <w:keepLines/>
        <w:widowControl/>
        <w:numPr>
          <w:ilvl w:val="2"/>
          <w:numId w:val="1"/>
        </w:numPr>
        <w:spacing w:before="120" w:after="120" w:line="360" w:lineRule="auto"/>
        <w:jc w:val="left"/>
        <w:outlineLvl w:val="2"/>
        <w:rPr>
          <w:rFonts w:eastAsiaTheme="minorEastAsia"/>
          <w:b/>
          <w:bCs/>
          <w:sz w:val="24"/>
        </w:rPr>
      </w:pPr>
      <w:bookmarkStart w:id="125" w:name="_Toc206494958"/>
      <w:r>
        <w:rPr>
          <w:rFonts w:hint="eastAsia" w:eastAsiaTheme="minorEastAsia"/>
          <w:b/>
          <w:bCs/>
          <w:sz w:val="24"/>
        </w:rPr>
        <w:t>环保基础设施建设情况</w:t>
      </w:r>
      <w:bookmarkEnd w:id="125"/>
    </w:p>
    <w:p w14:paraId="49728CB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给水现状</w:t>
      </w:r>
    </w:p>
    <w:p w14:paraId="25B0DC5F">
      <w:pPr>
        <w:spacing w:line="360" w:lineRule="auto"/>
        <w:ind w:firstLine="480" w:firstLineChars="200"/>
        <w:rPr>
          <w:rFonts w:eastAsiaTheme="minorEastAsia"/>
          <w:sz w:val="24"/>
        </w:rPr>
      </w:pPr>
      <w:r>
        <w:rPr>
          <w:rFonts w:hint="eastAsia" w:eastAsiaTheme="minorEastAsia"/>
          <w:sz w:val="24"/>
        </w:rPr>
        <w:t>规划园区现状用水水源部分来源于镇自来水厂，大部分区域未接入给水管网，用水主要来源于分散式地下水井。现状吴山闽商石材产业区企业生产用水为日常收集雨水或抽取吴山水库进行补给，其他现状企业生产用水主要为各自开采地下水用于生产。</w:t>
      </w:r>
    </w:p>
    <w:p w14:paraId="4E51AE2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排水现状</w:t>
      </w:r>
    </w:p>
    <w:p w14:paraId="00FE8DE7">
      <w:pPr>
        <w:spacing w:line="360" w:lineRule="auto"/>
        <w:ind w:firstLine="480" w:firstLineChars="200"/>
        <w:rPr>
          <w:rFonts w:eastAsiaTheme="minorEastAsia"/>
          <w:sz w:val="24"/>
        </w:rPr>
      </w:pPr>
      <w:r>
        <w:rPr>
          <w:rFonts w:hint="eastAsia" w:eastAsiaTheme="minorEastAsia"/>
          <w:sz w:val="24"/>
        </w:rPr>
        <w:t>（1）污水</w:t>
      </w:r>
    </w:p>
    <w:p w14:paraId="5568E4C2">
      <w:pPr>
        <w:spacing w:line="360" w:lineRule="auto"/>
        <w:ind w:firstLine="480" w:firstLineChars="200"/>
        <w:rPr>
          <w:rFonts w:eastAsiaTheme="minorEastAsia"/>
          <w:sz w:val="24"/>
        </w:rPr>
      </w:pPr>
      <w:r>
        <w:rPr>
          <w:rFonts w:hint="eastAsia" w:eastAsiaTheme="minorEastAsia"/>
          <w:sz w:val="24"/>
        </w:rPr>
        <w:t>规划园区内企业生产废水、初期雨水均经处理后回用，不涉及生产废水、初期雨水的排放，生活污水大部分通过化粪池处理后用于农田施肥，仅有少量靠近镇区的部分企业生活污水能接入乡镇污水处理厂进一步处理。园区范围现状大部分均未建设污水管网，大部分废水未纳入各镇污水处理厂处理。</w:t>
      </w:r>
    </w:p>
    <w:p w14:paraId="319E8DC1">
      <w:pPr>
        <w:spacing w:line="360" w:lineRule="auto"/>
        <w:ind w:firstLine="480" w:firstLineChars="200"/>
        <w:rPr>
          <w:rFonts w:eastAsiaTheme="minorEastAsia"/>
          <w:sz w:val="24"/>
        </w:rPr>
      </w:pPr>
      <w:r>
        <w:rPr>
          <w:rFonts w:hint="eastAsia" w:eastAsiaTheme="minorEastAsia"/>
          <w:sz w:val="24"/>
        </w:rPr>
        <w:t>现状吴山镇设有一座吴山镇污水处理厂。吴山镇污水处理厂位于</w:t>
      </w:r>
      <w:r>
        <w:rPr>
          <w:rFonts w:hint="eastAsia" w:eastAsiaTheme="minorEastAsia"/>
          <w:kern w:val="0"/>
          <w:sz w:val="24"/>
        </w:rPr>
        <w:t>随县吴山镇肖家湾居委会三组。吴山镇污水处理厂2020年设计规模1000m</w:t>
      </w:r>
      <w:r>
        <w:rPr>
          <w:rFonts w:eastAsiaTheme="minorEastAsia"/>
          <w:kern w:val="0"/>
          <w:sz w:val="24"/>
        </w:rPr>
        <w:t>³</w:t>
      </w:r>
      <w:r>
        <w:rPr>
          <w:rFonts w:hint="eastAsia" w:eastAsiaTheme="minorEastAsia"/>
          <w:kern w:val="0"/>
          <w:sz w:val="24"/>
        </w:rPr>
        <w:t>/d，远期（2030年）设计规模2000m</w:t>
      </w:r>
      <w:r>
        <w:rPr>
          <w:rFonts w:eastAsiaTheme="minorEastAsia"/>
          <w:kern w:val="0"/>
          <w:sz w:val="24"/>
        </w:rPr>
        <w:t>³</w:t>
      </w:r>
      <w:r>
        <w:rPr>
          <w:rFonts w:hint="eastAsia" w:eastAsiaTheme="minorEastAsia"/>
          <w:kern w:val="0"/>
          <w:sz w:val="24"/>
        </w:rPr>
        <w:t>/d。污水厂总占地面积6627m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0842ED14">
      <w:pPr>
        <w:spacing w:line="360" w:lineRule="auto"/>
        <w:ind w:firstLine="480" w:firstLineChars="200"/>
        <w:rPr>
          <w:rFonts w:eastAsiaTheme="minorEastAsia"/>
          <w:kern w:val="0"/>
          <w:sz w:val="24"/>
        </w:rPr>
      </w:pPr>
      <w:r>
        <w:rPr>
          <w:rFonts w:hint="eastAsia" w:eastAsiaTheme="minorEastAsia"/>
          <w:sz w:val="24"/>
        </w:rPr>
        <w:t>现状万和镇设有一座万和镇污水处理厂。万和镇污水处理厂位于</w:t>
      </w:r>
      <w:r>
        <w:rPr>
          <w:rFonts w:hint="eastAsia" w:eastAsiaTheme="minorEastAsia"/>
          <w:kern w:val="0"/>
          <w:sz w:val="24"/>
        </w:rPr>
        <w:t>随州市随县万和镇走马岭四组。万和镇污水处理厂2020年设计规模1500m</w:t>
      </w:r>
      <w:r>
        <w:rPr>
          <w:rFonts w:eastAsiaTheme="minorEastAsia"/>
          <w:kern w:val="0"/>
          <w:sz w:val="24"/>
        </w:rPr>
        <w:t>³</w:t>
      </w:r>
      <w:r>
        <w:rPr>
          <w:rFonts w:hint="eastAsia" w:eastAsiaTheme="minorEastAsia"/>
          <w:kern w:val="0"/>
          <w:sz w:val="24"/>
        </w:rPr>
        <w:t>/d，远期（2030年）设计规模3000m</w:t>
      </w:r>
      <w:r>
        <w:rPr>
          <w:rFonts w:eastAsiaTheme="minorEastAsia"/>
          <w:kern w:val="0"/>
          <w:sz w:val="24"/>
        </w:rPr>
        <w:t>³</w:t>
      </w:r>
      <w:r>
        <w:rPr>
          <w:rFonts w:hint="eastAsia" w:eastAsiaTheme="minorEastAsia"/>
          <w:kern w:val="0"/>
          <w:sz w:val="24"/>
        </w:rPr>
        <w:t>/d。污水厂总占地面积6377m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05B2FDBD">
      <w:pPr>
        <w:spacing w:line="360" w:lineRule="auto"/>
        <w:ind w:firstLine="480" w:firstLineChars="200"/>
        <w:rPr>
          <w:rFonts w:eastAsiaTheme="minorEastAsia"/>
          <w:kern w:val="0"/>
          <w:sz w:val="24"/>
        </w:rPr>
      </w:pPr>
      <w:r>
        <w:rPr>
          <w:rFonts w:hint="eastAsia" w:eastAsiaTheme="minorEastAsia"/>
          <w:sz w:val="24"/>
        </w:rPr>
        <w:t>现状太白顶设有一座万和新城（太白顶景区）污水处理厂。万和新城（太白顶景区）污水处理厂位于</w:t>
      </w:r>
      <w:r>
        <w:rPr>
          <w:rFonts w:hint="eastAsia" w:eastAsiaTheme="minorEastAsia"/>
          <w:kern w:val="0"/>
          <w:sz w:val="24"/>
        </w:rPr>
        <w:t>随州市随县万和新城镇北部新城居委会四组。万和新城（太白顶景区）污水处理厂2020年设计规模600m</w:t>
      </w:r>
      <w:r>
        <w:rPr>
          <w:rFonts w:eastAsiaTheme="minorEastAsia"/>
          <w:kern w:val="0"/>
          <w:sz w:val="24"/>
        </w:rPr>
        <w:t>³</w:t>
      </w:r>
      <w:r>
        <w:rPr>
          <w:rFonts w:hint="eastAsia" w:eastAsiaTheme="minorEastAsia"/>
          <w:kern w:val="0"/>
          <w:sz w:val="24"/>
        </w:rPr>
        <w:t>/d，远期（2030年）设计规模1200m</w:t>
      </w:r>
      <w:r>
        <w:rPr>
          <w:rFonts w:eastAsiaTheme="minorEastAsia"/>
          <w:kern w:val="0"/>
          <w:sz w:val="24"/>
        </w:rPr>
        <w:t>³</w:t>
      </w:r>
      <w:r>
        <w:rPr>
          <w:rFonts w:hint="eastAsia" w:eastAsiaTheme="minorEastAsia"/>
          <w:kern w:val="0"/>
          <w:sz w:val="24"/>
        </w:rPr>
        <w:t>/d。污水厂总占地面积5104m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78FC2E29">
      <w:pPr>
        <w:spacing w:line="360" w:lineRule="auto"/>
        <w:ind w:firstLine="480" w:firstLineChars="200"/>
        <w:rPr>
          <w:rFonts w:eastAsiaTheme="minorEastAsia"/>
          <w:kern w:val="0"/>
          <w:sz w:val="24"/>
        </w:rPr>
      </w:pPr>
      <w:r>
        <w:rPr>
          <w:rFonts w:hint="eastAsia" w:eastAsiaTheme="minorEastAsia"/>
          <w:sz w:val="24"/>
        </w:rPr>
        <w:t>现状草店镇设有一座草店镇污水处理厂。草店镇污水处理厂位于</w:t>
      </w:r>
      <w:r>
        <w:rPr>
          <w:rFonts w:hint="eastAsia" w:eastAsiaTheme="minorEastAsia"/>
          <w:kern w:val="0"/>
          <w:sz w:val="24"/>
        </w:rPr>
        <w:t>随州市随县草店镇镇区东北部游河下游北岸处，东经113.684732°，北纬32.197286°。草店镇污水处理厂2020年设计规模1000m</w:t>
      </w:r>
      <w:r>
        <w:rPr>
          <w:rFonts w:eastAsiaTheme="minorEastAsia"/>
          <w:kern w:val="0"/>
          <w:sz w:val="24"/>
        </w:rPr>
        <w:t>³</w:t>
      </w:r>
      <w:r>
        <w:rPr>
          <w:rFonts w:hint="eastAsia" w:eastAsiaTheme="minorEastAsia"/>
          <w:kern w:val="0"/>
          <w:sz w:val="24"/>
        </w:rPr>
        <w:t>/d，远期（2030年）设计规模2000m</w:t>
      </w:r>
      <w:r>
        <w:rPr>
          <w:rFonts w:eastAsiaTheme="minorEastAsia"/>
          <w:kern w:val="0"/>
          <w:sz w:val="24"/>
        </w:rPr>
        <w:t>³</w:t>
      </w:r>
      <w:r>
        <w:rPr>
          <w:rFonts w:hint="eastAsia" w:eastAsiaTheme="minorEastAsia"/>
          <w:kern w:val="0"/>
          <w:sz w:val="24"/>
        </w:rPr>
        <w:t>/d。污水厂总占地面积6627m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787DA3CE">
      <w:pPr>
        <w:spacing w:line="360" w:lineRule="auto"/>
        <w:ind w:firstLine="480" w:firstLineChars="200"/>
        <w:rPr>
          <w:rFonts w:eastAsiaTheme="minorEastAsia"/>
          <w:sz w:val="24"/>
        </w:rPr>
      </w:pPr>
      <w:r>
        <w:rPr>
          <w:rFonts w:hint="eastAsia" w:eastAsiaTheme="minorEastAsia"/>
          <w:kern w:val="0"/>
          <w:sz w:val="24"/>
        </w:rPr>
        <w:t>上述吴山镇、万和镇、</w:t>
      </w:r>
      <w:r>
        <w:rPr>
          <w:rFonts w:hint="eastAsia" w:eastAsiaTheme="minorEastAsia"/>
          <w:sz w:val="24"/>
        </w:rPr>
        <w:t>新城及草店</w:t>
      </w:r>
      <w:r>
        <w:rPr>
          <w:rFonts w:hint="eastAsia" w:eastAsiaTheme="minorEastAsia"/>
          <w:kern w:val="0"/>
          <w:sz w:val="24"/>
        </w:rPr>
        <w:t>污水处理厂均取得了环评批复，并均于2020年完成了自主验收。污水处理厂采用均为“改良A2O工艺（缺氧+厌氧+接触氧化）”处理工艺，后续深度处理选用“平板沉淀池+滤布滤池工艺”，具体工艺如下图。</w:t>
      </w:r>
    </w:p>
    <w:p w14:paraId="0C3D2AF6">
      <w:pPr>
        <w:spacing w:line="360" w:lineRule="auto"/>
        <w:jc w:val="center"/>
        <w:rPr>
          <w:rFonts w:eastAsiaTheme="minorEastAsia"/>
          <w:sz w:val="24"/>
        </w:rPr>
      </w:pPr>
      <w:r>
        <w:drawing>
          <wp:inline distT="0" distB="0" distL="0" distR="0">
            <wp:extent cx="5278120" cy="1958975"/>
            <wp:effectExtent l="0" t="0" r="0" b="3175"/>
            <wp:docPr id="1974648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48468" name="图片 1"/>
                    <pic:cNvPicPr>
                      <a:picLocks noChangeAspect="1"/>
                    </pic:cNvPicPr>
                  </pic:nvPicPr>
                  <pic:blipFill>
                    <a:blip r:embed="rId24"/>
                    <a:stretch>
                      <a:fillRect/>
                    </a:stretch>
                  </pic:blipFill>
                  <pic:spPr>
                    <a:xfrm>
                      <a:off x="0" y="0"/>
                      <a:ext cx="5278120" cy="1958975"/>
                    </a:xfrm>
                    <a:prstGeom prst="rect">
                      <a:avLst/>
                    </a:prstGeom>
                  </pic:spPr>
                </pic:pic>
              </a:graphicData>
            </a:graphic>
          </wp:inline>
        </w:drawing>
      </w:r>
    </w:p>
    <w:p w14:paraId="11624E29">
      <w:pPr>
        <w:widowControl/>
        <w:spacing w:line="360" w:lineRule="auto"/>
        <w:jc w:val="center"/>
        <w:rPr>
          <w:rFonts w:eastAsiaTheme="minorEastAsia"/>
          <w:b/>
          <w:snapToGrid w:val="0"/>
          <w:kern w:val="18"/>
          <w:szCs w:val="21"/>
        </w:rPr>
      </w:pPr>
      <w:r>
        <w:rPr>
          <w:rFonts w:eastAsiaTheme="minorEastAsia"/>
          <w:b/>
          <w:snapToGrid w:val="0"/>
          <w:kern w:val="18"/>
          <w:szCs w:val="21"/>
        </w:rPr>
        <w:t>图</w:t>
      </w:r>
      <w:r>
        <w:rPr>
          <w:rFonts w:hint="eastAsia" w:eastAsiaTheme="minorEastAsia"/>
          <w:b/>
          <w:snapToGrid w:val="0"/>
          <w:kern w:val="18"/>
          <w:szCs w:val="21"/>
        </w:rPr>
        <w:t>3.4.5</w:t>
      </w:r>
      <w:r>
        <w:rPr>
          <w:rFonts w:eastAsiaTheme="minorEastAsia"/>
          <w:b/>
          <w:snapToGrid w:val="0"/>
          <w:kern w:val="18"/>
          <w:szCs w:val="21"/>
        </w:rPr>
        <w:t>-</w:t>
      </w:r>
      <w:r>
        <w:rPr>
          <w:rFonts w:hint="eastAsia" w:eastAsiaTheme="minorEastAsia"/>
          <w:b/>
          <w:snapToGrid w:val="0"/>
          <w:kern w:val="18"/>
          <w:szCs w:val="21"/>
        </w:rPr>
        <w:t>1</w:t>
      </w:r>
      <w:r>
        <w:rPr>
          <w:rFonts w:eastAsiaTheme="minorEastAsia"/>
          <w:b/>
          <w:snapToGrid w:val="0"/>
          <w:kern w:val="18"/>
          <w:szCs w:val="21"/>
        </w:rPr>
        <w:t xml:space="preserve">  </w:t>
      </w:r>
      <w:r>
        <w:rPr>
          <w:rFonts w:hint="eastAsia" w:eastAsiaTheme="minorEastAsia"/>
          <w:b/>
          <w:snapToGrid w:val="0"/>
          <w:kern w:val="18"/>
          <w:szCs w:val="21"/>
        </w:rPr>
        <w:t>乡镇污水处理厂</w:t>
      </w:r>
      <w:r>
        <w:rPr>
          <w:rFonts w:eastAsiaTheme="minorEastAsia"/>
          <w:b/>
          <w:snapToGrid w:val="0"/>
          <w:kern w:val="18"/>
          <w:szCs w:val="21"/>
        </w:rPr>
        <w:t>工艺流程图</w:t>
      </w:r>
    </w:p>
    <w:p w14:paraId="1F05EE2B">
      <w:pPr>
        <w:spacing w:line="348" w:lineRule="auto"/>
        <w:ind w:firstLine="480" w:firstLineChars="200"/>
        <w:rPr>
          <w:rFonts w:eastAsiaTheme="minorEastAsia"/>
          <w:kern w:val="0"/>
          <w:sz w:val="24"/>
        </w:rPr>
      </w:pPr>
      <w:r>
        <w:rPr>
          <w:rFonts w:hint="eastAsia" w:eastAsiaTheme="minorEastAsia"/>
          <w:kern w:val="0"/>
          <w:sz w:val="24"/>
        </w:rPr>
        <w:t>城镇污水首先通过粗格栅去除较大漂浮物后进入调节池，再由潜污泵提升进入调节池，调节池出水自流进入平流沉砂池，去除大颗粒无机物，而后进入 A2O工艺，完成生物氧化过程，达到分解有机物、除磷和脱氮的目的；然后混合液进入混凝池进行混凝沉淀处理，最后出水进入纤维转盘滤池深度处理，处理后经紫外消毒处理达标排放。</w:t>
      </w:r>
    </w:p>
    <w:p w14:paraId="012C1167">
      <w:pPr>
        <w:spacing w:line="348" w:lineRule="auto"/>
        <w:ind w:firstLine="480" w:firstLineChars="200"/>
        <w:rPr>
          <w:rFonts w:eastAsiaTheme="minorEastAsia"/>
          <w:kern w:val="0"/>
          <w:sz w:val="24"/>
        </w:rPr>
      </w:pPr>
      <w:r>
        <w:rPr>
          <w:rFonts w:hint="eastAsia" w:eastAsiaTheme="minorEastAsia"/>
          <w:kern w:val="0"/>
          <w:sz w:val="24"/>
        </w:rPr>
        <w:t>各乡镇污水处理厂的设计进水水质、出水水质详见下表。</w:t>
      </w:r>
    </w:p>
    <w:p w14:paraId="79110AC7">
      <w:pPr>
        <w:pStyle w:val="162"/>
        <w:ind w:firstLine="422" w:firstLineChars="200"/>
        <w:jc w:val="center"/>
        <w:rPr>
          <w:rFonts w:eastAsiaTheme="minorEastAsia"/>
          <w:b/>
          <w:sz w:val="21"/>
          <w:szCs w:val="21"/>
        </w:rPr>
      </w:pPr>
      <w:r>
        <w:rPr>
          <w:rFonts w:hint="eastAsia" w:eastAsiaTheme="minorEastAsia"/>
          <w:b/>
          <w:sz w:val="21"/>
          <w:szCs w:val="21"/>
        </w:rPr>
        <w:t>表3.4.5-1乡镇污水处理厂的设计进出水水质一览表   单位：mg/L</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796"/>
        <w:gridCol w:w="1162"/>
        <w:gridCol w:w="1162"/>
        <w:gridCol w:w="1162"/>
        <w:gridCol w:w="1162"/>
        <w:gridCol w:w="1162"/>
      </w:tblGrid>
      <w:tr w14:paraId="425A3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15652325">
            <w:pPr>
              <w:jc w:val="center"/>
              <w:rPr>
                <w:rFonts w:eastAsiaTheme="minorEastAsia"/>
                <w:i/>
                <w:szCs w:val="21"/>
              </w:rPr>
            </w:pPr>
            <w:r>
              <w:rPr>
                <w:rFonts w:eastAsiaTheme="minorEastAsia"/>
                <w:iCs/>
                <w:szCs w:val="21"/>
              </w:rPr>
              <w:t>污染物</w:t>
            </w:r>
          </w:p>
        </w:tc>
        <w:tc>
          <w:tcPr>
            <w:tcW w:w="1053" w:type="pct"/>
            <w:shd w:val="clear" w:color="auto" w:fill="auto"/>
            <w:vAlign w:val="center"/>
          </w:tcPr>
          <w:p w14:paraId="48814651">
            <w:pPr>
              <w:jc w:val="center"/>
              <w:rPr>
                <w:rFonts w:eastAsiaTheme="minorEastAsia"/>
                <w:i/>
                <w:szCs w:val="21"/>
              </w:rPr>
            </w:pPr>
            <w:r>
              <w:rPr>
                <w:rFonts w:eastAsiaTheme="minorEastAsia"/>
                <w:iCs/>
                <w:szCs w:val="21"/>
              </w:rPr>
              <w:t>COD</w:t>
            </w:r>
          </w:p>
        </w:tc>
        <w:tc>
          <w:tcPr>
            <w:tcW w:w="681" w:type="pct"/>
            <w:shd w:val="clear" w:color="auto" w:fill="auto"/>
            <w:vAlign w:val="center"/>
          </w:tcPr>
          <w:p w14:paraId="5B9C32B3">
            <w:pPr>
              <w:jc w:val="center"/>
              <w:rPr>
                <w:rFonts w:eastAsiaTheme="minorEastAsia"/>
                <w:iCs/>
                <w:szCs w:val="21"/>
              </w:rPr>
            </w:pPr>
            <w:r>
              <w:rPr>
                <w:rFonts w:eastAsiaTheme="minorEastAsia"/>
                <w:iCs/>
                <w:szCs w:val="21"/>
              </w:rPr>
              <w:t>BOD</w:t>
            </w:r>
            <w:r>
              <w:rPr>
                <w:rFonts w:eastAsiaTheme="minorEastAsia"/>
                <w:iCs/>
                <w:szCs w:val="21"/>
                <w:vertAlign w:val="subscript"/>
              </w:rPr>
              <w:t>5</w:t>
            </w:r>
          </w:p>
        </w:tc>
        <w:tc>
          <w:tcPr>
            <w:tcW w:w="681" w:type="pct"/>
            <w:shd w:val="clear" w:color="auto" w:fill="auto"/>
            <w:vAlign w:val="center"/>
          </w:tcPr>
          <w:p w14:paraId="12180C20">
            <w:pPr>
              <w:jc w:val="center"/>
              <w:rPr>
                <w:rFonts w:eastAsiaTheme="minorEastAsia"/>
                <w:i/>
                <w:szCs w:val="21"/>
              </w:rPr>
            </w:pPr>
            <w:r>
              <w:rPr>
                <w:rFonts w:eastAsiaTheme="minorEastAsia"/>
                <w:iCs/>
                <w:szCs w:val="21"/>
              </w:rPr>
              <w:t>SS</w:t>
            </w:r>
          </w:p>
        </w:tc>
        <w:tc>
          <w:tcPr>
            <w:tcW w:w="681" w:type="pct"/>
            <w:shd w:val="clear" w:color="auto" w:fill="auto"/>
            <w:vAlign w:val="center"/>
          </w:tcPr>
          <w:p w14:paraId="069BD583">
            <w:pPr>
              <w:jc w:val="center"/>
              <w:rPr>
                <w:rFonts w:eastAsiaTheme="minorEastAsia"/>
                <w:szCs w:val="21"/>
              </w:rPr>
            </w:pPr>
            <w:r>
              <w:rPr>
                <w:rFonts w:hint="eastAsia" w:eastAsiaTheme="minorEastAsia"/>
                <w:szCs w:val="21"/>
              </w:rPr>
              <w:t>氨氮</w:t>
            </w:r>
          </w:p>
        </w:tc>
        <w:tc>
          <w:tcPr>
            <w:tcW w:w="681" w:type="pct"/>
            <w:shd w:val="clear" w:color="auto" w:fill="auto"/>
            <w:vAlign w:val="center"/>
          </w:tcPr>
          <w:p w14:paraId="2EBDA70E">
            <w:pPr>
              <w:jc w:val="center"/>
              <w:rPr>
                <w:rFonts w:eastAsiaTheme="minorEastAsia"/>
                <w:szCs w:val="21"/>
              </w:rPr>
            </w:pPr>
            <w:r>
              <w:rPr>
                <w:rFonts w:eastAsiaTheme="minorEastAsia"/>
                <w:szCs w:val="21"/>
              </w:rPr>
              <w:t>TN</w:t>
            </w:r>
          </w:p>
        </w:tc>
        <w:tc>
          <w:tcPr>
            <w:tcW w:w="681" w:type="pct"/>
            <w:shd w:val="clear" w:color="auto" w:fill="auto"/>
            <w:vAlign w:val="center"/>
          </w:tcPr>
          <w:p w14:paraId="553E13F9">
            <w:pPr>
              <w:jc w:val="center"/>
              <w:rPr>
                <w:rFonts w:eastAsiaTheme="minorEastAsia"/>
                <w:szCs w:val="21"/>
              </w:rPr>
            </w:pPr>
            <w:r>
              <w:rPr>
                <w:rFonts w:eastAsiaTheme="minorEastAsia"/>
                <w:szCs w:val="21"/>
              </w:rPr>
              <w:t>TP</w:t>
            </w:r>
          </w:p>
        </w:tc>
      </w:tr>
      <w:tr w14:paraId="1DDC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3373762B">
            <w:pPr>
              <w:jc w:val="center"/>
              <w:rPr>
                <w:rFonts w:eastAsiaTheme="minorEastAsia"/>
                <w:szCs w:val="21"/>
              </w:rPr>
            </w:pPr>
            <w:r>
              <w:rPr>
                <w:rFonts w:eastAsiaTheme="minorEastAsia"/>
                <w:szCs w:val="21"/>
              </w:rPr>
              <w:t>进水</w:t>
            </w:r>
          </w:p>
        </w:tc>
        <w:tc>
          <w:tcPr>
            <w:tcW w:w="1053" w:type="pct"/>
            <w:shd w:val="clear" w:color="auto" w:fill="auto"/>
            <w:vAlign w:val="center"/>
          </w:tcPr>
          <w:p w14:paraId="27EFCEC4">
            <w:pPr>
              <w:jc w:val="center"/>
              <w:rPr>
                <w:rFonts w:eastAsiaTheme="minorEastAsia"/>
                <w:szCs w:val="21"/>
              </w:rPr>
            </w:pPr>
            <w:r>
              <w:rPr>
                <w:rFonts w:hint="eastAsia" w:eastAsiaTheme="minorEastAsia"/>
                <w:szCs w:val="21"/>
              </w:rPr>
              <w:t>220</w:t>
            </w:r>
          </w:p>
        </w:tc>
        <w:tc>
          <w:tcPr>
            <w:tcW w:w="681" w:type="pct"/>
            <w:shd w:val="clear" w:color="auto" w:fill="auto"/>
            <w:vAlign w:val="center"/>
          </w:tcPr>
          <w:p w14:paraId="43A1A2AB">
            <w:pPr>
              <w:jc w:val="center"/>
              <w:rPr>
                <w:rFonts w:eastAsiaTheme="minorEastAsia"/>
                <w:szCs w:val="21"/>
              </w:rPr>
            </w:pPr>
            <w:r>
              <w:rPr>
                <w:rFonts w:hint="eastAsia" w:eastAsiaTheme="minorEastAsia"/>
                <w:szCs w:val="21"/>
              </w:rPr>
              <w:t>110</w:t>
            </w:r>
          </w:p>
        </w:tc>
        <w:tc>
          <w:tcPr>
            <w:tcW w:w="681" w:type="pct"/>
            <w:shd w:val="clear" w:color="auto" w:fill="auto"/>
            <w:vAlign w:val="center"/>
          </w:tcPr>
          <w:p w14:paraId="40D98005">
            <w:pPr>
              <w:jc w:val="center"/>
              <w:rPr>
                <w:rFonts w:eastAsiaTheme="minorEastAsia"/>
                <w:szCs w:val="21"/>
              </w:rPr>
            </w:pPr>
            <w:r>
              <w:rPr>
                <w:rFonts w:hint="eastAsia" w:eastAsiaTheme="minorEastAsia"/>
                <w:szCs w:val="21"/>
              </w:rPr>
              <w:t>180</w:t>
            </w:r>
          </w:p>
        </w:tc>
        <w:tc>
          <w:tcPr>
            <w:tcW w:w="681" w:type="pct"/>
            <w:shd w:val="clear" w:color="auto" w:fill="auto"/>
            <w:vAlign w:val="center"/>
          </w:tcPr>
          <w:p w14:paraId="0E33D041">
            <w:pPr>
              <w:jc w:val="center"/>
              <w:rPr>
                <w:rFonts w:eastAsiaTheme="minorEastAsia"/>
                <w:szCs w:val="21"/>
              </w:rPr>
            </w:pPr>
            <w:r>
              <w:rPr>
                <w:rFonts w:hint="eastAsia" w:eastAsiaTheme="minorEastAsia"/>
                <w:szCs w:val="21"/>
              </w:rPr>
              <w:t>28</w:t>
            </w:r>
          </w:p>
        </w:tc>
        <w:tc>
          <w:tcPr>
            <w:tcW w:w="681" w:type="pct"/>
            <w:shd w:val="clear" w:color="auto" w:fill="auto"/>
            <w:vAlign w:val="center"/>
          </w:tcPr>
          <w:p w14:paraId="076E79B7">
            <w:pPr>
              <w:jc w:val="center"/>
              <w:rPr>
                <w:rFonts w:eastAsiaTheme="minorEastAsia"/>
                <w:szCs w:val="21"/>
              </w:rPr>
            </w:pPr>
            <w:r>
              <w:rPr>
                <w:rFonts w:hint="eastAsia" w:eastAsiaTheme="minorEastAsia"/>
                <w:szCs w:val="21"/>
              </w:rPr>
              <w:t>35</w:t>
            </w:r>
          </w:p>
        </w:tc>
        <w:tc>
          <w:tcPr>
            <w:tcW w:w="681" w:type="pct"/>
            <w:shd w:val="clear" w:color="auto" w:fill="auto"/>
            <w:vAlign w:val="center"/>
          </w:tcPr>
          <w:p w14:paraId="36BB0BCD">
            <w:pPr>
              <w:jc w:val="center"/>
              <w:rPr>
                <w:rFonts w:eastAsiaTheme="minorEastAsia"/>
                <w:szCs w:val="21"/>
              </w:rPr>
            </w:pPr>
            <w:r>
              <w:rPr>
                <w:rFonts w:hint="eastAsia" w:eastAsiaTheme="minorEastAsia"/>
                <w:szCs w:val="21"/>
              </w:rPr>
              <w:t>3.0</w:t>
            </w:r>
          </w:p>
        </w:tc>
      </w:tr>
      <w:tr w14:paraId="2699A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701FF645">
            <w:pPr>
              <w:jc w:val="center"/>
              <w:rPr>
                <w:rFonts w:eastAsiaTheme="minorEastAsia"/>
                <w:szCs w:val="21"/>
              </w:rPr>
            </w:pPr>
            <w:r>
              <w:rPr>
                <w:rFonts w:eastAsiaTheme="minorEastAsia"/>
                <w:szCs w:val="21"/>
              </w:rPr>
              <w:t>出水</w:t>
            </w:r>
          </w:p>
        </w:tc>
        <w:tc>
          <w:tcPr>
            <w:tcW w:w="1053" w:type="pct"/>
            <w:shd w:val="clear" w:color="auto" w:fill="auto"/>
            <w:vAlign w:val="center"/>
          </w:tcPr>
          <w:p w14:paraId="3832C9CA">
            <w:pPr>
              <w:jc w:val="center"/>
              <w:rPr>
                <w:rFonts w:eastAsiaTheme="minorEastAsia"/>
                <w:szCs w:val="21"/>
              </w:rPr>
            </w:pPr>
            <w:r>
              <w:rPr>
                <w:rFonts w:hint="eastAsia" w:eastAsiaTheme="minorEastAsia"/>
                <w:szCs w:val="21"/>
              </w:rPr>
              <w:t>50</w:t>
            </w:r>
          </w:p>
        </w:tc>
        <w:tc>
          <w:tcPr>
            <w:tcW w:w="681" w:type="pct"/>
            <w:shd w:val="clear" w:color="auto" w:fill="auto"/>
            <w:vAlign w:val="center"/>
          </w:tcPr>
          <w:p w14:paraId="4E4B164D">
            <w:pPr>
              <w:jc w:val="center"/>
              <w:rPr>
                <w:rFonts w:eastAsiaTheme="minorEastAsia"/>
                <w:szCs w:val="21"/>
              </w:rPr>
            </w:pPr>
            <w:r>
              <w:rPr>
                <w:rFonts w:hint="eastAsia" w:eastAsiaTheme="minorEastAsia"/>
                <w:szCs w:val="21"/>
              </w:rPr>
              <w:t>10</w:t>
            </w:r>
          </w:p>
        </w:tc>
        <w:tc>
          <w:tcPr>
            <w:tcW w:w="681" w:type="pct"/>
            <w:shd w:val="clear" w:color="auto" w:fill="auto"/>
            <w:vAlign w:val="center"/>
          </w:tcPr>
          <w:p w14:paraId="7470DB03">
            <w:pPr>
              <w:jc w:val="center"/>
              <w:rPr>
                <w:rFonts w:eastAsiaTheme="minorEastAsia"/>
                <w:szCs w:val="21"/>
              </w:rPr>
            </w:pPr>
            <w:r>
              <w:rPr>
                <w:rFonts w:hint="eastAsia" w:eastAsiaTheme="minorEastAsia"/>
                <w:szCs w:val="21"/>
              </w:rPr>
              <w:t>10</w:t>
            </w:r>
          </w:p>
        </w:tc>
        <w:tc>
          <w:tcPr>
            <w:tcW w:w="681" w:type="pct"/>
            <w:shd w:val="clear" w:color="auto" w:fill="auto"/>
            <w:vAlign w:val="center"/>
          </w:tcPr>
          <w:p w14:paraId="380B0211">
            <w:pPr>
              <w:jc w:val="center"/>
              <w:rPr>
                <w:rFonts w:eastAsiaTheme="minorEastAsia"/>
                <w:szCs w:val="21"/>
              </w:rPr>
            </w:pPr>
            <w:r>
              <w:rPr>
                <w:rFonts w:hint="eastAsia" w:eastAsiaTheme="minorEastAsia"/>
                <w:szCs w:val="21"/>
              </w:rPr>
              <w:t>5（8）</w:t>
            </w:r>
          </w:p>
        </w:tc>
        <w:tc>
          <w:tcPr>
            <w:tcW w:w="681" w:type="pct"/>
            <w:shd w:val="clear" w:color="auto" w:fill="auto"/>
            <w:vAlign w:val="center"/>
          </w:tcPr>
          <w:p w14:paraId="5320D33F">
            <w:pPr>
              <w:jc w:val="center"/>
              <w:rPr>
                <w:rFonts w:eastAsiaTheme="minorEastAsia"/>
                <w:szCs w:val="21"/>
              </w:rPr>
            </w:pPr>
            <w:r>
              <w:rPr>
                <w:rFonts w:hint="eastAsia" w:eastAsiaTheme="minorEastAsia"/>
                <w:szCs w:val="21"/>
              </w:rPr>
              <w:t>15</w:t>
            </w:r>
          </w:p>
        </w:tc>
        <w:tc>
          <w:tcPr>
            <w:tcW w:w="681" w:type="pct"/>
            <w:shd w:val="clear" w:color="auto" w:fill="auto"/>
            <w:vAlign w:val="center"/>
          </w:tcPr>
          <w:p w14:paraId="0751076C">
            <w:pPr>
              <w:jc w:val="center"/>
              <w:rPr>
                <w:rFonts w:eastAsiaTheme="minorEastAsia"/>
                <w:szCs w:val="21"/>
              </w:rPr>
            </w:pPr>
            <w:r>
              <w:rPr>
                <w:rFonts w:hint="eastAsia" w:eastAsiaTheme="minorEastAsia"/>
                <w:szCs w:val="21"/>
              </w:rPr>
              <w:t>0.5</w:t>
            </w:r>
          </w:p>
        </w:tc>
      </w:tr>
    </w:tbl>
    <w:p w14:paraId="7B19FCF2">
      <w:pPr>
        <w:spacing w:line="360" w:lineRule="auto"/>
        <w:ind w:firstLine="480" w:firstLineChars="200"/>
        <w:rPr>
          <w:rFonts w:eastAsiaTheme="minorEastAsia"/>
          <w:kern w:val="0"/>
          <w:sz w:val="24"/>
        </w:rPr>
      </w:pPr>
      <w:r>
        <w:rPr>
          <w:rFonts w:hint="eastAsia" w:eastAsiaTheme="minorEastAsia"/>
          <w:kern w:val="0"/>
          <w:sz w:val="24"/>
        </w:rPr>
        <w:t>处理后尾水排放执行《城镇污水处理厂污染物排放标准》(GB18918-2002）一级A排放标准。</w:t>
      </w:r>
    </w:p>
    <w:p w14:paraId="798AD414">
      <w:pPr>
        <w:spacing w:line="360" w:lineRule="auto"/>
        <w:ind w:firstLine="480" w:firstLineChars="200"/>
        <w:rPr>
          <w:rFonts w:eastAsiaTheme="minorEastAsia"/>
          <w:sz w:val="24"/>
        </w:rPr>
      </w:pPr>
      <w:r>
        <w:rPr>
          <w:rFonts w:hint="eastAsia" w:eastAsiaTheme="minorEastAsia"/>
          <w:kern w:val="0"/>
          <w:sz w:val="24"/>
        </w:rPr>
        <w:t>（2）</w:t>
      </w:r>
      <w:r>
        <w:rPr>
          <w:rFonts w:hint="eastAsia" w:eastAsiaTheme="minorEastAsia"/>
          <w:sz w:val="24"/>
        </w:rPr>
        <w:t>雨水</w:t>
      </w:r>
    </w:p>
    <w:p w14:paraId="36D5D7F7">
      <w:pPr>
        <w:spacing w:line="360" w:lineRule="auto"/>
        <w:ind w:firstLine="480" w:firstLineChars="200"/>
        <w:rPr>
          <w:rFonts w:eastAsiaTheme="minorEastAsia"/>
          <w:sz w:val="24"/>
        </w:rPr>
      </w:pPr>
      <w:r>
        <w:rPr>
          <w:rFonts w:hint="eastAsia" w:eastAsiaTheme="minorEastAsia"/>
          <w:sz w:val="24"/>
        </w:rPr>
        <w:t>现状各乡镇沿部分道路已敷设雨水管道，并向两侧用地呈支状延伸，但园区内缺乏完善的雨水排水体系。</w:t>
      </w:r>
    </w:p>
    <w:p w14:paraId="76ADD27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环卫设施现状</w:t>
      </w:r>
    </w:p>
    <w:p w14:paraId="54AA3F1A">
      <w:pPr>
        <w:spacing w:line="360" w:lineRule="auto"/>
        <w:ind w:firstLine="480" w:firstLineChars="200"/>
        <w:rPr>
          <w:rFonts w:eastAsiaTheme="minorEastAsia"/>
          <w:sz w:val="24"/>
        </w:rPr>
      </w:pPr>
      <w:r>
        <w:rPr>
          <w:rFonts w:hint="eastAsia" w:eastAsiaTheme="minorEastAsia"/>
          <w:sz w:val="24"/>
        </w:rPr>
        <w:t>吴山闽商石材产业园区现状设有生活垃圾转运站6座，单个中转能力约60吨/月，占地面积约100平方米。</w:t>
      </w:r>
    </w:p>
    <w:p w14:paraId="08B2FADE">
      <w:pPr>
        <w:spacing w:line="360" w:lineRule="auto"/>
        <w:ind w:firstLine="480" w:firstLineChars="200"/>
        <w:rPr>
          <w:rFonts w:eastAsiaTheme="minorEastAsia"/>
          <w:sz w:val="24"/>
        </w:rPr>
      </w:pPr>
      <w:r>
        <w:rPr>
          <w:rFonts w:hint="eastAsia" w:eastAsiaTheme="minorEastAsia"/>
          <w:sz w:val="24"/>
        </w:rPr>
        <w:t>万和石材产业园区现状设有生活垃圾转运站2座，中转能力约80吨/月，占地面积约100平方米。</w:t>
      </w:r>
    </w:p>
    <w:p w14:paraId="72A0E03D">
      <w:pPr>
        <w:spacing w:line="360" w:lineRule="auto"/>
        <w:ind w:firstLine="480" w:firstLineChars="200"/>
        <w:rPr>
          <w:rFonts w:eastAsiaTheme="minorEastAsia"/>
          <w:sz w:val="24"/>
        </w:rPr>
      </w:pPr>
      <w:r>
        <w:rPr>
          <w:rFonts w:hint="eastAsia" w:eastAsiaTheme="minorEastAsia"/>
          <w:sz w:val="24"/>
        </w:rPr>
        <w:t>太白顶石材产业园区现状设有生活垃圾转运站1座，中转能力约30吨/月，占地面积约50平方米。</w:t>
      </w:r>
    </w:p>
    <w:p w14:paraId="67923104">
      <w:pPr>
        <w:spacing w:line="360" w:lineRule="auto"/>
        <w:ind w:firstLine="480" w:firstLineChars="200"/>
        <w:rPr>
          <w:rFonts w:eastAsiaTheme="minorEastAsia"/>
          <w:sz w:val="24"/>
        </w:rPr>
      </w:pPr>
      <w:r>
        <w:rPr>
          <w:rFonts w:hint="eastAsia" w:eastAsiaTheme="minorEastAsia"/>
          <w:sz w:val="24"/>
        </w:rPr>
        <w:t>草店石材产业园区现状设有生活垃圾转运站1座，中转能力约30吨/月，占地面积约50平方米。园区内现状公厕1座，主要在园区东北侧。</w:t>
      </w:r>
    </w:p>
    <w:p w14:paraId="07468E67">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能源现状</w:t>
      </w:r>
    </w:p>
    <w:p w14:paraId="3FABACC2">
      <w:pPr>
        <w:spacing w:line="360" w:lineRule="auto"/>
        <w:ind w:firstLine="480" w:firstLineChars="200"/>
        <w:rPr>
          <w:rFonts w:eastAsiaTheme="minorEastAsia"/>
          <w:sz w:val="24"/>
        </w:rPr>
      </w:pPr>
      <w:r>
        <w:rPr>
          <w:rFonts w:hint="eastAsia" w:eastAsiaTheme="minorEastAsia"/>
          <w:sz w:val="24"/>
        </w:rPr>
        <w:t>（1）电力现状</w:t>
      </w:r>
    </w:p>
    <w:p w14:paraId="3D24EF9D">
      <w:pPr>
        <w:spacing w:line="360" w:lineRule="auto"/>
        <w:ind w:firstLine="480" w:firstLineChars="200"/>
        <w:rPr>
          <w:rFonts w:eastAsiaTheme="minorEastAsia"/>
          <w:sz w:val="24"/>
        </w:rPr>
      </w:pPr>
      <w:r>
        <w:rPr>
          <w:rFonts w:hint="eastAsia" w:eastAsiaTheme="minorEastAsia"/>
          <w:sz w:val="24"/>
        </w:rPr>
        <w:t>吴山镇吴山镇现有110千伏变电站1座，主变2台，总容量10万千伏安，最大负荷5.4万千瓦，主供石材工业园区及矿区负荷；35千伏变电站1座，主变2台，容量为1.5万千伏安，最大负荷1.1万千瓦，主供吴山镇区行政、居民和就近企业。</w:t>
      </w:r>
    </w:p>
    <w:p w14:paraId="44AB8D31">
      <w:pPr>
        <w:spacing w:line="360" w:lineRule="auto"/>
        <w:ind w:firstLine="480" w:firstLineChars="200"/>
        <w:rPr>
          <w:rFonts w:eastAsiaTheme="minorEastAsia"/>
          <w:sz w:val="24"/>
        </w:rPr>
      </w:pPr>
      <w:r>
        <w:rPr>
          <w:rFonts w:hint="eastAsia" w:eastAsiaTheme="minorEastAsia"/>
          <w:sz w:val="24"/>
        </w:rPr>
        <w:t>万和镇主供电源为110kV变电站1座，主变2台，容量10万千伏安，主供万和石材工业园加工企业。35千伏变电站3座，主变5台，主供万和镇行政、居民和就近企业。</w:t>
      </w:r>
    </w:p>
    <w:p w14:paraId="2218463E">
      <w:pPr>
        <w:spacing w:line="360" w:lineRule="auto"/>
        <w:ind w:firstLine="480" w:firstLineChars="200"/>
        <w:rPr>
          <w:rFonts w:eastAsiaTheme="minorEastAsia"/>
          <w:sz w:val="24"/>
        </w:rPr>
      </w:pPr>
      <w:r>
        <w:rPr>
          <w:rFonts w:hint="eastAsia" w:eastAsiaTheme="minorEastAsia"/>
          <w:sz w:val="24"/>
        </w:rPr>
        <w:t>草店镇主供电源为现状草店镇110kV变，园区根据镇区发展需求进行扩容。草店镇设照明台区146条，10千伏线路4条109.76千米，低压线路280条354.87千米，总容量10785千伏安。</w:t>
      </w:r>
    </w:p>
    <w:p w14:paraId="5309E022">
      <w:pPr>
        <w:spacing w:line="360" w:lineRule="auto"/>
        <w:ind w:firstLine="480" w:firstLineChars="200"/>
        <w:rPr>
          <w:rFonts w:eastAsiaTheme="minorEastAsia"/>
          <w:sz w:val="24"/>
        </w:rPr>
      </w:pPr>
      <w:r>
        <w:rPr>
          <w:rFonts w:hint="eastAsia" w:eastAsiaTheme="minorEastAsia"/>
          <w:sz w:val="24"/>
        </w:rPr>
        <w:t>（2）用气现状</w:t>
      </w:r>
    </w:p>
    <w:p w14:paraId="0C24A3B8">
      <w:pPr>
        <w:spacing w:line="360" w:lineRule="auto"/>
        <w:ind w:firstLine="480" w:firstLineChars="200"/>
        <w:rPr>
          <w:rFonts w:eastAsiaTheme="minorEastAsia"/>
          <w:sz w:val="24"/>
        </w:rPr>
      </w:pPr>
      <w:r>
        <w:rPr>
          <w:rFonts w:hint="eastAsia" w:eastAsiaTheme="minorEastAsia"/>
          <w:sz w:val="24"/>
        </w:rPr>
        <w:t>吴山闽商石材产业园燃气由吴山镇区燃气系统管道天然气供应。产业园气源为中石油西气东输二线天然气，天然气由中压管道到园区的调压箱，经调压箱降压后通过低压管到达各企业用户。园区仅有少量工业企业使用罐装的液化气。</w:t>
      </w:r>
    </w:p>
    <w:p w14:paraId="7721D433">
      <w:pPr>
        <w:spacing w:line="360" w:lineRule="auto"/>
        <w:ind w:firstLine="480" w:firstLineChars="200"/>
        <w:rPr>
          <w:rFonts w:eastAsiaTheme="minorEastAsia"/>
          <w:sz w:val="24"/>
        </w:rPr>
      </w:pPr>
      <w:r>
        <w:rPr>
          <w:rFonts w:hint="eastAsia" w:eastAsiaTheme="minorEastAsia"/>
          <w:sz w:val="24"/>
        </w:rPr>
        <w:t>万和、太白顶及草店石材产业园区目前无集中供热管网，园区工业企业及居民用气主要为罐装的液化气。</w:t>
      </w:r>
    </w:p>
    <w:p w14:paraId="3466BBAC">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交通现状</w:t>
      </w:r>
    </w:p>
    <w:p w14:paraId="56343207">
      <w:pPr>
        <w:spacing w:line="360" w:lineRule="auto"/>
        <w:ind w:firstLine="480" w:firstLineChars="200"/>
        <w:rPr>
          <w:rFonts w:eastAsiaTheme="minorEastAsia"/>
          <w:sz w:val="24"/>
        </w:rPr>
      </w:pPr>
      <w:r>
        <w:rPr>
          <w:rFonts w:hint="eastAsia" w:eastAsiaTheme="minorEastAsia"/>
          <w:sz w:val="24"/>
        </w:rPr>
        <w:t>（1）对外交通</w:t>
      </w:r>
    </w:p>
    <w:p w14:paraId="66794FF1">
      <w:pPr>
        <w:spacing w:line="360" w:lineRule="auto"/>
        <w:ind w:firstLine="480" w:firstLineChars="200"/>
        <w:rPr>
          <w:rFonts w:eastAsiaTheme="minorEastAsia"/>
          <w:sz w:val="24"/>
        </w:rPr>
      </w:pPr>
      <w:r>
        <w:rPr>
          <w:rFonts w:hint="eastAsia" w:eastAsiaTheme="minorEastAsia"/>
          <w:sz w:val="24"/>
        </w:rPr>
        <w:t>①吴山镇</w:t>
      </w:r>
    </w:p>
    <w:p w14:paraId="1DF50BB2">
      <w:pPr>
        <w:spacing w:line="360" w:lineRule="auto"/>
        <w:ind w:firstLine="480" w:firstLineChars="200"/>
        <w:rPr>
          <w:rFonts w:eastAsiaTheme="minorEastAsia"/>
          <w:sz w:val="24"/>
        </w:rPr>
      </w:pPr>
      <w:r>
        <w:rPr>
          <w:rFonts w:hint="eastAsia" w:eastAsiaTheme="minorEastAsia"/>
          <w:sz w:val="24"/>
        </w:rPr>
        <w:t>吴山镇境内有县道X003道路过境。南侧有省道S440与316国道相连。</w:t>
      </w:r>
    </w:p>
    <w:p w14:paraId="703DBE7A">
      <w:pPr>
        <w:spacing w:line="360" w:lineRule="auto"/>
        <w:ind w:firstLine="480" w:firstLineChars="200"/>
        <w:rPr>
          <w:rFonts w:eastAsiaTheme="minorEastAsia"/>
          <w:sz w:val="24"/>
        </w:rPr>
      </w:pPr>
      <w:r>
        <w:rPr>
          <w:rFonts w:hint="eastAsia" w:eastAsiaTheme="minorEastAsia"/>
          <w:sz w:val="24"/>
        </w:rPr>
        <w:t>②万和镇（含太白顶）</w:t>
      </w:r>
    </w:p>
    <w:p w14:paraId="6DD353E7">
      <w:pPr>
        <w:spacing w:line="360" w:lineRule="auto"/>
        <w:ind w:firstLine="480" w:firstLineChars="200"/>
        <w:rPr>
          <w:rFonts w:eastAsiaTheme="minorEastAsia"/>
          <w:sz w:val="24"/>
        </w:rPr>
      </w:pPr>
      <w:r>
        <w:rPr>
          <w:rFonts w:hint="eastAsia" w:eastAsiaTheme="minorEastAsia"/>
          <w:sz w:val="24"/>
        </w:rPr>
        <w:t>万和镇境内有随岳高速公路穿过，264省道、厉合县道连接万和，东距随岳高速公路人口10千米，镇区道路总长度9.8千米；镇区桥梁3座，镇区私营班车32部，日发30班次，日客运量900人次。</w:t>
      </w:r>
    </w:p>
    <w:p w14:paraId="26D87DFC">
      <w:pPr>
        <w:spacing w:line="360" w:lineRule="auto"/>
        <w:ind w:firstLine="480" w:firstLineChars="200"/>
        <w:rPr>
          <w:rFonts w:eastAsiaTheme="minorEastAsia"/>
          <w:sz w:val="24"/>
        </w:rPr>
      </w:pPr>
      <w:r>
        <w:rPr>
          <w:rFonts w:hint="eastAsia" w:eastAsiaTheme="minorEastAsia"/>
          <w:sz w:val="24"/>
        </w:rPr>
        <w:t>目前经过万和镇的主要公路为S264省道，向南可至</w:t>
      </w:r>
      <w:bookmarkStart w:id="126" w:name="_Hlk169193325"/>
      <w:r>
        <w:rPr>
          <w:rFonts w:hint="eastAsia" w:eastAsiaTheme="minorEastAsia"/>
          <w:sz w:val="24"/>
        </w:rPr>
        <w:t>随县</w:t>
      </w:r>
      <w:bookmarkEnd w:id="126"/>
      <w:r>
        <w:rPr>
          <w:rFonts w:hint="eastAsia" w:eastAsiaTheme="minorEastAsia"/>
          <w:sz w:val="24"/>
        </w:rPr>
        <w:t>及随州市区，北至太白顶风景区。</w:t>
      </w:r>
    </w:p>
    <w:p w14:paraId="5ED693C6">
      <w:pPr>
        <w:spacing w:line="360" w:lineRule="auto"/>
        <w:ind w:firstLine="480" w:firstLineChars="200"/>
        <w:rPr>
          <w:rFonts w:eastAsiaTheme="minorEastAsia"/>
          <w:sz w:val="24"/>
        </w:rPr>
      </w:pPr>
      <w:r>
        <w:rPr>
          <w:rFonts w:hint="eastAsia" w:eastAsiaTheme="minorEastAsia"/>
          <w:sz w:val="24"/>
        </w:rPr>
        <w:t>目前经过太白顶的主要公路为S328省道，向南可至万和镇、殷店镇、随县及随州市区，北至程湾镇。园区与太白顶管委会相连的是S328省道。</w:t>
      </w:r>
    </w:p>
    <w:p w14:paraId="122021DA">
      <w:pPr>
        <w:spacing w:line="360" w:lineRule="auto"/>
        <w:ind w:firstLine="480" w:firstLineChars="200"/>
        <w:rPr>
          <w:rFonts w:eastAsiaTheme="minorEastAsia"/>
          <w:sz w:val="24"/>
        </w:rPr>
      </w:pPr>
      <w:r>
        <w:rPr>
          <w:rFonts w:hint="eastAsia" w:eastAsiaTheme="minorEastAsia"/>
          <w:sz w:val="24"/>
        </w:rPr>
        <w:t>③草店镇</w:t>
      </w:r>
    </w:p>
    <w:p w14:paraId="1EAEB643">
      <w:pPr>
        <w:spacing w:line="360" w:lineRule="auto"/>
        <w:ind w:firstLine="480" w:firstLineChars="200"/>
        <w:rPr>
          <w:rFonts w:eastAsiaTheme="minorEastAsia"/>
          <w:sz w:val="24"/>
        </w:rPr>
      </w:pPr>
      <w:r>
        <w:rPr>
          <w:rFonts w:hint="eastAsia" w:eastAsiaTheme="minorEastAsia"/>
          <w:sz w:val="24"/>
        </w:rPr>
        <w:t>草店镇有过境铁路27.22千米，货运站点1个，省道22千米，县道14千米，镇道7.5千米，通村公路84千米，硬化里程36千米，硬化率32%。大小桥梁56座，其中新修大桥2座，镇区道路总长度13.3千米；镇区桥梁5座。</w:t>
      </w:r>
    </w:p>
    <w:p w14:paraId="59E0243D">
      <w:pPr>
        <w:spacing w:line="360" w:lineRule="auto"/>
        <w:ind w:firstLine="480" w:firstLineChars="200"/>
        <w:rPr>
          <w:rFonts w:eastAsiaTheme="minorEastAsia"/>
          <w:sz w:val="24"/>
        </w:rPr>
      </w:pPr>
      <w:r>
        <w:rPr>
          <w:rFonts w:hint="eastAsia" w:eastAsiaTheme="minorEastAsia"/>
          <w:sz w:val="24"/>
        </w:rPr>
        <w:t>目前经过草店镇的主要公路为S212省道，向南可至殷店镇、高城镇、随县及随州市区，北至小林镇。园区与草店镇区S212省道相连的是鄢家河南路。</w:t>
      </w:r>
    </w:p>
    <w:p w14:paraId="729F3FF8">
      <w:pPr>
        <w:spacing w:line="360" w:lineRule="auto"/>
        <w:ind w:firstLine="480" w:firstLineChars="200"/>
        <w:rPr>
          <w:rFonts w:eastAsiaTheme="minorEastAsia"/>
          <w:sz w:val="24"/>
        </w:rPr>
      </w:pPr>
      <w:r>
        <w:rPr>
          <w:rFonts w:hint="eastAsia" w:eastAsiaTheme="minorEastAsia"/>
          <w:sz w:val="24"/>
        </w:rPr>
        <w:t>（2）内部道路交通现状</w:t>
      </w:r>
    </w:p>
    <w:p w14:paraId="3FBEA238">
      <w:pPr>
        <w:spacing w:line="360" w:lineRule="auto"/>
        <w:ind w:firstLine="480" w:firstLineChars="200"/>
        <w:rPr>
          <w:rFonts w:eastAsiaTheme="minorEastAsia"/>
          <w:sz w:val="24"/>
        </w:rPr>
      </w:pPr>
      <w:r>
        <w:rPr>
          <w:rFonts w:hint="eastAsia" w:eastAsiaTheme="minorEastAsia"/>
          <w:sz w:val="24"/>
        </w:rPr>
        <w:t>吴山镇闽商石材产业园通过X003县道由北向南贯穿，横向通过各支路与园区东西两侧企业相连。</w:t>
      </w:r>
    </w:p>
    <w:p w14:paraId="28A3ACDC">
      <w:pPr>
        <w:spacing w:line="360" w:lineRule="auto"/>
        <w:ind w:firstLine="480" w:firstLineChars="200"/>
        <w:rPr>
          <w:rFonts w:eastAsiaTheme="minorEastAsia"/>
          <w:sz w:val="24"/>
        </w:rPr>
      </w:pPr>
      <w:r>
        <w:rPr>
          <w:rFonts w:hint="eastAsia" w:eastAsiaTheme="minorEastAsia"/>
          <w:sz w:val="24"/>
        </w:rPr>
        <w:t>万和镇通过S264省道与园区各企业相连，南部园区内部主要为各次干道与各企业相连。</w:t>
      </w:r>
    </w:p>
    <w:p w14:paraId="39F11C3C">
      <w:pPr>
        <w:spacing w:line="360" w:lineRule="auto"/>
        <w:ind w:firstLine="480" w:firstLineChars="200"/>
        <w:rPr>
          <w:rFonts w:eastAsiaTheme="minorEastAsia"/>
          <w:sz w:val="24"/>
        </w:rPr>
      </w:pPr>
      <w:r>
        <w:rPr>
          <w:rFonts w:hint="eastAsia" w:eastAsiaTheme="minorEastAsia"/>
          <w:sz w:val="24"/>
        </w:rPr>
        <w:t>太白顶管委会通过S328省道与园区各企业相连，主园区内部主要为园区一路与各企业相连。</w:t>
      </w:r>
    </w:p>
    <w:p w14:paraId="1CBBB047">
      <w:pPr>
        <w:spacing w:line="360" w:lineRule="auto"/>
        <w:ind w:firstLine="480" w:firstLineChars="200"/>
        <w:rPr>
          <w:rFonts w:eastAsiaTheme="minorEastAsia"/>
          <w:sz w:val="24"/>
        </w:rPr>
      </w:pPr>
      <w:r>
        <w:rPr>
          <w:rFonts w:hint="eastAsia" w:eastAsiaTheme="minorEastAsia"/>
          <w:sz w:val="24"/>
        </w:rPr>
        <w:t>草店镇区通过鄢家河南路与园区企业及居民区相连，园区内部主要为产业园东路、产业园西路以及与鸿发石业、汉东石业相连的支路，产业园东路经过园区内部居民点。</w:t>
      </w:r>
    </w:p>
    <w:p w14:paraId="23387A8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通信设施现状</w:t>
      </w:r>
    </w:p>
    <w:p w14:paraId="0920CA98">
      <w:pPr>
        <w:spacing w:line="360" w:lineRule="auto"/>
        <w:ind w:firstLine="480" w:firstLineChars="200"/>
        <w:rPr>
          <w:rFonts w:eastAsiaTheme="minorEastAsia"/>
          <w:sz w:val="24"/>
        </w:rPr>
      </w:pPr>
      <w:r>
        <w:rPr>
          <w:rFonts w:hint="eastAsia" w:eastAsiaTheme="minorEastAsia"/>
          <w:sz w:val="24"/>
        </w:rPr>
        <w:t>吴山闽商石材产业园区已布置完善通讯线路，满足园区建设及运行需求。移动通信宏基站采用多家运营商共建共用的建设模式，采用屋面式天线。基站机房设置在设天线建筑顶层或天台，每处基站机房建筑面积60m²。通信机房由多家通信运营商共用，每2400线固定电话用户设置一处45-55m²的通信机房。产业园有线电视由随县广电提供服务。光缆传输的有线电视信号通过解调、放大、分配、分支送到终端用户。</w:t>
      </w:r>
    </w:p>
    <w:p w14:paraId="0235EE35">
      <w:pPr>
        <w:spacing w:line="360" w:lineRule="auto"/>
        <w:ind w:firstLine="480" w:firstLineChars="200"/>
        <w:rPr>
          <w:rFonts w:eastAsiaTheme="minorEastAsia"/>
          <w:sz w:val="24"/>
        </w:rPr>
      </w:pPr>
      <w:r>
        <w:rPr>
          <w:rFonts w:hint="eastAsia" w:eastAsiaTheme="minorEastAsia"/>
          <w:sz w:val="24"/>
        </w:rPr>
        <w:t>万和石材产业园区已布置完善通讯线路，满足园区建设及运行需求。移动通信宏基站采用多家运营商共建共用的建设模式，采用屋面式天线。基站机房设置在设天线建筑顶层或天台，每处基站机房建筑面积60m</w:t>
      </w:r>
      <w:r>
        <w:rPr>
          <w:rFonts w:eastAsiaTheme="minorEastAsia"/>
          <w:sz w:val="24"/>
        </w:rPr>
        <w:t>²</w:t>
      </w:r>
      <w:r>
        <w:rPr>
          <w:rFonts w:hint="eastAsia" w:eastAsiaTheme="minorEastAsia"/>
          <w:sz w:val="24"/>
        </w:rPr>
        <w:t>。通信机房由多家通信运营商共用，每2400线固定电话用户设置一处45-55m</w:t>
      </w:r>
      <w:r>
        <w:rPr>
          <w:rFonts w:eastAsiaTheme="minorEastAsia"/>
          <w:sz w:val="24"/>
        </w:rPr>
        <w:t>²</w:t>
      </w:r>
      <w:r>
        <w:rPr>
          <w:rFonts w:hint="eastAsia" w:eastAsiaTheme="minorEastAsia"/>
          <w:sz w:val="24"/>
        </w:rPr>
        <w:t>的通信机房。产业园有线电视由随县广电提供服务。光缆传输的有线电视信号通过解调、放大、分配、分支送到终端用户。太白顶管委会现状通信机房1座，广电网络机房1座，主要在现状镇区中心附近。</w:t>
      </w:r>
    </w:p>
    <w:p w14:paraId="54B8518C">
      <w:pPr>
        <w:spacing w:line="360" w:lineRule="auto"/>
        <w:ind w:firstLine="480" w:firstLineChars="200"/>
        <w:rPr>
          <w:rFonts w:eastAsiaTheme="minorEastAsia"/>
          <w:sz w:val="24"/>
        </w:rPr>
      </w:pPr>
      <w:r>
        <w:rPr>
          <w:rFonts w:hint="eastAsia" w:eastAsiaTheme="minorEastAsia"/>
          <w:sz w:val="24"/>
        </w:rPr>
        <w:t>草店镇区内</w:t>
      </w:r>
      <w:bookmarkStart w:id="127" w:name="_Hlk168556901"/>
      <w:r>
        <w:rPr>
          <w:rFonts w:hint="eastAsia" w:eastAsiaTheme="minorEastAsia"/>
          <w:sz w:val="24"/>
        </w:rPr>
        <w:t>现状通信机房1座，广电网络机房1座</w:t>
      </w:r>
      <w:bookmarkEnd w:id="127"/>
      <w:r>
        <w:rPr>
          <w:rFonts w:hint="eastAsia" w:eastAsiaTheme="minorEastAsia"/>
          <w:sz w:val="24"/>
        </w:rPr>
        <w:t>，主要在现状镇区中心附近。</w:t>
      </w:r>
    </w:p>
    <w:p w14:paraId="4147C0DC">
      <w:pPr>
        <w:keepNext/>
        <w:keepLines/>
        <w:widowControl/>
        <w:numPr>
          <w:ilvl w:val="2"/>
          <w:numId w:val="1"/>
        </w:numPr>
        <w:spacing w:before="120" w:after="120" w:line="360" w:lineRule="auto"/>
        <w:jc w:val="left"/>
        <w:outlineLvl w:val="2"/>
        <w:rPr>
          <w:rFonts w:eastAsiaTheme="minorEastAsia"/>
          <w:b/>
          <w:bCs/>
          <w:sz w:val="24"/>
        </w:rPr>
      </w:pPr>
      <w:bookmarkStart w:id="128" w:name="_Toc206494959"/>
      <w:r>
        <w:rPr>
          <w:rFonts w:hint="eastAsia" w:eastAsiaTheme="minorEastAsia"/>
          <w:b/>
          <w:bCs/>
          <w:sz w:val="24"/>
        </w:rPr>
        <w:t>资源能源开发利用现状调查</w:t>
      </w:r>
      <w:bookmarkEnd w:id="128"/>
    </w:p>
    <w:p w14:paraId="54A87ED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水资源利用状况</w:t>
      </w:r>
    </w:p>
    <w:p w14:paraId="4D12C319">
      <w:pPr>
        <w:spacing w:line="360" w:lineRule="auto"/>
        <w:ind w:firstLine="480" w:firstLineChars="200"/>
        <w:rPr>
          <w:rFonts w:eastAsiaTheme="minorEastAsia"/>
          <w:sz w:val="24"/>
        </w:rPr>
      </w:pPr>
      <w:r>
        <w:rPr>
          <w:rFonts w:hint="eastAsia" w:eastAsiaTheme="minorEastAsia"/>
          <w:sz w:val="24"/>
        </w:rPr>
        <w:t>根据《2023年随州市水资源公报》，2023年全市平均降水量1233.8毫米，折合降水总量118.77亿立方米，比上年偏多41.1%，比多年平均偏多27.1%，属丰水年。</w:t>
      </w:r>
    </w:p>
    <w:p w14:paraId="375AAAFF">
      <w:pPr>
        <w:spacing w:line="360" w:lineRule="auto"/>
        <w:ind w:firstLine="480" w:firstLineChars="200"/>
        <w:rPr>
          <w:rFonts w:eastAsiaTheme="minorEastAsia"/>
          <w:sz w:val="24"/>
        </w:rPr>
      </w:pPr>
      <w:r>
        <w:rPr>
          <w:rFonts w:hint="eastAsia" w:eastAsiaTheme="minorEastAsia"/>
          <w:sz w:val="24"/>
        </w:rPr>
        <w:t>2023年全市水资源总量44.15亿立方米，比上年偏多101.1%，比多年平均偏多53.8%。人均水资源占有量2192立方米。</w:t>
      </w:r>
    </w:p>
    <w:p w14:paraId="7340E69B">
      <w:pPr>
        <w:spacing w:line="360" w:lineRule="auto"/>
        <w:ind w:firstLine="480" w:firstLineChars="200"/>
        <w:rPr>
          <w:rFonts w:eastAsiaTheme="minorEastAsia"/>
          <w:sz w:val="24"/>
        </w:rPr>
      </w:pPr>
      <w:r>
        <w:rPr>
          <w:rFonts w:hint="eastAsia" w:eastAsiaTheme="minorEastAsia"/>
          <w:sz w:val="24"/>
        </w:rPr>
        <w:t>2023年全市8座大型水库和21座中型水库年末蓄水总量为13.85亿立方米，比年初蓄水总量增加2.77亿立方米。</w:t>
      </w:r>
    </w:p>
    <w:p w14:paraId="1D068CDC">
      <w:pPr>
        <w:spacing w:line="360" w:lineRule="auto"/>
        <w:ind w:firstLine="480" w:firstLineChars="200"/>
        <w:rPr>
          <w:rFonts w:eastAsiaTheme="minorEastAsia"/>
          <w:sz w:val="24"/>
        </w:rPr>
      </w:pPr>
      <w:r>
        <w:rPr>
          <w:rFonts w:hint="eastAsia" w:eastAsiaTheme="minorEastAsia"/>
          <w:sz w:val="24"/>
        </w:rPr>
        <w:t>2023年全市总供水量10.78亿立方米，其中地表水源供水量10.73亿立方米，地下水源供水量0.01亿立方米，其他水源供水量0.04亿立方米。</w:t>
      </w:r>
    </w:p>
    <w:p w14:paraId="1D74F75E">
      <w:pPr>
        <w:spacing w:line="360" w:lineRule="auto"/>
        <w:ind w:firstLine="480" w:firstLineChars="200"/>
        <w:rPr>
          <w:rFonts w:eastAsiaTheme="minorEastAsia"/>
          <w:sz w:val="24"/>
        </w:rPr>
      </w:pPr>
      <w:r>
        <w:rPr>
          <w:rFonts w:hint="eastAsia" w:eastAsiaTheme="minorEastAsia"/>
          <w:sz w:val="24"/>
        </w:rPr>
        <w:t>2023年全市用水量10.78亿立方米。其中农业灌溉用水量7.57亿立方米，林牧渔畜用水量0.74亿立方米，工业用水量0.76亿立方米，城镇公共用水量0.59亿立方米，居民生活用水量1.01亿立方米，生态环境用水量0.11亿立方米。全市万元国内生产总值（可比价）用水量为82立方米，万元工业增加值（可比价）用水量为16立方米。按可比价计算，万元国内生产总值用水量比上年下降14.6%，万元工业增加值用水量比上年下降15.8%。</w:t>
      </w:r>
    </w:p>
    <w:p w14:paraId="30F90688">
      <w:pPr>
        <w:spacing w:line="360" w:lineRule="auto"/>
        <w:ind w:firstLine="480" w:firstLineChars="200"/>
        <w:rPr>
          <w:rFonts w:eastAsiaTheme="minorEastAsia"/>
          <w:sz w:val="24"/>
        </w:rPr>
      </w:pPr>
      <w:r>
        <w:rPr>
          <w:rFonts w:hint="eastAsia" w:eastAsiaTheme="minorEastAsia"/>
          <w:sz w:val="24"/>
        </w:rPr>
        <w:t>根据调查资料统计，规划园区现状企业水资源消耗汇总情况见下表。</w:t>
      </w:r>
    </w:p>
    <w:p w14:paraId="1346AC4F">
      <w:pPr>
        <w:spacing w:line="360" w:lineRule="auto"/>
        <w:ind w:firstLine="422"/>
        <w:jc w:val="center"/>
        <w:rPr>
          <w:rFonts w:eastAsiaTheme="minorEastAsia"/>
          <w:b/>
          <w:szCs w:val="21"/>
        </w:rPr>
      </w:pPr>
      <w:r>
        <w:rPr>
          <w:rFonts w:hint="eastAsia" w:eastAsiaTheme="minorEastAsia"/>
          <w:b/>
          <w:szCs w:val="21"/>
        </w:rPr>
        <w:t>表3.4.6-1  规划园区现状企业水资源消耗情况一览表</w:t>
      </w:r>
    </w:p>
    <w:tbl>
      <w:tblPr>
        <w:tblStyle w:val="88"/>
        <w:tblW w:w="496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6"/>
        <w:gridCol w:w="4255"/>
        <w:gridCol w:w="3401"/>
      </w:tblGrid>
      <w:tr w14:paraId="14024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vAlign w:val="center"/>
          </w:tcPr>
          <w:p w14:paraId="60222C65">
            <w:pPr>
              <w:widowControl/>
              <w:spacing w:line="320" w:lineRule="exact"/>
              <w:ind w:left="-25" w:right="-25"/>
              <w:jc w:val="center"/>
              <w:rPr>
                <w:rFonts w:eastAsiaTheme="minorEastAsia"/>
                <w:kern w:val="0"/>
                <w:szCs w:val="21"/>
              </w:rPr>
            </w:pPr>
            <w:r>
              <w:rPr>
                <w:rFonts w:hint="eastAsia" w:eastAsiaTheme="minorEastAsia"/>
                <w:kern w:val="0"/>
                <w:szCs w:val="21"/>
              </w:rPr>
              <w:t>序号</w:t>
            </w:r>
          </w:p>
        </w:tc>
        <w:tc>
          <w:tcPr>
            <w:tcW w:w="2511" w:type="pct"/>
            <w:vAlign w:val="center"/>
          </w:tcPr>
          <w:p w14:paraId="64022EDB">
            <w:pPr>
              <w:widowControl/>
              <w:spacing w:line="320" w:lineRule="exact"/>
              <w:ind w:left="-25" w:right="-25"/>
              <w:jc w:val="center"/>
              <w:rPr>
                <w:rFonts w:eastAsiaTheme="minorEastAsia"/>
                <w:kern w:val="0"/>
                <w:szCs w:val="21"/>
              </w:rPr>
            </w:pPr>
            <w:r>
              <w:rPr>
                <w:rFonts w:hint="eastAsia" w:eastAsiaTheme="minorEastAsia"/>
                <w:kern w:val="0"/>
                <w:szCs w:val="21"/>
              </w:rPr>
              <w:t>园区名称</w:t>
            </w:r>
          </w:p>
        </w:tc>
        <w:tc>
          <w:tcPr>
            <w:tcW w:w="2008" w:type="pct"/>
            <w:vAlign w:val="center"/>
          </w:tcPr>
          <w:p w14:paraId="4E99AD35">
            <w:pPr>
              <w:widowControl/>
              <w:spacing w:line="320" w:lineRule="exact"/>
              <w:ind w:left="-25" w:right="-25"/>
              <w:jc w:val="center"/>
              <w:rPr>
                <w:rFonts w:eastAsiaTheme="minorEastAsia"/>
                <w:kern w:val="0"/>
                <w:szCs w:val="21"/>
              </w:rPr>
            </w:pPr>
            <w:r>
              <w:rPr>
                <w:rFonts w:hint="eastAsia"/>
                <w:szCs w:val="21"/>
              </w:rPr>
              <w:t>用水量（万m</w:t>
            </w:r>
            <w:r>
              <w:rPr>
                <w:szCs w:val="21"/>
              </w:rPr>
              <w:t>³</w:t>
            </w:r>
            <w:r>
              <w:rPr>
                <w:rFonts w:hint="eastAsia"/>
                <w:szCs w:val="21"/>
              </w:rPr>
              <w:t>/a）</w:t>
            </w:r>
          </w:p>
        </w:tc>
      </w:tr>
      <w:tr w14:paraId="21063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shd w:val="clear" w:color="auto" w:fill="auto"/>
            <w:vAlign w:val="center"/>
          </w:tcPr>
          <w:p w14:paraId="6DB6E19F">
            <w:pPr>
              <w:widowControl/>
              <w:spacing w:line="320" w:lineRule="exact"/>
              <w:ind w:left="-25" w:right="-25"/>
              <w:jc w:val="center"/>
              <w:rPr>
                <w:rFonts w:eastAsiaTheme="minorEastAsia"/>
                <w:kern w:val="0"/>
                <w:szCs w:val="21"/>
              </w:rPr>
            </w:pPr>
            <w:r>
              <w:rPr>
                <w:rFonts w:eastAsiaTheme="minorEastAsia"/>
                <w:kern w:val="0"/>
                <w:szCs w:val="21"/>
              </w:rPr>
              <w:t>1</w:t>
            </w:r>
          </w:p>
        </w:tc>
        <w:tc>
          <w:tcPr>
            <w:tcW w:w="2511" w:type="pct"/>
            <w:shd w:val="clear" w:color="auto" w:fill="auto"/>
            <w:vAlign w:val="center"/>
          </w:tcPr>
          <w:p w14:paraId="2C08683C">
            <w:pPr>
              <w:widowControl/>
              <w:spacing w:line="320" w:lineRule="exact"/>
              <w:ind w:left="-25" w:right="-25"/>
              <w:jc w:val="center"/>
              <w:rPr>
                <w:rFonts w:eastAsiaTheme="minorEastAsia"/>
                <w:kern w:val="0"/>
                <w:szCs w:val="21"/>
              </w:rPr>
            </w:pPr>
            <w:r>
              <w:rPr>
                <w:rFonts w:eastAsiaTheme="minorEastAsia"/>
                <w:kern w:val="0"/>
                <w:szCs w:val="21"/>
              </w:rPr>
              <w:t>吴山闽商石材产业园</w:t>
            </w:r>
          </w:p>
        </w:tc>
        <w:tc>
          <w:tcPr>
            <w:tcW w:w="2008" w:type="pct"/>
            <w:vAlign w:val="center"/>
          </w:tcPr>
          <w:p w14:paraId="64A36A4F">
            <w:pPr>
              <w:widowControl/>
              <w:spacing w:line="320" w:lineRule="exact"/>
              <w:ind w:left="-25" w:right="-25"/>
              <w:jc w:val="center"/>
              <w:rPr>
                <w:rFonts w:eastAsiaTheme="minorEastAsia"/>
                <w:kern w:val="0"/>
                <w:szCs w:val="21"/>
              </w:rPr>
            </w:pPr>
            <w:r>
              <w:rPr>
                <w:szCs w:val="21"/>
              </w:rPr>
              <w:t>422.360</w:t>
            </w:r>
          </w:p>
        </w:tc>
      </w:tr>
      <w:tr w14:paraId="0FEF3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shd w:val="clear" w:color="auto" w:fill="auto"/>
            <w:vAlign w:val="center"/>
          </w:tcPr>
          <w:p w14:paraId="120333AA">
            <w:pPr>
              <w:widowControl/>
              <w:spacing w:line="320" w:lineRule="exact"/>
              <w:ind w:left="-25" w:right="-25"/>
              <w:jc w:val="center"/>
              <w:rPr>
                <w:rFonts w:eastAsiaTheme="minorEastAsia"/>
                <w:kern w:val="0"/>
                <w:szCs w:val="21"/>
              </w:rPr>
            </w:pPr>
            <w:r>
              <w:rPr>
                <w:rFonts w:eastAsiaTheme="minorEastAsia"/>
                <w:kern w:val="0"/>
                <w:szCs w:val="21"/>
              </w:rPr>
              <w:t>2</w:t>
            </w:r>
          </w:p>
        </w:tc>
        <w:tc>
          <w:tcPr>
            <w:tcW w:w="2511" w:type="pct"/>
            <w:shd w:val="clear" w:color="auto" w:fill="auto"/>
            <w:vAlign w:val="center"/>
          </w:tcPr>
          <w:p w14:paraId="4591C372">
            <w:pPr>
              <w:widowControl/>
              <w:spacing w:line="320" w:lineRule="exact"/>
              <w:ind w:left="-25" w:right="-25"/>
              <w:jc w:val="center"/>
              <w:rPr>
                <w:rFonts w:eastAsiaTheme="minorEastAsia"/>
                <w:kern w:val="0"/>
                <w:szCs w:val="21"/>
              </w:rPr>
            </w:pPr>
            <w:r>
              <w:rPr>
                <w:rFonts w:eastAsiaTheme="minorEastAsia"/>
                <w:kern w:val="0"/>
                <w:szCs w:val="21"/>
              </w:rPr>
              <w:t>万和石材产业园</w:t>
            </w:r>
          </w:p>
        </w:tc>
        <w:tc>
          <w:tcPr>
            <w:tcW w:w="2008" w:type="pct"/>
            <w:vAlign w:val="center"/>
          </w:tcPr>
          <w:p w14:paraId="53ED81BF">
            <w:pPr>
              <w:widowControl/>
              <w:spacing w:line="320" w:lineRule="exact"/>
              <w:ind w:left="-25" w:right="-25"/>
              <w:jc w:val="center"/>
              <w:rPr>
                <w:rFonts w:eastAsiaTheme="minorEastAsia"/>
                <w:kern w:val="0"/>
                <w:szCs w:val="21"/>
              </w:rPr>
            </w:pPr>
            <w:r>
              <w:rPr>
                <w:szCs w:val="21"/>
              </w:rPr>
              <w:t>203.749</w:t>
            </w:r>
          </w:p>
        </w:tc>
      </w:tr>
      <w:tr w14:paraId="732F0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shd w:val="clear" w:color="auto" w:fill="auto"/>
            <w:vAlign w:val="center"/>
          </w:tcPr>
          <w:p w14:paraId="6C9A6957">
            <w:pPr>
              <w:widowControl/>
              <w:spacing w:line="320" w:lineRule="exact"/>
              <w:ind w:left="-25" w:right="-25"/>
              <w:jc w:val="center"/>
              <w:rPr>
                <w:rFonts w:eastAsiaTheme="minorEastAsia"/>
                <w:kern w:val="0"/>
                <w:szCs w:val="21"/>
              </w:rPr>
            </w:pPr>
            <w:r>
              <w:rPr>
                <w:rFonts w:eastAsiaTheme="minorEastAsia"/>
                <w:kern w:val="0"/>
                <w:szCs w:val="21"/>
              </w:rPr>
              <w:t>3</w:t>
            </w:r>
          </w:p>
        </w:tc>
        <w:tc>
          <w:tcPr>
            <w:tcW w:w="2511" w:type="pct"/>
            <w:shd w:val="clear" w:color="auto" w:fill="auto"/>
            <w:vAlign w:val="center"/>
          </w:tcPr>
          <w:p w14:paraId="332C1D41">
            <w:pPr>
              <w:widowControl/>
              <w:spacing w:line="320" w:lineRule="exact"/>
              <w:ind w:left="-25" w:right="-25"/>
              <w:jc w:val="center"/>
              <w:rPr>
                <w:rFonts w:eastAsiaTheme="minorEastAsia"/>
                <w:kern w:val="0"/>
                <w:szCs w:val="21"/>
              </w:rPr>
            </w:pPr>
            <w:r>
              <w:rPr>
                <w:rFonts w:eastAsiaTheme="minorEastAsia"/>
                <w:kern w:val="0"/>
                <w:szCs w:val="21"/>
              </w:rPr>
              <w:t>太白顶石材产业园</w:t>
            </w:r>
          </w:p>
        </w:tc>
        <w:tc>
          <w:tcPr>
            <w:tcW w:w="2008" w:type="pct"/>
            <w:vAlign w:val="center"/>
          </w:tcPr>
          <w:p w14:paraId="43E955C5">
            <w:pPr>
              <w:widowControl/>
              <w:spacing w:line="320" w:lineRule="exact"/>
              <w:ind w:left="-25" w:right="-25"/>
              <w:jc w:val="center"/>
              <w:rPr>
                <w:rFonts w:eastAsiaTheme="minorEastAsia"/>
                <w:kern w:val="0"/>
                <w:szCs w:val="21"/>
              </w:rPr>
            </w:pPr>
            <w:r>
              <w:rPr>
                <w:rFonts w:hint="eastAsia"/>
                <w:szCs w:val="21"/>
              </w:rPr>
              <w:t>67.93</w:t>
            </w:r>
          </w:p>
        </w:tc>
      </w:tr>
      <w:tr w14:paraId="0C983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shd w:val="clear" w:color="auto" w:fill="auto"/>
            <w:vAlign w:val="center"/>
          </w:tcPr>
          <w:p w14:paraId="1444A007">
            <w:pPr>
              <w:widowControl/>
              <w:spacing w:line="320" w:lineRule="exact"/>
              <w:ind w:left="-25" w:right="-25"/>
              <w:jc w:val="center"/>
              <w:rPr>
                <w:rFonts w:eastAsiaTheme="minorEastAsia"/>
                <w:kern w:val="0"/>
                <w:szCs w:val="21"/>
              </w:rPr>
            </w:pPr>
            <w:r>
              <w:rPr>
                <w:rFonts w:eastAsiaTheme="minorEastAsia"/>
                <w:kern w:val="0"/>
                <w:szCs w:val="21"/>
              </w:rPr>
              <w:t>4</w:t>
            </w:r>
          </w:p>
        </w:tc>
        <w:tc>
          <w:tcPr>
            <w:tcW w:w="2511" w:type="pct"/>
            <w:shd w:val="clear" w:color="auto" w:fill="auto"/>
            <w:vAlign w:val="center"/>
          </w:tcPr>
          <w:p w14:paraId="0FD0629D">
            <w:pPr>
              <w:widowControl/>
              <w:spacing w:line="320" w:lineRule="exact"/>
              <w:ind w:left="-25" w:right="-25"/>
              <w:jc w:val="center"/>
              <w:rPr>
                <w:rFonts w:eastAsiaTheme="minorEastAsia"/>
                <w:kern w:val="0"/>
                <w:szCs w:val="21"/>
              </w:rPr>
            </w:pPr>
            <w:r>
              <w:rPr>
                <w:rFonts w:eastAsiaTheme="minorEastAsia"/>
                <w:kern w:val="0"/>
                <w:szCs w:val="21"/>
              </w:rPr>
              <w:t>草店石材产业园</w:t>
            </w:r>
          </w:p>
        </w:tc>
        <w:tc>
          <w:tcPr>
            <w:tcW w:w="2008" w:type="pct"/>
            <w:vAlign w:val="center"/>
          </w:tcPr>
          <w:p w14:paraId="612B89BE">
            <w:pPr>
              <w:widowControl/>
              <w:spacing w:line="320" w:lineRule="exact"/>
              <w:ind w:left="-25" w:right="-25"/>
              <w:jc w:val="center"/>
              <w:rPr>
                <w:rFonts w:eastAsiaTheme="minorEastAsia"/>
                <w:kern w:val="0"/>
                <w:szCs w:val="21"/>
              </w:rPr>
            </w:pPr>
            <w:r>
              <w:rPr>
                <w:rFonts w:hint="eastAsia"/>
                <w:szCs w:val="21"/>
              </w:rPr>
              <w:t>4.7613</w:t>
            </w:r>
          </w:p>
        </w:tc>
      </w:tr>
      <w:tr w14:paraId="5A3F2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482" w:type="pct"/>
            <w:shd w:val="clear" w:color="auto" w:fill="auto"/>
            <w:vAlign w:val="center"/>
          </w:tcPr>
          <w:p w14:paraId="596DE9A0">
            <w:pPr>
              <w:widowControl/>
              <w:spacing w:line="320" w:lineRule="exact"/>
              <w:ind w:left="-25" w:right="-25"/>
              <w:jc w:val="center"/>
              <w:rPr>
                <w:rFonts w:eastAsiaTheme="minorEastAsia"/>
                <w:kern w:val="0"/>
                <w:szCs w:val="21"/>
              </w:rPr>
            </w:pPr>
            <w:r>
              <w:rPr>
                <w:rFonts w:eastAsiaTheme="minorEastAsia"/>
                <w:kern w:val="0"/>
                <w:szCs w:val="21"/>
              </w:rPr>
              <w:t>5</w:t>
            </w:r>
          </w:p>
        </w:tc>
        <w:tc>
          <w:tcPr>
            <w:tcW w:w="2511" w:type="pct"/>
            <w:shd w:val="clear" w:color="auto" w:fill="auto"/>
            <w:vAlign w:val="center"/>
          </w:tcPr>
          <w:p w14:paraId="3458A515">
            <w:pPr>
              <w:widowControl/>
              <w:spacing w:line="320" w:lineRule="exact"/>
              <w:ind w:left="-25" w:right="-25"/>
              <w:jc w:val="center"/>
              <w:rPr>
                <w:rFonts w:eastAsiaTheme="minorEastAsia"/>
                <w:kern w:val="0"/>
                <w:szCs w:val="21"/>
              </w:rPr>
            </w:pPr>
            <w:r>
              <w:rPr>
                <w:rFonts w:hint="eastAsia" w:eastAsiaTheme="minorEastAsia"/>
                <w:kern w:val="0"/>
                <w:szCs w:val="21"/>
              </w:rPr>
              <w:t>合计</w:t>
            </w:r>
          </w:p>
        </w:tc>
        <w:tc>
          <w:tcPr>
            <w:tcW w:w="2008" w:type="pct"/>
            <w:vAlign w:val="center"/>
          </w:tcPr>
          <w:p w14:paraId="55CAF277">
            <w:pPr>
              <w:widowControl/>
              <w:spacing w:line="320" w:lineRule="exact"/>
              <w:ind w:left="-25" w:right="-25"/>
              <w:jc w:val="center"/>
              <w:rPr>
                <w:rFonts w:eastAsiaTheme="minorEastAsia"/>
                <w:kern w:val="0"/>
                <w:szCs w:val="21"/>
              </w:rPr>
            </w:pPr>
            <w:r>
              <w:rPr>
                <w:rFonts w:eastAsiaTheme="minorEastAsia"/>
                <w:kern w:val="0"/>
                <w:szCs w:val="21"/>
              </w:rPr>
              <w:t>698.80</w:t>
            </w:r>
          </w:p>
        </w:tc>
      </w:tr>
    </w:tbl>
    <w:p w14:paraId="00D6651C">
      <w:pPr>
        <w:spacing w:line="360" w:lineRule="auto"/>
        <w:ind w:firstLine="480" w:firstLineChars="200"/>
        <w:rPr>
          <w:rFonts w:eastAsiaTheme="minorEastAsia"/>
          <w:sz w:val="24"/>
        </w:rPr>
      </w:pPr>
      <w:r>
        <w:rPr>
          <w:rFonts w:hint="eastAsia" w:eastAsiaTheme="minorEastAsia"/>
          <w:sz w:val="24"/>
        </w:rPr>
        <w:t>根据上表统计可知，规划园区现状企业用水量约为0.07亿立方米，占随州市全市水资源总量的0.16%。</w:t>
      </w:r>
    </w:p>
    <w:p w14:paraId="0044F035">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土地资源利用现状</w:t>
      </w:r>
    </w:p>
    <w:p w14:paraId="63FC376E">
      <w:pPr>
        <w:spacing w:line="360" w:lineRule="auto"/>
        <w:ind w:firstLine="480" w:firstLineChars="200"/>
        <w:rPr>
          <w:rFonts w:eastAsiaTheme="minorEastAsia"/>
          <w:sz w:val="24"/>
        </w:rPr>
      </w:pPr>
      <w:r>
        <w:rPr>
          <w:rFonts w:hint="eastAsia" w:eastAsiaTheme="minorEastAsia"/>
          <w:sz w:val="24"/>
        </w:rPr>
        <w:t>（1）吴山闽商石材产业园</w:t>
      </w:r>
    </w:p>
    <w:p w14:paraId="2423DB9D">
      <w:pPr>
        <w:spacing w:line="360" w:lineRule="auto"/>
        <w:ind w:firstLine="480" w:firstLineChars="200"/>
        <w:rPr>
          <w:rFonts w:eastAsiaTheme="minorEastAsia"/>
          <w:sz w:val="24"/>
        </w:rPr>
      </w:pPr>
      <w:r>
        <w:rPr>
          <w:rFonts w:hint="eastAsia" w:eastAsiaTheme="minorEastAsia"/>
          <w:sz w:val="24"/>
        </w:rPr>
        <w:t>吴山闽商石材产业园范围内现状主要为工业用地、商业服务设施用地、物流仓储用地、道路与交通设施用地、公用设施用地、绿地与广场用地、水域、农林用地等。其中，工业用地占地面积最大为639.94公顷，占总用地45.62%；其次为农林用地576.27公顷，占总用地41.08%。</w:t>
      </w:r>
    </w:p>
    <w:p w14:paraId="49B7A6BC">
      <w:pPr>
        <w:spacing w:line="360" w:lineRule="auto"/>
        <w:ind w:firstLine="422"/>
        <w:jc w:val="center"/>
        <w:rPr>
          <w:rFonts w:eastAsiaTheme="minorEastAsia"/>
          <w:b/>
          <w:szCs w:val="21"/>
        </w:rPr>
      </w:pPr>
      <w:r>
        <w:rPr>
          <w:rFonts w:hint="eastAsia" w:eastAsiaTheme="minorEastAsia"/>
          <w:b/>
          <w:szCs w:val="21"/>
        </w:rPr>
        <w:t>表3.4.6-2   吴山闽商石材产业园现状用地一览表</w:t>
      </w:r>
    </w:p>
    <w:tbl>
      <w:tblPr>
        <w:tblStyle w:val="8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5"/>
        <w:gridCol w:w="2127"/>
        <w:gridCol w:w="802"/>
        <w:gridCol w:w="1467"/>
        <w:gridCol w:w="1701"/>
        <w:gridCol w:w="1616"/>
      </w:tblGrid>
      <w:tr w14:paraId="705B19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shd w:val="clear" w:color="auto" w:fill="auto"/>
            <w:vAlign w:val="center"/>
          </w:tcPr>
          <w:p w14:paraId="2B196E0A">
            <w:pPr>
              <w:widowControl/>
              <w:spacing w:line="320" w:lineRule="exact"/>
              <w:ind w:left="-25" w:right="-25"/>
              <w:jc w:val="center"/>
              <w:rPr>
                <w:rFonts w:eastAsiaTheme="minorEastAsia"/>
                <w:kern w:val="0"/>
                <w:szCs w:val="21"/>
              </w:rPr>
            </w:pPr>
            <w:r>
              <w:rPr>
                <w:rFonts w:hint="eastAsia" w:eastAsiaTheme="minorEastAsia"/>
                <w:kern w:val="0"/>
                <w:szCs w:val="21"/>
              </w:rPr>
              <w:t>序号</w:t>
            </w:r>
          </w:p>
        </w:tc>
        <w:tc>
          <w:tcPr>
            <w:tcW w:w="1247" w:type="pct"/>
            <w:shd w:val="clear" w:color="auto" w:fill="auto"/>
            <w:vAlign w:val="center"/>
          </w:tcPr>
          <w:p w14:paraId="204E2D87">
            <w:pPr>
              <w:widowControl/>
              <w:spacing w:line="320" w:lineRule="exact"/>
              <w:ind w:left="-25" w:right="-25"/>
              <w:jc w:val="center"/>
              <w:rPr>
                <w:rFonts w:eastAsiaTheme="minorEastAsia"/>
                <w:kern w:val="0"/>
                <w:szCs w:val="21"/>
              </w:rPr>
            </w:pPr>
            <w:r>
              <w:rPr>
                <w:rFonts w:hint="eastAsia" w:eastAsiaTheme="minorEastAsia"/>
                <w:kern w:val="0"/>
                <w:szCs w:val="21"/>
              </w:rPr>
              <w:t>代码</w:t>
            </w:r>
          </w:p>
        </w:tc>
        <w:tc>
          <w:tcPr>
            <w:tcW w:w="1330" w:type="pct"/>
            <w:gridSpan w:val="2"/>
            <w:shd w:val="clear" w:color="auto" w:fill="auto"/>
            <w:vAlign w:val="center"/>
          </w:tcPr>
          <w:p w14:paraId="7C5476E7">
            <w:pPr>
              <w:widowControl/>
              <w:spacing w:line="320" w:lineRule="exact"/>
              <w:ind w:left="-25" w:right="-25"/>
              <w:jc w:val="center"/>
              <w:rPr>
                <w:rFonts w:eastAsiaTheme="minorEastAsia"/>
                <w:kern w:val="0"/>
                <w:szCs w:val="21"/>
              </w:rPr>
            </w:pPr>
            <w:r>
              <w:rPr>
                <w:rFonts w:hint="eastAsia" w:eastAsiaTheme="minorEastAsia"/>
                <w:kern w:val="0"/>
                <w:szCs w:val="21"/>
              </w:rPr>
              <w:t>用地性质</w:t>
            </w:r>
          </w:p>
        </w:tc>
        <w:tc>
          <w:tcPr>
            <w:tcW w:w="997" w:type="pct"/>
            <w:shd w:val="clear" w:color="auto" w:fill="auto"/>
            <w:vAlign w:val="center"/>
          </w:tcPr>
          <w:p w14:paraId="32BC462C">
            <w:pPr>
              <w:widowControl/>
              <w:spacing w:line="320" w:lineRule="exact"/>
              <w:ind w:left="-25" w:right="-25"/>
              <w:jc w:val="center"/>
              <w:rPr>
                <w:rFonts w:eastAsiaTheme="minorEastAsia"/>
                <w:kern w:val="0"/>
                <w:szCs w:val="21"/>
              </w:rPr>
            </w:pPr>
            <w:r>
              <w:rPr>
                <w:rFonts w:hint="eastAsia" w:eastAsiaTheme="minorEastAsia"/>
                <w:kern w:val="0"/>
                <w:szCs w:val="21"/>
              </w:rPr>
              <w:t>用地面积（ha）</w:t>
            </w:r>
          </w:p>
        </w:tc>
        <w:tc>
          <w:tcPr>
            <w:tcW w:w="947" w:type="pct"/>
            <w:shd w:val="clear" w:color="auto" w:fill="auto"/>
            <w:vAlign w:val="center"/>
          </w:tcPr>
          <w:p w14:paraId="44668EE0">
            <w:pPr>
              <w:widowControl/>
              <w:spacing w:line="320" w:lineRule="exact"/>
              <w:ind w:left="-25" w:right="-25"/>
              <w:jc w:val="center"/>
              <w:rPr>
                <w:rFonts w:eastAsiaTheme="minorEastAsia"/>
                <w:kern w:val="0"/>
                <w:szCs w:val="21"/>
              </w:rPr>
            </w:pPr>
            <w:r>
              <w:rPr>
                <w:rFonts w:hint="eastAsia" w:eastAsiaTheme="minorEastAsia"/>
                <w:kern w:val="0"/>
                <w:szCs w:val="21"/>
              </w:rPr>
              <w:t>比例（%）</w:t>
            </w:r>
          </w:p>
        </w:tc>
      </w:tr>
      <w:tr w14:paraId="1EEE2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shd w:val="clear" w:color="auto" w:fill="auto"/>
            <w:vAlign w:val="center"/>
          </w:tcPr>
          <w:p w14:paraId="26EFA41A">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1247" w:type="pct"/>
            <w:shd w:val="clear" w:color="auto" w:fill="auto"/>
            <w:vAlign w:val="center"/>
          </w:tcPr>
          <w:p w14:paraId="4FE69D8D">
            <w:pPr>
              <w:widowControl/>
              <w:spacing w:line="320" w:lineRule="exact"/>
              <w:ind w:left="-25" w:right="-25"/>
              <w:jc w:val="center"/>
              <w:rPr>
                <w:rFonts w:eastAsiaTheme="minorEastAsia"/>
                <w:kern w:val="0"/>
                <w:szCs w:val="21"/>
              </w:rPr>
            </w:pPr>
            <w:r>
              <w:rPr>
                <w:rFonts w:hint="eastAsia" w:eastAsiaTheme="minorEastAsia"/>
                <w:kern w:val="0"/>
                <w:szCs w:val="21"/>
              </w:rPr>
              <w:t>M</w:t>
            </w:r>
          </w:p>
        </w:tc>
        <w:tc>
          <w:tcPr>
            <w:tcW w:w="1330" w:type="pct"/>
            <w:gridSpan w:val="2"/>
            <w:tcBorders>
              <w:top w:val="nil"/>
              <w:left w:val="nil"/>
              <w:bottom w:val="single" w:color="000000" w:sz="8" w:space="0"/>
              <w:right w:val="single" w:color="000000" w:sz="8" w:space="0"/>
            </w:tcBorders>
            <w:shd w:val="clear" w:color="auto" w:fill="auto"/>
            <w:vAlign w:val="center"/>
          </w:tcPr>
          <w:p w14:paraId="2C97D60B">
            <w:pPr>
              <w:widowControl/>
              <w:spacing w:line="320" w:lineRule="exact"/>
              <w:ind w:left="-25" w:right="-25"/>
              <w:jc w:val="center"/>
              <w:rPr>
                <w:rFonts w:eastAsiaTheme="minorEastAsia"/>
                <w:kern w:val="0"/>
                <w:szCs w:val="21"/>
              </w:rPr>
            </w:pPr>
            <w:r>
              <w:rPr>
                <w:szCs w:val="21"/>
              </w:rPr>
              <w:t>工业用地</w:t>
            </w:r>
          </w:p>
        </w:tc>
        <w:tc>
          <w:tcPr>
            <w:tcW w:w="997" w:type="pct"/>
            <w:tcBorders>
              <w:top w:val="nil"/>
              <w:left w:val="nil"/>
              <w:bottom w:val="single" w:color="000000" w:sz="8" w:space="0"/>
              <w:right w:val="single" w:color="000000" w:sz="8" w:space="0"/>
            </w:tcBorders>
            <w:shd w:val="clear" w:color="auto" w:fill="auto"/>
            <w:vAlign w:val="center"/>
          </w:tcPr>
          <w:p w14:paraId="31D664CE">
            <w:pPr>
              <w:widowControl/>
              <w:spacing w:line="320" w:lineRule="exact"/>
              <w:ind w:left="-25" w:right="-25"/>
              <w:jc w:val="center"/>
              <w:rPr>
                <w:rFonts w:eastAsiaTheme="minorEastAsia"/>
                <w:kern w:val="0"/>
                <w:szCs w:val="21"/>
              </w:rPr>
            </w:pPr>
            <w:r>
              <w:rPr>
                <w:szCs w:val="21"/>
              </w:rPr>
              <w:t>639.94</w:t>
            </w:r>
          </w:p>
        </w:tc>
        <w:tc>
          <w:tcPr>
            <w:tcW w:w="947" w:type="pct"/>
            <w:tcBorders>
              <w:top w:val="nil"/>
              <w:left w:val="nil"/>
              <w:bottom w:val="single" w:color="000000" w:sz="8" w:space="0"/>
              <w:right w:val="single" w:color="000000" w:sz="8" w:space="0"/>
            </w:tcBorders>
            <w:shd w:val="clear" w:color="auto" w:fill="auto"/>
            <w:vAlign w:val="center"/>
          </w:tcPr>
          <w:p w14:paraId="58B0D2D0">
            <w:pPr>
              <w:widowControl/>
              <w:spacing w:line="320" w:lineRule="exact"/>
              <w:ind w:left="-25" w:right="-25"/>
              <w:jc w:val="center"/>
              <w:rPr>
                <w:rFonts w:eastAsiaTheme="minorEastAsia"/>
                <w:kern w:val="0"/>
                <w:szCs w:val="21"/>
              </w:rPr>
            </w:pPr>
            <w:r>
              <w:rPr>
                <w:szCs w:val="21"/>
              </w:rPr>
              <w:t xml:space="preserve">45.62 </w:t>
            </w:r>
          </w:p>
        </w:tc>
      </w:tr>
      <w:tr w14:paraId="3A39A9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vAlign w:val="center"/>
          </w:tcPr>
          <w:p w14:paraId="6235194E">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247" w:type="pct"/>
            <w:shd w:val="clear" w:color="auto" w:fill="auto"/>
            <w:vAlign w:val="center"/>
          </w:tcPr>
          <w:p w14:paraId="052EF6AD">
            <w:pPr>
              <w:widowControl/>
              <w:spacing w:line="320" w:lineRule="exact"/>
              <w:ind w:left="-25" w:right="-25"/>
              <w:jc w:val="center"/>
              <w:rPr>
                <w:rFonts w:eastAsiaTheme="minorEastAsia"/>
                <w:kern w:val="0"/>
                <w:szCs w:val="21"/>
              </w:rPr>
            </w:pPr>
            <w:r>
              <w:rPr>
                <w:rFonts w:hint="eastAsia" w:eastAsiaTheme="minorEastAsia"/>
                <w:kern w:val="0"/>
                <w:szCs w:val="21"/>
              </w:rPr>
              <w:t>B</w:t>
            </w:r>
          </w:p>
        </w:tc>
        <w:tc>
          <w:tcPr>
            <w:tcW w:w="1330" w:type="pct"/>
            <w:gridSpan w:val="2"/>
            <w:tcBorders>
              <w:top w:val="nil"/>
              <w:left w:val="nil"/>
              <w:bottom w:val="single" w:color="000000" w:sz="8" w:space="0"/>
              <w:right w:val="single" w:color="000000" w:sz="8" w:space="0"/>
            </w:tcBorders>
            <w:shd w:val="clear" w:color="auto" w:fill="auto"/>
            <w:vAlign w:val="center"/>
          </w:tcPr>
          <w:p w14:paraId="2A599EFF">
            <w:pPr>
              <w:widowControl/>
              <w:spacing w:line="320" w:lineRule="exact"/>
              <w:ind w:left="-25" w:right="-25"/>
              <w:jc w:val="center"/>
              <w:rPr>
                <w:rFonts w:eastAsiaTheme="minorEastAsia"/>
                <w:kern w:val="0"/>
                <w:szCs w:val="21"/>
              </w:rPr>
            </w:pPr>
            <w:r>
              <w:rPr>
                <w:szCs w:val="21"/>
              </w:rPr>
              <w:t>商业服务设施用地</w:t>
            </w:r>
          </w:p>
        </w:tc>
        <w:tc>
          <w:tcPr>
            <w:tcW w:w="997" w:type="pct"/>
            <w:tcBorders>
              <w:top w:val="nil"/>
              <w:left w:val="nil"/>
              <w:bottom w:val="single" w:color="000000" w:sz="8" w:space="0"/>
              <w:right w:val="single" w:color="000000" w:sz="8" w:space="0"/>
            </w:tcBorders>
            <w:shd w:val="clear" w:color="auto" w:fill="auto"/>
            <w:vAlign w:val="center"/>
          </w:tcPr>
          <w:p w14:paraId="5C98F29A">
            <w:pPr>
              <w:widowControl/>
              <w:spacing w:line="320" w:lineRule="exact"/>
              <w:ind w:left="-25" w:right="-25"/>
              <w:jc w:val="center"/>
              <w:rPr>
                <w:rFonts w:eastAsiaTheme="minorEastAsia"/>
                <w:kern w:val="0"/>
                <w:szCs w:val="21"/>
              </w:rPr>
            </w:pPr>
            <w:r>
              <w:rPr>
                <w:szCs w:val="21"/>
              </w:rPr>
              <w:t>23.08</w:t>
            </w:r>
          </w:p>
        </w:tc>
        <w:tc>
          <w:tcPr>
            <w:tcW w:w="947" w:type="pct"/>
            <w:tcBorders>
              <w:top w:val="nil"/>
              <w:left w:val="nil"/>
              <w:bottom w:val="single" w:color="000000" w:sz="8" w:space="0"/>
              <w:right w:val="single" w:color="000000" w:sz="8" w:space="0"/>
            </w:tcBorders>
            <w:shd w:val="clear" w:color="auto" w:fill="auto"/>
            <w:vAlign w:val="center"/>
          </w:tcPr>
          <w:p w14:paraId="55BD1436">
            <w:pPr>
              <w:widowControl/>
              <w:spacing w:line="320" w:lineRule="exact"/>
              <w:ind w:left="-25" w:right="-25"/>
              <w:jc w:val="center"/>
              <w:rPr>
                <w:rFonts w:eastAsiaTheme="minorEastAsia"/>
                <w:kern w:val="0"/>
                <w:szCs w:val="21"/>
              </w:rPr>
            </w:pPr>
            <w:r>
              <w:rPr>
                <w:szCs w:val="21"/>
              </w:rPr>
              <w:t xml:space="preserve">1.65 </w:t>
            </w:r>
          </w:p>
        </w:tc>
      </w:tr>
      <w:tr w14:paraId="6DFB41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shd w:val="clear" w:color="auto" w:fill="auto"/>
            <w:vAlign w:val="center"/>
          </w:tcPr>
          <w:p w14:paraId="2A25F656">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1247" w:type="pct"/>
            <w:shd w:val="clear" w:color="auto" w:fill="auto"/>
            <w:vAlign w:val="center"/>
          </w:tcPr>
          <w:p w14:paraId="6C4BF75A">
            <w:pPr>
              <w:widowControl/>
              <w:spacing w:line="320" w:lineRule="exact"/>
              <w:ind w:left="-25" w:right="-25"/>
              <w:jc w:val="center"/>
              <w:rPr>
                <w:rFonts w:eastAsiaTheme="minorEastAsia"/>
                <w:kern w:val="0"/>
                <w:szCs w:val="21"/>
              </w:rPr>
            </w:pPr>
            <w:r>
              <w:rPr>
                <w:rFonts w:hint="eastAsia" w:eastAsiaTheme="minorEastAsia"/>
                <w:kern w:val="0"/>
                <w:szCs w:val="21"/>
              </w:rPr>
              <w:t>W</w:t>
            </w:r>
          </w:p>
        </w:tc>
        <w:tc>
          <w:tcPr>
            <w:tcW w:w="1330" w:type="pct"/>
            <w:gridSpan w:val="2"/>
            <w:tcBorders>
              <w:top w:val="nil"/>
              <w:left w:val="nil"/>
              <w:bottom w:val="single" w:color="000000" w:sz="8" w:space="0"/>
              <w:right w:val="single" w:color="000000" w:sz="8" w:space="0"/>
            </w:tcBorders>
            <w:shd w:val="clear" w:color="auto" w:fill="auto"/>
            <w:vAlign w:val="center"/>
          </w:tcPr>
          <w:p w14:paraId="6A621424">
            <w:pPr>
              <w:widowControl/>
              <w:spacing w:line="320" w:lineRule="exact"/>
              <w:ind w:left="-25" w:right="-25"/>
              <w:jc w:val="center"/>
              <w:rPr>
                <w:rFonts w:eastAsiaTheme="minorEastAsia"/>
                <w:kern w:val="0"/>
                <w:szCs w:val="21"/>
              </w:rPr>
            </w:pPr>
            <w:r>
              <w:rPr>
                <w:szCs w:val="21"/>
              </w:rPr>
              <w:t>物流仓储用地</w:t>
            </w:r>
          </w:p>
        </w:tc>
        <w:tc>
          <w:tcPr>
            <w:tcW w:w="997" w:type="pct"/>
            <w:tcBorders>
              <w:top w:val="nil"/>
              <w:left w:val="nil"/>
              <w:bottom w:val="single" w:color="000000" w:sz="8" w:space="0"/>
              <w:right w:val="single" w:color="000000" w:sz="8" w:space="0"/>
            </w:tcBorders>
            <w:shd w:val="clear" w:color="auto" w:fill="auto"/>
            <w:vAlign w:val="center"/>
          </w:tcPr>
          <w:p w14:paraId="008E1105">
            <w:pPr>
              <w:widowControl/>
              <w:spacing w:line="320" w:lineRule="exact"/>
              <w:ind w:left="-25" w:right="-25"/>
              <w:jc w:val="center"/>
              <w:rPr>
                <w:rFonts w:eastAsiaTheme="minorEastAsia"/>
                <w:kern w:val="0"/>
                <w:szCs w:val="21"/>
              </w:rPr>
            </w:pPr>
            <w:r>
              <w:rPr>
                <w:szCs w:val="21"/>
              </w:rPr>
              <w:t>3.71</w:t>
            </w:r>
          </w:p>
        </w:tc>
        <w:tc>
          <w:tcPr>
            <w:tcW w:w="947" w:type="pct"/>
            <w:tcBorders>
              <w:top w:val="nil"/>
              <w:left w:val="nil"/>
              <w:bottom w:val="single" w:color="000000" w:sz="8" w:space="0"/>
              <w:right w:val="single" w:color="000000" w:sz="8" w:space="0"/>
            </w:tcBorders>
            <w:shd w:val="clear" w:color="auto" w:fill="auto"/>
            <w:vAlign w:val="center"/>
          </w:tcPr>
          <w:p w14:paraId="071A4501">
            <w:pPr>
              <w:widowControl/>
              <w:spacing w:line="320" w:lineRule="exact"/>
              <w:ind w:left="-25" w:right="-25"/>
              <w:jc w:val="center"/>
              <w:rPr>
                <w:rFonts w:eastAsiaTheme="minorEastAsia"/>
                <w:kern w:val="0"/>
                <w:szCs w:val="21"/>
              </w:rPr>
            </w:pPr>
            <w:r>
              <w:rPr>
                <w:szCs w:val="21"/>
              </w:rPr>
              <w:t xml:space="preserve">0.26 </w:t>
            </w:r>
          </w:p>
        </w:tc>
      </w:tr>
      <w:tr w14:paraId="39B519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shd w:val="clear" w:color="auto" w:fill="auto"/>
            <w:vAlign w:val="center"/>
          </w:tcPr>
          <w:p w14:paraId="5BA101EC">
            <w:pPr>
              <w:widowControl/>
              <w:spacing w:line="320" w:lineRule="exact"/>
              <w:ind w:left="-25" w:right="-25"/>
              <w:jc w:val="center"/>
              <w:rPr>
                <w:rFonts w:eastAsiaTheme="minorEastAsia"/>
                <w:kern w:val="0"/>
                <w:szCs w:val="21"/>
              </w:rPr>
            </w:pPr>
            <w:r>
              <w:rPr>
                <w:rFonts w:hint="eastAsia" w:eastAsiaTheme="minorEastAsia"/>
                <w:kern w:val="0"/>
                <w:szCs w:val="21"/>
              </w:rPr>
              <w:t>4</w:t>
            </w:r>
          </w:p>
        </w:tc>
        <w:tc>
          <w:tcPr>
            <w:tcW w:w="1247" w:type="pct"/>
            <w:shd w:val="clear" w:color="auto" w:fill="auto"/>
            <w:vAlign w:val="center"/>
          </w:tcPr>
          <w:p w14:paraId="7EE01B7D">
            <w:pPr>
              <w:widowControl/>
              <w:spacing w:line="320" w:lineRule="exact"/>
              <w:ind w:left="-25" w:right="-25"/>
              <w:jc w:val="center"/>
              <w:rPr>
                <w:rFonts w:eastAsiaTheme="minorEastAsia"/>
                <w:kern w:val="0"/>
                <w:szCs w:val="21"/>
              </w:rPr>
            </w:pPr>
            <w:r>
              <w:rPr>
                <w:rFonts w:hint="eastAsia" w:eastAsiaTheme="minorEastAsia"/>
                <w:kern w:val="0"/>
                <w:szCs w:val="21"/>
              </w:rPr>
              <w:t>S</w:t>
            </w:r>
          </w:p>
        </w:tc>
        <w:tc>
          <w:tcPr>
            <w:tcW w:w="1330" w:type="pct"/>
            <w:gridSpan w:val="2"/>
            <w:tcBorders>
              <w:top w:val="nil"/>
              <w:left w:val="nil"/>
              <w:bottom w:val="single" w:color="000000" w:sz="8" w:space="0"/>
              <w:right w:val="single" w:color="000000" w:sz="8" w:space="0"/>
            </w:tcBorders>
            <w:shd w:val="clear" w:color="auto" w:fill="auto"/>
            <w:vAlign w:val="center"/>
          </w:tcPr>
          <w:p w14:paraId="267030DD">
            <w:pPr>
              <w:widowControl/>
              <w:spacing w:line="320" w:lineRule="exact"/>
              <w:ind w:left="-25" w:right="-25"/>
              <w:jc w:val="center"/>
              <w:rPr>
                <w:rFonts w:eastAsiaTheme="minorEastAsia"/>
                <w:kern w:val="0"/>
                <w:szCs w:val="21"/>
              </w:rPr>
            </w:pPr>
            <w:r>
              <w:rPr>
                <w:szCs w:val="21"/>
              </w:rPr>
              <w:t>道路与交通设施用地</w:t>
            </w:r>
          </w:p>
        </w:tc>
        <w:tc>
          <w:tcPr>
            <w:tcW w:w="997" w:type="pct"/>
            <w:tcBorders>
              <w:top w:val="nil"/>
              <w:left w:val="nil"/>
              <w:bottom w:val="single" w:color="000000" w:sz="8" w:space="0"/>
              <w:right w:val="single" w:color="000000" w:sz="8" w:space="0"/>
            </w:tcBorders>
            <w:shd w:val="clear" w:color="auto" w:fill="auto"/>
            <w:vAlign w:val="center"/>
          </w:tcPr>
          <w:p w14:paraId="087FA393">
            <w:pPr>
              <w:widowControl/>
              <w:spacing w:line="320" w:lineRule="exact"/>
              <w:ind w:left="-25" w:right="-25"/>
              <w:jc w:val="center"/>
              <w:rPr>
                <w:rFonts w:eastAsiaTheme="minorEastAsia"/>
                <w:kern w:val="0"/>
                <w:szCs w:val="21"/>
              </w:rPr>
            </w:pPr>
            <w:r>
              <w:rPr>
                <w:szCs w:val="21"/>
              </w:rPr>
              <w:t>111.04</w:t>
            </w:r>
          </w:p>
        </w:tc>
        <w:tc>
          <w:tcPr>
            <w:tcW w:w="947" w:type="pct"/>
            <w:tcBorders>
              <w:top w:val="nil"/>
              <w:left w:val="nil"/>
              <w:bottom w:val="single" w:color="000000" w:sz="8" w:space="0"/>
              <w:right w:val="single" w:color="000000" w:sz="8" w:space="0"/>
            </w:tcBorders>
            <w:shd w:val="clear" w:color="auto" w:fill="auto"/>
            <w:vAlign w:val="center"/>
          </w:tcPr>
          <w:p w14:paraId="470F3BF8">
            <w:pPr>
              <w:widowControl/>
              <w:spacing w:line="320" w:lineRule="exact"/>
              <w:ind w:left="-25" w:right="-25"/>
              <w:jc w:val="center"/>
              <w:rPr>
                <w:rFonts w:eastAsiaTheme="minorEastAsia"/>
                <w:kern w:val="0"/>
                <w:szCs w:val="21"/>
              </w:rPr>
            </w:pPr>
            <w:r>
              <w:rPr>
                <w:szCs w:val="21"/>
              </w:rPr>
              <w:t xml:space="preserve">7.92 </w:t>
            </w:r>
          </w:p>
        </w:tc>
      </w:tr>
      <w:tr w14:paraId="53724AB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vAlign w:val="center"/>
          </w:tcPr>
          <w:p w14:paraId="0B9E8FF6">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1247" w:type="pct"/>
            <w:shd w:val="clear" w:color="auto" w:fill="auto"/>
            <w:vAlign w:val="center"/>
          </w:tcPr>
          <w:p w14:paraId="36690A2F">
            <w:pPr>
              <w:widowControl/>
              <w:spacing w:line="320" w:lineRule="exact"/>
              <w:ind w:left="-25" w:right="-25"/>
              <w:jc w:val="center"/>
              <w:rPr>
                <w:rFonts w:eastAsiaTheme="minorEastAsia"/>
                <w:kern w:val="0"/>
                <w:szCs w:val="21"/>
              </w:rPr>
            </w:pPr>
            <w:r>
              <w:rPr>
                <w:rFonts w:hint="eastAsia" w:eastAsiaTheme="minorEastAsia"/>
                <w:kern w:val="0"/>
                <w:szCs w:val="21"/>
              </w:rPr>
              <w:t>U</w:t>
            </w:r>
          </w:p>
        </w:tc>
        <w:tc>
          <w:tcPr>
            <w:tcW w:w="1330" w:type="pct"/>
            <w:gridSpan w:val="2"/>
            <w:tcBorders>
              <w:top w:val="nil"/>
              <w:left w:val="nil"/>
              <w:bottom w:val="single" w:color="000000" w:sz="8" w:space="0"/>
              <w:right w:val="single" w:color="000000" w:sz="8" w:space="0"/>
            </w:tcBorders>
            <w:shd w:val="clear" w:color="auto" w:fill="auto"/>
            <w:vAlign w:val="center"/>
          </w:tcPr>
          <w:p w14:paraId="20B2C2F3">
            <w:pPr>
              <w:widowControl/>
              <w:spacing w:line="320" w:lineRule="exact"/>
              <w:ind w:left="-25" w:right="-25"/>
              <w:jc w:val="center"/>
              <w:rPr>
                <w:rFonts w:eastAsiaTheme="minorEastAsia"/>
                <w:kern w:val="0"/>
                <w:szCs w:val="21"/>
              </w:rPr>
            </w:pPr>
            <w:r>
              <w:rPr>
                <w:szCs w:val="21"/>
              </w:rPr>
              <w:t>公用设施用地</w:t>
            </w:r>
          </w:p>
        </w:tc>
        <w:tc>
          <w:tcPr>
            <w:tcW w:w="997" w:type="pct"/>
            <w:tcBorders>
              <w:top w:val="nil"/>
              <w:left w:val="nil"/>
              <w:bottom w:val="single" w:color="000000" w:sz="8" w:space="0"/>
              <w:right w:val="single" w:color="000000" w:sz="8" w:space="0"/>
            </w:tcBorders>
            <w:shd w:val="clear" w:color="auto" w:fill="auto"/>
            <w:vAlign w:val="center"/>
          </w:tcPr>
          <w:p w14:paraId="392A7581">
            <w:pPr>
              <w:widowControl/>
              <w:spacing w:line="320" w:lineRule="exact"/>
              <w:ind w:left="-25" w:right="-25"/>
              <w:jc w:val="center"/>
              <w:rPr>
                <w:rFonts w:eastAsiaTheme="minorEastAsia"/>
                <w:kern w:val="0"/>
                <w:szCs w:val="21"/>
              </w:rPr>
            </w:pPr>
            <w:r>
              <w:rPr>
                <w:szCs w:val="21"/>
              </w:rPr>
              <w:t>12.184</w:t>
            </w:r>
          </w:p>
        </w:tc>
        <w:tc>
          <w:tcPr>
            <w:tcW w:w="947" w:type="pct"/>
            <w:tcBorders>
              <w:top w:val="nil"/>
              <w:left w:val="nil"/>
              <w:bottom w:val="single" w:color="000000" w:sz="8" w:space="0"/>
              <w:right w:val="single" w:color="000000" w:sz="8" w:space="0"/>
            </w:tcBorders>
            <w:shd w:val="clear" w:color="auto" w:fill="auto"/>
            <w:vAlign w:val="center"/>
          </w:tcPr>
          <w:p w14:paraId="4D03537A">
            <w:pPr>
              <w:widowControl/>
              <w:spacing w:line="320" w:lineRule="exact"/>
              <w:ind w:left="-25" w:right="-25"/>
              <w:jc w:val="center"/>
              <w:rPr>
                <w:rFonts w:eastAsiaTheme="minorEastAsia"/>
                <w:kern w:val="0"/>
                <w:szCs w:val="21"/>
              </w:rPr>
            </w:pPr>
            <w:r>
              <w:rPr>
                <w:szCs w:val="21"/>
              </w:rPr>
              <w:t xml:space="preserve">0.87 </w:t>
            </w:r>
          </w:p>
        </w:tc>
      </w:tr>
      <w:tr w14:paraId="173CFD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8" w:type="pct"/>
            <w:shd w:val="clear" w:color="auto" w:fill="auto"/>
            <w:vAlign w:val="center"/>
          </w:tcPr>
          <w:p w14:paraId="7FA70769">
            <w:pPr>
              <w:widowControl/>
              <w:spacing w:line="320" w:lineRule="exact"/>
              <w:ind w:left="-25" w:right="-25"/>
              <w:jc w:val="center"/>
              <w:rPr>
                <w:rFonts w:eastAsiaTheme="minorEastAsia"/>
                <w:kern w:val="0"/>
                <w:szCs w:val="21"/>
              </w:rPr>
            </w:pPr>
            <w:r>
              <w:rPr>
                <w:rFonts w:hint="eastAsia" w:eastAsiaTheme="minorEastAsia"/>
                <w:kern w:val="0"/>
                <w:szCs w:val="21"/>
              </w:rPr>
              <w:t>6</w:t>
            </w:r>
          </w:p>
        </w:tc>
        <w:tc>
          <w:tcPr>
            <w:tcW w:w="1247" w:type="pct"/>
            <w:shd w:val="clear" w:color="auto" w:fill="auto"/>
            <w:vAlign w:val="center"/>
          </w:tcPr>
          <w:p w14:paraId="1A40A20E">
            <w:pPr>
              <w:widowControl/>
              <w:spacing w:line="320" w:lineRule="exact"/>
              <w:ind w:left="-25" w:right="-25"/>
              <w:jc w:val="center"/>
              <w:rPr>
                <w:rFonts w:eastAsiaTheme="minorEastAsia"/>
                <w:kern w:val="0"/>
                <w:szCs w:val="21"/>
              </w:rPr>
            </w:pPr>
            <w:r>
              <w:rPr>
                <w:rFonts w:hint="eastAsia" w:eastAsiaTheme="minorEastAsia"/>
                <w:kern w:val="0"/>
                <w:szCs w:val="21"/>
              </w:rPr>
              <w:t>G</w:t>
            </w:r>
          </w:p>
        </w:tc>
        <w:tc>
          <w:tcPr>
            <w:tcW w:w="1330" w:type="pct"/>
            <w:gridSpan w:val="2"/>
            <w:tcBorders>
              <w:top w:val="nil"/>
              <w:left w:val="nil"/>
              <w:bottom w:val="single" w:color="000000" w:sz="8" w:space="0"/>
              <w:right w:val="single" w:color="000000" w:sz="8" w:space="0"/>
            </w:tcBorders>
            <w:shd w:val="clear" w:color="auto" w:fill="auto"/>
            <w:vAlign w:val="center"/>
          </w:tcPr>
          <w:p w14:paraId="00826919">
            <w:pPr>
              <w:widowControl/>
              <w:spacing w:line="320" w:lineRule="exact"/>
              <w:ind w:left="-25" w:right="-25"/>
              <w:jc w:val="center"/>
              <w:rPr>
                <w:rFonts w:eastAsiaTheme="minorEastAsia"/>
                <w:kern w:val="0"/>
                <w:szCs w:val="21"/>
              </w:rPr>
            </w:pPr>
            <w:r>
              <w:rPr>
                <w:szCs w:val="21"/>
              </w:rPr>
              <w:t>绿地与广场用地</w:t>
            </w:r>
          </w:p>
        </w:tc>
        <w:tc>
          <w:tcPr>
            <w:tcW w:w="997" w:type="pct"/>
            <w:tcBorders>
              <w:top w:val="nil"/>
              <w:left w:val="nil"/>
              <w:bottom w:val="single" w:color="000000" w:sz="8" w:space="0"/>
              <w:right w:val="single" w:color="000000" w:sz="8" w:space="0"/>
            </w:tcBorders>
            <w:shd w:val="clear" w:color="auto" w:fill="auto"/>
            <w:vAlign w:val="center"/>
          </w:tcPr>
          <w:p w14:paraId="73E947AE">
            <w:pPr>
              <w:widowControl/>
              <w:spacing w:line="320" w:lineRule="exact"/>
              <w:ind w:left="-25" w:right="-25"/>
              <w:jc w:val="center"/>
              <w:rPr>
                <w:rFonts w:eastAsiaTheme="minorEastAsia"/>
                <w:kern w:val="0"/>
                <w:szCs w:val="21"/>
              </w:rPr>
            </w:pPr>
            <w:r>
              <w:rPr>
                <w:szCs w:val="21"/>
              </w:rPr>
              <w:t>7.164</w:t>
            </w:r>
          </w:p>
        </w:tc>
        <w:tc>
          <w:tcPr>
            <w:tcW w:w="947" w:type="pct"/>
            <w:tcBorders>
              <w:top w:val="nil"/>
              <w:left w:val="nil"/>
              <w:bottom w:val="single" w:color="000000" w:sz="8" w:space="0"/>
              <w:right w:val="single" w:color="000000" w:sz="8" w:space="0"/>
            </w:tcBorders>
            <w:shd w:val="clear" w:color="auto" w:fill="auto"/>
            <w:vAlign w:val="center"/>
          </w:tcPr>
          <w:p w14:paraId="17D259D7">
            <w:pPr>
              <w:widowControl/>
              <w:spacing w:line="320" w:lineRule="exact"/>
              <w:ind w:left="-25" w:right="-25"/>
              <w:jc w:val="center"/>
              <w:rPr>
                <w:rFonts w:eastAsiaTheme="minorEastAsia"/>
                <w:kern w:val="0"/>
                <w:szCs w:val="21"/>
              </w:rPr>
            </w:pPr>
            <w:r>
              <w:rPr>
                <w:szCs w:val="21"/>
              </w:rPr>
              <w:t xml:space="preserve">0.51 </w:t>
            </w:r>
          </w:p>
        </w:tc>
      </w:tr>
      <w:tr w14:paraId="024B2D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0" w:hRule="atLeast"/>
        </w:trPr>
        <w:tc>
          <w:tcPr>
            <w:tcW w:w="478" w:type="pct"/>
            <w:vMerge w:val="restart"/>
            <w:shd w:val="clear" w:color="auto" w:fill="auto"/>
            <w:vAlign w:val="center"/>
          </w:tcPr>
          <w:p w14:paraId="2BF4BE16">
            <w:pPr>
              <w:widowControl/>
              <w:spacing w:line="320" w:lineRule="exact"/>
              <w:ind w:left="-25" w:right="-25"/>
              <w:jc w:val="center"/>
              <w:rPr>
                <w:rFonts w:eastAsiaTheme="minorEastAsia"/>
                <w:kern w:val="0"/>
                <w:szCs w:val="21"/>
              </w:rPr>
            </w:pPr>
            <w:r>
              <w:rPr>
                <w:rFonts w:hint="eastAsia" w:eastAsiaTheme="minorEastAsia"/>
                <w:kern w:val="0"/>
                <w:szCs w:val="21"/>
              </w:rPr>
              <w:t>7</w:t>
            </w:r>
          </w:p>
        </w:tc>
        <w:tc>
          <w:tcPr>
            <w:tcW w:w="1247" w:type="pct"/>
            <w:vMerge w:val="restart"/>
            <w:shd w:val="clear" w:color="auto" w:fill="auto"/>
            <w:vAlign w:val="center"/>
          </w:tcPr>
          <w:p w14:paraId="3FC66AB8">
            <w:pPr>
              <w:widowControl/>
              <w:spacing w:line="320" w:lineRule="exact"/>
              <w:ind w:left="-25" w:right="-25"/>
              <w:jc w:val="center"/>
              <w:rPr>
                <w:rFonts w:eastAsiaTheme="minorEastAsia"/>
                <w:kern w:val="0"/>
                <w:szCs w:val="21"/>
              </w:rPr>
            </w:pPr>
            <w:r>
              <w:rPr>
                <w:rFonts w:hint="eastAsia" w:eastAsiaTheme="minorEastAsia"/>
                <w:kern w:val="0"/>
                <w:szCs w:val="21"/>
              </w:rPr>
              <w:t>E</w:t>
            </w:r>
          </w:p>
        </w:tc>
        <w:tc>
          <w:tcPr>
            <w:tcW w:w="470" w:type="pct"/>
            <w:vMerge w:val="restart"/>
            <w:tcBorders>
              <w:top w:val="nil"/>
              <w:left w:val="nil"/>
              <w:right w:val="single" w:color="auto" w:sz="4" w:space="0"/>
            </w:tcBorders>
            <w:shd w:val="clear" w:color="auto" w:fill="auto"/>
            <w:vAlign w:val="center"/>
          </w:tcPr>
          <w:p w14:paraId="7C5929FA">
            <w:pPr>
              <w:widowControl/>
              <w:spacing w:line="320" w:lineRule="exact"/>
              <w:ind w:left="-25" w:right="-25"/>
              <w:jc w:val="center"/>
              <w:rPr>
                <w:rFonts w:eastAsiaTheme="minorEastAsia"/>
                <w:kern w:val="0"/>
                <w:szCs w:val="21"/>
              </w:rPr>
            </w:pPr>
            <w:r>
              <w:rPr>
                <w:szCs w:val="21"/>
              </w:rPr>
              <w:t>非建设用地</w:t>
            </w:r>
          </w:p>
        </w:tc>
        <w:tc>
          <w:tcPr>
            <w:tcW w:w="860" w:type="pct"/>
            <w:tcBorders>
              <w:top w:val="nil"/>
              <w:left w:val="nil"/>
              <w:bottom w:val="single" w:color="000000" w:sz="8" w:space="0"/>
              <w:right w:val="single" w:color="000000" w:sz="8" w:space="0"/>
            </w:tcBorders>
            <w:shd w:val="clear" w:color="auto" w:fill="auto"/>
            <w:vAlign w:val="center"/>
          </w:tcPr>
          <w:p w14:paraId="19C0D6A2">
            <w:pPr>
              <w:widowControl/>
              <w:spacing w:line="320" w:lineRule="exact"/>
              <w:ind w:left="-25" w:right="-25"/>
              <w:jc w:val="center"/>
              <w:rPr>
                <w:rFonts w:eastAsiaTheme="minorEastAsia"/>
                <w:kern w:val="0"/>
                <w:szCs w:val="21"/>
              </w:rPr>
            </w:pPr>
            <w:r>
              <w:rPr>
                <w:rFonts w:hint="eastAsia" w:eastAsiaTheme="minorEastAsia"/>
                <w:kern w:val="0"/>
                <w:szCs w:val="21"/>
              </w:rPr>
              <w:t>水域</w:t>
            </w:r>
          </w:p>
        </w:tc>
        <w:tc>
          <w:tcPr>
            <w:tcW w:w="997" w:type="pct"/>
            <w:tcBorders>
              <w:top w:val="nil"/>
              <w:left w:val="nil"/>
              <w:bottom w:val="single" w:color="000000" w:sz="8" w:space="0"/>
              <w:right w:val="single" w:color="000000" w:sz="8" w:space="0"/>
            </w:tcBorders>
            <w:shd w:val="clear" w:color="auto" w:fill="auto"/>
            <w:vAlign w:val="center"/>
          </w:tcPr>
          <w:p w14:paraId="22FE1237">
            <w:pPr>
              <w:widowControl/>
              <w:spacing w:line="320" w:lineRule="exact"/>
              <w:ind w:left="-25" w:right="-25"/>
              <w:jc w:val="center"/>
              <w:rPr>
                <w:rFonts w:eastAsiaTheme="minorEastAsia"/>
                <w:kern w:val="0"/>
                <w:szCs w:val="21"/>
              </w:rPr>
            </w:pPr>
            <w:r>
              <w:rPr>
                <w:szCs w:val="21"/>
              </w:rPr>
              <w:t>29.25</w:t>
            </w:r>
          </w:p>
        </w:tc>
        <w:tc>
          <w:tcPr>
            <w:tcW w:w="947" w:type="pct"/>
            <w:tcBorders>
              <w:top w:val="nil"/>
              <w:left w:val="nil"/>
              <w:bottom w:val="single" w:color="auto" w:sz="4" w:space="0"/>
              <w:right w:val="single" w:color="auto" w:sz="12" w:space="0"/>
            </w:tcBorders>
            <w:shd w:val="clear" w:color="auto" w:fill="auto"/>
            <w:vAlign w:val="center"/>
          </w:tcPr>
          <w:p w14:paraId="1650F623">
            <w:pPr>
              <w:widowControl/>
              <w:spacing w:line="320" w:lineRule="exact"/>
              <w:ind w:left="-25" w:right="-25"/>
              <w:jc w:val="center"/>
              <w:rPr>
                <w:rFonts w:eastAsiaTheme="minorEastAsia"/>
                <w:kern w:val="0"/>
                <w:szCs w:val="21"/>
              </w:rPr>
            </w:pPr>
            <w:r>
              <w:rPr>
                <w:szCs w:val="21"/>
              </w:rPr>
              <w:t xml:space="preserve">2.09 </w:t>
            </w:r>
          </w:p>
        </w:tc>
      </w:tr>
      <w:tr w14:paraId="4C9C06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3" w:hRule="atLeast"/>
        </w:trPr>
        <w:tc>
          <w:tcPr>
            <w:tcW w:w="478" w:type="pct"/>
            <w:vMerge w:val="continue"/>
            <w:shd w:val="clear" w:color="auto" w:fill="auto"/>
            <w:vAlign w:val="center"/>
          </w:tcPr>
          <w:p w14:paraId="63465DF3">
            <w:pPr>
              <w:widowControl/>
              <w:spacing w:line="320" w:lineRule="exact"/>
              <w:ind w:left="-25" w:right="-25"/>
              <w:jc w:val="center"/>
              <w:rPr>
                <w:rFonts w:eastAsiaTheme="minorEastAsia"/>
                <w:kern w:val="0"/>
                <w:szCs w:val="21"/>
              </w:rPr>
            </w:pPr>
          </w:p>
        </w:tc>
        <w:tc>
          <w:tcPr>
            <w:tcW w:w="1247" w:type="pct"/>
            <w:vMerge w:val="continue"/>
            <w:shd w:val="clear" w:color="auto" w:fill="auto"/>
            <w:vAlign w:val="center"/>
          </w:tcPr>
          <w:p w14:paraId="31DA6A45">
            <w:pPr>
              <w:widowControl/>
              <w:spacing w:line="320" w:lineRule="exact"/>
              <w:ind w:left="-25" w:right="-25"/>
              <w:jc w:val="center"/>
              <w:rPr>
                <w:rFonts w:eastAsiaTheme="minorEastAsia"/>
                <w:kern w:val="0"/>
                <w:szCs w:val="21"/>
              </w:rPr>
            </w:pPr>
          </w:p>
        </w:tc>
        <w:tc>
          <w:tcPr>
            <w:tcW w:w="470" w:type="pct"/>
            <w:vMerge w:val="continue"/>
            <w:tcBorders>
              <w:left w:val="nil"/>
              <w:bottom w:val="single" w:color="000000" w:sz="8" w:space="0"/>
              <w:right w:val="single" w:color="auto" w:sz="4" w:space="0"/>
            </w:tcBorders>
            <w:shd w:val="clear" w:color="auto" w:fill="auto"/>
            <w:vAlign w:val="center"/>
          </w:tcPr>
          <w:p w14:paraId="30388430">
            <w:pPr>
              <w:widowControl/>
              <w:spacing w:line="320" w:lineRule="exact"/>
              <w:ind w:left="-25" w:right="-25"/>
              <w:jc w:val="center"/>
              <w:rPr>
                <w:szCs w:val="21"/>
              </w:rPr>
            </w:pPr>
          </w:p>
        </w:tc>
        <w:tc>
          <w:tcPr>
            <w:tcW w:w="860" w:type="pct"/>
            <w:tcBorders>
              <w:top w:val="nil"/>
              <w:left w:val="nil"/>
              <w:bottom w:val="single" w:color="000000" w:sz="8" w:space="0"/>
              <w:right w:val="single" w:color="000000" w:sz="8" w:space="0"/>
            </w:tcBorders>
            <w:shd w:val="clear" w:color="auto" w:fill="auto"/>
            <w:vAlign w:val="center"/>
          </w:tcPr>
          <w:p w14:paraId="377C1EED">
            <w:pPr>
              <w:widowControl/>
              <w:spacing w:line="320" w:lineRule="exact"/>
              <w:ind w:left="-25" w:right="-25"/>
              <w:jc w:val="center"/>
              <w:rPr>
                <w:rFonts w:eastAsiaTheme="minorEastAsia"/>
                <w:kern w:val="0"/>
                <w:szCs w:val="21"/>
              </w:rPr>
            </w:pPr>
            <w:r>
              <w:rPr>
                <w:rFonts w:hint="eastAsia" w:eastAsiaTheme="minorEastAsia"/>
                <w:kern w:val="0"/>
                <w:szCs w:val="21"/>
              </w:rPr>
              <w:t>农林用地</w:t>
            </w:r>
          </w:p>
        </w:tc>
        <w:tc>
          <w:tcPr>
            <w:tcW w:w="997" w:type="pct"/>
            <w:tcBorders>
              <w:top w:val="nil"/>
              <w:left w:val="nil"/>
              <w:bottom w:val="single" w:color="000000" w:sz="8" w:space="0"/>
              <w:right w:val="single" w:color="000000" w:sz="8" w:space="0"/>
            </w:tcBorders>
            <w:shd w:val="clear" w:color="auto" w:fill="auto"/>
            <w:vAlign w:val="center"/>
          </w:tcPr>
          <w:p w14:paraId="24574C5B">
            <w:pPr>
              <w:spacing w:line="320" w:lineRule="exact"/>
              <w:ind w:left="-25" w:right="-25"/>
              <w:jc w:val="center"/>
              <w:rPr>
                <w:szCs w:val="21"/>
              </w:rPr>
            </w:pPr>
            <w:r>
              <w:rPr>
                <w:szCs w:val="21"/>
              </w:rPr>
              <w:t xml:space="preserve">576.27 </w:t>
            </w:r>
          </w:p>
        </w:tc>
        <w:tc>
          <w:tcPr>
            <w:tcW w:w="947" w:type="pct"/>
            <w:tcBorders>
              <w:top w:val="single" w:color="auto" w:sz="4" w:space="0"/>
              <w:left w:val="nil"/>
              <w:bottom w:val="single" w:color="000000" w:sz="8" w:space="0"/>
              <w:right w:val="single" w:color="auto" w:sz="12" w:space="0"/>
            </w:tcBorders>
            <w:shd w:val="clear" w:color="auto" w:fill="auto"/>
            <w:vAlign w:val="center"/>
          </w:tcPr>
          <w:p w14:paraId="7010A612">
            <w:pPr>
              <w:spacing w:line="320" w:lineRule="exact"/>
              <w:ind w:left="-25" w:right="-25"/>
              <w:jc w:val="center"/>
              <w:rPr>
                <w:szCs w:val="21"/>
              </w:rPr>
            </w:pPr>
            <w:r>
              <w:rPr>
                <w:szCs w:val="21"/>
              </w:rPr>
              <w:t xml:space="preserve">41.08 </w:t>
            </w:r>
          </w:p>
        </w:tc>
      </w:tr>
      <w:tr w14:paraId="52AEB1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3055" w:type="pct"/>
            <w:gridSpan w:val="4"/>
            <w:shd w:val="clear" w:color="auto" w:fill="auto"/>
            <w:vAlign w:val="center"/>
          </w:tcPr>
          <w:p w14:paraId="796F5308">
            <w:pPr>
              <w:widowControl/>
              <w:spacing w:line="320" w:lineRule="exact"/>
              <w:ind w:left="-25" w:right="-25"/>
              <w:jc w:val="center"/>
              <w:rPr>
                <w:rFonts w:eastAsiaTheme="minorEastAsia"/>
                <w:kern w:val="0"/>
                <w:szCs w:val="21"/>
              </w:rPr>
            </w:pPr>
            <w:r>
              <w:rPr>
                <w:rFonts w:hint="eastAsia" w:eastAsiaTheme="minorEastAsia"/>
                <w:kern w:val="0"/>
                <w:szCs w:val="21"/>
              </w:rPr>
              <w:t xml:space="preserve">合计 </w:t>
            </w:r>
          </w:p>
        </w:tc>
        <w:tc>
          <w:tcPr>
            <w:tcW w:w="997" w:type="pct"/>
            <w:shd w:val="clear" w:color="auto" w:fill="auto"/>
            <w:vAlign w:val="center"/>
          </w:tcPr>
          <w:p w14:paraId="47919553">
            <w:pPr>
              <w:widowControl/>
              <w:spacing w:line="320" w:lineRule="exact"/>
              <w:ind w:left="-25" w:right="-25"/>
              <w:jc w:val="center"/>
              <w:rPr>
                <w:rFonts w:eastAsiaTheme="minorEastAsia"/>
                <w:kern w:val="0"/>
                <w:szCs w:val="21"/>
              </w:rPr>
            </w:pPr>
            <w:r>
              <w:rPr>
                <w:rFonts w:hint="eastAsia" w:eastAsiaTheme="minorEastAsia"/>
                <w:kern w:val="0"/>
                <w:szCs w:val="21"/>
              </w:rPr>
              <w:t>1402.64</w:t>
            </w:r>
          </w:p>
        </w:tc>
        <w:tc>
          <w:tcPr>
            <w:tcW w:w="947" w:type="pct"/>
            <w:shd w:val="clear" w:color="auto" w:fill="auto"/>
            <w:vAlign w:val="center"/>
          </w:tcPr>
          <w:p w14:paraId="76CEF628">
            <w:pPr>
              <w:widowControl/>
              <w:spacing w:line="320" w:lineRule="exact"/>
              <w:ind w:left="-25" w:right="-25"/>
              <w:jc w:val="center"/>
              <w:rPr>
                <w:rFonts w:eastAsiaTheme="minorEastAsia"/>
                <w:kern w:val="0"/>
                <w:szCs w:val="21"/>
              </w:rPr>
            </w:pPr>
            <w:r>
              <w:rPr>
                <w:rFonts w:hint="eastAsia" w:eastAsiaTheme="minorEastAsia"/>
                <w:kern w:val="0"/>
                <w:szCs w:val="21"/>
              </w:rPr>
              <w:t>100</w:t>
            </w:r>
          </w:p>
        </w:tc>
      </w:tr>
    </w:tbl>
    <w:p w14:paraId="416BAB3E">
      <w:pPr>
        <w:spacing w:line="360" w:lineRule="auto"/>
        <w:ind w:firstLine="480" w:firstLineChars="200"/>
        <w:rPr>
          <w:rFonts w:eastAsiaTheme="minorEastAsia"/>
          <w:sz w:val="24"/>
        </w:rPr>
      </w:pPr>
      <w:r>
        <w:rPr>
          <w:rFonts w:hint="eastAsia" w:eastAsiaTheme="minorEastAsia"/>
          <w:sz w:val="24"/>
        </w:rPr>
        <w:t>（2）万和石材产业园</w:t>
      </w:r>
    </w:p>
    <w:p w14:paraId="70F8C829">
      <w:pPr>
        <w:spacing w:line="360" w:lineRule="auto"/>
        <w:ind w:firstLine="480" w:firstLineChars="200"/>
        <w:rPr>
          <w:rFonts w:eastAsiaTheme="minorEastAsia"/>
          <w:sz w:val="24"/>
        </w:rPr>
      </w:pPr>
      <w:r>
        <w:rPr>
          <w:rFonts w:hint="eastAsia" w:eastAsiaTheme="minorEastAsia"/>
          <w:sz w:val="24"/>
        </w:rPr>
        <w:t>万和石材产业园范围内现状主要为林地、水塘、田地、村居民点和工业用地等。其中，二类工业用地308.71公顷，占总用地48.74%；村庄建设用地33.84公顷，占总用地5.34%；水域和其它非建设用地290.88公顷，占总用地45.92%。</w:t>
      </w:r>
    </w:p>
    <w:p w14:paraId="6178532C">
      <w:pPr>
        <w:spacing w:line="360" w:lineRule="auto"/>
        <w:ind w:firstLine="422"/>
        <w:jc w:val="center"/>
        <w:rPr>
          <w:rFonts w:eastAsiaTheme="minorEastAsia"/>
          <w:b/>
          <w:szCs w:val="21"/>
        </w:rPr>
      </w:pPr>
      <w:r>
        <w:rPr>
          <w:rFonts w:hint="eastAsia" w:eastAsiaTheme="minorEastAsia"/>
          <w:b/>
          <w:szCs w:val="21"/>
        </w:rPr>
        <w:t>表3.4.6-3   万和石材产业园现状用地一览表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5"/>
        <w:gridCol w:w="1586"/>
        <w:gridCol w:w="1893"/>
        <w:gridCol w:w="1702"/>
        <w:gridCol w:w="1612"/>
      </w:tblGrid>
      <w:tr w14:paraId="0F823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050A0987">
            <w:pPr>
              <w:widowControl/>
              <w:spacing w:line="320" w:lineRule="exact"/>
              <w:ind w:left="-25" w:right="-25"/>
              <w:jc w:val="center"/>
              <w:rPr>
                <w:rFonts w:eastAsiaTheme="minorEastAsia"/>
                <w:kern w:val="0"/>
                <w:szCs w:val="21"/>
              </w:rPr>
            </w:pPr>
            <w:r>
              <w:rPr>
                <w:rFonts w:eastAsiaTheme="minorEastAsia"/>
                <w:kern w:val="0"/>
                <w:szCs w:val="21"/>
              </w:rPr>
              <w:t>序号</w:t>
            </w:r>
          </w:p>
        </w:tc>
        <w:tc>
          <w:tcPr>
            <w:tcW w:w="930" w:type="pct"/>
            <w:vAlign w:val="center"/>
          </w:tcPr>
          <w:p w14:paraId="41845204">
            <w:pPr>
              <w:widowControl/>
              <w:spacing w:line="320" w:lineRule="exact"/>
              <w:ind w:left="-25" w:right="-25"/>
              <w:jc w:val="center"/>
              <w:rPr>
                <w:rFonts w:eastAsiaTheme="minorEastAsia"/>
                <w:kern w:val="0"/>
                <w:szCs w:val="21"/>
              </w:rPr>
            </w:pPr>
            <w:r>
              <w:rPr>
                <w:rFonts w:hint="eastAsia" w:eastAsiaTheme="minorEastAsia"/>
                <w:kern w:val="0"/>
                <w:szCs w:val="21"/>
              </w:rPr>
              <w:t>性质编码</w:t>
            </w:r>
          </w:p>
        </w:tc>
        <w:tc>
          <w:tcPr>
            <w:tcW w:w="1110" w:type="pct"/>
            <w:vAlign w:val="center"/>
          </w:tcPr>
          <w:p w14:paraId="5AE4D506">
            <w:pPr>
              <w:widowControl/>
              <w:spacing w:line="320" w:lineRule="exact"/>
              <w:ind w:left="-25" w:right="-25"/>
              <w:jc w:val="center"/>
              <w:rPr>
                <w:rFonts w:eastAsiaTheme="minorEastAsia"/>
                <w:kern w:val="0"/>
                <w:szCs w:val="21"/>
              </w:rPr>
            </w:pPr>
            <w:r>
              <w:rPr>
                <w:rFonts w:hint="eastAsia" w:eastAsiaTheme="minorEastAsia"/>
                <w:kern w:val="0"/>
                <w:szCs w:val="21"/>
              </w:rPr>
              <w:t>用地性质</w:t>
            </w:r>
          </w:p>
        </w:tc>
        <w:tc>
          <w:tcPr>
            <w:tcW w:w="998" w:type="pct"/>
            <w:vAlign w:val="center"/>
          </w:tcPr>
          <w:p w14:paraId="6327D4F4">
            <w:pPr>
              <w:widowControl/>
              <w:spacing w:line="320" w:lineRule="exact"/>
              <w:ind w:left="-25" w:right="-25"/>
              <w:jc w:val="center"/>
              <w:rPr>
                <w:rFonts w:eastAsiaTheme="minorEastAsia"/>
                <w:kern w:val="0"/>
                <w:szCs w:val="21"/>
              </w:rPr>
            </w:pPr>
            <w:r>
              <w:rPr>
                <w:rFonts w:hint="eastAsia" w:eastAsiaTheme="minorEastAsia"/>
                <w:kern w:val="0"/>
                <w:szCs w:val="21"/>
              </w:rPr>
              <w:t>面积(ha)</w:t>
            </w:r>
          </w:p>
        </w:tc>
        <w:tc>
          <w:tcPr>
            <w:tcW w:w="945" w:type="pct"/>
            <w:vAlign w:val="center"/>
          </w:tcPr>
          <w:p w14:paraId="4B1749FA">
            <w:pPr>
              <w:widowControl/>
              <w:spacing w:line="320" w:lineRule="exact"/>
              <w:ind w:left="-25" w:right="-25"/>
              <w:jc w:val="center"/>
              <w:rPr>
                <w:rFonts w:eastAsiaTheme="minorEastAsia"/>
                <w:kern w:val="0"/>
                <w:szCs w:val="21"/>
              </w:rPr>
            </w:pPr>
            <w:r>
              <w:rPr>
                <w:rFonts w:hint="eastAsia" w:eastAsiaTheme="minorEastAsia"/>
                <w:kern w:val="0"/>
                <w:szCs w:val="21"/>
              </w:rPr>
              <w:t>百分比(%)</w:t>
            </w:r>
          </w:p>
        </w:tc>
      </w:tr>
      <w:tr w14:paraId="7BDD5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3EC952F4">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930" w:type="pct"/>
            <w:vAlign w:val="center"/>
          </w:tcPr>
          <w:p w14:paraId="55411684">
            <w:pPr>
              <w:widowControl/>
              <w:spacing w:line="320" w:lineRule="exact"/>
              <w:ind w:left="-25" w:right="-25"/>
              <w:jc w:val="center"/>
              <w:rPr>
                <w:rFonts w:eastAsiaTheme="minorEastAsia"/>
                <w:kern w:val="0"/>
                <w:szCs w:val="21"/>
              </w:rPr>
            </w:pPr>
            <w:r>
              <w:rPr>
                <w:rFonts w:hint="eastAsia" w:eastAsiaTheme="minorEastAsia"/>
                <w:kern w:val="0"/>
                <w:szCs w:val="21"/>
              </w:rPr>
              <w:t>H14</w:t>
            </w:r>
          </w:p>
        </w:tc>
        <w:tc>
          <w:tcPr>
            <w:tcW w:w="1110" w:type="pct"/>
            <w:vAlign w:val="center"/>
          </w:tcPr>
          <w:p w14:paraId="38D6D4BD">
            <w:pPr>
              <w:widowControl/>
              <w:spacing w:line="320" w:lineRule="exact"/>
              <w:ind w:left="-25" w:right="-25"/>
              <w:jc w:val="center"/>
              <w:rPr>
                <w:rFonts w:eastAsiaTheme="minorEastAsia"/>
                <w:kern w:val="0"/>
                <w:szCs w:val="21"/>
              </w:rPr>
            </w:pPr>
            <w:r>
              <w:rPr>
                <w:rFonts w:hint="eastAsia" w:eastAsiaTheme="minorEastAsia"/>
                <w:kern w:val="0"/>
                <w:szCs w:val="21"/>
              </w:rPr>
              <w:t xml:space="preserve">村庄建设用地 </w:t>
            </w:r>
          </w:p>
        </w:tc>
        <w:tc>
          <w:tcPr>
            <w:tcW w:w="998" w:type="pct"/>
            <w:vAlign w:val="center"/>
          </w:tcPr>
          <w:p w14:paraId="6191F54E">
            <w:pPr>
              <w:widowControl/>
              <w:spacing w:line="320" w:lineRule="exact"/>
              <w:ind w:left="-25" w:right="-25"/>
              <w:jc w:val="center"/>
              <w:rPr>
                <w:rFonts w:eastAsiaTheme="minorEastAsia"/>
                <w:kern w:val="0"/>
                <w:szCs w:val="21"/>
              </w:rPr>
            </w:pPr>
            <w:r>
              <w:rPr>
                <w:rFonts w:hint="eastAsia" w:eastAsiaTheme="minorEastAsia"/>
                <w:kern w:val="0"/>
                <w:szCs w:val="21"/>
              </w:rPr>
              <w:t>33.84</w:t>
            </w:r>
          </w:p>
        </w:tc>
        <w:tc>
          <w:tcPr>
            <w:tcW w:w="945" w:type="pct"/>
            <w:vAlign w:val="center"/>
          </w:tcPr>
          <w:p w14:paraId="7981DFC9">
            <w:pPr>
              <w:widowControl/>
              <w:spacing w:line="320" w:lineRule="exact"/>
              <w:ind w:left="-25" w:right="-25"/>
              <w:jc w:val="center"/>
              <w:rPr>
                <w:rFonts w:eastAsiaTheme="minorEastAsia"/>
                <w:kern w:val="0"/>
                <w:szCs w:val="21"/>
              </w:rPr>
            </w:pPr>
            <w:r>
              <w:rPr>
                <w:rFonts w:hint="eastAsia" w:eastAsiaTheme="minorEastAsia"/>
                <w:kern w:val="0"/>
                <w:szCs w:val="21"/>
              </w:rPr>
              <w:t>5.34</w:t>
            </w:r>
          </w:p>
        </w:tc>
      </w:tr>
      <w:tr w14:paraId="2D43F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557215B0">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930" w:type="pct"/>
            <w:vAlign w:val="center"/>
          </w:tcPr>
          <w:p w14:paraId="3AC5FF7A">
            <w:pPr>
              <w:widowControl/>
              <w:spacing w:line="320" w:lineRule="exact"/>
              <w:ind w:left="-25" w:right="-25"/>
              <w:jc w:val="center"/>
              <w:rPr>
                <w:rFonts w:eastAsiaTheme="minorEastAsia"/>
                <w:kern w:val="0"/>
                <w:szCs w:val="21"/>
              </w:rPr>
            </w:pPr>
            <w:r>
              <w:rPr>
                <w:rFonts w:hint="eastAsia" w:eastAsiaTheme="minorEastAsia"/>
                <w:kern w:val="0"/>
                <w:szCs w:val="21"/>
              </w:rPr>
              <w:t>M2</w:t>
            </w:r>
          </w:p>
        </w:tc>
        <w:tc>
          <w:tcPr>
            <w:tcW w:w="1110" w:type="pct"/>
            <w:vAlign w:val="center"/>
          </w:tcPr>
          <w:p w14:paraId="120CCCDB">
            <w:pPr>
              <w:widowControl/>
              <w:spacing w:line="320" w:lineRule="exact"/>
              <w:ind w:left="-25" w:right="-25"/>
              <w:jc w:val="center"/>
              <w:rPr>
                <w:rFonts w:eastAsiaTheme="minorEastAsia"/>
                <w:kern w:val="0"/>
                <w:szCs w:val="21"/>
              </w:rPr>
            </w:pPr>
            <w:r>
              <w:rPr>
                <w:rFonts w:hint="eastAsia" w:eastAsiaTheme="minorEastAsia"/>
                <w:kern w:val="0"/>
                <w:szCs w:val="21"/>
              </w:rPr>
              <w:t xml:space="preserve">二类工业用地 </w:t>
            </w:r>
          </w:p>
        </w:tc>
        <w:tc>
          <w:tcPr>
            <w:tcW w:w="998" w:type="pct"/>
            <w:vAlign w:val="center"/>
          </w:tcPr>
          <w:p w14:paraId="3AE8B5CD">
            <w:pPr>
              <w:widowControl/>
              <w:spacing w:line="320" w:lineRule="exact"/>
              <w:ind w:left="-25" w:right="-25"/>
              <w:jc w:val="center"/>
              <w:rPr>
                <w:rFonts w:eastAsiaTheme="minorEastAsia"/>
                <w:kern w:val="0"/>
                <w:szCs w:val="21"/>
              </w:rPr>
            </w:pPr>
            <w:r>
              <w:rPr>
                <w:rFonts w:hint="eastAsia" w:eastAsiaTheme="minorEastAsia"/>
                <w:kern w:val="0"/>
                <w:szCs w:val="21"/>
              </w:rPr>
              <w:t>308.71</w:t>
            </w:r>
          </w:p>
        </w:tc>
        <w:tc>
          <w:tcPr>
            <w:tcW w:w="945" w:type="pct"/>
            <w:vAlign w:val="center"/>
          </w:tcPr>
          <w:p w14:paraId="7D983397">
            <w:pPr>
              <w:widowControl/>
              <w:spacing w:line="320" w:lineRule="exact"/>
              <w:ind w:left="-25" w:right="-25"/>
              <w:jc w:val="center"/>
              <w:rPr>
                <w:rFonts w:eastAsiaTheme="minorEastAsia"/>
                <w:kern w:val="0"/>
                <w:szCs w:val="21"/>
              </w:rPr>
            </w:pPr>
            <w:r>
              <w:rPr>
                <w:rFonts w:hint="eastAsia" w:eastAsiaTheme="minorEastAsia"/>
                <w:kern w:val="0"/>
                <w:szCs w:val="21"/>
              </w:rPr>
              <w:t>48.74</w:t>
            </w:r>
          </w:p>
        </w:tc>
      </w:tr>
      <w:tr w14:paraId="1A1CE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1F6D2714">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930" w:type="pct"/>
            <w:vAlign w:val="center"/>
          </w:tcPr>
          <w:p w14:paraId="07068AD6">
            <w:pPr>
              <w:widowControl/>
              <w:spacing w:line="320" w:lineRule="exact"/>
              <w:ind w:left="-25" w:right="-25"/>
              <w:jc w:val="center"/>
              <w:rPr>
                <w:rFonts w:eastAsiaTheme="minorEastAsia"/>
                <w:kern w:val="0"/>
                <w:szCs w:val="21"/>
              </w:rPr>
            </w:pPr>
            <w:r>
              <w:rPr>
                <w:rFonts w:hint="eastAsia" w:eastAsiaTheme="minorEastAsia"/>
                <w:kern w:val="0"/>
                <w:szCs w:val="21"/>
              </w:rPr>
              <w:t>E</w:t>
            </w:r>
          </w:p>
        </w:tc>
        <w:tc>
          <w:tcPr>
            <w:tcW w:w="1110" w:type="pct"/>
            <w:vAlign w:val="center"/>
          </w:tcPr>
          <w:p w14:paraId="55B0BA24">
            <w:pPr>
              <w:widowControl/>
              <w:spacing w:line="320" w:lineRule="exact"/>
              <w:ind w:left="-25" w:right="-25"/>
              <w:jc w:val="center"/>
              <w:rPr>
                <w:rFonts w:eastAsiaTheme="minorEastAsia"/>
                <w:kern w:val="0"/>
                <w:szCs w:val="21"/>
              </w:rPr>
            </w:pPr>
            <w:r>
              <w:rPr>
                <w:rFonts w:hint="eastAsia" w:eastAsiaTheme="minorEastAsia"/>
                <w:kern w:val="0"/>
                <w:szCs w:val="21"/>
              </w:rPr>
              <w:t>水域和其它非城市建设用地</w:t>
            </w:r>
          </w:p>
        </w:tc>
        <w:tc>
          <w:tcPr>
            <w:tcW w:w="998" w:type="pct"/>
            <w:vAlign w:val="center"/>
          </w:tcPr>
          <w:p w14:paraId="583C9292">
            <w:pPr>
              <w:widowControl/>
              <w:spacing w:line="320" w:lineRule="exact"/>
              <w:ind w:left="-25" w:right="-25"/>
              <w:jc w:val="center"/>
              <w:rPr>
                <w:rFonts w:eastAsiaTheme="minorEastAsia"/>
                <w:kern w:val="0"/>
                <w:szCs w:val="21"/>
              </w:rPr>
            </w:pPr>
            <w:r>
              <w:rPr>
                <w:rFonts w:hint="eastAsia" w:eastAsiaTheme="minorEastAsia"/>
                <w:kern w:val="0"/>
                <w:szCs w:val="21"/>
              </w:rPr>
              <w:t>290.88</w:t>
            </w:r>
          </w:p>
        </w:tc>
        <w:tc>
          <w:tcPr>
            <w:tcW w:w="945" w:type="pct"/>
            <w:vAlign w:val="center"/>
          </w:tcPr>
          <w:p w14:paraId="3D974C79">
            <w:pPr>
              <w:widowControl/>
              <w:spacing w:line="320" w:lineRule="exact"/>
              <w:ind w:left="-25" w:right="-25"/>
              <w:jc w:val="center"/>
              <w:rPr>
                <w:rFonts w:eastAsiaTheme="minorEastAsia"/>
                <w:kern w:val="0"/>
                <w:szCs w:val="21"/>
              </w:rPr>
            </w:pPr>
            <w:r>
              <w:rPr>
                <w:rFonts w:hint="eastAsia" w:eastAsiaTheme="minorEastAsia"/>
                <w:kern w:val="0"/>
                <w:szCs w:val="21"/>
              </w:rPr>
              <w:t>45.92</w:t>
            </w:r>
          </w:p>
        </w:tc>
      </w:tr>
      <w:tr w14:paraId="76230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Merge w:val="restart"/>
            <w:vAlign w:val="center"/>
          </w:tcPr>
          <w:p w14:paraId="1E617FB9">
            <w:pPr>
              <w:widowControl/>
              <w:spacing w:line="320" w:lineRule="exact"/>
              <w:ind w:left="-25" w:right="-25"/>
              <w:jc w:val="center"/>
              <w:rPr>
                <w:rFonts w:eastAsiaTheme="minorEastAsia"/>
                <w:kern w:val="0"/>
                <w:szCs w:val="21"/>
              </w:rPr>
            </w:pPr>
            <w:r>
              <w:rPr>
                <w:rFonts w:hint="eastAsia" w:eastAsiaTheme="minorEastAsia"/>
                <w:kern w:val="0"/>
                <w:szCs w:val="21"/>
              </w:rPr>
              <w:t>其中</w:t>
            </w:r>
          </w:p>
        </w:tc>
        <w:tc>
          <w:tcPr>
            <w:tcW w:w="930" w:type="pct"/>
            <w:vAlign w:val="center"/>
          </w:tcPr>
          <w:p w14:paraId="2FF1697B">
            <w:pPr>
              <w:widowControl/>
              <w:spacing w:line="320" w:lineRule="exact"/>
              <w:ind w:left="-25" w:right="-25"/>
              <w:jc w:val="center"/>
              <w:rPr>
                <w:rFonts w:eastAsiaTheme="minorEastAsia"/>
                <w:kern w:val="0"/>
                <w:szCs w:val="21"/>
              </w:rPr>
            </w:pPr>
            <w:r>
              <w:rPr>
                <w:rFonts w:hint="eastAsia" w:eastAsiaTheme="minorEastAsia"/>
                <w:kern w:val="0"/>
                <w:szCs w:val="21"/>
              </w:rPr>
              <w:t>E1</w:t>
            </w:r>
          </w:p>
        </w:tc>
        <w:tc>
          <w:tcPr>
            <w:tcW w:w="1110" w:type="pct"/>
            <w:vAlign w:val="center"/>
          </w:tcPr>
          <w:p w14:paraId="70BEF72D">
            <w:pPr>
              <w:widowControl/>
              <w:spacing w:line="320" w:lineRule="exact"/>
              <w:ind w:left="-25" w:right="-25"/>
              <w:jc w:val="center"/>
              <w:rPr>
                <w:rFonts w:eastAsiaTheme="minorEastAsia"/>
                <w:kern w:val="0"/>
                <w:szCs w:val="21"/>
              </w:rPr>
            </w:pPr>
            <w:r>
              <w:rPr>
                <w:rFonts w:hint="eastAsia" w:eastAsiaTheme="minorEastAsia"/>
                <w:kern w:val="0"/>
                <w:szCs w:val="21"/>
              </w:rPr>
              <w:t>水域</w:t>
            </w:r>
          </w:p>
        </w:tc>
        <w:tc>
          <w:tcPr>
            <w:tcW w:w="998" w:type="pct"/>
            <w:vAlign w:val="center"/>
          </w:tcPr>
          <w:p w14:paraId="62F99A34">
            <w:pPr>
              <w:widowControl/>
              <w:spacing w:line="320" w:lineRule="exact"/>
              <w:ind w:left="-25" w:right="-25"/>
              <w:jc w:val="center"/>
              <w:rPr>
                <w:rFonts w:eastAsiaTheme="minorEastAsia"/>
                <w:kern w:val="0"/>
                <w:szCs w:val="21"/>
              </w:rPr>
            </w:pPr>
            <w:r>
              <w:rPr>
                <w:rFonts w:hint="eastAsia" w:eastAsiaTheme="minorEastAsia"/>
                <w:kern w:val="0"/>
                <w:szCs w:val="21"/>
              </w:rPr>
              <w:t>3.69</w:t>
            </w:r>
          </w:p>
        </w:tc>
        <w:tc>
          <w:tcPr>
            <w:tcW w:w="945" w:type="pct"/>
            <w:vAlign w:val="center"/>
          </w:tcPr>
          <w:p w14:paraId="63253267">
            <w:pPr>
              <w:widowControl/>
              <w:spacing w:line="320" w:lineRule="exact"/>
              <w:ind w:left="-25" w:right="-25"/>
              <w:jc w:val="center"/>
              <w:rPr>
                <w:rFonts w:eastAsiaTheme="minorEastAsia"/>
                <w:kern w:val="0"/>
                <w:szCs w:val="21"/>
              </w:rPr>
            </w:pPr>
            <w:r>
              <w:rPr>
                <w:rFonts w:hint="eastAsia" w:eastAsiaTheme="minorEastAsia"/>
                <w:kern w:val="0"/>
                <w:szCs w:val="21"/>
              </w:rPr>
              <w:t>0.58</w:t>
            </w:r>
          </w:p>
        </w:tc>
      </w:tr>
      <w:tr w14:paraId="69BBF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Merge w:val="continue"/>
            <w:vAlign w:val="center"/>
          </w:tcPr>
          <w:p w14:paraId="2FEA92D9">
            <w:pPr>
              <w:widowControl/>
              <w:spacing w:line="320" w:lineRule="exact"/>
              <w:ind w:left="-25" w:right="-25"/>
              <w:jc w:val="center"/>
              <w:rPr>
                <w:rFonts w:eastAsiaTheme="minorEastAsia"/>
                <w:kern w:val="0"/>
                <w:szCs w:val="21"/>
              </w:rPr>
            </w:pPr>
          </w:p>
        </w:tc>
        <w:tc>
          <w:tcPr>
            <w:tcW w:w="930" w:type="pct"/>
            <w:vAlign w:val="center"/>
          </w:tcPr>
          <w:p w14:paraId="2BAEFD50">
            <w:pPr>
              <w:widowControl/>
              <w:spacing w:line="320" w:lineRule="exact"/>
              <w:ind w:left="-25" w:right="-25"/>
              <w:jc w:val="center"/>
              <w:rPr>
                <w:rFonts w:eastAsiaTheme="minorEastAsia"/>
                <w:kern w:val="0"/>
                <w:szCs w:val="21"/>
              </w:rPr>
            </w:pPr>
            <w:r>
              <w:rPr>
                <w:rFonts w:hint="eastAsia" w:eastAsiaTheme="minorEastAsia"/>
                <w:kern w:val="0"/>
                <w:szCs w:val="21"/>
              </w:rPr>
              <w:t>E2</w:t>
            </w:r>
          </w:p>
        </w:tc>
        <w:tc>
          <w:tcPr>
            <w:tcW w:w="1110" w:type="pct"/>
            <w:vAlign w:val="center"/>
          </w:tcPr>
          <w:p w14:paraId="661E841E">
            <w:pPr>
              <w:widowControl/>
              <w:spacing w:line="320" w:lineRule="exact"/>
              <w:ind w:left="-25" w:right="-25"/>
              <w:jc w:val="center"/>
              <w:rPr>
                <w:rFonts w:eastAsiaTheme="minorEastAsia"/>
                <w:kern w:val="0"/>
                <w:szCs w:val="21"/>
              </w:rPr>
            </w:pPr>
            <w:r>
              <w:rPr>
                <w:rFonts w:hint="eastAsia" w:eastAsiaTheme="minorEastAsia"/>
                <w:kern w:val="0"/>
                <w:szCs w:val="21"/>
              </w:rPr>
              <w:t>农林用地</w:t>
            </w:r>
          </w:p>
        </w:tc>
        <w:tc>
          <w:tcPr>
            <w:tcW w:w="998" w:type="pct"/>
            <w:vAlign w:val="center"/>
          </w:tcPr>
          <w:p w14:paraId="7353C551">
            <w:pPr>
              <w:widowControl/>
              <w:spacing w:line="320" w:lineRule="exact"/>
              <w:ind w:left="-25" w:right="-25"/>
              <w:jc w:val="center"/>
              <w:rPr>
                <w:rFonts w:eastAsiaTheme="minorEastAsia"/>
                <w:kern w:val="0"/>
                <w:szCs w:val="21"/>
              </w:rPr>
            </w:pPr>
            <w:r>
              <w:rPr>
                <w:rFonts w:hint="eastAsia" w:eastAsiaTheme="minorEastAsia"/>
                <w:kern w:val="0"/>
                <w:szCs w:val="21"/>
              </w:rPr>
              <w:t>287.19</w:t>
            </w:r>
          </w:p>
        </w:tc>
        <w:tc>
          <w:tcPr>
            <w:tcW w:w="945" w:type="pct"/>
            <w:vAlign w:val="center"/>
          </w:tcPr>
          <w:p w14:paraId="076985FD">
            <w:pPr>
              <w:widowControl/>
              <w:spacing w:line="320" w:lineRule="exact"/>
              <w:ind w:left="-25" w:right="-25"/>
              <w:jc w:val="center"/>
              <w:rPr>
                <w:rFonts w:eastAsiaTheme="minorEastAsia"/>
                <w:kern w:val="0"/>
                <w:szCs w:val="21"/>
              </w:rPr>
            </w:pPr>
            <w:r>
              <w:rPr>
                <w:rFonts w:hint="eastAsia" w:eastAsiaTheme="minorEastAsia"/>
                <w:kern w:val="0"/>
                <w:szCs w:val="21"/>
              </w:rPr>
              <w:t>45.34</w:t>
            </w:r>
          </w:p>
        </w:tc>
      </w:tr>
      <w:tr w14:paraId="6E5B0C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947" w:type="pct"/>
            <w:gridSpan w:val="2"/>
            <w:vAlign w:val="center"/>
          </w:tcPr>
          <w:p w14:paraId="1B03F4BD">
            <w:pPr>
              <w:widowControl/>
              <w:spacing w:line="320" w:lineRule="exact"/>
              <w:ind w:left="-25" w:right="-25"/>
              <w:jc w:val="center"/>
              <w:rPr>
                <w:rFonts w:eastAsiaTheme="minorEastAsia"/>
                <w:kern w:val="0"/>
                <w:szCs w:val="21"/>
              </w:rPr>
            </w:pPr>
            <w:r>
              <w:rPr>
                <w:rFonts w:eastAsiaTheme="minorEastAsia"/>
                <w:kern w:val="0"/>
                <w:szCs w:val="21"/>
              </w:rPr>
              <w:t>总计</w:t>
            </w:r>
          </w:p>
        </w:tc>
        <w:tc>
          <w:tcPr>
            <w:tcW w:w="1110" w:type="pct"/>
            <w:vAlign w:val="center"/>
          </w:tcPr>
          <w:p w14:paraId="2BBD4EA3">
            <w:pPr>
              <w:widowControl/>
              <w:spacing w:line="320" w:lineRule="exact"/>
              <w:ind w:left="-25" w:right="-25"/>
              <w:jc w:val="center"/>
              <w:rPr>
                <w:rFonts w:eastAsiaTheme="minorEastAsia"/>
                <w:kern w:val="0"/>
                <w:szCs w:val="21"/>
              </w:rPr>
            </w:pPr>
          </w:p>
        </w:tc>
        <w:tc>
          <w:tcPr>
            <w:tcW w:w="998" w:type="pct"/>
            <w:vAlign w:val="center"/>
          </w:tcPr>
          <w:p w14:paraId="3F8E6E7E">
            <w:pPr>
              <w:widowControl/>
              <w:spacing w:line="320" w:lineRule="exact"/>
              <w:ind w:left="-25" w:right="-25"/>
              <w:jc w:val="center"/>
              <w:rPr>
                <w:rFonts w:eastAsiaTheme="minorEastAsia"/>
                <w:kern w:val="0"/>
                <w:szCs w:val="21"/>
              </w:rPr>
            </w:pPr>
            <w:r>
              <w:rPr>
                <w:rFonts w:hint="eastAsia" w:eastAsiaTheme="minorEastAsia"/>
                <w:kern w:val="0"/>
                <w:szCs w:val="21"/>
              </w:rPr>
              <w:t>633.43</w:t>
            </w:r>
          </w:p>
        </w:tc>
        <w:tc>
          <w:tcPr>
            <w:tcW w:w="945" w:type="pct"/>
            <w:vAlign w:val="center"/>
          </w:tcPr>
          <w:p w14:paraId="747CBCB1">
            <w:pPr>
              <w:widowControl/>
              <w:spacing w:line="320" w:lineRule="exact"/>
              <w:ind w:left="-25" w:right="-25"/>
              <w:jc w:val="center"/>
              <w:rPr>
                <w:rFonts w:eastAsiaTheme="minorEastAsia"/>
                <w:kern w:val="0"/>
                <w:szCs w:val="21"/>
              </w:rPr>
            </w:pPr>
            <w:r>
              <w:rPr>
                <w:rFonts w:hint="eastAsia" w:eastAsiaTheme="minorEastAsia"/>
                <w:kern w:val="0"/>
                <w:szCs w:val="21"/>
              </w:rPr>
              <w:t>100</w:t>
            </w:r>
          </w:p>
        </w:tc>
      </w:tr>
    </w:tbl>
    <w:p w14:paraId="2B7E0150">
      <w:pPr>
        <w:spacing w:line="360" w:lineRule="auto"/>
        <w:ind w:firstLine="480" w:firstLineChars="200"/>
        <w:rPr>
          <w:rFonts w:eastAsiaTheme="minorEastAsia"/>
          <w:sz w:val="24"/>
        </w:rPr>
      </w:pPr>
      <w:r>
        <w:rPr>
          <w:rFonts w:hint="eastAsia" w:eastAsiaTheme="minorEastAsia"/>
          <w:sz w:val="24"/>
        </w:rPr>
        <w:t>（3）太白顶石材产业园</w:t>
      </w:r>
    </w:p>
    <w:p w14:paraId="477AB2C8">
      <w:pPr>
        <w:spacing w:line="360" w:lineRule="auto"/>
        <w:ind w:firstLine="480" w:firstLineChars="200"/>
        <w:rPr>
          <w:rFonts w:eastAsiaTheme="minorEastAsia"/>
          <w:sz w:val="24"/>
        </w:rPr>
      </w:pPr>
      <w:r>
        <w:rPr>
          <w:rFonts w:hint="eastAsia" w:eastAsiaTheme="minorEastAsia"/>
          <w:sz w:val="24"/>
        </w:rPr>
        <w:t>太白顶石材产业园范围内现状主要为林地、水塘、田地、村居民点和工业用地等。其中，二类工业用地68.62公顷，占总用地33.11%；村庄建设用地10.86公顷，占总用地5.24%；水域和其它非建设用地127.8公顷，占总用地61.65%。</w:t>
      </w:r>
    </w:p>
    <w:p w14:paraId="045D00D3">
      <w:pPr>
        <w:spacing w:line="360" w:lineRule="auto"/>
        <w:ind w:firstLine="422"/>
        <w:jc w:val="center"/>
        <w:rPr>
          <w:rFonts w:eastAsiaTheme="minorEastAsia"/>
          <w:b/>
          <w:szCs w:val="21"/>
        </w:rPr>
      </w:pPr>
      <w:r>
        <w:rPr>
          <w:rFonts w:hint="eastAsia" w:eastAsiaTheme="minorEastAsia"/>
          <w:b/>
          <w:szCs w:val="21"/>
        </w:rPr>
        <w:t>表3.4.6-4   太白顶石材产业园现状用地一览表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5"/>
        <w:gridCol w:w="1586"/>
        <w:gridCol w:w="1893"/>
        <w:gridCol w:w="1702"/>
        <w:gridCol w:w="1612"/>
      </w:tblGrid>
      <w:tr w14:paraId="68ACB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6167510A">
            <w:pPr>
              <w:widowControl/>
              <w:spacing w:line="320" w:lineRule="exact"/>
              <w:ind w:left="-25" w:right="-25"/>
              <w:jc w:val="center"/>
              <w:rPr>
                <w:rFonts w:eastAsiaTheme="minorEastAsia"/>
                <w:kern w:val="0"/>
                <w:szCs w:val="21"/>
              </w:rPr>
            </w:pPr>
            <w:r>
              <w:rPr>
                <w:rFonts w:eastAsiaTheme="minorEastAsia"/>
                <w:kern w:val="0"/>
                <w:szCs w:val="21"/>
              </w:rPr>
              <w:t>序号</w:t>
            </w:r>
          </w:p>
        </w:tc>
        <w:tc>
          <w:tcPr>
            <w:tcW w:w="930" w:type="pct"/>
            <w:vAlign w:val="center"/>
          </w:tcPr>
          <w:p w14:paraId="4EFEE680">
            <w:pPr>
              <w:widowControl/>
              <w:spacing w:line="320" w:lineRule="exact"/>
              <w:ind w:left="-25" w:right="-25"/>
              <w:jc w:val="center"/>
              <w:rPr>
                <w:rFonts w:eastAsiaTheme="minorEastAsia"/>
                <w:kern w:val="0"/>
                <w:szCs w:val="21"/>
              </w:rPr>
            </w:pPr>
            <w:r>
              <w:rPr>
                <w:rFonts w:hint="eastAsia" w:eastAsiaTheme="minorEastAsia"/>
                <w:kern w:val="0"/>
                <w:szCs w:val="21"/>
              </w:rPr>
              <w:t>性质编码</w:t>
            </w:r>
          </w:p>
        </w:tc>
        <w:tc>
          <w:tcPr>
            <w:tcW w:w="1110" w:type="pct"/>
            <w:vAlign w:val="center"/>
          </w:tcPr>
          <w:p w14:paraId="1F957D0F">
            <w:pPr>
              <w:widowControl/>
              <w:spacing w:line="320" w:lineRule="exact"/>
              <w:ind w:left="-25" w:right="-25"/>
              <w:jc w:val="center"/>
              <w:rPr>
                <w:rFonts w:eastAsiaTheme="minorEastAsia"/>
                <w:kern w:val="0"/>
                <w:szCs w:val="21"/>
              </w:rPr>
            </w:pPr>
            <w:r>
              <w:rPr>
                <w:rFonts w:hint="eastAsia" w:eastAsiaTheme="minorEastAsia"/>
                <w:kern w:val="0"/>
                <w:szCs w:val="21"/>
              </w:rPr>
              <w:t>用地性质</w:t>
            </w:r>
          </w:p>
        </w:tc>
        <w:tc>
          <w:tcPr>
            <w:tcW w:w="998" w:type="pct"/>
            <w:vAlign w:val="center"/>
          </w:tcPr>
          <w:p w14:paraId="099762F0">
            <w:pPr>
              <w:widowControl/>
              <w:spacing w:line="320" w:lineRule="exact"/>
              <w:ind w:left="-25" w:right="-25"/>
              <w:jc w:val="center"/>
              <w:rPr>
                <w:rFonts w:eastAsiaTheme="minorEastAsia"/>
                <w:kern w:val="0"/>
                <w:szCs w:val="21"/>
              </w:rPr>
            </w:pPr>
            <w:r>
              <w:rPr>
                <w:rFonts w:hint="eastAsia" w:eastAsiaTheme="minorEastAsia"/>
                <w:kern w:val="0"/>
                <w:szCs w:val="21"/>
              </w:rPr>
              <w:t>面积(ha)</w:t>
            </w:r>
          </w:p>
        </w:tc>
        <w:tc>
          <w:tcPr>
            <w:tcW w:w="945" w:type="pct"/>
            <w:vAlign w:val="center"/>
          </w:tcPr>
          <w:p w14:paraId="1A1F6617">
            <w:pPr>
              <w:widowControl/>
              <w:spacing w:line="320" w:lineRule="exact"/>
              <w:ind w:left="-25" w:right="-25"/>
              <w:jc w:val="center"/>
              <w:rPr>
                <w:rFonts w:eastAsiaTheme="minorEastAsia"/>
                <w:kern w:val="0"/>
                <w:szCs w:val="21"/>
              </w:rPr>
            </w:pPr>
            <w:r>
              <w:rPr>
                <w:rFonts w:hint="eastAsia" w:eastAsiaTheme="minorEastAsia"/>
                <w:kern w:val="0"/>
                <w:szCs w:val="21"/>
              </w:rPr>
              <w:t>百分比(%)</w:t>
            </w:r>
          </w:p>
        </w:tc>
      </w:tr>
      <w:tr w14:paraId="3B203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329AD10E">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930" w:type="pct"/>
            <w:vAlign w:val="center"/>
          </w:tcPr>
          <w:p w14:paraId="0234D17C">
            <w:pPr>
              <w:widowControl/>
              <w:spacing w:line="320" w:lineRule="exact"/>
              <w:ind w:left="-25" w:right="-25"/>
              <w:jc w:val="center"/>
              <w:rPr>
                <w:rFonts w:eastAsiaTheme="minorEastAsia"/>
                <w:kern w:val="0"/>
                <w:szCs w:val="21"/>
              </w:rPr>
            </w:pPr>
            <w:r>
              <w:rPr>
                <w:rFonts w:hint="eastAsia" w:eastAsiaTheme="minorEastAsia"/>
                <w:kern w:val="0"/>
                <w:szCs w:val="21"/>
              </w:rPr>
              <w:t>H14</w:t>
            </w:r>
          </w:p>
        </w:tc>
        <w:tc>
          <w:tcPr>
            <w:tcW w:w="1110" w:type="pct"/>
            <w:vAlign w:val="center"/>
          </w:tcPr>
          <w:p w14:paraId="338A1EBB">
            <w:pPr>
              <w:widowControl/>
              <w:spacing w:line="320" w:lineRule="exact"/>
              <w:ind w:left="-25" w:right="-25"/>
              <w:jc w:val="center"/>
              <w:rPr>
                <w:rFonts w:eastAsiaTheme="minorEastAsia"/>
                <w:kern w:val="0"/>
                <w:szCs w:val="21"/>
              </w:rPr>
            </w:pPr>
            <w:r>
              <w:rPr>
                <w:rFonts w:hint="eastAsia" w:eastAsiaTheme="minorEastAsia"/>
                <w:kern w:val="0"/>
                <w:szCs w:val="21"/>
              </w:rPr>
              <w:t xml:space="preserve">村庄建设用地 </w:t>
            </w:r>
          </w:p>
        </w:tc>
        <w:tc>
          <w:tcPr>
            <w:tcW w:w="998" w:type="pct"/>
            <w:vAlign w:val="center"/>
          </w:tcPr>
          <w:p w14:paraId="2C693793">
            <w:pPr>
              <w:widowControl/>
              <w:spacing w:line="320" w:lineRule="exact"/>
              <w:ind w:left="-25" w:right="-25"/>
              <w:jc w:val="center"/>
              <w:rPr>
                <w:rFonts w:eastAsiaTheme="minorEastAsia"/>
                <w:kern w:val="0"/>
                <w:szCs w:val="21"/>
              </w:rPr>
            </w:pPr>
            <w:r>
              <w:rPr>
                <w:rFonts w:hint="eastAsia" w:eastAsiaTheme="minorEastAsia"/>
                <w:kern w:val="0"/>
                <w:szCs w:val="21"/>
              </w:rPr>
              <w:t>10.86</w:t>
            </w:r>
          </w:p>
        </w:tc>
        <w:tc>
          <w:tcPr>
            <w:tcW w:w="945" w:type="pct"/>
            <w:vAlign w:val="center"/>
          </w:tcPr>
          <w:p w14:paraId="47324AC2">
            <w:pPr>
              <w:widowControl/>
              <w:spacing w:line="320" w:lineRule="exact"/>
              <w:ind w:left="-25" w:right="-25"/>
              <w:jc w:val="center"/>
              <w:rPr>
                <w:rFonts w:eastAsiaTheme="minorEastAsia"/>
                <w:kern w:val="0"/>
                <w:szCs w:val="21"/>
              </w:rPr>
            </w:pPr>
            <w:r>
              <w:rPr>
                <w:rFonts w:hint="eastAsia" w:eastAsiaTheme="minorEastAsia"/>
                <w:kern w:val="0"/>
                <w:szCs w:val="21"/>
              </w:rPr>
              <w:t>5.24</w:t>
            </w:r>
          </w:p>
        </w:tc>
      </w:tr>
      <w:tr w14:paraId="4BB46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4003EB92">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930" w:type="pct"/>
            <w:vAlign w:val="center"/>
          </w:tcPr>
          <w:p w14:paraId="01D9D11A">
            <w:pPr>
              <w:widowControl/>
              <w:spacing w:line="320" w:lineRule="exact"/>
              <w:ind w:left="-25" w:right="-25"/>
              <w:jc w:val="center"/>
              <w:rPr>
                <w:rFonts w:eastAsiaTheme="minorEastAsia"/>
                <w:kern w:val="0"/>
                <w:szCs w:val="21"/>
              </w:rPr>
            </w:pPr>
            <w:r>
              <w:rPr>
                <w:rFonts w:hint="eastAsia" w:eastAsiaTheme="minorEastAsia"/>
                <w:kern w:val="0"/>
                <w:szCs w:val="21"/>
              </w:rPr>
              <w:t>M2</w:t>
            </w:r>
          </w:p>
        </w:tc>
        <w:tc>
          <w:tcPr>
            <w:tcW w:w="1110" w:type="pct"/>
            <w:vAlign w:val="center"/>
          </w:tcPr>
          <w:p w14:paraId="1406B6F4">
            <w:pPr>
              <w:widowControl/>
              <w:spacing w:line="320" w:lineRule="exact"/>
              <w:ind w:left="-25" w:right="-25"/>
              <w:jc w:val="center"/>
              <w:rPr>
                <w:rFonts w:eastAsiaTheme="minorEastAsia"/>
                <w:kern w:val="0"/>
                <w:szCs w:val="21"/>
              </w:rPr>
            </w:pPr>
            <w:r>
              <w:rPr>
                <w:rFonts w:hint="eastAsia" w:eastAsiaTheme="minorEastAsia"/>
                <w:kern w:val="0"/>
                <w:szCs w:val="21"/>
              </w:rPr>
              <w:t xml:space="preserve">二类工业用地 </w:t>
            </w:r>
          </w:p>
        </w:tc>
        <w:tc>
          <w:tcPr>
            <w:tcW w:w="998" w:type="pct"/>
            <w:vAlign w:val="center"/>
          </w:tcPr>
          <w:p w14:paraId="2D86D48A">
            <w:pPr>
              <w:widowControl/>
              <w:spacing w:line="320" w:lineRule="exact"/>
              <w:ind w:left="-25" w:right="-25"/>
              <w:jc w:val="center"/>
              <w:rPr>
                <w:rFonts w:eastAsiaTheme="minorEastAsia"/>
                <w:kern w:val="0"/>
                <w:szCs w:val="21"/>
              </w:rPr>
            </w:pPr>
            <w:r>
              <w:rPr>
                <w:rFonts w:hint="eastAsia" w:eastAsiaTheme="minorEastAsia"/>
                <w:kern w:val="0"/>
                <w:szCs w:val="21"/>
              </w:rPr>
              <w:t>68.62</w:t>
            </w:r>
          </w:p>
        </w:tc>
        <w:tc>
          <w:tcPr>
            <w:tcW w:w="945" w:type="pct"/>
            <w:vAlign w:val="center"/>
          </w:tcPr>
          <w:p w14:paraId="535721EA">
            <w:pPr>
              <w:widowControl/>
              <w:spacing w:line="320" w:lineRule="exact"/>
              <w:ind w:left="-25" w:right="-25"/>
              <w:jc w:val="center"/>
              <w:rPr>
                <w:rFonts w:eastAsiaTheme="minorEastAsia"/>
                <w:kern w:val="0"/>
                <w:szCs w:val="21"/>
              </w:rPr>
            </w:pPr>
            <w:r>
              <w:rPr>
                <w:rFonts w:hint="eastAsia" w:eastAsiaTheme="minorEastAsia"/>
                <w:kern w:val="0"/>
                <w:szCs w:val="21"/>
              </w:rPr>
              <w:t>33.11</w:t>
            </w:r>
          </w:p>
        </w:tc>
      </w:tr>
      <w:tr w14:paraId="0251A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07A2E71B">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930" w:type="pct"/>
            <w:vAlign w:val="center"/>
          </w:tcPr>
          <w:p w14:paraId="3BC8FACA">
            <w:pPr>
              <w:widowControl/>
              <w:spacing w:line="320" w:lineRule="exact"/>
              <w:ind w:left="-25" w:right="-25"/>
              <w:jc w:val="center"/>
              <w:rPr>
                <w:rFonts w:eastAsiaTheme="minorEastAsia"/>
                <w:kern w:val="0"/>
                <w:szCs w:val="21"/>
              </w:rPr>
            </w:pPr>
            <w:r>
              <w:rPr>
                <w:rFonts w:hint="eastAsia" w:eastAsiaTheme="minorEastAsia"/>
                <w:kern w:val="0"/>
                <w:szCs w:val="21"/>
              </w:rPr>
              <w:t>E</w:t>
            </w:r>
          </w:p>
        </w:tc>
        <w:tc>
          <w:tcPr>
            <w:tcW w:w="1110" w:type="pct"/>
            <w:vAlign w:val="center"/>
          </w:tcPr>
          <w:p w14:paraId="563BCFB6">
            <w:pPr>
              <w:widowControl/>
              <w:spacing w:line="320" w:lineRule="exact"/>
              <w:ind w:left="-25" w:right="-25"/>
              <w:jc w:val="center"/>
              <w:rPr>
                <w:rFonts w:eastAsiaTheme="minorEastAsia"/>
                <w:kern w:val="0"/>
                <w:szCs w:val="21"/>
              </w:rPr>
            </w:pPr>
            <w:r>
              <w:rPr>
                <w:rFonts w:hint="eastAsia" w:eastAsiaTheme="minorEastAsia"/>
                <w:kern w:val="0"/>
                <w:szCs w:val="21"/>
              </w:rPr>
              <w:t>水域和其它非城市建设用地</w:t>
            </w:r>
          </w:p>
        </w:tc>
        <w:tc>
          <w:tcPr>
            <w:tcW w:w="998" w:type="pct"/>
            <w:vAlign w:val="center"/>
          </w:tcPr>
          <w:p w14:paraId="79C3496C">
            <w:pPr>
              <w:widowControl/>
              <w:spacing w:line="320" w:lineRule="exact"/>
              <w:ind w:left="-25" w:right="-25"/>
              <w:jc w:val="center"/>
              <w:rPr>
                <w:rFonts w:eastAsiaTheme="minorEastAsia"/>
                <w:kern w:val="0"/>
                <w:szCs w:val="21"/>
              </w:rPr>
            </w:pPr>
            <w:r>
              <w:rPr>
                <w:rFonts w:hint="eastAsia" w:eastAsiaTheme="minorEastAsia"/>
                <w:kern w:val="0"/>
                <w:szCs w:val="21"/>
              </w:rPr>
              <w:t>127.8</w:t>
            </w:r>
          </w:p>
        </w:tc>
        <w:tc>
          <w:tcPr>
            <w:tcW w:w="945" w:type="pct"/>
            <w:vAlign w:val="center"/>
          </w:tcPr>
          <w:p w14:paraId="11827880">
            <w:pPr>
              <w:widowControl/>
              <w:spacing w:line="320" w:lineRule="exact"/>
              <w:ind w:left="-25" w:right="-25"/>
              <w:jc w:val="center"/>
              <w:rPr>
                <w:rFonts w:eastAsiaTheme="minorEastAsia"/>
                <w:kern w:val="0"/>
                <w:szCs w:val="21"/>
              </w:rPr>
            </w:pPr>
            <w:r>
              <w:rPr>
                <w:rFonts w:hint="eastAsia" w:eastAsiaTheme="minorEastAsia"/>
                <w:kern w:val="0"/>
                <w:szCs w:val="21"/>
              </w:rPr>
              <w:t>61.65</w:t>
            </w:r>
          </w:p>
        </w:tc>
      </w:tr>
      <w:tr w14:paraId="69737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Merge w:val="restart"/>
            <w:vAlign w:val="center"/>
          </w:tcPr>
          <w:p w14:paraId="20F822D5">
            <w:pPr>
              <w:widowControl/>
              <w:spacing w:line="320" w:lineRule="exact"/>
              <w:ind w:left="-25" w:right="-25"/>
              <w:jc w:val="center"/>
              <w:rPr>
                <w:rFonts w:eastAsiaTheme="minorEastAsia"/>
                <w:kern w:val="0"/>
                <w:szCs w:val="21"/>
              </w:rPr>
            </w:pPr>
            <w:r>
              <w:rPr>
                <w:rFonts w:hint="eastAsia" w:eastAsiaTheme="minorEastAsia"/>
                <w:kern w:val="0"/>
                <w:szCs w:val="21"/>
              </w:rPr>
              <w:t>其中</w:t>
            </w:r>
          </w:p>
        </w:tc>
        <w:tc>
          <w:tcPr>
            <w:tcW w:w="930" w:type="pct"/>
            <w:vAlign w:val="center"/>
          </w:tcPr>
          <w:p w14:paraId="3B835A0A">
            <w:pPr>
              <w:widowControl/>
              <w:spacing w:line="320" w:lineRule="exact"/>
              <w:ind w:left="-25" w:right="-25"/>
              <w:jc w:val="center"/>
              <w:rPr>
                <w:rFonts w:eastAsiaTheme="minorEastAsia"/>
                <w:kern w:val="0"/>
                <w:szCs w:val="21"/>
              </w:rPr>
            </w:pPr>
            <w:r>
              <w:rPr>
                <w:rFonts w:hint="eastAsia" w:eastAsiaTheme="minorEastAsia"/>
                <w:kern w:val="0"/>
                <w:szCs w:val="21"/>
              </w:rPr>
              <w:t>E1</w:t>
            </w:r>
          </w:p>
        </w:tc>
        <w:tc>
          <w:tcPr>
            <w:tcW w:w="1110" w:type="pct"/>
            <w:vAlign w:val="center"/>
          </w:tcPr>
          <w:p w14:paraId="16CFD250">
            <w:pPr>
              <w:widowControl/>
              <w:spacing w:line="320" w:lineRule="exact"/>
              <w:ind w:left="-25" w:right="-25"/>
              <w:jc w:val="center"/>
              <w:rPr>
                <w:rFonts w:eastAsiaTheme="minorEastAsia"/>
                <w:kern w:val="0"/>
                <w:szCs w:val="21"/>
              </w:rPr>
            </w:pPr>
            <w:r>
              <w:rPr>
                <w:rFonts w:hint="eastAsia" w:eastAsiaTheme="minorEastAsia"/>
                <w:kern w:val="0"/>
                <w:szCs w:val="21"/>
              </w:rPr>
              <w:t>水域</w:t>
            </w:r>
          </w:p>
        </w:tc>
        <w:tc>
          <w:tcPr>
            <w:tcW w:w="998" w:type="pct"/>
            <w:vAlign w:val="center"/>
          </w:tcPr>
          <w:p w14:paraId="76DD79BE">
            <w:pPr>
              <w:widowControl/>
              <w:spacing w:line="320" w:lineRule="exact"/>
              <w:ind w:left="-25" w:right="-25"/>
              <w:jc w:val="center"/>
              <w:rPr>
                <w:rFonts w:eastAsiaTheme="minorEastAsia"/>
                <w:kern w:val="0"/>
                <w:szCs w:val="21"/>
              </w:rPr>
            </w:pPr>
            <w:r>
              <w:rPr>
                <w:rFonts w:hint="eastAsia" w:eastAsiaTheme="minorEastAsia"/>
                <w:kern w:val="0"/>
                <w:szCs w:val="21"/>
              </w:rPr>
              <w:t>2.68</w:t>
            </w:r>
          </w:p>
        </w:tc>
        <w:tc>
          <w:tcPr>
            <w:tcW w:w="945" w:type="pct"/>
            <w:vAlign w:val="center"/>
          </w:tcPr>
          <w:p w14:paraId="6AD1A32A">
            <w:pPr>
              <w:widowControl/>
              <w:spacing w:line="320" w:lineRule="exact"/>
              <w:ind w:left="-25" w:right="-25"/>
              <w:jc w:val="center"/>
              <w:rPr>
                <w:rFonts w:eastAsiaTheme="minorEastAsia"/>
                <w:kern w:val="0"/>
                <w:szCs w:val="21"/>
              </w:rPr>
            </w:pPr>
            <w:r>
              <w:rPr>
                <w:rFonts w:hint="eastAsia" w:eastAsiaTheme="minorEastAsia"/>
                <w:kern w:val="0"/>
                <w:szCs w:val="21"/>
              </w:rPr>
              <w:t>1.29</w:t>
            </w:r>
          </w:p>
        </w:tc>
      </w:tr>
      <w:tr w14:paraId="2CBB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Merge w:val="continue"/>
            <w:vAlign w:val="center"/>
          </w:tcPr>
          <w:p w14:paraId="2AC31D84">
            <w:pPr>
              <w:widowControl/>
              <w:spacing w:line="320" w:lineRule="exact"/>
              <w:ind w:left="-25" w:right="-25"/>
              <w:jc w:val="center"/>
              <w:rPr>
                <w:rFonts w:eastAsiaTheme="minorEastAsia"/>
                <w:kern w:val="0"/>
                <w:szCs w:val="21"/>
              </w:rPr>
            </w:pPr>
          </w:p>
        </w:tc>
        <w:tc>
          <w:tcPr>
            <w:tcW w:w="930" w:type="pct"/>
            <w:vAlign w:val="center"/>
          </w:tcPr>
          <w:p w14:paraId="18352BF5">
            <w:pPr>
              <w:widowControl/>
              <w:spacing w:line="320" w:lineRule="exact"/>
              <w:ind w:left="-25" w:right="-25"/>
              <w:jc w:val="center"/>
              <w:rPr>
                <w:rFonts w:eastAsiaTheme="minorEastAsia"/>
                <w:kern w:val="0"/>
                <w:szCs w:val="21"/>
              </w:rPr>
            </w:pPr>
            <w:r>
              <w:rPr>
                <w:rFonts w:hint="eastAsia" w:eastAsiaTheme="minorEastAsia"/>
                <w:kern w:val="0"/>
                <w:szCs w:val="21"/>
              </w:rPr>
              <w:t>E2</w:t>
            </w:r>
          </w:p>
        </w:tc>
        <w:tc>
          <w:tcPr>
            <w:tcW w:w="1110" w:type="pct"/>
            <w:vAlign w:val="center"/>
          </w:tcPr>
          <w:p w14:paraId="7A2C4F48">
            <w:pPr>
              <w:widowControl/>
              <w:spacing w:line="320" w:lineRule="exact"/>
              <w:ind w:left="-25" w:right="-25"/>
              <w:jc w:val="center"/>
              <w:rPr>
                <w:rFonts w:eastAsiaTheme="minorEastAsia"/>
                <w:kern w:val="0"/>
                <w:szCs w:val="21"/>
              </w:rPr>
            </w:pPr>
            <w:r>
              <w:rPr>
                <w:rFonts w:hint="eastAsia" w:eastAsiaTheme="minorEastAsia"/>
                <w:kern w:val="0"/>
                <w:szCs w:val="21"/>
              </w:rPr>
              <w:t>农林用地</w:t>
            </w:r>
          </w:p>
        </w:tc>
        <w:tc>
          <w:tcPr>
            <w:tcW w:w="998" w:type="pct"/>
            <w:vAlign w:val="center"/>
          </w:tcPr>
          <w:p w14:paraId="23D50A10">
            <w:pPr>
              <w:widowControl/>
              <w:spacing w:line="320" w:lineRule="exact"/>
              <w:ind w:left="-25" w:right="-25"/>
              <w:jc w:val="center"/>
              <w:rPr>
                <w:rFonts w:eastAsiaTheme="minorEastAsia"/>
                <w:kern w:val="0"/>
                <w:szCs w:val="21"/>
              </w:rPr>
            </w:pPr>
            <w:r>
              <w:rPr>
                <w:rFonts w:hint="eastAsia" w:eastAsiaTheme="minorEastAsia"/>
                <w:kern w:val="0"/>
                <w:szCs w:val="21"/>
              </w:rPr>
              <w:t>125.12</w:t>
            </w:r>
          </w:p>
        </w:tc>
        <w:tc>
          <w:tcPr>
            <w:tcW w:w="945" w:type="pct"/>
            <w:vAlign w:val="center"/>
          </w:tcPr>
          <w:p w14:paraId="1CAF8785">
            <w:pPr>
              <w:widowControl/>
              <w:spacing w:line="320" w:lineRule="exact"/>
              <w:ind w:left="-25" w:right="-25"/>
              <w:jc w:val="center"/>
              <w:rPr>
                <w:rFonts w:eastAsiaTheme="minorEastAsia"/>
                <w:kern w:val="0"/>
                <w:szCs w:val="21"/>
              </w:rPr>
            </w:pPr>
            <w:r>
              <w:rPr>
                <w:rFonts w:hint="eastAsia" w:eastAsiaTheme="minorEastAsia"/>
                <w:kern w:val="0"/>
                <w:szCs w:val="21"/>
              </w:rPr>
              <w:t>60.36</w:t>
            </w:r>
          </w:p>
        </w:tc>
      </w:tr>
      <w:tr w14:paraId="16FB6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947" w:type="pct"/>
            <w:gridSpan w:val="2"/>
            <w:vAlign w:val="center"/>
          </w:tcPr>
          <w:p w14:paraId="71D6B408">
            <w:pPr>
              <w:widowControl/>
              <w:spacing w:line="320" w:lineRule="exact"/>
              <w:ind w:left="-25" w:right="-25"/>
              <w:jc w:val="center"/>
              <w:rPr>
                <w:rFonts w:eastAsiaTheme="minorEastAsia"/>
                <w:kern w:val="0"/>
                <w:szCs w:val="21"/>
              </w:rPr>
            </w:pPr>
            <w:r>
              <w:rPr>
                <w:rFonts w:eastAsiaTheme="minorEastAsia"/>
                <w:kern w:val="0"/>
                <w:szCs w:val="21"/>
              </w:rPr>
              <w:t>总计</w:t>
            </w:r>
          </w:p>
        </w:tc>
        <w:tc>
          <w:tcPr>
            <w:tcW w:w="1110" w:type="pct"/>
            <w:vAlign w:val="center"/>
          </w:tcPr>
          <w:p w14:paraId="423C3DA8">
            <w:pPr>
              <w:widowControl/>
              <w:spacing w:line="320" w:lineRule="exact"/>
              <w:ind w:left="-25" w:right="-25"/>
              <w:jc w:val="center"/>
              <w:rPr>
                <w:rFonts w:eastAsiaTheme="minorEastAsia"/>
                <w:kern w:val="0"/>
                <w:szCs w:val="21"/>
              </w:rPr>
            </w:pPr>
          </w:p>
        </w:tc>
        <w:tc>
          <w:tcPr>
            <w:tcW w:w="998" w:type="pct"/>
            <w:vAlign w:val="center"/>
          </w:tcPr>
          <w:p w14:paraId="1E7345FB">
            <w:pPr>
              <w:widowControl/>
              <w:spacing w:line="320" w:lineRule="exact"/>
              <w:ind w:left="-25" w:right="-25"/>
              <w:jc w:val="center"/>
              <w:rPr>
                <w:rFonts w:eastAsiaTheme="minorEastAsia"/>
                <w:kern w:val="0"/>
                <w:szCs w:val="21"/>
              </w:rPr>
            </w:pPr>
            <w:r>
              <w:rPr>
                <w:rFonts w:hint="eastAsia" w:eastAsiaTheme="minorEastAsia"/>
                <w:kern w:val="0"/>
                <w:szCs w:val="21"/>
              </w:rPr>
              <w:t>207.28</w:t>
            </w:r>
          </w:p>
        </w:tc>
        <w:tc>
          <w:tcPr>
            <w:tcW w:w="945" w:type="pct"/>
            <w:vAlign w:val="center"/>
          </w:tcPr>
          <w:p w14:paraId="05D39F9A">
            <w:pPr>
              <w:widowControl/>
              <w:spacing w:line="320" w:lineRule="exact"/>
              <w:ind w:left="-25" w:right="-25"/>
              <w:jc w:val="center"/>
              <w:rPr>
                <w:rFonts w:eastAsiaTheme="minorEastAsia"/>
                <w:kern w:val="0"/>
                <w:szCs w:val="21"/>
              </w:rPr>
            </w:pPr>
            <w:r>
              <w:rPr>
                <w:rFonts w:hint="eastAsia" w:eastAsiaTheme="minorEastAsia"/>
                <w:kern w:val="0"/>
                <w:szCs w:val="21"/>
              </w:rPr>
              <w:t>100</w:t>
            </w:r>
          </w:p>
        </w:tc>
      </w:tr>
    </w:tbl>
    <w:p w14:paraId="02B17B7B">
      <w:pPr>
        <w:spacing w:line="360" w:lineRule="auto"/>
        <w:ind w:firstLine="480" w:firstLineChars="200"/>
        <w:rPr>
          <w:rFonts w:eastAsiaTheme="minorEastAsia"/>
          <w:sz w:val="24"/>
        </w:rPr>
      </w:pPr>
      <w:r>
        <w:rPr>
          <w:rFonts w:hint="eastAsia" w:eastAsiaTheme="minorEastAsia"/>
          <w:sz w:val="24"/>
        </w:rPr>
        <w:t>（4）草店石材产业园</w:t>
      </w:r>
    </w:p>
    <w:p w14:paraId="1954A939">
      <w:pPr>
        <w:spacing w:line="360" w:lineRule="auto"/>
        <w:ind w:firstLine="480" w:firstLineChars="200"/>
        <w:rPr>
          <w:rFonts w:eastAsiaTheme="minorEastAsia"/>
          <w:sz w:val="24"/>
        </w:rPr>
      </w:pPr>
      <w:r>
        <w:rPr>
          <w:rFonts w:hint="eastAsia" w:eastAsiaTheme="minorEastAsia"/>
          <w:sz w:val="24"/>
        </w:rPr>
        <w:t>草店石材产业园范围内现状主要为林地、工业用地和农村居民点等。其中，二类工业用地36.10公顷，占总用地33.88%；村庄建设用地4.29公顷，占总用地4.03%；农林用地66.16公顷，占总用地62.09%。</w:t>
      </w:r>
    </w:p>
    <w:p w14:paraId="7D7AE1C4">
      <w:pPr>
        <w:spacing w:line="360" w:lineRule="auto"/>
        <w:ind w:firstLine="422"/>
        <w:jc w:val="center"/>
        <w:rPr>
          <w:rFonts w:eastAsiaTheme="minorEastAsia"/>
          <w:b/>
          <w:szCs w:val="21"/>
        </w:rPr>
      </w:pPr>
      <w:r>
        <w:rPr>
          <w:rFonts w:hint="eastAsia" w:eastAsiaTheme="minorEastAsia"/>
          <w:b/>
          <w:szCs w:val="21"/>
        </w:rPr>
        <w:t>表3.4.6-5   草店石材产业园现状用地一览表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5"/>
        <w:gridCol w:w="1586"/>
        <w:gridCol w:w="1893"/>
        <w:gridCol w:w="1702"/>
        <w:gridCol w:w="1612"/>
      </w:tblGrid>
      <w:tr w14:paraId="3FD9D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468B9DBD">
            <w:pPr>
              <w:widowControl/>
              <w:spacing w:line="320" w:lineRule="exact"/>
              <w:ind w:left="-25" w:right="-25"/>
              <w:jc w:val="center"/>
              <w:rPr>
                <w:rFonts w:eastAsiaTheme="minorEastAsia"/>
                <w:kern w:val="0"/>
                <w:szCs w:val="21"/>
              </w:rPr>
            </w:pPr>
            <w:r>
              <w:rPr>
                <w:rFonts w:eastAsiaTheme="minorEastAsia"/>
                <w:kern w:val="0"/>
                <w:szCs w:val="21"/>
              </w:rPr>
              <w:t>序号</w:t>
            </w:r>
          </w:p>
        </w:tc>
        <w:tc>
          <w:tcPr>
            <w:tcW w:w="930" w:type="pct"/>
            <w:vAlign w:val="center"/>
          </w:tcPr>
          <w:p w14:paraId="71E921AB">
            <w:pPr>
              <w:widowControl/>
              <w:spacing w:line="320" w:lineRule="exact"/>
              <w:ind w:left="-25" w:right="-25"/>
              <w:jc w:val="center"/>
              <w:rPr>
                <w:rFonts w:eastAsiaTheme="minorEastAsia"/>
                <w:kern w:val="0"/>
                <w:szCs w:val="21"/>
              </w:rPr>
            </w:pPr>
            <w:r>
              <w:rPr>
                <w:rFonts w:hint="eastAsia" w:eastAsiaTheme="minorEastAsia"/>
                <w:kern w:val="0"/>
                <w:szCs w:val="21"/>
              </w:rPr>
              <w:t>性质编码</w:t>
            </w:r>
          </w:p>
        </w:tc>
        <w:tc>
          <w:tcPr>
            <w:tcW w:w="1110" w:type="pct"/>
            <w:vAlign w:val="center"/>
          </w:tcPr>
          <w:p w14:paraId="783C760C">
            <w:pPr>
              <w:widowControl/>
              <w:spacing w:line="320" w:lineRule="exact"/>
              <w:ind w:left="-25" w:right="-25"/>
              <w:jc w:val="center"/>
              <w:rPr>
                <w:rFonts w:eastAsiaTheme="minorEastAsia"/>
                <w:kern w:val="0"/>
                <w:szCs w:val="21"/>
              </w:rPr>
            </w:pPr>
            <w:r>
              <w:rPr>
                <w:rFonts w:hint="eastAsia" w:eastAsiaTheme="minorEastAsia"/>
                <w:kern w:val="0"/>
                <w:szCs w:val="21"/>
              </w:rPr>
              <w:t>用地性质</w:t>
            </w:r>
          </w:p>
        </w:tc>
        <w:tc>
          <w:tcPr>
            <w:tcW w:w="998" w:type="pct"/>
            <w:vAlign w:val="center"/>
          </w:tcPr>
          <w:p w14:paraId="6E6EE616">
            <w:pPr>
              <w:widowControl/>
              <w:spacing w:line="320" w:lineRule="exact"/>
              <w:ind w:left="-25" w:right="-25"/>
              <w:jc w:val="center"/>
              <w:rPr>
                <w:rFonts w:eastAsiaTheme="minorEastAsia"/>
                <w:kern w:val="0"/>
                <w:szCs w:val="21"/>
              </w:rPr>
            </w:pPr>
            <w:r>
              <w:rPr>
                <w:rFonts w:hint="eastAsia" w:eastAsiaTheme="minorEastAsia"/>
                <w:kern w:val="0"/>
                <w:szCs w:val="21"/>
              </w:rPr>
              <w:t>面积(ha)</w:t>
            </w:r>
          </w:p>
        </w:tc>
        <w:tc>
          <w:tcPr>
            <w:tcW w:w="945" w:type="pct"/>
            <w:vAlign w:val="center"/>
          </w:tcPr>
          <w:p w14:paraId="1573B384">
            <w:pPr>
              <w:widowControl/>
              <w:spacing w:line="320" w:lineRule="exact"/>
              <w:ind w:left="-25" w:right="-25"/>
              <w:jc w:val="center"/>
              <w:rPr>
                <w:rFonts w:eastAsiaTheme="minorEastAsia"/>
                <w:kern w:val="0"/>
                <w:szCs w:val="21"/>
              </w:rPr>
            </w:pPr>
            <w:r>
              <w:rPr>
                <w:rFonts w:hint="eastAsia" w:eastAsiaTheme="minorEastAsia"/>
                <w:kern w:val="0"/>
                <w:szCs w:val="21"/>
              </w:rPr>
              <w:t>百分比(%)</w:t>
            </w:r>
          </w:p>
        </w:tc>
      </w:tr>
      <w:tr w14:paraId="4E090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67F84271">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930" w:type="pct"/>
            <w:vAlign w:val="center"/>
          </w:tcPr>
          <w:p w14:paraId="15AC79CA">
            <w:pPr>
              <w:widowControl/>
              <w:spacing w:line="320" w:lineRule="exact"/>
              <w:ind w:left="-25" w:right="-25"/>
              <w:jc w:val="center"/>
              <w:rPr>
                <w:rFonts w:eastAsiaTheme="minorEastAsia"/>
                <w:kern w:val="0"/>
                <w:szCs w:val="21"/>
              </w:rPr>
            </w:pPr>
            <w:r>
              <w:rPr>
                <w:rFonts w:hint="eastAsia" w:eastAsiaTheme="minorEastAsia"/>
                <w:kern w:val="0"/>
                <w:szCs w:val="21"/>
              </w:rPr>
              <w:t>M2</w:t>
            </w:r>
          </w:p>
        </w:tc>
        <w:tc>
          <w:tcPr>
            <w:tcW w:w="1110" w:type="pct"/>
            <w:vAlign w:val="center"/>
          </w:tcPr>
          <w:p w14:paraId="51F1E74D">
            <w:pPr>
              <w:widowControl/>
              <w:spacing w:line="320" w:lineRule="exact"/>
              <w:ind w:left="-25" w:right="-25"/>
              <w:jc w:val="center"/>
              <w:rPr>
                <w:rFonts w:eastAsiaTheme="minorEastAsia"/>
                <w:kern w:val="0"/>
                <w:szCs w:val="21"/>
              </w:rPr>
            </w:pPr>
            <w:r>
              <w:rPr>
                <w:rFonts w:hint="eastAsia" w:eastAsiaTheme="minorEastAsia"/>
                <w:kern w:val="0"/>
                <w:szCs w:val="21"/>
              </w:rPr>
              <w:t xml:space="preserve">二类工业用地 </w:t>
            </w:r>
          </w:p>
        </w:tc>
        <w:tc>
          <w:tcPr>
            <w:tcW w:w="998" w:type="pct"/>
            <w:vAlign w:val="center"/>
          </w:tcPr>
          <w:p w14:paraId="7927107D">
            <w:pPr>
              <w:widowControl/>
              <w:spacing w:line="320" w:lineRule="exact"/>
              <w:ind w:left="-25" w:right="-25"/>
              <w:jc w:val="center"/>
              <w:rPr>
                <w:rFonts w:eastAsiaTheme="minorEastAsia"/>
                <w:kern w:val="0"/>
                <w:szCs w:val="21"/>
              </w:rPr>
            </w:pPr>
            <w:r>
              <w:rPr>
                <w:rFonts w:hint="eastAsia" w:eastAsiaTheme="minorEastAsia"/>
                <w:kern w:val="0"/>
                <w:szCs w:val="21"/>
              </w:rPr>
              <w:t>36.1</w:t>
            </w:r>
          </w:p>
        </w:tc>
        <w:tc>
          <w:tcPr>
            <w:tcW w:w="945" w:type="pct"/>
            <w:vAlign w:val="center"/>
          </w:tcPr>
          <w:p w14:paraId="30DFD2DF">
            <w:pPr>
              <w:widowControl/>
              <w:spacing w:line="320" w:lineRule="exact"/>
              <w:ind w:left="-25" w:right="-25"/>
              <w:jc w:val="center"/>
              <w:rPr>
                <w:rFonts w:eastAsiaTheme="minorEastAsia"/>
                <w:kern w:val="0"/>
                <w:szCs w:val="21"/>
              </w:rPr>
            </w:pPr>
            <w:r>
              <w:rPr>
                <w:rFonts w:hint="eastAsia" w:eastAsiaTheme="minorEastAsia"/>
                <w:kern w:val="0"/>
                <w:szCs w:val="21"/>
              </w:rPr>
              <w:t>33.88</w:t>
            </w:r>
          </w:p>
        </w:tc>
      </w:tr>
      <w:tr w14:paraId="5E66E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72F3497D">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930" w:type="pct"/>
            <w:vAlign w:val="center"/>
          </w:tcPr>
          <w:p w14:paraId="04D4A52D">
            <w:pPr>
              <w:widowControl/>
              <w:spacing w:line="320" w:lineRule="exact"/>
              <w:ind w:left="-25" w:right="-25"/>
              <w:jc w:val="center"/>
              <w:rPr>
                <w:rFonts w:eastAsiaTheme="minorEastAsia"/>
                <w:kern w:val="0"/>
                <w:szCs w:val="21"/>
              </w:rPr>
            </w:pPr>
            <w:r>
              <w:rPr>
                <w:rFonts w:hint="eastAsia" w:eastAsiaTheme="minorEastAsia"/>
                <w:kern w:val="0"/>
                <w:szCs w:val="21"/>
              </w:rPr>
              <w:t>H14</w:t>
            </w:r>
          </w:p>
        </w:tc>
        <w:tc>
          <w:tcPr>
            <w:tcW w:w="1110" w:type="pct"/>
            <w:vAlign w:val="center"/>
          </w:tcPr>
          <w:p w14:paraId="30EDDB4A">
            <w:pPr>
              <w:widowControl/>
              <w:spacing w:line="320" w:lineRule="exact"/>
              <w:ind w:left="-25" w:right="-25"/>
              <w:jc w:val="center"/>
              <w:rPr>
                <w:rFonts w:eastAsiaTheme="minorEastAsia"/>
                <w:kern w:val="0"/>
                <w:szCs w:val="21"/>
              </w:rPr>
            </w:pPr>
            <w:r>
              <w:rPr>
                <w:rFonts w:hint="eastAsia" w:eastAsiaTheme="minorEastAsia"/>
                <w:kern w:val="0"/>
                <w:szCs w:val="21"/>
              </w:rPr>
              <w:t xml:space="preserve">村庄建设用地 </w:t>
            </w:r>
          </w:p>
        </w:tc>
        <w:tc>
          <w:tcPr>
            <w:tcW w:w="998" w:type="pct"/>
            <w:vAlign w:val="center"/>
          </w:tcPr>
          <w:p w14:paraId="2F66AF0D">
            <w:pPr>
              <w:widowControl/>
              <w:spacing w:line="320" w:lineRule="exact"/>
              <w:ind w:left="-25" w:right="-25"/>
              <w:jc w:val="center"/>
              <w:rPr>
                <w:rFonts w:eastAsiaTheme="minorEastAsia"/>
                <w:kern w:val="0"/>
                <w:szCs w:val="21"/>
              </w:rPr>
            </w:pPr>
            <w:r>
              <w:rPr>
                <w:rFonts w:hint="eastAsia" w:eastAsiaTheme="minorEastAsia"/>
                <w:kern w:val="0"/>
                <w:szCs w:val="21"/>
              </w:rPr>
              <w:t>4.29</w:t>
            </w:r>
          </w:p>
        </w:tc>
        <w:tc>
          <w:tcPr>
            <w:tcW w:w="945" w:type="pct"/>
            <w:vAlign w:val="center"/>
          </w:tcPr>
          <w:p w14:paraId="41F7E6BA">
            <w:pPr>
              <w:widowControl/>
              <w:spacing w:line="320" w:lineRule="exact"/>
              <w:ind w:left="-25" w:right="-25"/>
              <w:jc w:val="center"/>
              <w:rPr>
                <w:rFonts w:eastAsiaTheme="minorEastAsia"/>
                <w:kern w:val="0"/>
                <w:szCs w:val="21"/>
              </w:rPr>
            </w:pPr>
            <w:r>
              <w:rPr>
                <w:rFonts w:hint="eastAsia" w:eastAsiaTheme="minorEastAsia"/>
                <w:kern w:val="0"/>
                <w:szCs w:val="21"/>
              </w:rPr>
              <w:t>4.03</w:t>
            </w:r>
          </w:p>
        </w:tc>
      </w:tr>
      <w:tr w14:paraId="2C59C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017" w:type="pct"/>
            <w:vAlign w:val="center"/>
          </w:tcPr>
          <w:p w14:paraId="76D7EFB5">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930" w:type="pct"/>
            <w:vAlign w:val="center"/>
          </w:tcPr>
          <w:p w14:paraId="5B05091D">
            <w:pPr>
              <w:widowControl/>
              <w:spacing w:line="320" w:lineRule="exact"/>
              <w:ind w:left="-25" w:right="-25"/>
              <w:jc w:val="center"/>
              <w:rPr>
                <w:rFonts w:eastAsiaTheme="minorEastAsia"/>
                <w:kern w:val="0"/>
                <w:szCs w:val="21"/>
              </w:rPr>
            </w:pPr>
            <w:r>
              <w:rPr>
                <w:rFonts w:hint="eastAsia" w:eastAsiaTheme="minorEastAsia"/>
                <w:kern w:val="0"/>
                <w:szCs w:val="21"/>
              </w:rPr>
              <w:t>E2</w:t>
            </w:r>
          </w:p>
        </w:tc>
        <w:tc>
          <w:tcPr>
            <w:tcW w:w="1110" w:type="pct"/>
            <w:vAlign w:val="center"/>
          </w:tcPr>
          <w:p w14:paraId="6972721A">
            <w:pPr>
              <w:widowControl/>
              <w:spacing w:line="320" w:lineRule="exact"/>
              <w:ind w:left="-25" w:right="-25"/>
              <w:jc w:val="center"/>
              <w:rPr>
                <w:rFonts w:eastAsiaTheme="minorEastAsia"/>
                <w:kern w:val="0"/>
                <w:szCs w:val="21"/>
              </w:rPr>
            </w:pPr>
            <w:r>
              <w:rPr>
                <w:rFonts w:hint="eastAsia" w:eastAsiaTheme="minorEastAsia"/>
                <w:kern w:val="0"/>
                <w:szCs w:val="21"/>
              </w:rPr>
              <w:t xml:space="preserve">农林用地 </w:t>
            </w:r>
          </w:p>
        </w:tc>
        <w:tc>
          <w:tcPr>
            <w:tcW w:w="998" w:type="pct"/>
            <w:vAlign w:val="center"/>
          </w:tcPr>
          <w:p w14:paraId="1EC1128A">
            <w:pPr>
              <w:widowControl/>
              <w:spacing w:line="320" w:lineRule="exact"/>
              <w:ind w:left="-25" w:right="-25"/>
              <w:jc w:val="center"/>
              <w:rPr>
                <w:rFonts w:eastAsiaTheme="minorEastAsia"/>
                <w:kern w:val="0"/>
                <w:szCs w:val="21"/>
              </w:rPr>
            </w:pPr>
            <w:r>
              <w:rPr>
                <w:rFonts w:hint="eastAsia" w:eastAsiaTheme="minorEastAsia"/>
                <w:kern w:val="0"/>
                <w:szCs w:val="21"/>
              </w:rPr>
              <w:t>66.16</w:t>
            </w:r>
          </w:p>
        </w:tc>
        <w:tc>
          <w:tcPr>
            <w:tcW w:w="945" w:type="pct"/>
            <w:vAlign w:val="center"/>
          </w:tcPr>
          <w:p w14:paraId="5BC92774">
            <w:pPr>
              <w:widowControl/>
              <w:spacing w:line="320" w:lineRule="exact"/>
              <w:ind w:left="-25" w:right="-25"/>
              <w:jc w:val="center"/>
              <w:rPr>
                <w:rFonts w:eastAsiaTheme="minorEastAsia"/>
                <w:kern w:val="0"/>
                <w:szCs w:val="21"/>
              </w:rPr>
            </w:pPr>
            <w:r>
              <w:rPr>
                <w:rFonts w:hint="eastAsia" w:eastAsiaTheme="minorEastAsia"/>
                <w:kern w:val="0"/>
                <w:szCs w:val="21"/>
              </w:rPr>
              <w:t>62.09</w:t>
            </w:r>
          </w:p>
        </w:tc>
      </w:tr>
      <w:tr w14:paraId="06F43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947" w:type="pct"/>
            <w:gridSpan w:val="2"/>
            <w:vAlign w:val="center"/>
          </w:tcPr>
          <w:p w14:paraId="0318831E">
            <w:pPr>
              <w:widowControl/>
              <w:spacing w:line="320" w:lineRule="exact"/>
              <w:ind w:left="-25" w:right="-25"/>
              <w:jc w:val="center"/>
              <w:rPr>
                <w:rFonts w:eastAsiaTheme="minorEastAsia"/>
                <w:kern w:val="0"/>
                <w:szCs w:val="21"/>
              </w:rPr>
            </w:pPr>
            <w:r>
              <w:rPr>
                <w:rFonts w:eastAsiaTheme="minorEastAsia"/>
                <w:kern w:val="0"/>
                <w:szCs w:val="21"/>
              </w:rPr>
              <w:t>总计</w:t>
            </w:r>
          </w:p>
        </w:tc>
        <w:tc>
          <w:tcPr>
            <w:tcW w:w="1110" w:type="pct"/>
            <w:vAlign w:val="center"/>
          </w:tcPr>
          <w:p w14:paraId="27F93244">
            <w:pPr>
              <w:widowControl/>
              <w:spacing w:line="320" w:lineRule="exact"/>
              <w:ind w:left="-25" w:right="-25"/>
              <w:jc w:val="center"/>
              <w:rPr>
                <w:rFonts w:eastAsiaTheme="minorEastAsia"/>
                <w:kern w:val="0"/>
                <w:szCs w:val="21"/>
              </w:rPr>
            </w:pPr>
          </w:p>
        </w:tc>
        <w:tc>
          <w:tcPr>
            <w:tcW w:w="998" w:type="pct"/>
            <w:vAlign w:val="center"/>
          </w:tcPr>
          <w:p w14:paraId="4D525FDD">
            <w:pPr>
              <w:widowControl/>
              <w:spacing w:line="320" w:lineRule="exact"/>
              <w:ind w:left="-25" w:right="-25"/>
              <w:jc w:val="center"/>
              <w:rPr>
                <w:rFonts w:eastAsiaTheme="minorEastAsia"/>
                <w:kern w:val="0"/>
                <w:szCs w:val="21"/>
              </w:rPr>
            </w:pPr>
            <w:r>
              <w:rPr>
                <w:rFonts w:hint="eastAsia" w:eastAsiaTheme="minorEastAsia"/>
                <w:kern w:val="0"/>
                <w:szCs w:val="21"/>
              </w:rPr>
              <w:t>106.55</w:t>
            </w:r>
          </w:p>
        </w:tc>
        <w:tc>
          <w:tcPr>
            <w:tcW w:w="945" w:type="pct"/>
            <w:vAlign w:val="center"/>
          </w:tcPr>
          <w:p w14:paraId="52AA6F46">
            <w:pPr>
              <w:widowControl/>
              <w:spacing w:line="320" w:lineRule="exact"/>
              <w:ind w:left="-25" w:right="-25"/>
              <w:jc w:val="center"/>
              <w:rPr>
                <w:rFonts w:eastAsiaTheme="minorEastAsia"/>
                <w:kern w:val="0"/>
                <w:szCs w:val="21"/>
              </w:rPr>
            </w:pPr>
            <w:r>
              <w:rPr>
                <w:rFonts w:hint="eastAsia" w:eastAsiaTheme="minorEastAsia"/>
                <w:kern w:val="0"/>
                <w:szCs w:val="21"/>
              </w:rPr>
              <w:t>100</w:t>
            </w:r>
          </w:p>
        </w:tc>
      </w:tr>
    </w:tbl>
    <w:p w14:paraId="26ECF42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eastAsiaTheme="minorEastAsia"/>
          <w:b w:val="0"/>
          <w:sz w:val="24"/>
          <w:szCs w:val="24"/>
        </w:rPr>
      </w:pPr>
      <w:r>
        <w:rPr>
          <w:rFonts w:hint="eastAsia" w:ascii="Times New Roman" w:hAnsi="Times New Roman" w:eastAsiaTheme="minorEastAsia"/>
          <w:b w:val="0"/>
          <w:sz w:val="24"/>
          <w:szCs w:val="24"/>
        </w:rPr>
        <w:t>能源利用现状</w:t>
      </w:r>
    </w:p>
    <w:p w14:paraId="558EEE41">
      <w:pPr>
        <w:spacing w:line="360" w:lineRule="auto"/>
        <w:ind w:firstLine="480" w:firstLineChars="200"/>
        <w:rPr>
          <w:rFonts w:eastAsiaTheme="minorEastAsia"/>
          <w:sz w:val="24"/>
        </w:rPr>
      </w:pPr>
      <w:r>
        <w:rPr>
          <w:rFonts w:hint="eastAsia" w:eastAsiaTheme="minorEastAsia"/>
          <w:sz w:val="24"/>
        </w:rPr>
        <w:t>（1）电力现状</w:t>
      </w:r>
    </w:p>
    <w:p w14:paraId="03D35943">
      <w:pPr>
        <w:spacing w:line="360" w:lineRule="auto"/>
        <w:ind w:firstLine="480" w:firstLineChars="200"/>
        <w:rPr>
          <w:rFonts w:eastAsiaTheme="minorEastAsia"/>
          <w:sz w:val="24"/>
        </w:rPr>
      </w:pPr>
      <w:r>
        <w:rPr>
          <w:rFonts w:hint="eastAsia" w:eastAsiaTheme="minorEastAsia"/>
          <w:sz w:val="24"/>
        </w:rPr>
        <w:t>吴山镇吴山镇现有110千伏变电站1座，主变2台，总容量10万千伏安，最大负荷5.4万千瓦，主供石材工业园区及矿区负荷；35千伏变电站1座，主变2台，容量为1.5万千伏安，最大负荷1.1万千瓦，主供吴山镇区行政、居民和就近企业。</w:t>
      </w:r>
    </w:p>
    <w:p w14:paraId="5281C0D6">
      <w:pPr>
        <w:spacing w:line="360" w:lineRule="auto"/>
        <w:ind w:firstLine="480" w:firstLineChars="200"/>
        <w:rPr>
          <w:rFonts w:eastAsiaTheme="minorEastAsia"/>
          <w:sz w:val="24"/>
        </w:rPr>
      </w:pPr>
      <w:r>
        <w:rPr>
          <w:rFonts w:hint="eastAsia" w:eastAsiaTheme="minorEastAsia"/>
          <w:sz w:val="24"/>
        </w:rPr>
        <w:t>万和镇主供电源为110kV变电站1座，主变2台，容量10万千伏安，主供万和石材工业园加工企业。35千伏变电站3座，主变5台，主供万和镇行政、居民和就近企业。</w:t>
      </w:r>
    </w:p>
    <w:p w14:paraId="024DC8E5">
      <w:pPr>
        <w:spacing w:line="360" w:lineRule="auto"/>
        <w:ind w:firstLine="480" w:firstLineChars="200"/>
        <w:rPr>
          <w:rFonts w:eastAsiaTheme="minorEastAsia"/>
          <w:sz w:val="24"/>
        </w:rPr>
      </w:pPr>
      <w:r>
        <w:rPr>
          <w:rFonts w:hint="eastAsia" w:eastAsiaTheme="minorEastAsia"/>
          <w:sz w:val="24"/>
        </w:rPr>
        <w:t>草店镇主供电源为现状草店镇110kV变，园区根据镇区发展需求进行扩容。草店镇设照明台区146条，10千伏线路4条109.76千米，低压线路280条354.87千米，总容量10785千伏安。</w:t>
      </w:r>
    </w:p>
    <w:p w14:paraId="49689D4B">
      <w:pPr>
        <w:spacing w:line="360" w:lineRule="auto"/>
        <w:ind w:firstLine="480" w:firstLineChars="200"/>
        <w:rPr>
          <w:rFonts w:eastAsiaTheme="minorEastAsia"/>
          <w:sz w:val="24"/>
        </w:rPr>
      </w:pPr>
      <w:r>
        <w:rPr>
          <w:rFonts w:hint="eastAsia" w:eastAsiaTheme="minorEastAsia"/>
          <w:sz w:val="24"/>
        </w:rPr>
        <w:t>（2）用气现状</w:t>
      </w:r>
    </w:p>
    <w:p w14:paraId="162EA527">
      <w:pPr>
        <w:spacing w:line="360" w:lineRule="auto"/>
        <w:ind w:firstLine="480" w:firstLineChars="200"/>
        <w:rPr>
          <w:rFonts w:eastAsiaTheme="minorEastAsia"/>
          <w:sz w:val="24"/>
        </w:rPr>
      </w:pPr>
      <w:r>
        <w:rPr>
          <w:rFonts w:hint="eastAsia" w:eastAsiaTheme="minorEastAsia"/>
          <w:sz w:val="24"/>
        </w:rPr>
        <w:t>吴山闽商石材产业园燃气由吴山镇区燃气系统管道天然气供应。产业园气源为中石油西气东输二线天然气，天然气由中压管道到园区的调压箱，经调压箱降压后通过低压管到达各企业用户。园区仅有少量工业企业使用罐装的液化气。</w:t>
      </w:r>
    </w:p>
    <w:p w14:paraId="6CE929A4">
      <w:pPr>
        <w:spacing w:line="360" w:lineRule="auto"/>
        <w:ind w:firstLine="480" w:firstLineChars="200"/>
        <w:rPr>
          <w:rFonts w:eastAsiaTheme="minorEastAsia"/>
          <w:sz w:val="24"/>
        </w:rPr>
      </w:pPr>
      <w:r>
        <w:rPr>
          <w:rFonts w:hint="eastAsia" w:eastAsiaTheme="minorEastAsia"/>
          <w:sz w:val="24"/>
        </w:rPr>
        <w:t>万和、太白顶及草店石材产业园区目前无集中供热管网，园区工业企业及居民用气主要为罐装的液化气。</w:t>
      </w:r>
    </w:p>
    <w:p w14:paraId="337E04B5">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29" w:name="_Toc206494960"/>
      <w:r>
        <w:rPr>
          <w:rFonts w:hint="eastAsia" w:eastAsiaTheme="minorEastAsia"/>
          <w:b/>
          <w:bCs/>
          <w:sz w:val="30"/>
          <w:szCs w:val="28"/>
        </w:rPr>
        <w:t>产业发展制约因素分析</w:t>
      </w:r>
      <w:bookmarkEnd w:id="129"/>
    </w:p>
    <w:p w14:paraId="045520DF">
      <w:pPr>
        <w:spacing w:line="360" w:lineRule="auto"/>
        <w:ind w:firstLine="480" w:firstLineChars="200"/>
        <w:rPr>
          <w:rFonts w:eastAsiaTheme="minorEastAsia"/>
          <w:sz w:val="24"/>
        </w:rPr>
      </w:pPr>
      <w:r>
        <w:rPr>
          <w:rFonts w:hint="eastAsia" w:eastAsiaTheme="minorEastAsia"/>
          <w:sz w:val="24"/>
        </w:rPr>
        <w:t>本次评价通过分析评价区域资源利用水平、生态状况、环境质量等现状与区域资源利用上线、生态保护红线、环境质量底线等管控要求间的关系，明确提出规划实施的资源、生态、环境制约因素。</w:t>
      </w:r>
    </w:p>
    <w:p w14:paraId="23F7DEDD">
      <w:pPr>
        <w:keepNext/>
        <w:keepLines/>
        <w:widowControl/>
        <w:numPr>
          <w:ilvl w:val="2"/>
          <w:numId w:val="1"/>
        </w:numPr>
        <w:spacing w:before="120" w:after="120" w:line="360" w:lineRule="auto"/>
        <w:jc w:val="left"/>
        <w:outlineLvl w:val="2"/>
        <w:rPr>
          <w:rFonts w:eastAsiaTheme="minorEastAsia"/>
          <w:b/>
          <w:bCs/>
          <w:sz w:val="24"/>
        </w:rPr>
      </w:pPr>
      <w:bookmarkStart w:id="130" w:name="_Toc206494961"/>
      <w:r>
        <w:rPr>
          <w:rFonts w:hint="eastAsia" w:eastAsiaTheme="minorEastAsia"/>
          <w:b/>
          <w:bCs/>
          <w:sz w:val="24"/>
        </w:rPr>
        <w:t>环境质量现状问题</w:t>
      </w:r>
      <w:bookmarkEnd w:id="130"/>
    </w:p>
    <w:p w14:paraId="071C3C3D">
      <w:pPr>
        <w:spacing w:line="360" w:lineRule="auto"/>
        <w:ind w:firstLine="480" w:firstLineChars="200"/>
        <w:rPr>
          <w:rFonts w:eastAsiaTheme="minorEastAsia"/>
          <w:kern w:val="20"/>
          <w:sz w:val="24"/>
        </w:rPr>
      </w:pPr>
      <w:r>
        <w:rPr>
          <w:rFonts w:hint="eastAsia" w:eastAsiaTheme="minorEastAsia"/>
          <w:sz w:val="24"/>
        </w:rPr>
        <w:t>根据</w:t>
      </w:r>
      <w:r>
        <w:rPr>
          <w:rFonts w:hint="eastAsia" w:eastAsiaTheme="minorEastAsia"/>
          <w:bCs/>
          <w:snapToGrid w:val="0"/>
          <w:kern w:val="0"/>
          <w:sz w:val="24"/>
          <w:szCs w:val="20"/>
        </w:rPr>
        <w:t>《随州市2024年环境状况公报》中随州市环境空气质量监测数据显示，</w:t>
      </w:r>
      <w:r>
        <w:rPr>
          <w:rFonts w:eastAsiaTheme="minorEastAsia"/>
          <w:sz w:val="24"/>
        </w:rPr>
        <w:t>评价基准年202</w:t>
      </w:r>
      <w:r>
        <w:rPr>
          <w:rFonts w:hint="eastAsia" w:eastAsiaTheme="minorEastAsia"/>
          <w:sz w:val="24"/>
        </w:rPr>
        <w:t>4</w:t>
      </w:r>
      <w:r>
        <w:rPr>
          <w:rFonts w:eastAsiaTheme="minorEastAsia"/>
          <w:sz w:val="24"/>
        </w:rPr>
        <w:t>年的基本污染物因子</w:t>
      </w:r>
      <w:r>
        <w:rPr>
          <w:rFonts w:hint="eastAsia" w:eastAsiaTheme="minorEastAsia"/>
          <w:sz w:val="24"/>
        </w:rPr>
        <w:t>除PM</w:t>
      </w:r>
      <w:r>
        <w:rPr>
          <w:rFonts w:hint="eastAsia" w:eastAsiaTheme="minorEastAsia"/>
          <w:sz w:val="24"/>
          <w:vertAlign w:val="subscript"/>
        </w:rPr>
        <w:t>2.5</w:t>
      </w:r>
      <w:r>
        <w:rPr>
          <w:rFonts w:hint="eastAsia" w:eastAsiaTheme="minorEastAsia"/>
          <w:sz w:val="24"/>
        </w:rPr>
        <w:t>外其他因子</w:t>
      </w:r>
      <w:r>
        <w:rPr>
          <w:rFonts w:eastAsiaTheme="minorEastAsia"/>
          <w:sz w:val="24"/>
        </w:rPr>
        <w:t>均满足《环境空气质量标准》（GB3095-2012）及修改单规定的二级标准要求，</w:t>
      </w:r>
      <w:r>
        <w:rPr>
          <w:rFonts w:hint="eastAsia" w:eastAsiaTheme="minorEastAsia"/>
          <w:sz w:val="24"/>
        </w:rPr>
        <w:t>规划所在区域为环境空气质量</w:t>
      </w:r>
      <w:r>
        <w:rPr>
          <w:rFonts w:hint="eastAsia" w:eastAsiaTheme="minorEastAsia"/>
          <w:b/>
          <w:sz w:val="24"/>
        </w:rPr>
        <w:t>不</w:t>
      </w:r>
      <w:r>
        <w:rPr>
          <w:rFonts w:eastAsiaTheme="minorEastAsia"/>
          <w:b/>
          <w:sz w:val="24"/>
        </w:rPr>
        <w:t>达标区。</w:t>
      </w:r>
      <w:r>
        <w:rPr>
          <w:rFonts w:hint="eastAsia" w:eastAsiaTheme="minorEastAsia"/>
          <w:kern w:val="20"/>
          <w:sz w:val="24"/>
        </w:rPr>
        <w:t>2019年~2021年及2023年随州市环境空气质量均为不达标区，但浓度值逐年下降，至2022年随州市环境空气质量属于达标区，但2023年有部分污染物浓度升高。区域环境空气常年不达标除了与空气污染物扩散气象条件差有关外，还与当地交通道路扬尘、产业结构以及城市建设施工等因素有关。</w:t>
      </w:r>
    </w:p>
    <w:p w14:paraId="308A8106">
      <w:pPr>
        <w:spacing w:line="360" w:lineRule="auto"/>
        <w:ind w:firstLine="480" w:firstLineChars="200"/>
        <w:rPr>
          <w:rFonts w:eastAsiaTheme="minorEastAsia"/>
          <w:kern w:val="20"/>
          <w:sz w:val="24"/>
        </w:rPr>
      </w:pPr>
      <w:r>
        <w:rPr>
          <w:rFonts w:hint="eastAsia" w:eastAsiaTheme="minorEastAsia"/>
          <w:kern w:val="20"/>
          <w:sz w:val="24"/>
        </w:rPr>
        <w:t>根据《市人民政府关于印发随州市空气质量持续改善行动方案的通知》（随政发〔2024〕11号）要求，在全市开展产业结构转型升级行动等十大行动。其中，“涉气监管执法效能提升行动”重点狠抓铸造、玻璃制造、人造板、水泥等重点行业大气环境日常监管，常态化开展“四不两直”行动，实施机动执法和交叉执法，开展移动源污染专项执法，全面整治监测数据弄虚作假，切实形成涉气环境执法威慑力。扎实推进《随州市空气质量持续改善行动方案》，紧盯重点区域、重点行业、重点领域持续开展整治，健全大气环境监管常态长效机制。扎实开展专汽、铸造、化工等行业大气环境综合整治，组织实施VOCs全流程治理，实施年度治理项目300个。推进火电、钢铁、建材等重点行业大宗货物清洁运输，推进秸秆综合利用和露天焚烧管控，让蓝天白云成为城市常态。随着上述措施的逐步推进和落实，规划所在区域空气将得到改善。</w:t>
      </w:r>
    </w:p>
    <w:p w14:paraId="4BFDC3A7">
      <w:pPr>
        <w:spacing w:line="360" w:lineRule="auto"/>
        <w:ind w:firstLine="480" w:firstLineChars="200"/>
        <w:rPr>
          <w:rFonts w:eastAsiaTheme="minorEastAsia"/>
          <w:kern w:val="20"/>
          <w:sz w:val="24"/>
        </w:rPr>
      </w:pPr>
      <w:r>
        <w:rPr>
          <w:rFonts w:hint="eastAsia" w:eastAsiaTheme="minorEastAsia"/>
          <w:kern w:val="20"/>
          <w:sz w:val="24"/>
        </w:rPr>
        <w:t>规划后续实施过程中应加强对环境空气质量的保护，落实颗粒物总量控制或管理制度，按照市区环境保护综合整治任务要求，促进区域环境质量不断改善。</w:t>
      </w:r>
    </w:p>
    <w:p w14:paraId="11411762">
      <w:pPr>
        <w:keepNext/>
        <w:keepLines/>
        <w:widowControl/>
        <w:numPr>
          <w:ilvl w:val="2"/>
          <w:numId w:val="1"/>
        </w:numPr>
        <w:spacing w:before="120" w:after="120" w:line="360" w:lineRule="auto"/>
        <w:jc w:val="left"/>
        <w:outlineLvl w:val="2"/>
        <w:rPr>
          <w:rFonts w:eastAsiaTheme="minorEastAsia"/>
          <w:b/>
          <w:bCs/>
          <w:sz w:val="24"/>
        </w:rPr>
      </w:pPr>
      <w:bookmarkStart w:id="131" w:name="_Toc206494962"/>
      <w:r>
        <w:rPr>
          <w:rFonts w:hint="eastAsia" w:eastAsiaTheme="minorEastAsia"/>
          <w:b/>
          <w:bCs/>
          <w:sz w:val="24"/>
        </w:rPr>
        <w:t>资源利用现状问题</w:t>
      </w:r>
      <w:bookmarkEnd w:id="131"/>
    </w:p>
    <w:p w14:paraId="00BB1ACF">
      <w:pPr>
        <w:spacing w:line="360" w:lineRule="auto"/>
        <w:ind w:firstLine="480" w:firstLineChars="200"/>
        <w:rPr>
          <w:rFonts w:eastAsiaTheme="minorEastAsia"/>
          <w:sz w:val="24"/>
        </w:rPr>
      </w:pPr>
      <w:r>
        <w:rPr>
          <w:rFonts w:hint="eastAsia" w:eastAsiaTheme="minorEastAsia"/>
          <w:sz w:val="24"/>
        </w:rPr>
        <w:t>现状石材产业园范围内各企业未配套建设供水管网，现状企业用水主要来源于地下水井或吴山水库及雨水等。</w:t>
      </w:r>
    </w:p>
    <w:p w14:paraId="303C3491">
      <w:pPr>
        <w:spacing w:line="360" w:lineRule="auto"/>
        <w:ind w:firstLine="480" w:firstLineChars="200"/>
        <w:rPr>
          <w:rFonts w:eastAsiaTheme="minorEastAsia"/>
          <w:sz w:val="24"/>
        </w:rPr>
      </w:pPr>
      <w:r>
        <w:rPr>
          <w:rFonts w:hint="eastAsia" w:eastAsiaTheme="minorEastAsia"/>
          <w:sz w:val="24"/>
        </w:rPr>
        <w:t>石材产业园应规划建设供水管网，实施园区供水管网全覆盖，为园区企业提供自来水，减少地下水的使用直至园区全部采用自来水作为水源。</w:t>
      </w:r>
    </w:p>
    <w:p w14:paraId="7139D4DB">
      <w:pPr>
        <w:keepNext/>
        <w:keepLines/>
        <w:widowControl/>
        <w:numPr>
          <w:ilvl w:val="2"/>
          <w:numId w:val="1"/>
        </w:numPr>
        <w:spacing w:before="120" w:after="120" w:line="360" w:lineRule="auto"/>
        <w:jc w:val="left"/>
        <w:outlineLvl w:val="2"/>
        <w:rPr>
          <w:rFonts w:eastAsiaTheme="minorEastAsia"/>
          <w:b/>
          <w:bCs/>
          <w:sz w:val="24"/>
        </w:rPr>
      </w:pPr>
      <w:bookmarkStart w:id="132" w:name="_Toc206494963"/>
      <w:r>
        <w:rPr>
          <w:rFonts w:hint="eastAsia" w:eastAsiaTheme="minorEastAsia"/>
          <w:b/>
          <w:bCs/>
          <w:sz w:val="24"/>
        </w:rPr>
        <w:t>基础设施现状问题</w:t>
      </w:r>
      <w:bookmarkEnd w:id="132"/>
    </w:p>
    <w:p w14:paraId="6E328DE9">
      <w:pPr>
        <w:spacing w:line="360" w:lineRule="auto"/>
        <w:ind w:firstLine="480" w:firstLineChars="200"/>
        <w:rPr>
          <w:rFonts w:eastAsiaTheme="minorEastAsia"/>
          <w:sz w:val="24"/>
        </w:rPr>
      </w:pPr>
      <w:r>
        <w:rPr>
          <w:rFonts w:hint="eastAsia" w:eastAsiaTheme="minorEastAsia"/>
          <w:sz w:val="24"/>
        </w:rPr>
        <w:t>（1）排水管网建设滞后</w:t>
      </w:r>
    </w:p>
    <w:p w14:paraId="6A487036">
      <w:pPr>
        <w:spacing w:line="360" w:lineRule="auto"/>
        <w:ind w:firstLine="480" w:firstLineChars="200"/>
        <w:rPr>
          <w:rFonts w:eastAsiaTheme="minorEastAsia"/>
          <w:sz w:val="24"/>
        </w:rPr>
      </w:pPr>
      <w:r>
        <w:rPr>
          <w:rFonts w:hint="eastAsia" w:eastAsiaTheme="minorEastAsia"/>
          <w:sz w:val="24"/>
        </w:rPr>
        <w:t>规划范围内石材产业园污水管网建设尚不完善，如万和石材产业园南部、闽商石材产业园北部等周边均未配套污水收集管网。</w:t>
      </w:r>
    </w:p>
    <w:p w14:paraId="1F0038E6">
      <w:pPr>
        <w:spacing w:line="360" w:lineRule="auto"/>
        <w:ind w:firstLine="480" w:firstLineChars="200"/>
        <w:rPr>
          <w:rFonts w:eastAsiaTheme="minorEastAsia"/>
          <w:sz w:val="24"/>
        </w:rPr>
      </w:pPr>
      <w:r>
        <w:rPr>
          <w:rFonts w:hint="eastAsia" w:eastAsiaTheme="minorEastAsia"/>
          <w:sz w:val="24"/>
        </w:rPr>
        <w:t>后期产业园规划应配套建设污水收纳管网，建议随县乡镇人民政府尽快为园区配套建设市政污水管网，将产业园区内全部生活污水</w:t>
      </w:r>
      <w:bookmarkStart w:id="133" w:name="_Hlk169255880"/>
      <w:r>
        <w:rPr>
          <w:rFonts w:hint="eastAsia" w:eastAsiaTheme="minorEastAsia"/>
          <w:sz w:val="24"/>
        </w:rPr>
        <w:t>收纳</w:t>
      </w:r>
      <w:bookmarkEnd w:id="133"/>
      <w:r>
        <w:rPr>
          <w:rFonts w:hint="eastAsia" w:eastAsiaTheme="minorEastAsia"/>
          <w:sz w:val="24"/>
        </w:rPr>
        <w:t>排入各乡镇污水处理厂深度处理；严格按照国务院《水污染防治行动计划》等要求，完善污水收集管网，切实加强水环境管理，区域水环境质量将会进一步得到改善。</w:t>
      </w:r>
    </w:p>
    <w:p w14:paraId="192EB9B3">
      <w:pPr>
        <w:spacing w:line="360" w:lineRule="auto"/>
        <w:ind w:firstLine="480" w:firstLineChars="200"/>
        <w:rPr>
          <w:rFonts w:eastAsiaTheme="minorEastAsia"/>
          <w:sz w:val="24"/>
        </w:rPr>
      </w:pPr>
      <w:r>
        <w:rPr>
          <w:rFonts w:hint="eastAsia" w:eastAsiaTheme="minorEastAsia"/>
          <w:sz w:val="24"/>
        </w:rPr>
        <w:t>（2）雨水管网建设滞后</w:t>
      </w:r>
    </w:p>
    <w:p w14:paraId="284AB804">
      <w:pPr>
        <w:spacing w:line="360" w:lineRule="auto"/>
        <w:ind w:firstLine="480" w:firstLineChars="200"/>
        <w:rPr>
          <w:rFonts w:eastAsiaTheme="minorEastAsia"/>
          <w:sz w:val="24"/>
        </w:rPr>
      </w:pPr>
      <w:r>
        <w:rPr>
          <w:rFonts w:hint="eastAsia" w:eastAsiaTheme="minorEastAsia"/>
          <w:sz w:val="24"/>
        </w:rPr>
        <w:t>现状仅有少部分道路雨水经雨水沟排入附近河流，但整个园区缺乏完善的雨水排水体系，易发生内涝。</w:t>
      </w:r>
    </w:p>
    <w:p w14:paraId="6F6B0428">
      <w:pPr>
        <w:spacing w:line="360" w:lineRule="auto"/>
        <w:ind w:firstLine="480" w:firstLineChars="200"/>
        <w:rPr>
          <w:rFonts w:eastAsiaTheme="minorEastAsia"/>
          <w:sz w:val="24"/>
        </w:rPr>
      </w:pPr>
      <w:r>
        <w:rPr>
          <w:rFonts w:hint="eastAsia" w:eastAsiaTheme="minorEastAsia"/>
          <w:sz w:val="24"/>
        </w:rPr>
        <w:t>后期产业园规划应配套建设完善的雨水管网，建议随县各乡镇人民政府尽快为园区配套建设市政雨水管网，将产业园区内雨水纳入雨水管网中就近排入河流。</w:t>
      </w:r>
    </w:p>
    <w:p w14:paraId="01929E06">
      <w:pPr>
        <w:spacing w:line="360" w:lineRule="auto"/>
        <w:ind w:firstLine="480" w:firstLineChars="200"/>
        <w:rPr>
          <w:rFonts w:eastAsiaTheme="minorEastAsia"/>
          <w:sz w:val="24"/>
        </w:rPr>
      </w:pPr>
      <w:r>
        <w:rPr>
          <w:rFonts w:hint="eastAsia" w:eastAsiaTheme="minorEastAsia"/>
          <w:sz w:val="24"/>
        </w:rPr>
        <w:t>（3）道路交通建设滞后</w:t>
      </w:r>
    </w:p>
    <w:p w14:paraId="3C94F827">
      <w:pPr>
        <w:spacing w:line="360" w:lineRule="auto"/>
        <w:ind w:firstLine="480" w:firstLineChars="200"/>
        <w:rPr>
          <w:rFonts w:eastAsiaTheme="minorEastAsia"/>
          <w:sz w:val="24"/>
        </w:rPr>
      </w:pPr>
      <w:r>
        <w:rPr>
          <w:rFonts w:hint="eastAsia" w:eastAsiaTheme="minorEastAsia"/>
          <w:sz w:val="24"/>
        </w:rPr>
        <w:t>①现有道路不成体系，进出通道唯一、交通组织重叠。②道路间夹角过小，不满足规范，易造成交通事故。③现状道路以双向2车道为主，建设标准低，路面破损严重，导致园区运输粉尘产生量大。④车辆停放见缝插针，缺乏统筹布局。</w:t>
      </w:r>
    </w:p>
    <w:p w14:paraId="44ECDC49">
      <w:pPr>
        <w:spacing w:line="360" w:lineRule="auto"/>
        <w:ind w:firstLine="480" w:firstLineChars="200"/>
        <w:rPr>
          <w:rFonts w:eastAsiaTheme="minorEastAsia"/>
          <w:sz w:val="24"/>
        </w:rPr>
      </w:pPr>
      <w:r>
        <w:rPr>
          <w:rFonts w:hint="eastAsia" w:eastAsiaTheme="minorEastAsia"/>
          <w:sz w:val="24"/>
        </w:rPr>
        <w:t>后期产业园规划应建设完善的道路交通系统，完善路网结构、停车场等基础设施。对现状路网线型进行梳理，优化存在的安全隐患交叉口。优化厂区交通组织，减少园区中轴交通压力；对破损道路进行修复，减少运输粉尘排放。</w:t>
      </w:r>
    </w:p>
    <w:p w14:paraId="175B91F7">
      <w:pPr>
        <w:keepNext/>
        <w:keepLines/>
        <w:widowControl/>
        <w:numPr>
          <w:ilvl w:val="2"/>
          <w:numId w:val="1"/>
        </w:numPr>
        <w:spacing w:before="120" w:after="120" w:line="360" w:lineRule="auto"/>
        <w:jc w:val="left"/>
        <w:outlineLvl w:val="2"/>
        <w:rPr>
          <w:rFonts w:eastAsiaTheme="minorEastAsia"/>
          <w:b/>
          <w:bCs/>
          <w:sz w:val="24"/>
        </w:rPr>
      </w:pPr>
      <w:bookmarkStart w:id="134" w:name="_Toc206494964"/>
      <w:r>
        <w:rPr>
          <w:rFonts w:hint="eastAsia" w:eastAsiaTheme="minorEastAsia"/>
          <w:b/>
          <w:bCs/>
          <w:sz w:val="24"/>
        </w:rPr>
        <w:t>环境管理现状问题</w:t>
      </w:r>
      <w:bookmarkEnd w:id="134"/>
    </w:p>
    <w:p w14:paraId="28AF2F3E">
      <w:pPr>
        <w:spacing w:line="360" w:lineRule="auto"/>
        <w:ind w:firstLine="480" w:firstLineChars="200"/>
        <w:rPr>
          <w:rFonts w:eastAsiaTheme="minorEastAsia"/>
          <w:sz w:val="24"/>
        </w:rPr>
      </w:pPr>
      <w:r>
        <w:rPr>
          <w:rFonts w:hint="eastAsia" w:eastAsiaTheme="minorEastAsia"/>
          <w:sz w:val="24"/>
        </w:rPr>
        <w:t>（1）环保手续执行力度不够</w:t>
      </w:r>
    </w:p>
    <w:p w14:paraId="29609016">
      <w:pPr>
        <w:spacing w:line="360" w:lineRule="auto"/>
        <w:ind w:firstLine="480" w:firstLineChars="200"/>
        <w:rPr>
          <w:rFonts w:eastAsiaTheme="minorEastAsia"/>
          <w:sz w:val="24"/>
        </w:rPr>
      </w:pPr>
      <w:r>
        <w:rPr>
          <w:rFonts w:hint="eastAsia" w:eastAsiaTheme="minorEastAsia"/>
          <w:sz w:val="24"/>
        </w:rPr>
        <w:t>据调查区内企业环评手续、“三同时”竣工验收、排污许可证手续执行情况，部分企业的环评、验收和排污许可证尚在办理中，对已完成环境保护自主验收企业管理尚需进一步加强。部分企业未严格执行环保相关制度，近年来园区进行了全面清理，整治后区内企业环评制度和“三同时”验收制度执行率有了较大提高。</w:t>
      </w:r>
    </w:p>
    <w:p w14:paraId="42C79605">
      <w:pPr>
        <w:spacing w:line="360" w:lineRule="auto"/>
        <w:ind w:firstLine="480" w:firstLineChars="200"/>
        <w:rPr>
          <w:rFonts w:eastAsiaTheme="minorEastAsia"/>
          <w:sz w:val="24"/>
        </w:rPr>
      </w:pPr>
      <w:r>
        <w:rPr>
          <w:rFonts w:hint="eastAsia" w:eastAsiaTheme="minorEastAsia"/>
          <w:sz w:val="24"/>
        </w:rPr>
        <w:t>督促园区现有未履行环境影响评价手续与“三同时”竣工验收手续企业补办环保手续，对新入区建设项目须严格执行环境影响评价制度，经有审批权的环境保护行政主管部门同意后方可入区建设。</w:t>
      </w:r>
    </w:p>
    <w:p w14:paraId="209003CF">
      <w:pPr>
        <w:spacing w:line="360" w:lineRule="auto"/>
        <w:ind w:firstLine="480" w:firstLineChars="200"/>
        <w:rPr>
          <w:rFonts w:eastAsiaTheme="minorEastAsia"/>
          <w:sz w:val="24"/>
        </w:rPr>
      </w:pPr>
      <w:r>
        <w:rPr>
          <w:rFonts w:hint="eastAsia" w:eastAsiaTheme="minorEastAsia"/>
          <w:sz w:val="24"/>
        </w:rPr>
        <w:t>（2）园区环境管理制度不健全</w:t>
      </w:r>
    </w:p>
    <w:p w14:paraId="77F7C23B">
      <w:pPr>
        <w:spacing w:line="360" w:lineRule="auto"/>
        <w:ind w:firstLine="480" w:firstLineChars="200"/>
        <w:rPr>
          <w:rFonts w:eastAsiaTheme="minorEastAsia"/>
          <w:sz w:val="24"/>
        </w:rPr>
      </w:pPr>
      <w:r>
        <w:rPr>
          <w:rFonts w:hint="eastAsia" w:eastAsiaTheme="minorEastAsia"/>
          <w:sz w:val="24"/>
        </w:rPr>
        <w:t>园区未建立完善的环境管理制定。</w:t>
      </w:r>
    </w:p>
    <w:p w14:paraId="08DBA739">
      <w:pPr>
        <w:spacing w:line="360" w:lineRule="auto"/>
        <w:ind w:firstLine="480" w:firstLineChars="200"/>
        <w:rPr>
          <w:rFonts w:eastAsiaTheme="minorEastAsia"/>
          <w:sz w:val="24"/>
        </w:rPr>
      </w:pPr>
      <w:r>
        <w:rPr>
          <w:rFonts w:hint="eastAsia" w:eastAsiaTheme="minorEastAsia"/>
          <w:sz w:val="24"/>
        </w:rPr>
        <w:t>为进一步完善环境管理基础工作，切实规范环保监管行为，园区应建立危废物管理台账，完善产业园环境保护各项制度。建立企业“一企一策”整治提升工作方案。督导企业完善环保应急设施，落实整改要求，提高生态管理水平。</w:t>
      </w:r>
    </w:p>
    <w:p w14:paraId="0996FC5A">
      <w:pPr>
        <w:spacing w:line="360" w:lineRule="auto"/>
        <w:ind w:firstLine="480" w:firstLineChars="200"/>
        <w:rPr>
          <w:rFonts w:eastAsiaTheme="minorEastAsia"/>
          <w:sz w:val="24"/>
        </w:rPr>
      </w:pPr>
      <w:r>
        <w:rPr>
          <w:rFonts w:hint="eastAsia" w:eastAsiaTheme="minorEastAsia"/>
          <w:sz w:val="24"/>
        </w:rPr>
        <w:t>（3）园区工业居住区混杂</w:t>
      </w:r>
    </w:p>
    <w:p w14:paraId="5C5E968D">
      <w:pPr>
        <w:spacing w:line="360" w:lineRule="auto"/>
        <w:ind w:firstLine="480" w:firstLineChars="200"/>
        <w:rPr>
          <w:rFonts w:eastAsiaTheme="minorEastAsia"/>
          <w:sz w:val="24"/>
        </w:rPr>
      </w:pPr>
      <w:r>
        <w:rPr>
          <w:rFonts w:hint="eastAsia" w:eastAsiaTheme="minorEastAsia"/>
          <w:sz w:val="24"/>
        </w:rPr>
        <w:t>现状主园区原本分布有少量的居民点，形成了产居混杂的现状。</w:t>
      </w:r>
    </w:p>
    <w:p w14:paraId="671C28D8">
      <w:pPr>
        <w:spacing w:line="360" w:lineRule="auto"/>
        <w:ind w:firstLine="480" w:firstLineChars="200"/>
        <w:rPr>
          <w:rFonts w:eastAsiaTheme="minorEastAsia"/>
          <w:sz w:val="24"/>
        </w:rPr>
      </w:pPr>
      <w:r>
        <w:rPr>
          <w:rFonts w:hint="eastAsia" w:eastAsiaTheme="minorEastAsia"/>
          <w:sz w:val="24"/>
        </w:rPr>
        <w:t>在要求后续管理、规划开发过程中，结合规划优化现有工业与居民混杂区域产业布局，逐步实现工业区与居住区的分离，加强工业区与生活区生态隔离带建设，减缓工业生产对区内居民的影响。</w:t>
      </w:r>
    </w:p>
    <w:p w14:paraId="14410E18">
      <w:pPr>
        <w:spacing w:line="360" w:lineRule="auto"/>
        <w:ind w:firstLine="480" w:firstLineChars="200"/>
        <w:rPr>
          <w:rFonts w:eastAsiaTheme="minorEastAsia"/>
          <w:sz w:val="24"/>
        </w:rPr>
      </w:pPr>
      <w:r>
        <w:rPr>
          <w:rFonts w:hint="eastAsia" w:eastAsiaTheme="minorEastAsia"/>
          <w:sz w:val="24"/>
        </w:rPr>
        <w:t>（4）生态隔离带和生态廊道的建设有待进一步加强</w:t>
      </w:r>
    </w:p>
    <w:p w14:paraId="5852700B">
      <w:pPr>
        <w:spacing w:line="360" w:lineRule="auto"/>
        <w:ind w:firstLine="480" w:firstLineChars="200"/>
        <w:rPr>
          <w:rFonts w:eastAsiaTheme="minorEastAsia"/>
          <w:sz w:val="24"/>
        </w:rPr>
      </w:pPr>
      <w:r>
        <w:rPr>
          <w:rFonts w:hint="eastAsia" w:eastAsiaTheme="minorEastAsia"/>
          <w:sz w:val="24"/>
        </w:rPr>
        <w:t>目前园区居住区与工业区混杂，存在居住区与工业地块无绿化隔离等现象。生态隔离带和生态廊道的建设有待进一步加强。</w:t>
      </w:r>
    </w:p>
    <w:p w14:paraId="3F3830CA">
      <w:pPr>
        <w:spacing w:line="360" w:lineRule="auto"/>
        <w:ind w:firstLine="480" w:firstLineChars="200"/>
        <w:rPr>
          <w:rFonts w:eastAsiaTheme="minorEastAsia"/>
          <w:sz w:val="24"/>
        </w:rPr>
      </w:pPr>
      <w:r>
        <w:rPr>
          <w:rFonts w:hint="eastAsia" w:eastAsiaTheme="minorEastAsia"/>
          <w:sz w:val="24"/>
        </w:rPr>
        <w:t>后期产业园规划应逐步完善相应的防护距离内的绿化、生态廊道、绿化隔离带建设。其他防护性绿地按照规划方案和具体进驻企业环境影响程度予以逐步实施。</w:t>
      </w:r>
    </w:p>
    <w:p w14:paraId="58D79367">
      <w:pPr>
        <w:spacing w:line="360" w:lineRule="auto"/>
        <w:ind w:firstLine="480" w:firstLineChars="200"/>
        <w:rPr>
          <w:rFonts w:eastAsiaTheme="minorEastAsia"/>
          <w:sz w:val="24"/>
        </w:rPr>
      </w:pPr>
    </w:p>
    <w:p w14:paraId="6B54C663">
      <w:pPr>
        <w:spacing w:line="360" w:lineRule="auto"/>
        <w:ind w:firstLine="480" w:firstLineChars="200"/>
        <w:rPr>
          <w:rFonts w:eastAsiaTheme="minorEastAsia"/>
          <w:color w:val="FF0000"/>
          <w:sz w:val="24"/>
          <w:highlight w:val="yellow"/>
        </w:rPr>
      </w:pPr>
      <w:r>
        <w:rPr>
          <w:rFonts w:eastAsiaTheme="minorEastAsia"/>
          <w:color w:val="FF0000"/>
          <w:sz w:val="24"/>
          <w:highlight w:val="yellow"/>
        </w:rPr>
        <w:br w:type="page"/>
      </w:r>
    </w:p>
    <w:p w14:paraId="138D3100">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135" w:name="_Toc206494965"/>
      <w:r>
        <w:rPr>
          <w:rFonts w:hint="eastAsia" w:eastAsiaTheme="minorEastAsia"/>
          <w:kern w:val="2"/>
          <w:sz w:val="36"/>
          <w:szCs w:val="36"/>
        </w:rPr>
        <w:t>环境影响识别与评价指标体系构建</w:t>
      </w:r>
      <w:bookmarkEnd w:id="135"/>
    </w:p>
    <w:p w14:paraId="574FEEB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36" w:name="_Toc206494966"/>
      <w:r>
        <w:rPr>
          <w:rFonts w:hint="eastAsia" w:eastAsiaTheme="minorEastAsia"/>
          <w:b/>
          <w:bCs/>
          <w:sz w:val="30"/>
          <w:szCs w:val="28"/>
        </w:rPr>
        <w:t>环境影响识别</w:t>
      </w:r>
      <w:bookmarkEnd w:id="136"/>
    </w:p>
    <w:p w14:paraId="3BCAE728">
      <w:pPr>
        <w:spacing w:line="360" w:lineRule="auto"/>
        <w:ind w:firstLine="480" w:firstLineChars="200"/>
        <w:rPr>
          <w:rFonts w:eastAsiaTheme="minorEastAsia"/>
          <w:sz w:val="24"/>
        </w:rPr>
      </w:pPr>
      <w:r>
        <w:rPr>
          <w:rFonts w:hint="eastAsia" w:eastAsiaTheme="minorEastAsia"/>
          <w:sz w:val="24"/>
        </w:rPr>
        <w:t>规划区的环境影响因素筛选从两个方面进行，一是规划区的建设项目活动对区内外环境可能带来的影响，二是规划区周边环境对建设项目的制约。</w:t>
      </w:r>
    </w:p>
    <w:p w14:paraId="15858575">
      <w:pPr>
        <w:spacing w:line="360" w:lineRule="auto"/>
        <w:ind w:firstLine="480" w:firstLineChars="200"/>
        <w:rPr>
          <w:rFonts w:eastAsiaTheme="minorEastAsia"/>
          <w:sz w:val="24"/>
        </w:rPr>
      </w:pPr>
      <w:r>
        <w:rPr>
          <w:rFonts w:hint="eastAsia" w:eastAsiaTheme="minorEastAsia"/>
          <w:sz w:val="24"/>
        </w:rPr>
        <w:t>（1）生态环境影响识别</w:t>
      </w:r>
    </w:p>
    <w:p w14:paraId="5A668D8E">
      <w:pPr>
        <w:spacing w:line="360" w:lineRule="auto"/>
        <w:ind w:firstLine="480" w:firstLineChars="200"/>
        <w:rPr>
          <w:rFonts w:eastAsiaTheme="minorEastAsia"/>
          <w:sz w:val="24"/>
        </w:rPr>
      </w:pPr>
      <w:r>
        <w:rPr>
          <w:rFonts w:hint="eastAsia" w:eastAsiaTheme="minorEastAsia"/>
          <w:sz w:val="24"/>
        </w:rPr>
        <w:t>规划建设实施将会对陆地生态系统进行大范围的干扰，一方面会从整体上对区域生态系统的结构与功能产生影响，另外一个方面也将会伴随施工过程产生一系列的直接生态影响。</w:t>
      </w:r>
    </w:p>
    <w:p w14:paraId="2740CD87">
      <w:pPr>
        <w:spacing w:line="360" w:lineRule="auto"/>
        <w:ind w:firstLine="480" w:firstLineChars="200"/>
        <w:rPr>
          <w:rFonts w:eastAsiaTheme="minorEastAsia"/>
          <w:sz w:val="24"/>
        </w:rPr>
      </w:pPr>
      <w:r>
        <w:rPr>
          <w:rFonts w:hint="eastAsia" w:eastAsiaTheme="minorEastAsia"/>
          <w:sz w:val="24"/>
        </w:rPr>
        <w:t>规划区内部分土地为农林用地。在建设过程中，建设项目占用规划区内的土地，建成以人工建设用地和人工绿地为主的工业化区域，在一定程度上人为的改变了环境中的物质循环过程，打破了原有生态系统的平衡状态，可能使原有的生态环境结构或状态发生一定程度的变化。同时，在规划区建设过程中，伴随大量的施工建设，不可避免地会造成地面扰动，从而带来土壤侵蚀等一系列的生态环境问题。道路的建设过程中，路基征用土地，施工作业区植被破坏，路基工程的阻隔作用等，均会产生一定的生态环境影响。</w:t>
      </w:r>
    </w:p>
    <w:p w14:paraId="5CFA9597">
      <w:pPr>
        <w:spacing w:line="360" w:lineRule="auto"/>
        <w:ind w:firstLine="480" w:firstLineChars="200"/>
        <w:rPr>
          <w:rFonts w:eastAsiaTheme="minorEastAsia"/>
          <w:sz w:val="24"/>
        </w:rPr>
      </w:pPr>
      <w:r>
        <w:rPr>
          <w:rFonts w:hint="eastAsia" w:eastAsiaTheme="minorEastAsia"/>
          <w:sz w:val="24"/>
        </w:rPr>
        <w:t>（2）水资源和水环境影响识别</w:t>
      </w:r>
    </w:p>
    <w:p w14:paraId="460AFEA1">
      <w:pPr>
        <w:spacing w:line="360" w:lineRule="auto"/>
        <w:ind w:firstLine="480" w:firstLineChars="200"/>
        <w:rPr>
          <w:rFonts w:eastAsiaTheme="minorEastAsia"/>
          <w:sz w:val="24"/>
        </w:rPr>
      </w:pPr>
      <w:r>
        <w:rPr>
          <w:rFonts w:hint="eastAsia" w:eastAsiaTheme="minorEastAsia"/>
          <w:sz w:val="24"/>
        </w:rPr>
        <w:t>规划的建设一方面会使地区水资源用量增加，同时污水的排放，从而影响水资源。规划区开发过程中产生的生产废水、生活污水的排放会对地表水环境产生污染。</w:t>
      </w:r>
    </w:p>
    <w:p w14:paraId="01FE20BB">
      <w:pPr>
        <w:spacing w:line="360" w:lineRule="auto"/>
        <w:ind w:firstLine="480" w:firstLineChars="200"/>
        <w:rPr>
          <w:rFonts w:eastAsiaTheme="minorEastAsia"/>
          <w:sz w:val="24"/>
        </w:rPr>
      </w:pPr>
      <w:r>
        <w:rPr>
          <w:rFonts w:hint="eastAsia" w:eastAsiaTheme="minorEastAsia"/>
          <w:sz w:val="24"/>
        </w:rPr>
        <w:t>（3）大气环境影响识别</w:t>
      </w:r>
    </w:p>
    <w:p w14:paraId="455D9B50">
      <w:pPr>
        <w:spacing w:line="360" w:lineRule="auto"/>
        <w:ind w:firstLine="480" w:firstLineChars="200"/>
        <w:rPr>
          <w:rFonts w:eastAsiaTheme="minorEastAsia"/>
          <w:sz w:val="24"/>
        </w:rPr>
      </w:pPr>
      <w:r>
        <w:rPr>
          <w:rFonts w:hint="eastAsia" w:eastAsiaTheme="minorEastAsia"/>
          <w:sz w:val="24"/>
        </w:rPr>
        <w:t>规划实施会增加区域内工业企业的数量，增加区域内的能源消耗量，从而对区域内的空气环境质量产生影响。企业废气排放、施工扬尘、废石堆存和运输过程中产生的扬尘对大气产生影响。</w:t>
      </w:r>
    </w:p>
    <w:p w14:paraId="762C77DE">
      <w:pPr>
        <w:spacing w:line="360" w:lineRule="auto"/>
        <w:ind w:firstLine="480" w:firstLineChars="200"/>
        <w:rPr>
          <w:rFonts w:eastAsiaTheme="minorEastAsia"/>
          <w:sz w:val="24"/>
        </w:rPr>
      </w:pPr>
      <w:r>
        <w:rPr>
          <w:rFonts w:hint="eastAsia" w:eastAsiaTheme="minorEastAsia"/>
          <w:sz w:val="24"/>
        </w:rPr>
        <w:t>（4）固体废物影响识别</w:t>
      </w:r>
    </w:p>
    <w:p w14:paraId="57500D4C">
      <w:pPr>
        <w:spacing w:line="360" w:lineRule="auto"/>
        <w:ind w:firstLine="480" w:firstLineChars="200"/>
        <w:rPr>
          <w:rFonts w:eastAsiaTheme="minorEastAsia"/>
          <w:sz w:val="24"/>
        </w:rPr>
      </w:pPr>
      <w:r>
        <w:rPr>
          <w:rFonts w:hint="eastAsia" w:eastAsiaTheme="minorEastAsia"/>
          <w:sz w:val="24"/>
        </w:rPr>
        <w:t>规划项目实施后区域内固体废弃物的总量将增加，固体废弃物将主要以工业固废和生活垃圾为主。建设过程中产生的临时弃渣弃土和生活垃圾如果处理不当，都会对环境产生影响。</w:t>
      </w:r>
    </w:p>
    <w:p w14:paraId="59A35C2F">
      <w:pPr>
        <w:spacing w:line="360" w:lineRule="auto"/>
        <w:ind w:firstLine="480" w:firstLineChars="200"/>
        <w:rPr>
          <w:rFonts w:eastAsiaTheme="minorEastAsia"/>
          <w:sz w:val="24"/>
        </w:rPr>
      </w:pPr>
      <w:r>
        <w:rPr>
          <w:rFonts w:hint="eastAsia" w:eastAsiaTheme="minorEastAsia"/>
          <w:sz w:val="24"/>
        </w:rPr>
        <w:t>（5）声环境影响识别</w:t>
      </w:r>
    </w:p>
    <w:p w14:paraId="4CD449A5">
      <w:pPr>
        <w:spacing w:line="360" w:lineRule="auto"/>
        <w:ind w:firstLine="480" w:firstLineChars="200"/>
        <w:rPr>
          <w:rFonts w:eastAsiaTheme="minorEastAsia"/>
          <w:sz w:val="24"/>
        </w:rPr>
      </w:pPr>
      <w:r>
        <w:rPr>
          <w:rFonts w:hint="eastAsia" w:eastAsiaTheme="minorEastAsia"/>
          <w:sz w:val="24"/>
        </w:rPr>
        <w:t>规划内的工业企业设备运行产生的噪声影响；公路运输车辆产生的影响。噪声对周边声环境质量产生的影响。</w:t>
      </w:r>
    </w:p>
    <w:p w14:paraId="491A835E">
      <w:pPr>
        <w:spacing w:line="360" w:lineRule="auto"/>
        <w:ind w:firstLine="480" w:firstLineChars="200"/>
        <w:rPr>
          <w:rFonts w:eastAsiaTheme="minorEastAsia"/>
          <w:sz w:val="24"/>
        </w:rPr>
      </w:pPr>
      <w:r>
        <w:rPr>
          <w:rFonts w:hint="eastAsia" w:eastAsiaTheme="minorEastAsia"/>
          <w:sz w:val="24"/>
        </w:rPr>
        <w:t>（6）土壤环境影响识别</w:t>
      </w:r>
    </w:p>
    <w:p w14:paraId="5B72052C">
      <w:pPr>
        <w:spacing w:line="360" w:lineRule="auto"/>
        <w:ind w:firstLine="480" w:firstLineChars="200"/>
        <w:rPr>
          <w:rFonts w:eastAsiaTheme="minorEastAsia"/>
          <w:sz w:val="24"/>
        </w:rPr>
      </w:pPr>
      <w:r>
        <w:rPr>
          <w:rFonts w:hint="eastAsia" w:eastAsiaTheme="minorEastAsia"/>
          <w:sz w:val="24"/>
        </w:rPr>
        <w:t>园区规划入区项目属于污染影响型建设项目，重点对规划入区项目运营期的环境影响进行识别。</w:t>
      </w:r>
    </w:p>
    <w:p w14:paraId="6429E762">
      <w:pPr>
        <w:spacing w:line="360" w:lineRule="auto"/>
        <w:ind w:firstLine="480" w:firstLineChars="200"/>
        <w:rPr>
          <w:rFonts w:eastAsiaTheme="minorEastAsia"/>
          <w:sz w:val="24"/>
        </w:rPr>
      </w:pPr>
      <w:r>
        <w:rPr>
          <w:rFonts w:hint="eastAsia" w:eastAsiaTheme="minorEastAsia"/>
          <w:sz w:val="24"/>
        </w:rPr>
        <w:t>（7）环境风险影响识别</w:t>
      </w:r>
    </w:p>
    <w:p w14:paraId="60F1BB84">
      <w:pPr>
        <w:spacing w:line="360" w:lineRule="auto"/>
        <w:ind w:firstLine="480" w:firstLineChars="200"/>
        <w:rPr>
          <w:rFonts w:eastAsiaTheme="minorEastAsia"/>
          <w:sz w:val="24"/>
        </w:rPr>
      </w:pPr>
      <w:r>
        <w:rPr>
          <w:rFonts w:hint="eastAsia" w:eastAsiaTheme="minorEastAsia"/>
          <w:sz w:val="24"/>
        </w:rPr>
        <w:t>规划区的主导产业为石材加工。规划范围内现有企业运行以来未发生风险事故。园区内各重点企业应做好风险防范措施，建设好风险三级防控体系，对事故状态下废水及时有效的进行收集处理。</w:t>
      </w:r>
    </w:p>
    <w:p w14:paraId="2CABD488">
      <w:pPr>
        <w:spacing w:line="360" w:lineRule="auto"/>
        <w:ind w:firstLine="480" w:firstLineChars="200"/>
        <w:rPr>
          <w:rFonts w:eastAsiaTheme="minorEastAsia"/>
          <w:sz w:val="24"/>
        </w:rPr>
      </w:pPr>
      <w:r>
        <w:rPr>
          <w:rFonts w:hint="eastAsia" w:eastAsiaTheme="minorEastAsia"/>
          <w:sz w:val="24"/>
        </w:rPr>
        <w:t>（8）社会经济影响识别</w:t>
      </w:r>
    </w:p>
    <w:p w14:paraId="636CB076">
      <w:pPr>
        <w:spacing w:line="360" w:lineRule="auto"/>
        <w:ind w:firstLine="480" w:firstLineChars="200"/>
        <w:rPr>
          <w:rFonts w:eastAsiaTheme="minorEastAsia"/>
          <w:sz w:val="24"/>
        </w:rPr>
      </w:pPr>
      <w:r>
        <w:rPr>
          <w:rFonts w:hint="eastAsia" w:eastAsiaTheme="minorEastAsia"/>
          <w:sz w:val="24"/>
        </w:rPr>
        <w:t>规划项目建设不可避免地征用土地，由此将带来一系列的社会影响，包括外来人口就业问题等。公共设施（如道路）的建设会给当地农民出行带来方便；规划区的开发建设可能造成的地表水和环境空气的环境影响。开发和相关产业开发建设会引起区域经济转型、生活质量提高等相关社会经济问题。</w:t>
      </w:r>
    </w:p>
    <w:p w14:paraId="01B3B935">
      <w:pPr>
        <w:spacing w:line="360" w:lineRule="auto"/>
        <w:ind w:firstLine="480" w:firstLineChars="200"/>
        <w:rPr>
          <w:rFonts w:eastAsiaTheme="minorEastAsia"/>
          <w:sz w:val="24"/>
        </w:rPr>
      </w:pPr>
      <w:r>
        <w:rPr>
          <w:rFonts w:hint="eastAsia" w:eastAsiaTheme="minorEastAsia"/>
          <w:sz w:val="24"/>
        </w:rPr>
        <w:t>本次规划环评的环境影响识别结果见下表。</w:t>
      </w:r>
    </w:p>
    <w:p w14:paraId="198EA94C">
      <w:pPr>
        <w:spacing w:line="360" w:lineRule="auto"/>
        <w:ind w:firstLine="422"/>
        <w:jc w:val="center"/>
        <w:rPr>
          <w:rFonts w:eastAsiaTheme="minorEastAsia"/>
          <w:b/>
          <w:szCs w:val="21"/>
        </w:rPr>
      </w:pPr>
      <w:r>
        <w:rPr>
          <w:rFonts w:hint="eastAsia" w:eastAsiaTheme="minorEastAsia"/>
          <w:b/>
          <w:szCs w:val="21"/>
        </w:rPr>
        <w:t>表4.1-1   区域环境影响评价指标与识别结果一览表</w:t>
      </w:r>
    </w:p>
    <w:tbl>
      <w:tblPr>
        <w:tblStyle w:val="8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2"/>
        <w:gridCol w:w="1097"/>
        <w:gridCol w:w="1418"/>
        <w:gridCol w:w="679"/>
        <w:gridCol w:w="738"/>
        <w:gridCol w:w="709"/>
        <w:gridCol w:w="709"/>
        <w:gridCol w:w="850"/>
        <w:gridCol w:w="1616"/>
      </w:tblGrid>
      <w:tr w14:paraId="6E13D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restart"/>
            <w:shd w:val="clear" w:color="auto" w:fill="auto"/>
            <w:noWrap/>
            <w:vAlign w:val="center"/>
          </w:tcPr>
          <w:p w14:paraId="711633CD">
            <w:pPr>
              <w:widowControl/>
              <w:spacing w:line="320" w:lineRule="exact"/>
              <w:ind w:left="-25" w:right="-25"/>
              <w:jc w:val="center"/>
              <w:rPr>
                <w:rFonts w:eastAsiaTheme="minorEastAsia"/>
                <w:szCs w:val="21"/>
              </w:rPr>
            </w:pPr>
            <w:r>
              <w:rPr>
                <w:rFonts w:hint="eastAsia" w:eastAsiaTheme="minorEastAsia"/>
                <w:szCs w:val="21"/>
              </w:rPr>
              <w:t>影响类别</w:t>
            </w:r>
          </w:p>
        </w:tc>
        <w:tc>
          <w:tcPr>
            <w:tcW w:w="1097" w:type="dxa"/>
            <w:vMerge w:val="restart"/>
            <w:shd w:val="clear" w:color="auto" w:fill="auto"/>
            <w:noWrap/>
            <w:vAlign w:val="center"/>
          </w:tcPr>
          <w:p w14:paraId="4FDCB622">
            <w:pPr>
              <w:widowControl/>
              <w:spacing w:line="320" w:lineRule="exact"/>
              <w:ind w:left="-25" w:right="-25"/>
              <w:jc w:val="center"/>
              <w:rPr>
                <w:rFonts w:eastAsiaTheme="minorEastAsia"/>
                <w:szCs w:val="21"/>
              </w:rPr>
            </w:pPr>
            <w:r>
              <w:rPr>
                <w:rFonts w:hint="eastAsia" w:eastAsiaTheme="minorEastAsia"/>
                <w:szCs w:val="21"/>
              </w:rPr>
              <w:t>影响因素</w:t>
            </w:r>
          </w:p>
        </w:tc>
        <w:tc>
          <w:tcPr>
            <w:tcW w:w="1418" w:type="dxa"/>
            <w:vMerge w:val="restart"/>
            <w:shd w:val="clear" w:color="auto" w:fill="auto"/>
            <w:noWrap/>
            <w:vAlign w:val="center"/>
          </w:tcPr>
          <w:p w14:paraId="151703CC">
            <w:pPr>
              <w:widowControl/>
              <w:spacing w:line="320" w:lineRule="exact"/>
              <w:ind w:left="-25" w:right="-25"/>
              <w:jc w:val="center"/>
              <w:rPr>
                <w:rFonts w:eastAsiaTheme="minorEastAsia"/>
                <w:szCs w:val="21"/>
              </w:rPr>
            </w:pPr>
            <w:r>
              <w:rPr>
                <w:rFonts w:hint="eastAsia" w:eastAsiaTheme="minorEastAsia"/>
                <w:szCs w:val="21"/>
              </w:rPr>
              <w:t>影响因子</w:t>
            </w:r>
          </w:p>
        </w:tc>
        <w:tc>
          <w:tcPr>
            <w:tcW w:w="3685" w:type="dxa"/>
            <w:gridSpan w:val="5"/>
            <w:shd w:val="clear" w:color="auto" w:fill="auto"/>
            <w:noWrap/>
            <w:vAlign w:val="center"/>
          </w:tcPr>
          <w:p w14:paraId="33CC3392">
            <w:pPr>
              <w:widowControl/>
              <w:spacing w:line="320" w:lineRule="exact"/>
              <w:ind w:left="-25" w:right="-25"/>
              <w:jc w:val="center"/>
              <w:rPr>
                <w:rFonts w:eastAsiaTheme="minorEastAsia"/>
                <w:szCs w:val="21"/>
              </w:rPr>
            </w:pPr>
            <w:r>
              <w:rPr>
                <w:rFonts w:hint="eastAsia" w:eastAsiaTheme="minorEastAsia"/>
                <w:szCs w:val="21"/>
              </w:rPr>
              <w:t>影响性质</w:t>
            </w:r>
          </w:p>
        </w:tc>
        <w:tc>
          <w:tcPr>
            <w:tcW w:w="1616" w:type="dxa"/>
            <w:vMerge w:val="restart"/>
            <w:shd w:val="clear" w:color="auto" w:fill="auto"/>
            <w:noWrap/>
            <w:vAlign w:val="center"/>
          </w:tcPr>
          <w:p w14:paraId="71EADFC3">
            <w:pPr>
              <w:widowControl/>
              <w:spacing w:line="320" w:lineRule="exact"/>
              <w:ind w:left="-25" w:right="-25"/>
              <w:jc w:val="center"/>
              <w:rPr>
                <w:rFonts w:eastAsiaTheme="minorEastAsia"/>
                <w:szCs w:val="21"/>
              </w:rPr>
            </w:pPr>
            <w:r>
              <w:rPr>
                <w:rFonts w:hint="eastAsia" w:eastAsiaTheme="minorEastAsia"/>
                <w:szCs w:val="21"/>
              </w:rPr>
              <w:t>影响原因</w:t>
            </w:r>
          </w:p>
        </w:tc>
      </w:tr>
      <w:tr w14:paraId="6F4769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0F2F221D">
            <w:pPr>
              <w:widowControl/>
              <w:spacing w:line="320" w:lineRule="exact"/>
              <w:ind w:left="-25" w:right="-25"/>
              <w:jc w:val="center"/>
              <w:rPr>
                <w:rFonts w:eastAsiaTheme="minorEastAsia"/>
                <w:szCs w:val="21"/>
              </w:rPr>
            </w:pPr>
          </w:p>
        </w:tc>
        <w:tc>
          <w:tcPr>
            <w:tcW w:w="1097" w:type="dxa"/>
            <w:vMerge w:val="continue"/>
            <w:vAlign w:val="center"/>
          </w:tcPr>
          <w:p w14:paraId="74CE1F48">
            <w:pPr>
              <w:widowControl/>
              <w:spacing w:line="320" w:lineRule="exact"/>
              <w:ind w:left="-25" w:right="-25"/>
              <w:jc w:val="center"/>
              <w:rPr>
                <w:rFonts w:eastAsiaTheme="minorEastAsia"/>
                <w:szCs w:val="21"/>
              </w:rPr>
            </w:pPr>
          </w:p>
        </w:tc>
        <w:tc>
          <w:tcPr>
            <w:tcW w:w="1418" w:type="dxa"/>
            <w:vMerge w:val="continue"/>
            <w:vAlign w:val="center"/>
          </w:tcPr>
          <w:p w14:paraId="6EF82B5D">
            <w:pPr>
              <w:widowControl/>
              <w:spacing w:line="320" w:lineRule="exact"/>
              <w:ind w:left="-25" w:right="-25"/>
              <w:jc w:val="center"/>
              <w:rPr>
                <w:rFonts w:eastAsiaTheme="minorEastAsia"/>
                <w:szCs w:val="21"/>
              </w:rPr>
            </w:pPr>
          </w:p>
        </w:tc>
        <w:tc>
          <w:tcPr>
            <w:tcW w:w="679" w:type="dxa"/>
            <w:shd w:val="clear" w:color="auto" w:fill="auto"/>
            <w:noWrap/>
            <w:vAlign w:val="center"/>
          </w:tcPr>
          <w:p w14:paraId="7455A184">
            <w:pPr>
              <w:widowControl/>
              <w:spacing w:line="320" w:lineRule="exact"/>
              <w:ind w:left="-25" w:right="-25"/>
              <w:jc w:val="center"/>
              <w:rPr>
                <w:rFonts w:eastAsiaTheme="minorEastAsia"/>
                <w:szCs w:val="21"/>
              </w:rPr>
            </w:pPr>
            <w:r>
              <w:rPr>
                <w:rFonts w:hint="eastAsia" w:eastAsiaTheme="minorEastAsia"/>
                <w:szCs w:val="21"/>
              </w:rPr>
              <w:t>性质</w:t>
            </w:r>
          </w:p>
        </w:tc>
        <w:tc>
          <w:tcPr>
            <w:tcW w:w="738" w:type="dxa"/>
            <w:shd w:val="clear" w:color="auto" w:fill="auto"/>
            <w:noWrap/>
            <w:vAlign w:val="center"/>
          </w:tcPr>
          <w:p w14:paraId="234D10A5">
            <w:pPr>
              <w:widowControl/>
              <w:spacing w:line="320" w:lineRule="exact"/>
              <w:ind w:left="-25" w:right="-25"/>
              <w:jc w:val="center"/>
              <w:rPr>
                <w:rFonts w:eastAsiaTheme="minorEastAsia"/>
                <w:szCs w:val="21"/>
              </w:rPr>
            </w:pPr>
            <w:r>
              <w:rPr>
                <w:rFonts w:hint="eastAsia" w:eastAsiaTheme="minorEastAsia"/>
                <w:szCs w:val="21"/>
              </w:rPr>
              <w:t>程度</w:t>
            </w:r>
          </w:p>
        </w:tc>
        <w:tc>
          <w:tcPr>
            <w:tcW w:w="709" w:type="dxa"/>
            <w:shd w:val="clear" w:color="auto" w:fill="auto"/>
            <w:noWrap/>
            <w:vAlign w:val="center"/>
          </w:tcPr>
          <w:p w14:paraId="098AE8B2">
            <w:pPr>
              <w:widowControl/>
              <w:spacing w:line="320" w:lineRule="exact"/>
              <w:ind w:left="-25" w:right="-25"/>
              <w:jc w:val="center"/>
              <w:rPr>
                <w:rFonts w:eastAsiaTheme="minorEastAsia"/>
                <w:szCs w:val="21"/>
              </w:rPr>
            </w:pPr>
            <w:r>
              <w:rPr>
                <w:rFonts w:hint="eastAsia" w:eastAsiaTheme="minorEastAsia"/>
                <w:szCs w:val="21"/>
              </w:rPr>
              <w:t>时间</w:t>
            </w:r>
          </w:p>
        </w:tc>
        <w:tc>
          <w:tcPr>
            <w:tcW w:w="709" w:type="dxa"/>
            <w:shd w:val="clear" w:color="auto" w:fill="auto"/>
            <w:noWrap/>
            <w:vAlign w:val="center"/>
          </w:tcPr>
          <w:p w14:paraId="6FDE21E4">
            <w:pPr>
              <w:widowControl/>
              <w:spacing w:line="320" w:lineRule="exact"/>
              <w:ind w:left="-25" w:right="-25"/>
              <w:jc w:val="center"/>
              <w:rPr>
                <w:rFonts w:eastAsiaTheme="minorEastAsia"/>
                <w:szCs w:val="21"/>
              </w:rPr>
            </w:pPr>
            <w:r>
              <w:rPr>
                <w:rFonts w:hint="eastAsia" w:eastAsiaTheme="minorEastAsia"/>
                <w:szCs w:val="21"/>
              </w:rPr>
              <w:t>范围</w:t>
            </w:r>
          </w:p>
        </w:tc>
        <w:tc>
          <w:tcPr>
            <w:tcW w:w="850" w:type="dxa"/>
            <w:shd w:val="clear" w:color="auto" w:fill="auto"/>
            <w:noWrap/>
            <w:vAlign w:val="center"/>
          </w:tcPr>
          <w:p w14:paraId="7F0C3BCC">
            <w:pPr>
              <w:widowControl/>
              <w:spacing w:line="320" w:lineRule="exact"/>
              <w:ind w:left="-25" w:right="-25"/>
              <w:jc w:val="center"/>
              <w:rPr>
                <w:rFonts w:eastAsiaTheme="minorEastAsia"/>
                <w:szCs w:val="21"/>
              </w:rPr>
            </w:pPr>
            <w:r>
              <w:rPr>
                <w:rFonts w:hint="eastAsia" w:eastAsiaTheme="minorEastAsia"/>
                <w:szCs w:val="21"/>
              </w:rPr>
              <w:t>可逆性</w:t>
            </w:r>
          </w:p>
        </w:tc>
        <w:tc>
          <w:tcPr>
            <w:tcW w:w="1616" w:type="dxa"/>
            <w:vMerge w:val="continue"/>
            <w:vAlign w:val="center"/>
          </w:tcPr>
          <w:p w14:paraId="4102DAE2">
            <w:pPr>
              <w:widowControl/>
              <w:spacing w:line="320" w:lineRule="exact"/>
              <w:ind w:left="-25" w:right="-25"/>
              <w:jc w:val="center"/>
              <w:rPr>
                <w:rFonts w:eastAsiaTheme="minorEastAsia"/>
                <w:szCs w:val="21"/>
              </w:rPr>
            </w:pPr>
          </w:p>
        </w:tc>
      </w:tr>
      <w:tr w14:paraId="3BF664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restart"/>
            <w:shd w:val="clear" w:color="auto" w:fill="auto"/>
            <w:noWrap/>
            <w:vAlign w:val="center"/>
          </w:tcPr>
          <w:p w14:paraId="013BEB82">
            <w:pPr>
              <w:widowControl/>
              <w:spacing w:line="320" w:lineRule="exact"/>
              <w:ind w:left="-25" w:right="-25"/>
              <w:jc w:val="center"/>
              <w:rPr>
                <w:rFonts w:eastAsiaTheme="minorEastAsia"/>
                <w:szCs w:val="21"/>
              </w:rPr>
            </w:pPr>
            <w:r>
              <w:rPr>
                <w:rFonts w:hint="eastAsia" w:eastAsiaTheme="minorEastAsia"/>
                <w:szCs w:val="21"/>
              </w:rPr>
              <w:t>社会经济</w:t>
            </w:r>
          </w:p>
        </w:tc>
        <w:tc>
          <w:tcPr>
            <w:tcW w:w="1097" w:type="dxa"/>
            <w:shd w:val="clear" w:color="auto" w:fill="auto"/>
            <w:noWrap/>
            <w:vAlign w:val="center"/>
          </w:tcPr>
          <w:p w14:paraId="36B142B2">
            <w:pPr>
              <w:widowControl/>
              <w:spacing w:line="320" w:lineRule="exact"/>
              <w:ind w:left="-25" w:right="-25"/>
              <w:jc w:val="center"/>
              <w:rPr>
                <w:rFonts w:eastAsiaTheme="minorEastAsia"/>
                <w:szCs w:val="21"/>
              </w:rPr>
            </w:pPr>
            <w:r>
              <w:rPr>
                <w:rFonts w:hint="eastAsia" w:eastAsiaTheme="minorEastAsia"/>
                <w:szCs w:val="21"/>
              </w:rPr>
              <w:t>区域经济发展</w:t>
            </w:r>
          </w:p>
        </w:tc>
        <w:tc>
          <w:tcPr>
            <w:tcW w:w="1418" w:type="dxa"/>
            <w:shd w:val="clear" w:color="auto" w:fill="auto"/>
            <w:noWrap/>
            <w:vAlign w:val="center"/>
          </w:tcPr>
          <w:p w14:paraId="3EFA748E">
            <w:pPr>
              <w:widowControl/>
              <w:spacing w:line="320" w:lineRule="exact"/>
              <w:ind w:left="-25" w:right="-25"/>
              <w:jc w:val="center"/>
              <w:rPr>
                <w:rFonts w:eastAsiaTheme="minorEastAsia"/>
                <w:szCs w:val="21"/>
              </w:rPr>
            </w:pPr>
            <w:r>
              <w:rPr>
                <w:rFonts w:hint="eastAsia" w:eastAsiaTheme="minorEastAsia"/>
                <w:szCs w:val="21"/>
              </w:rPr>
              <w:t xml:space="preserve">工业增加值 </w:t>
            </w:r>
          </w:p>
        </w:tc>
        <w:tc>
          <w:tcPr>
            <w:tcW w:w="679" w:type="dxa"/>
            <w:shd w:val="clear" w:color="auto" w:fill="auto"/>
            <w:noWrap/>
            <w:vAlign w:val="center"/>
          </w:tcPr>
          <w:p w14:paraId="68C7234E">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3EEE1322">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22B70E4F">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741B0BA2">
            <w:pPr>
              <w:widowControl/>
              <w:spacing w:line="320" w:lineRule="exact"/>
              <w:ind w:left="-25" w:right="-25"/>
              <w:jc w:val="center"/>
              <w:rPr>
                <w:rFonts w:eastAsiaTheme="minorEastAsia"/>
                <w:szCs w:val="21"/>
              </w:rPr>
            </w:pPr>
            <w:r>
              <w:rPr>
                <w:rFonts w:hint="eastAsia" w:eastAsiaTheme="minorEastAsia"/>
                <w:szCs w:val="21"/>
              </w:rPr>
              <w:t xml:space="preserve">大 </w:t>
            </w:r>
          </w:p>
        </w:tc>
        <w:tc>
          <w:tcPr>
            <w:tcW w:w="850" w:type="dxa"/>
            <w:shd w:val="clear" w:color="auto" w:fill="auto"/>
            <w:noWrap/>
            <w:vAlign w:val="center"/>
          </w:tcPr>
          <w:p w14:paraId="527DA7F6">
            <w:pPr>
              <w:widowControl/>
              <w:spacing w:line="320" w:lineRule="exact"/>
              <w:ind w:left="-25" w:right="-25"/>
              <w:jc w:val="center"/>
              <w:rPr>
                <w:rFonts w:eastAsiaTheme="minorEastAsia"/>
                <w:szCs w:val="21"/>
              </w:rPr>
            </w:pPr>
            <w:r>
              <w:rPr>
                <w:rFonts w:hint="eastAsia" w:eastAsiaTheme="minorEastAsia"/>
                <w:szCs w:val="21"/>
              </w:rPr>
              <w:t>/</w:t>
            </w:r>
          </w:p>
        </w:tc>
        <w:tc>
          <w:tcPr>
            <w:tcW w:w="1616" w:type="dxa"/>
            <w:shd w:val="clear" w:color="auto" w:fill="auto"/>
            <w:noWrap/>
            <w:vAlign w:val="center"/>
          </w:tcPr>
          <w:p w14:paraId="08891BB1">
            <w:pPr>
              <w:widowControl/>
              <w:spacing w:line="320" w:lineRule="exact"/>
              <w:ind w:left="-25" w:right="-25"/>
              <w:jc w:val="center"/>
              <w:rPr>
                <w:rFonts w:eastAsiaTheme="minorEastAsia"/>
                <w:szCs w:val="21"/>
              </w:rPr>
            </w:pPr>
            <w:r>
              <w:rPr>
                <w:rFonts w:hint="eastAsia" w:eastAsiaTheme="minorEastAsia"/>
                <w:szCs w:val="21"/>
              </w:rPr>
              <w:t>工业产值</w:t>
            </w:r>
          </w:p>
        </w:tc>
      </w:tr>
      <w:tr w14:paraId="5B2BEE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65A3666B">
            <w:pPr>
              <w:widowControl/>
              <w:spacing w:line="320" w:lineRule="exact"/>
              <w:ind w:left="-25" w:right="-25"/>
              <w:jc w:val="center"/>
              <w:rPr>
                <w:rFonts w:eastAsiaTheme="minorEastAsia"/>
                <w:szCs w:val="21"/>
              </w:rPr>
            </w:pPr>
          </w:p>
        </w:tc>
        <w:tc>
          <w:tcPr>
            <w:tcW w:w="1097" w:type="dxa"/>
            <w:shd w:val="clear" w:color="auto" w:fill="auto"/>
            <w:noWrap/>
            <w:vAlign w:val="center"/>
          </w:tcPr>
          <w:p w14:paraId="6588E388">
            <w:pPr>
              <w:widowControl/>
              <w:spacing w:line="320" w:lineRule="exact"/>
              <w:ind w:left="-25" w:right="-25"/>
              <w:jc w:val="center"/>
              <w:rPr>
                <w:rFonts w:eastAsiaTheme="minorEastAsia"/>
                <w:szCs w:val="21"/>
              </w:rPr>
            </w:pPr>
            <w:r>
              <w:rPr>
                <w:rFonts w:hint="eastAsia" w:eastAsiaTheme="minorEastAsia"/>
                <w:szCs w:val="21"/>
              </w:rPr>
              <w:t>人口</w:t>
            </w:r>
          </w:p>
        </w:tc>
        <w:tc>
          <w:tcPr>
            <w:tcW w:w="1418" w:type="dxa"/>
            <w:shd w:val="clear" w:color="auto" w:fill="auto"/>
            <w:noWrap/>
            <w:vAlign w:val="center"/>
          </w:tcPr>
          <w:p w14:paraId="58DF848F">
            <w:pPr>
              <w:widowControl/>
              <w:spacing w:line="320" w:lineRule="exact"/>
              <w:ind w:left="-25" w:right="-25"/>
              <w:jc w:val="center"/>
              <w:rPr>
                <w:rFonts w:eastAsiaTheme="minorEastAsia"/>
                <w:szCs w:val="21"/>
              </w:rPr>
            </w:pPr>
            <w:r>
              <w:rPr>
                <w:rFonts w:hint="eastAsia" w:eastAsiaTheme="minorEastAsia"/>
                <w:szCs w:val="21"/>
              </w:rPr>
              <w:t xml:space="preserve">人口规模 </w:t>
            </w:r>
          </w:p>
        </w:tc>
        <w:tc>
          <w:tcPr>
            <w:tcW w:w="679" w:type="dxa"/>
            <w:shd w:val="clear" w:color="auto" w:fill="auto"/>
            <w:noWrap/>
            <w:vAlign w:val="center"/>
          </w:tcPr>
          <w:p w14:paraId="49A33B12">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12254ADD">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551C7AD4">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23FC3762">
            <w:pPr>
              <w:widowControl/>
              <w:spacing w:line="320" w:lineRule="exact"/>
              <w:ind w:left="-25" w:right="-25"/>
              <w:jc w:val="center"/>
              <w:rPr>
                <w:rFonts w:eastAsiaTheme="minorEastAsia"/>
                <w:szCs w:val="21"/>
              </w:rPr>
            </w:pPr>
            <w:r>
              <w:rPr>
                <w:rFonts w:hint="eastAsia" w:eastAsiaTheme="minorEastAsia"/>
                <w:szCs w:val="21"/>
              </w:rPr>
              <w:t xml:space="preserve">大 </w:t>
            </w:r>
          </w:p>
        </w:tc>
        <w:tc>
          <w:tcPr>
            <w:tcW w:w="850" w:type="dxa"/>
            <w:shd w:val="clear" w:color="auto" w:fill="auto"/>
            <w:noWrap/>
            <w:vAlign w:val="center"/>
          </w:tcPr>
          <w:p w14:paraId="4BF629D8">
            <w:pPr>
              <w:widowControl/>
              <w:spacing w:line="320" w:lineRule="exact"/>
              <w:ind w:left="-25" w:right="-25"/>
              <w:jc w:val="center"/>
              <w:rPr>
                <w:rFonts w:eastAsiaTheme="minorEastAsia"/>
                <w:szCs w:val="21"/>
              </w:rPr>
            </w:pPr>
            <w:r>
              <w:rPr>
                <w:rFonts w:hint="eastAsia" w:eastAsiaTheme="minorEastAsia"/>
                <w:szCs w:val="21"/>
              </w:rPr>
              <w:t>/</w:t>
            </w:r>
          </w:p>
        </w:tc>
        <w:tc>
          <w:tcPr>
            <w:tcW w:w="1616" w:type="dxa"/>
            <w:shd w:val="clear" w:color="auto" w:fill="auto"/>
            <w:noWrap/>
            <w:vAlign w:val="center"/>
          </w:tcPr>
          <w:p w14:paraId="48E9D062">
            <w:pPr>
              <w:widowControl/>
              <w:spacing w:line="320" w:lineRule="exact"/>
              <w:ind w:left="-25" w:right="-25"/>
              <w:jc w:val="center"/>
              <w:rPr>
                <w:rFonts w:eastAsiaTheme="minorEastAsia"/>
                <w:szCs w:val="21"/>
              </w:rPr>
            </w:pPr>
            <w:r>
              <w:rPr>
                <w:rFonts w:hint="eastAsia" w:eastAsiaTheme="minorEastAsia"/>
                <w:szCs w:val="21"/>
              </w:rPr>
              <w:t>人口数量</w:t>
            </w:r>
          </w:p>
        </w:tc>
      </w:tr>
      <w:tr w14:paraId="04B671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13ABFA4D">
            <w:pPr>
              <w:widowControl/>
              <w:spacing w:line="320" w:lineRule="exact"/>
              <w:ind w:left="-25" w:right="-25"/>
              <w:jc w:val="center"/>
              <w:rPr>
                <w:rFonts w:eastAsiaTheme="minorEastAsia"/>
                <w:szCs w:val="21"/>
              </w:rPr>
            </w:pPr>
          </w:p>
        </w:tc>
        <w:tc>
          <w:tcPr>
            <w:tcW w:w="1097" w:type="dxa"/>
            <w:shd w:val="clear" w:color="auto" w:fill="auto"/>
            <w:noWrap/>
            <w:vAlign w:val="center"/>
          </w:tcPr>
          <w:p w14:paraId="0EC98C81">
            <w:pPr>
              <w:widowControl/>
              <w:spacing w:line="320" w:lineRule="exact"/>
              <w:ind w:left="-25" w:right="-25"/>
              <w:jc w:val="center"/>
              <w:rPr>
                <w:rFonts w:eastAsiaTheme="minorEastAsia"/>
                <w:szCs w:val="21"/>
              </w:rPr>
            </w:pPr>
            <w:r>
              <w:rPr>
                <w:rFonts w:hint="eastAsia" w:eastAsiaTheme="minorEastAsia"/>
                <w:szCs w:val="21"/>
              </w:rPr>
              <w:t>产业结构</w:t>
            </w:r>
          </w:p>
        </w:tc>
        <w:tc>
          <w:tcPr>
            <w:tcW w:w="1418" w:type="dxa"/>
            <w:shd w:val="clear" w:color="auto" w:fill="auto"/>
            <w:noWrap/>
            <w:vAlign w:val="center"/>
          </w:tcPr>
          <w:p w14:paraId="1277EBD5">
            <w:pPr>
              <w:widowControl/>
              <w:spacing w:line="320" w:lineRule="exact"/>
              <w:ind w:left="-25" w:right="-25"/>
              <w:jc w:val="center"/>
              <w:rPr>
                <w:rFonts w:eastAsiaTheme="minorEastAsia"/>
                <w:szCs w:val="21"/>
              </w:rPr>
            </w:pPr>
            <w:r>
              <w:rPr>
                <w:rFonts w:hint="eastAsia" w:eastAsiaTheme="minorEastAsia"/>
                <w:szCs w:val="21"/>
              </w:rPr>
              <w:t xml:space="preserve">主导产业 </w:t>
            </w:r>
          </w:p>
        </w:tc>
        <w:tc>
          <w:tcPr>
            <w:tcW w:w="679" w:type="dxa"/>
            <w:shd w:val="clear" w:color="auto" w:fill="auto"/>
            <w:noWrap/>
            <w:vAlign w:val="center"/>
          </w:tcPr>
          <w:p w14:paraId="677B0ADB">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6DB5DE64">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26489BBB">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81C390B">
            <w:pPr>
              <w:widowControl/>
              <w:spacing w:line="320" w:lineRule="exact"/>
              <w:ind w:left="-25" w:right="-25"/>
              <w:jc w:val="center"/>
              <w:rPr>
                <w:rFonts w:eastAsiaTheme="minorEastAsia"/>
                <w:szCs w:val="21"/>
              </w:rPr>
            </w:pPr>
            <w:r>
              <w:rPr>
                <w:rFonts w:hint="eastAsia" w:eastAsiaTheme="minorEastAsia"/>
                <w:szCs w:val="21"/>
              </w:rPr>
              <w:t xml:space="preserve">大 </w:t>
            </w:r>
          </w:p>
        </w:tc>
        <w:tc>
          <w:tcPr>
            <w:tcW w:w="850" w:type="dxa"/>
            <w:shd w:val="clear" w:color="auto" w:fill="auto"/>
            <w:noWrap/>
            <w:vAlign w:val="center"/>
          </w:tcPr>
          <w:p w14:paraId="074BCD2B">
            <w:pPr>
              <w:widowControl/>
              <w:spacing w:line="320" w:lineRule="exact"/>
              <w:ind w:left="-25" w:right="-25"/>
              <w:jc w:val="center"/>
              <w:rPr>
                <w:rFonts w:eastAsiaTheme="minorEastAsia"/>
                <w:szCs w:val="21"/>
              </w:rPr>
            </w:pPr>
            <w:r>
              <w:rPr>
                <w:rFonts w:hint="eastAsia" w:eastAsiaTheme="minorEastAsia"/>
                <w:szCs w:val="21"/>
              </w:rPr>
              <w:t>/</w:t>
            </w:r>
          </w:p>
        </w:tc>
        <w:tc>
          <w:tcPr>
            <w:tcW w:w="1616" w:type="dxa"/>
            <w:shd w:val="clear" w:color="auto" w:fill="auto"/>
            <w:noWrap/>
            <w:vAlign w:val="center"/>
          </w:tcPr>
          <w:p w14:paraId="04A4C070">
            <w:pPr>
              <w:widowControl/>
              <w:spacing w:line="320" w:lineRule="exact"/>
              <w:ind w:left="-25" w:right="-25"/>
              <w:jc w:val="center"/>
              <w:rPr>
                <w:rFonts w:eastAsiaTheme="minorEastAsia"/>
                <w:szCs w:val="21"/>
              </w:rPr>
            </w:pPr>
            <w:r>
              <w:rPr>
                <w:rFonts w:hint="eastAsia" w:eastAsiaTheme="minorEastAsia"/>
                <w:szCs w:val="21"/>
              </w:rPr>
              <w:t>产业园规划</w:t>
            </w:r>
          </w:p>
        </w:tc>
      </w:tr>
      <w:tr w14:paraId="50937C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1798AB36">
            <w:pPr>
              <w:widowControl/>
              <w:spacing w:line="320" w:lineRule="exact"/>
              <w:ind w:left="-25" w:right="-25"/>
              <w:jc w:val="center"/>
              <w:rPr>
                <w:rFonts w:eastAsiaTheme="minorEastAsia"/>
                <w:szCs w:val="21"/>
              </w:rPr>
            </w:pPr>
          </w:p>
        </w:tc>
        <w:tc>
          <w:tcPr>
            <w:tcW w:w="1097" w:type="dxa"/>
            <w:shd w:val="clear" w:color="auto" w:fill="auto"/>
            <w:noWrap/>
            <w:vAlign w:val="center"/>
          </w:tcPr>
          <w:p w14:paraId="0BFE31D6">
            <w:pPr>
              <w:widowControl/>
              <w:spacing w:line="320" w:lineRule="exact"/>
              <w:ind w:left="-25" w:right="-25"/>
              <w:jc w:val="center"/>
              <w:rPr>
                <w:rFonts w:eastAsiaTheme="minorEastAsia"/>
                <w:szCs w:val="21"/>
              </w:rPr>
            </w:pPr>
            <w:r>
              <w:rPr>
                <w:rFonts w:hint="eastAsia" w:eastAsiaTheme="minorEastAsia"/>
                <w:szCs w:val="21"/>
              </w:rPr>
              <w:t>交通运输</w:t>
            </w:r>
          </w:p>
        </w:tc>
        <w:tc>
          <w:tcPr>
            <w:tcW w:w="1418" w:type="dxa"/>
            <w:shd w:val="clear" w:color="auto" w:fill="auto"/>
            <w:noWrap/>
            <w:vAlign w:val="center"/>
          </w:tcPr>
          <w:p w14:paraId="0261F9A4">
            <w:pPr>
              <w:widowControl/>
              <w:spacing w:line="320" w:lineRule="exact"/>
              <w:ind w:left="-25" w:right="-25"/>
              <w:jc w:val="center"/>
              <w:rPr>
                <w:rFonts w:eastAsiaTheme="minorEastAsia"/>
                <w:szCs w:val="21"/>
              </w:rPr>
            </w:pPr>
            <w:r>
              <w:rPr>
                <w:rFonts w:hint="eastAsia" w:eastAsiaTheme="minorEastAsia"/>
                <w:szCs w:val="21"/>
              </w:rPr>
              <w:t xml:space="preserve">路网密度 </w:t>
            </w:r>
          </w:p>
        </w:tc>
        <w:tc>
          <w:tcPr>
            <w:tcW w:w="679" w:type="dxa"/>
            <w:shd w:val="clear" w:color="auto" w:fill="auto"/>
            <w:noWrap/>
            <w:vAlign w:val="center"/>
          </w:tcPr>
          <w:p w14:paraId="439889ED">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731892AE">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5ECA4885">
            <w:pPr>
              <w:widowControl/>
              <w:spacing w:line="320" w:lineRule="exact"/>
              <w:ind w:left="-25" w:right="-25"/>
              <w:jc w:val="center"/>
              <w:rPr>
                <w:rFonts w:eastAsiaTheme="minorEastAsia"/>
                <w:szCs w:val="21"/>
              </w:rPr>
            </w:pPr>
            <w:r>
              <w:rPr>
                <w:rFonts w:hint="eastAsia" w:eastAsiaTheme="minorEastAsia"/>
                <w:szCs w:val="21"/>
              </w:rPr>
              <w:t>短</w:t>
            </w:r>
          </w:p>
        </w:tc>
        <w:tc>
          <w:tcPr>
            <w:tcW w:w="709" w:type="dxa"/>
            <w:shd w:val="clear" w:color="auto" w:fill="auto"/>
            <w:noWrap/>
            <w:vAlign w:val="center"/>
          </w:tcPr>
          <w:p w14:paraId="689C9F60">
            <w:pPr>
              <w:widowControl/>
              <w:spacing w:line="320" w:lineRule="exact"/>
              <w:ind w:left="-25" w:right="-25"/>
              <w:jc w:val="center"/>
              <w:rPr>
                <w:rFonts w:eastAsiaTheme="minorEastAsia"/>
                <w:szCs w:val="21"/>
              </w:rPr>
            </w:pPr>
            <w:r>
              <w:rPr>
                <w:rFonts w:hint="eastAsia" w:eastAsiaTheme="minorEastAsia"/>
                <w:szCs w:val="21"/>
              </w:rPr>
              <w:t xml:space="preserve">局部 </w:t>
            </w:r>
          </w:p>
        </w:tc>
        <w:tc>
          <w:tcPr>
            <w:tcW w:w="850" w:type="dxa"/>
            <w:shd w:val="clear" w:color="auto" w:fill="auto"/>
            <w:noWrap/>
            <w:vAlign w:val="center"/>
          </w:tcPr>
          <w:p w14:paraId="331CF0D5">
            <w:pPr>
              <w:widowControl/>
              <w:spacing w:line="320" w:lineRule="exact"/>
              <w:ind w:left="-25" w:right="-25"/>
              <w:jc w:val="center"/>
              <w:rPr>
                <w:rFonts w:eastAsiaTheme="minorEastAsia"/>
                <w:szCs w:val="21"/>
              </w:rPr>
            </w:pPr>
            <w:r>
              <w:rPr>
                <w:rFonts w:hint="eastAsia" w:eastAsiaTheme="minorEastAsia"/>
                <w:szCs w:val="21"/>
              </w:rPr>
              <w:t>/</w:t>
            </w:r>
          </w:p>
        </w:tc>
        <w:tc>
          <w:tcPr>
            <w:tcW w:w="1616" w:type="dxa"/>
            <w:shd w:val="clear" w:color="auto" w:fill="auto"/>
            <w:noWrap/>
            <w:vAlign w:val="center"/>
          </w:tcPr>
          <w:p w14:paraId="7433AE0D">
            <w:pPr>
              <w:widowControl/>
              <w:spacing w:line="320" w:lineRule="exact"/>
              <w:ind w:left="-25" w:right="-25"/>
              <w:jc w:val="center"/>
              <w:rPr>
                <w:rFonts w:eastAsiaTheme="minorEastAsia"/>
                <w:szCs w:val="21"/>
              </w:rPr>
            </w:pPr>
            <w:r>
              <w:rPr>
                <w:rFonts w:hint="eastAsia" w:eastAsiaTheme="minorEastAsia"/>
                <w:szCs w:val="21"/>
              </w:rPr>
              <w:t>产业园规划</w:t>
            </w:r>
          </w:p>
        </w:tc>
      </w:tr>
      <w:tr w14:paraId="67300B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460075C6">
            <w:pPr>
              <w:widowControl/>
              <w:spacing w:line="320" w:lineRule="exact"/>
              <w:ind w:left="-25" w:right="-25"/>
              <w:jc w:val="center"/>
              <w:rPr>
                <w:rFonts w:eastAsiaTheme="minorEastAsia"/>
                <w:szCs w:val="21"/>
              </w:rPr>
            </w:pPr>
          </w:p>
        </w:tc>
        <w:tc>
          <w:tcPr>
            <w:tcW w:w="1097" w:type="dxa"/>
            <w:shd w:val="clear" w:color="auto" w:fill="auto"/>
            <w:noWrap/>
            <w:vAlign w:val="center"/>
          </w:tcPr>
          <w:p w14:paraId="0B76C305">
            <w:pPr>
              <w:widowControl/>
              <w:spacing w:line="320" w:lineRule="exact"/>
              <w:ind w:left="-25" w:right="-25"/>
              <w:jc w:val="center"/>
              <w:rPr>
                <w:rFonts w:eastAsiaTheme="minorEastAsia"/>
                <w:szCs w:val="21"/>
              </w:rPr>
            </w:pPr>
            <w:r>
              <w:rPr>
                <w:rFonts w:hint="eastAsia" w:eastAsiaTheme="minorEastAsia"/>
                <w:szCs w:val="21"/>
              </w:rPr>
              <w:t>土地利用</w:t>
            </w:r>
          </w:p>
        </w:tc>
        <w:tc>
          <w:tcPr>
            <w:tcW w:w="1418" w:type="dxa"/>
            <w:shd w:val="clear" w:color="auto" w:fill="auto"/>
            <w:noWrap/>
            <w:vAlign w:val="center"/>
          </w:tcPr>
          <w:p w14:paraId="76719BB4">
            <w:pPr>
              <w:widowControl/>
              <w:spacing w:line="320" w:lineRule="exact"/>
              <w:ind w:left="-25" w:right="-25"/>
              <w:jc w:val="center"/>
              <w:rPr>
                <w:rFonts w:eastAsiaTheme="minorEastAsia"/>
                <w:szCs w:val="21"/>
              </w:rPr>
            </w:pPr>
            <w:r>
              <w:rPr>
                <w:rFonts w:hint="eastAsia" w:eastAsiaTheme="minorEastAsia"/>
                <w:szCs w:val="21"/>
              </w:rPr>
              <w:t xml:space="preserve">土地开发利用 </w:t>
            </w:r>
          </w:p>
        </w:tc>
        <w:tc>
          <w:tcPr>
            <w:tcW w:w="679" w:type="dxa"/>
            <w:shd w:val="clear" w:color="auto" w:fill="auto"/>
            <w:noWrap/>
            <w:vAlign w:val="center"/>
          </w:tcPr>
          <w:p w14:paraId="4EA53A30">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4921643E">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49C576DB">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2655AAA">
            <w:pPr>
              <w:widowControl/>
              <w:spacing w:line="320" w:lineRule="exact"/>
              <w:ind w:left="-25" w:right="-25"/>
              <w:jc w:val="center"/>
              <w:rPr>
                <w:rFonts w:eastAsiaTheme="minorEastAsia"/>
                <w:szCs w:val="21"/>
              </w:rPr>
            </w:pPr>
            <w:r>
              <w:rPr>
                <w:rFonts w:hint="eastAsia" w:eastAsiaTheme="minorEastAsia"/>
                <w:szCs w:val="21"/>
              </w:rPr>
              <w:t>大</w:t>
            </w:r>
          </w:p>
        </w:tc>
        <w:tc>
          <w:tcPr>
            <w:tcW w:w="850" w:type="dxa"/>
            <w:shd w:val="clear" w:color="auto" w:fill="auto"/>
            <w:noWrap/>
            <w:vAlign w:val="center"/>
          </w:tcPr>
          <w:p w14:paraId="56E26A7C">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73168F27">
            <w:pPr>
              <w:widowControl/>
              <w:spacing w:line="320" w:lineRule="exact"/>
              <w:ind w:left="-25" w:right="-25"/>
              <w:jc w:val="center"/>
              <w:rPr>
                <w:rFonts w:eastAsiaTheme="minorEastAsia"/>
                <w:szCs w:val="21"/>
              </w:rPr>
            </w:pPr>
            <w:r>
              <w:rPr>
                <w:rFonts w:hint="eastAsia" w:eastAsiaTheme="minorEastAsia"/>
                <w:szCs w:val="21"/>
              </w:rPr>
              <w:t>产业园规划</w:t>
            </w:r>
          </w:p>
        </w:tc>
      </w:tr>
      <w:tr w14:paraId="523F41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restart"/>
            <w:shd w:val="clear" w:color="auto" w:fill="auto"/>
            <w:noWrap/>
            <w:vAlign w:val="center"/>
          </w:tcPr>
          <w:p w14:paraId="4D8F6B91">
            <w:pPr>
              <w:widowControl/>
              <w:spacing w:line="320" w:lineRule="exact"/>
              <w:ind w:left="-25" w:right="-25"/>
              <w:jc w:val="center"/>
              <w:rPr>
                <w:rFonts w:eastAsiaTheme="minorEastAsia"/>
                <w:szCs w:val="21"/>
              </w:rPr>
            </w:pPr>
            <w:r>
              <w:rPr>
                <w:rFonts w:hint="eastAsia" w:eastAsiaTheme="minorEastAsia"/>
                <w:szCs w:val="21"/>
              </w:rPr>
              <w:t>自然环境</w:t>
            </w:r>
          </w:p>
        </w:tc>
        <w:tc>
          <w:tcPr>
            <w:tcW w:w="1097" w:type="dxa"/>
            <w:vMerge w:val="restart"/>
            <w:shd w:val="clear" w:color="auto" w:fill="auto"/>
            <w:noWrap/>
            <w:vAlign w:val="center"/>
          </w:tcPr>
          <w:p w14:paraId="4720723B">
            <w:pPr>
              <w:widowControl/>
              <w:spacing w:line="320" w:lineRule="exact"/>
              <w:ind w:left="-25" w:right="-25"/>
              <w:jc w:val="center"/>
              <w:rPr>
                <w:rFonts w:eastAsiaTheme="minorEastAsia"/>
                <w:szCs w:val="21"/>
              </w:rPr>
            </w:pPr>
            <w:r>
              <w:rPr>
                <w:rFonts w:hint="eastAsia" w:eastAsiaTheme="minorEastAsia"/>
                <w:szCs w:val="21"/>
              </w:rPr>
              <w:t>水环境</w:t>
            </w:r>
          </w:p>
        </w:tc>
        <w:tc>
          <w:tcPr>
            <w:tcW w:w="1418" w:type="dxa"/>
            <w:shd w:val="clear" w:color="auto" w:fill="auto"/>
            <w:noWrap/>
            <w:vAlign w:val="center"/>
          </w:tcPr>
          <w:p w14:paraId="7CDC8E5E">
            <w:pPr>
              <w:widowControl/>
              <w:spacing w:line="320" w:lineRule="exact"/>
              <w:ind w:left="-25" w:right="-25"/>
              <w:jc w:val="center"/>
              <w:rPr>
                <w:rFonts w:eastAsiaTheme="minorEastAsia"/>
                <w:szCs w:val="21"/>
              </w:rPr>
            </w:pPr>
            <w:r>
              <w:rPr>
                <w:rFonts w:hint="eastAsia" w:eastAsiaTheme="minorEastAsia"/>
                <w:szCs w:val="21"/>
              </w:rPr>
              <w:t xml:space="preserve">地表水水质 </w:t>
            </w:r>
          </w:p>
        </w:tc>
        <w:tc>
          <w:tcPr>
            <w:tcW w:w="679" w:type="dxa"/>
            <w:shd w:val="clear" w:color="auto" w:fill="auto"/>
            <w:noWrap/>
            <w:vAlign w:val="center"/>
          </w:tcPr>
          <w:p w14:paraId="35EADF7E">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02AC607B">
            <w:pPr>
              <w:widowControl/>
              <w:spacing w:line="320" w:lineRule="exact"/>
              <w:ind w:left="-25" w:right="-25"/>
              <w:jc w:val="center"/>
              <w:rPr>
                <w:rFonts w:eastAsiaTheme="minorEastAsia"/>
                <w:szCs w:val="21"/>
              </w:rPr>
            </w:pPr>
            <w:r>
              <w:rPr>
                <w:rFonts w:hint="eastAsia" w:eastAsiaTheme="minorEastAsia"/>
                <w:szCs w:val="21"/>
              </w:rPr>
              <w:t>轻</w:t>
            </w:r>
          </w:p>
        </w:tc>
        <w:tc>
          <w:tcPr>
            <w:tcW w:w="709" w:type="dxa"/>
            <w:shd w:val="clear" w:color="auto" w:fill="auto"/>
            <w:noWrap/>
            <w:vAlign w:val="center"/>
          </w:tcPr>
          <w:p w14:paraId="437254EE">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3A342C76">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7A6B733B">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3C1BD920">
            <w:pPr>
              <w:widowControl/>
              <w:spacing w:line="320" w:lineRule="exact"/>
              <w:ind w:left="-25" w:right="-25"/>
              <w:jc w:val="center"/>
              <w:rPr>
                <w:rFonts w:eastAsiaTheme="minorEastAsia"/>
                <w:szCs w:val="21"/>
              </w:rPr>
            </w:pPr>
            <w:r>
              <w:rPr>
                <w:rFonts w:hint="eastAsia" w:eastAsiaTheme="minorEastAsia"/>
                <w:szCs w:val="21"/>
              </w:rPr>
              <w:t>工业废水、生活污水</w:t>
            </w:r>
          </w:p>
        </w:tc>
      </w:tr>
      <w:tr w14:paraId="590C34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7A1E3EDD">
            <w:pPr>
              <w:widowControl/>
              <w:spacing w:line="320" w:lineRule="exact"/>
              <w:ind w:left="-25" w:right="-25"/>
              <w:jc w:val="center"/>
              <w:rPr>
                <w:rFonts w:eastAsiaTheme="minorEastAsia"/>
                <w:szCs w:val="21"/>
              </w:rPr>
            </w:pPr>
          </w:p>
        </w:tc>
        <w:tc>
          <w:tcPr>
            <w:tcW w:w="1097" w:type="dxa"/>
            <w:vMerge w:val="continue"/>
            <w:vAlign w:val="center"/>
          </w:tcPr>
          <w:p w14:paraId="6A6BC8A9">
            <w:pPr>
              <w:widowControl/>
              <w:spacing w:line="320" w:lineRule="exact"/>
              <w:ind w:left="-25" w:right="-25"/>
              <w:jc w:val="center"/>
              <w:rPr>
                <w:rFonts w:eastAsiaTheme="minorEastAsia"/>
                <w:szCs w:val="21"/>
              </w:rPr>
            </w:pPr>
          </w:p>
        </w:tc>
        <w:tc>
          <w:tcPr>
            <w:tcW w:w="1418" w:type="dxa"/>
            <w:shd w:val="clear" w:color="auto" w:fill="auto"/>
            <w:noWrap/>
            <w:vAlign w:val="center"/>
          </w:tcPr>
          <w:p w14:paraId="5B524314">
            <w:pPr>
              <w:widowControl/>
              <w:spacing w:line="320" w:lineRule="exact"/>
              <w:ind w:left="-25" w:right="-25"/>
              <w:jc w:val="center"/>
              <w:rPr>
                <w:rFonts w:eastAsiaTheme="minorEastAsia"/>
                <w:szCs w:val="21"/>
              </w:rPr>
            </w:pPr>
            <w:r>
              <w:rPr>
                <w:rFonts w:hint="eastAsia" w:eastAsiaTheme="minorEastAsia"/>
                <w:szCs w:val="21"/>
              </w:rPr>
              <w:t xml:space="preserve">地下水水质 </w:t>
            </w:r>
          </w:p>
        </w:tc>
        <w:tc>
          <w:tcPr>
            <w:tcW w:w="679" w:type="dxa"/>
            <w:shd w:val="clear" w:color="auto" w:fill="auto"/>
            <w:noWrap/>
            <w:vAlign w:val="center"/>
          </w:tcPr>
          <w:p w14:paraId="20C2A899">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323EF7D4">
            <w:pPr>
              <w:widowControl/>
              <w:spacing w:line="320" w:lineRule="exact"/>
              <w:ind w:left="-25" w:right="-25"/>
              <w:jc w:val="center"/>
              <w:rPr>
                <w:rFonts w:eastAsiaTheme="minorEastAsia"/>
                <w:szCs w:val="21"/>
              </w:rPr>
            </w:pPr>
            <w:r>
              <w:rPr>
                <w:rFonts w:hint="eastAsia" w:eastAsiaTheme="minorEastAsia"/>
                <w:szCs w:val="21"/>
              </w:rPr>
              <w:t>轻</w:t>
            </w:r>
          </w:p>
        </w:tc>
        <w:tc>
          <w:tcPr>
            <w:tcW w:w="709" w:type="dxa"/>
            <w:shd w:val="clear" w:color="auto" w:fill="auto"/>
            <w:noWrap/>
            <w:vAlign w:val="center"/>
          </w:tcPr>
          <w:p w14:paraId="57DC8A12">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7759256">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6E5E5BB8">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4F6FBFA5">
            <w:pPr>
              <w:widowControl/>
              <w:spacing w:line="320" w:lineRule="exact"/>
              <w:ind w:left="-25" w:right="-25"/>
              <w:jc w:val="center"/>
              <w:rPr>
                <w:rFonts w:eastAsiaTheme="minorEastAsia"/>
                <w:szCs w:val="21"/>
              </w:rPr>
            </w:pPr>
            <w:r>
              <w:rPr>
                <w:rFonts w:hint="eastAsia" w:eastAsiaTheme="minorEastAsia"/>
                <w:szCs w:val="21"/>
              </w:rPr>
              <w:t>工业废水、生活污水、固废暂存场</w:t>
            </w:r>
          </w:p>
        </w:tc>
      </w:tr>
      <w:tr w14:paraId="09DAA2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5FF95882">
            <w:pPr>
              <w:widowControl/>
              <w:spacing w:line="320" w:lineRule="exact"/>
              <w:ind w:left="-25" w:right="-25"/>
              <w:jc w:val="center"/>
              <w:rPr>
                <w:rFonts w:eastAsiaTheme="minorEastAsia"/>
                <w:szCs w:val="21"/>
              </w:rPr>
            </w:pPr>
          </w:p>
        </w:tc>
        <w:tc>
          <w:tcPr>
            <w:tcW w:w="1097" w:type="dxa"/>
            <w:vMerge w:val="continue"/>
            <w:vAlign w:val="center"/>
          </w:tcPr>
          <w:p w14:paraId="1CEFC8ED">
            <w:pPr>
              <w:widowControl/>
              <w:spacing w:line="320" w:lineRule="exact"/>
              <w:ind w:left="-25" w:right="-25"/>
              <w:jc w:val="center"/>
              <w:rPr>
                <w:rFonts w:eastAsiaTheme="minorEastAsia"/>
                <w:szCs w:val="21"/>
              </w:rPr>
            </w:pPr>
          </w:p>
        </w:tc>
        <w:tc>
          <w:tcPr>
            <w:tcW w:w="1418" w:type="dxa"/>
            <w:shd w:val="clear" w:color="auto" w:fill="auto"/>
            <w:noWrap/>
            <w:vAlign w:val="center"/>
          </w:tcPr>
          <w:p w14:paraId="0278DF2F">
            <w:pPr>
              <w:widowControl/>
              <w:spacing w:line="320" w:lineRule="exact"/>
              <w:ind w:left="-25" w:right="-25"/>
              <w:jc w:val="center"/>
              <w:rPr>
                <w:rFonts w:eastAsiaTheme="minorEastAsia"/>
                <w:szCs w:val="21"/>
              </w:rPr>
            </w:pPr>
            <w:r>
              <w:rPr>
                <w:rFonts w:hint="eastAsia" w:eastAsiaTheme="minorEastAsia"/>
                <w:szCs w:val="21"/>
              </w:rPr>
              <w:t xml:space="preserve">水土流失率 </w:t>
            </w:r>
          </w:p>
        </w:tc>
        <w:tc>
          <w:tcPr>
            <w:tcW w:w="679" w:type="dxa"/>
            <w:shd w:val="clear" w:color="auto" w:fill="auto"/>
            <w:noWrap/>
            <w:vAlign w:val="center"/>
          </w:tcPr>
          <w:p w14:paraId="6C8941D3">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35D88DC7">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0B9E7205">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233A78CF">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2FA0EB05">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4DD20FE2">
            <w:pPr>
              <w:widowControl/>
              <w:spacing w:line="320" w:lineRule="exact"/>
              <w:ind w:left="-25" w:right="-25"/>
              <w:jc w:val="center"/>
              <w:rPr>
                <w:rFonts w:eastAsiaTheme="minorEastAsia"/>
                <w:szCs w:val="21"/>
              </w:rPr>
            </w:pPr>
            <w:r>
              <w:rPr>
                <w:rFonts w:hint="eastAsia" w:eastAsiaTheme="minorEastAsia"/>
                <w:szCs w:val="21"/>
              </w:rPr>
              <w:t>地表开挖等</w:t>
            </w:r>
          </w:p>
        </w:tc>
      </w:tr>
      <w:tr w14:paraId="4BDFC9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7712D3B7">
            <w:pPr>
              <w:widowControl/>
              <w:spacing w:line="320" w:lineRule="exact"/>
              <w:ind w:left="-25" w:right="-25"/>
              <w:jc w:val="center"/>
              <w:rPr>
                <w:rFonts w:eastAsiaTheme="minorEastAsia"/>
                <w:szCs w:val="21"/>
              </w:rPr>
            </w:pPr>
          </w:p>
        </w:tc>
        <w:tc>
          <w:tcPr>
            <w:tcW w:w="1097" w:type="dxa"/>
            <w:shd w:val="clear" w:color="auto" w:fill="auto"/>
            <w:noWrap/>
            <w:vAlign w:val="center"/>
          </w:tcPr>
          <w:p w14:paraId="1AD4A185">
            <w:pPr>
              <w:widowControl/>
              <w:spacing w:line="320" w:lineRule="exact"/>
              <w:ind w:left="-25" w:right="-25"/>
              <w:jc w:val="center"/>
              <w:rPr>
                <w:rFonts w:eastAsiaTheme="minorEastAsia"/>
                <w:szCs w:val="21"/>
              </w:rPr>
            </w:pPr>
            <w:r>
              <w:rPr>
                <w:rFonts w:hint="eastAsia" w:eastAsiaTheme="minorEastAsia"/>
                <w:szCs w:val="21"/>
              </w:rPr>
              <w:t>空气环境</w:t>
            </w:r>
          </w:p>
        </w:tc>
        <w:tc>
          <w:tcPr>
            <w:tcW w:w="1418" w:type="dxa"/>
            <w:shd w:val="clear" w:color="auto" w:fill="auto"/>
            <w:noWrap/>
            <w:vAlign w:val="center"/>
          </w:tcPr>
          <w:p w14:paraId="698981C3">
            <w:pPr>
              <w:widowControl/>
              <w:spacing w:line="320" w:lineRule="exact"/>
              <w:ind w:left="-25" w:right="-25"/>
              <w:jc w:val="center"/>
              <w:rPr>
                <w:rFonts w:eastAsiaTheme="minorEastAsia"/>
                <w:szCs w:val="21"/>
              </w:rPr>
            </w:pPr>
            <w:r>
              <w:rPr>
                <w:rFonts w:hint="eastAsia" w:eastAsiaTheme="minorEastAsia"/>
                <w:szCs w:val="21"/>
              </w:rPr>
              <w:t xml:space="preserve">大气质量 </w:t>
            </w:r>
          </w:p>
        </w:tc>
        <w:tc>
          <w:tcPr>
            <w:tcW w:w="679" w:type="dxa"/>
            <w:shd w:val="clear" w:color="auto" w:fill="auto"/>
            <w:noWrap/>
            <w:vAlign w:val="center"/>
          </w:tcPr>
          <w:p w14:paraId="0D4F10CD">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5FE1513A">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5EE5321C">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048383F6">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6CB26B29">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5FC050F8">
            <w:pPr>
              <w:widowControl/>
              <w:spacing w:line="320" w:lineRule="exact"/>
              <w:ind w:left="-25" w:right="-25"/>
              <w:jc w:val="center"/>
              <w:rPr>
                <w:rFonts w:eastAsiaTheme="minorEastAsia"/>
                <w:szCs w:val="21"/>
              </w:rPr>
            </w:pPr>
            <w:r>
              <w:rPr>
                <w:rFonts w:hint="eastAsia" w:eastAsiaTheme="minorEastAsia"/>
                <w:szCs w:val="21"/>
              </w:rPr>
              <w:t>工业废气、施工扬尘、车辆运输扬尘及尾气</w:t>
            </w:r>
          </w:p>
        </w:tc>
      </w:tr>
      <w:tr w14:paraId="3A0512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3FBEBC88">
            <w:pPr>
              <w:widowControl/>
              <w:spacing w:line="320" w:lineRule="exact"/>
              <w:ind w:left="-25" w:right="-25"/>
              <w:jc w:val="center"/>
              <w:rPr>
                <w:rFonts w:eastAsiaTheme="minorEastAsia"/>
                <w:szCs w:val="21"/>
              </w:rPr>
            </w:pPr>
          </w:p>
        </w:tc>
        <w:tc>
          <w:tcPr>
            <w:tcW w:w="1097" w:type="dxa"/>
            <w:vMerge w:val="restart"/>
            <w:shd w:val="clear" w:color="auto" w:fill="auto"/>
            <w:noWrap/>
            <w:vAlign w:val="center"/>
          </w:tcPr>
          <w:p w14:paraId="40BE0CCB">
            <w:pPr>
              <w:widowControl/>
              <w:spacing w:line="320" w:lineRule="exact"/>
              <w:ind w:left="-25" w:right="-25"/>
              <w:jc w:val="center"/>
              <w:rPr>
                <w:rFonts w:eastAsiaTheme="minorEastAsia"/>
                <w:szCs w:val="21"/>
              </w:rPr>
            </w:pPr>
            <w:r>
              <w:rPr>
                <w:rFonts w:hint="eastAsia" w:eastAsiaTheme="minorEastAsia"/>
                <w:szCs w:val="21"/>
              </w:rPr>
              <w:t>声环境</w:t>
            </w:r>
          </w:p>
        </w:tc>
        <w:tc>
          <w:tcPr>
            <w:tcW w:w="1418" w:type="dxa"/>
            <w:shd w:val="clear" w:color="auto" w:fill="auto"/>
            <w:noWrap/>
            <w:vAlign w:val="center"/>
          </w:tcPr>
          <w:p w14:paraId="6C0F4A2B">
            <w:pPr>
              <w:widowControl/>
              <w:spacing w:line="320" w:lineRule="exact"/>
              <w:ind w:left="-25" w:right="-25"/>
              <w:jc w:val="center"/>
              <w:rPr>
                <w:rFonts w:eastAsiaTheme="minorEastAsia"/>
                <w:szCs w:val="21"/>
              </w:rPr>
            </w:pPr>
            <w:r>
              <w:rPr>
                <w:rFonts w:hint="eastAsia" w:eastAsiaTheme="minorEastAsia"/>
                <w:szCs w:val="21"/>
              </w:rPr>
              <w:t xml:space="preserve">区内噪声 </w:t>
            </w:r>
          </w:p>
        </w:tc>
        <w:tc>
          <w:tcPr>
            <w:tcW w:w="679" w:type="dxa"/>
            <w:shd w:val="clear" w:color="auto" w:fill="auto"/>
            <w:noWrap/>
            <w:vAlign w:val="center"/>
          </w:tcPr>
          <w:p w14:paraId="57CD8B0A">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67C00E22">
            <w:pPr>
              <w:widowControl/>
              <w:spacing w:line="320" w:lineRule="exact"/>
              <w:ind w:left="-25" w:right="-25"/>
              <w:jc w:val="center"/>
              <w:rPr>
                <w:rFonts w:eastAsiaTheme="minorEastAsia"/>
                <w:szCs w:val="21"/>
              </w:rPr>
            </w:pPr>
            <w:r>
              <w:rPr>
                <w:rFonts w:hint="eastAsia" w:eastAsiaTheme="minorEastAsia"/>
                <w:szCs w:val="21"/>
              </w:rPr>
              <w:t>轻</w:t>
            </w:r>
          </w:p>
        </w:tc>
        <w:tc>
          <w:tcPr>
            <w:tcW w:w="709" w:type="dxa"/>
            <w:shd w:val="clear" w:color="auto" w:fill="auto"/>
            <w:noWrap/>
            <w:vAlign w:val="center"/>
          </w:tcPr>
          <w:p w14:paraId="78F0BE82">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D3C7665">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5A87292B">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219F9054">
            <w:pPr>
              <w:widowControl/>
              <w:spacing w:line="320" w:lineRule="exact"/>
              <w:ind w:left="-25" w:right="-25"/>
              <w:jc w:val="center"/>
              <w:rPr>
                <w:rFonts w:eastAsiaTheme="minorEastAsia"/>
                <w:szCs w:val="21"/>
              </w:rPr>
            </w:pPr>
            <w:r>
              <w:rPr>
                <w:rFonts w:hint="eastAsia" w:eastAsiaTheme="minorEastAsia"/>
                <w:szCs w:val="21"/>
              </w:rPr>
              <w:t>工业噪声</w:t>
            </w:r>
          </w:p>
        </w:tc>
      </w:tr>
      <w:tr w14:paraId="3EEDCA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48CC2C8E">
            <w:pPr>
              <w:widowControl/>
              <w:spacing w:line="320" w:lineRule="exact"/>
              <w:ind w:left="-25" w:right="-25"/>
              <w:jc w:val="center"/>
              <w:rPr>
                <w:rFonts w:eastAsiaTheme="minorEastAsia"/>
                <w:szCs w:val="21"/>
              </w:rPr>
            </w:pPr>
          </w:p>
        </w:tc>
        <w:tc>
          <w:tcPr>
            <w:tcW w:w="1097" w:type="dxa"/>
            <w:vMerge w:val="continue"/>
            <w:vAlign w:val="center"/>
          </w:tcPr>
          <w:p w14:paraId="7CF600ED">
            <w:pPr>
              <w:widowControl/>
              <w:spacing w:line="320" w:lineRule="exact"/>
              <w:ind w:left="-25" w:right="-25"/>
              <w:jc w:val="center"/>
              <w:rPr>
                <w:rFonts w:eastAsiaTheme="minorEastAsia"/>
                <w:szCs w:val="21"/>
              </w:rPr>
            </w:pPr>
          </w:p>
        </w:tc>
        <w:tc>
          <w:tcPr>
            <w:tcW w:w="1418" w:type="dxa"/>
            <w:shd w:val="clear" w:color="auto" w:fill="auto"/>
            <w:noWrap/>
            <w:vAlign w:val="center"/>
          </w:tcPr>
          <w:p w14:paraId="669969BC">
            <w:pPr>
              <w:widowControl/>
              <w:spacing w:line="320" w:lineRule="exact"/>
              <w:ind w:left="-25" w:right="-25"/>
              <w:jc w:val="center"/>
              <w:rPr>
                <w:rFonts w:eastAsiaTheme="minorEastAsia"/>
                <w:szCs w:val="21"/>
              </w:rPr>
            </w:pPr>
            <w:r>
              <w:rPr>
                <w:rFonts w:hint="eastAsia" w:eastAsiaTheme="minorEastAsia"/>
                <w:szCs w:val="21"/>
              </w:rPr>
              <w:t xml:space="preserve">交通噪声 </w:t>
            </w:r>
          </w:p>
        </w:tc>
        <w:tc>
          <w:tcPr>
            <w:tcW w:w="679" w:type="dxa"/>
            <w:shd w:val="clear" w:color="auto" w:fill="auto"/>
            <w:noWrap/>
            <w:vAlign w:val="center"/>
          </w:tcPr>
          <w:p w14:paraId="4FCEE4FD">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4953ADDE">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4BD9F2D1">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2CEFF3C6">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23C3A564">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28F4BC2C">
            <w:pPr>
              <w:widowControl/>
              <w:spacing w:line="320" w:lineRule="exact"/>
              <w:ind w:left="-25" w:right="-25"/>
              <w:jc w:val="center"/>
              <w:rPr>
                <w:rFonts w:eastAsiaTheme="minorEastAsia"/>
                <w:szCs w:val="21"/>
              </w:rPr>
            </w:pPr>
            <w:r>
              <w:rPr>
                <w:rFonts w:hint="eastAsia" w:eastAsiaTheme="minorEastAsia"/>
                <w:szCs w:val="21"/>
              </w:rPr>
              <w:t>汽车等交通工具</w:t>
            </w:r>
          </w:p>
        </w:tc>
      </w:tr>
      <w:tr w14:paraId="046D68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5C47ED0A">
            <w:pPr>
              <w:widowControl/>
              <w:spacing w:line="320" w:lineRule="exact"/>
              <w:ind w:left="-25" w:right="-25"/>
              <w:jc w:val="center"/>
              <w:rPr>
                <w:rFonts w:eastAsiaTheme="minorEastAsia"/>
                <w:szCs w:val="21"/>
              </w:rPr>
            </w:pPr>
          </w:p>
        </w:tc>
        <w:tc>
          <w:tcPr>
            <w:tcW w:w="1097" w:type="dxa"/>
            <w:shd w:val="clear" w:color="auto" w:fill="auto"/>
            <w:noWrap/>
            <w:vAlign w:val="center"/>
          </w:tcPr>
          <w:p w14:paraId="7F961AFB">
            <w:pPr>
              <w:widowControl/>
              <w:spacing w:line="320" w:lineRule="exact"/>
              <w:ind w:left="-25" w:right="-25"/>
              <w:jc w:val="center"/>
              <w:rPr>
                <w:rFonts w:eastAsiaTheme="minorEastAsia"/>
                <w:szCs w:val="21"/>
              </w:rPr>
            </w:pPr>
            <w:r>
              <w:rPr>
                <w:rFonts w:hint="eastAsia" w:eastAsiaTheme="minorEastAsia"/>
                <w:szCs w:val="21"/>
              </w:rPr>
              <w:t>土壤环境</w:t>
            </w:r>
          </w:p>
        </w:tc>
        <w:tc>
          <w:tcPr>
            <w:tcW w:w="1418" w:type="dxa"/>
            <w:shd w:val="clear" w:color="auto" w:fill="auto"/>
            <w:noWrap/>
            <w:vAlign w:val="center"/>
          </w:tcPr>
          <w:p w14:paraId="5606DA56">
            <w:pPr>
              <w:widowControl/>
              <w:spacing w:line="320" w:lineRule="exact"/>
              <w:ind w:left="-25" w:right="-25"/>
              <w:jc w:val="center"/>
              <w:rPr>
                <w:rFonts w:eastAsiaTheme="minorEastAsia"/>
                <w:szCs w:val="21"/>
              </w:rPr>
            </w:pPr>
            <w:r>
              <w:rPr>
                <w:rFonts w:hint="eastAsia" w:eastAsiaTheme="minorEastAsia"/>
                <w:szCs w:val="21"/>
              </w:rPr>
              <w:t xml:space="preserve">土壤环境质量 </w:t>
            </w:r>
          </w:p>
        </w:tc>
        <w:tc>
          <w:tcPr>
            <w:tcW w:w="679" w:type="dxa"/>
            <w:shd w:val="clear" w:color="auto" w:fill="auto"/>
            <w:noWrap/>
            <w:vAlign w:val="center"/>
          </w:tcPr>
          <w:p w14:paraId="774A9099">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2AD956AF">
            <w:pPr>
              <w:widowControl/>
              <w:spacing w:line="320" w:lineRule="exact"/>
              <w:ind w:left="-25" w:right="-25"/>
              <w:jc w:val="center"/>
              <w:rPr>
                <w:rFonts w:eastAsiaTheme="minorEastAsia"/>
                <w:szCs w:val="21"/>
              </w:rPr>
            </w:pPr>
            <w:r>
              <w:rPr>
                <w:rFonts w:hint="eastAsia" w:eastAsiaTheme="minorEastAsia"/>
                <w:szCs w:val="21"/>
              </w:rPr>
              <w:t>轻</w:t>
            </w:r>
          </w:p>
        </w:tc>
        <w:tc>
          <w:tcPr>
            <w:tcW w:w="709" w:type="dxa"/>
            <w:shd w:val="clear" w:color="auto" w:fill="auto"/>
            <w:noWrap/>
            <w:vAlign w:val="center"/>
          </w:tcPr>
          <w:p w14:paraId="6880C3C6">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2CD3776B">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7D901D56">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77119FF4">
            <w:pPr>
              <w:widowControl/>
              <w:spacing w:line="320" w:lineRule="exact"/>
              <w:ind w:left="-25" w:right="-25"/>
              <w:jc w:val="center"/>
              <w:rPr>
                <w:rFonts w:eastAsiaTheme="minorEastAsia"/>
                <w:szCs w:val="21"/>
              </w:rPr>
            </w:pPr>
            <w:r>
              <w:rPr>
                <w:rFonts w:hint="eastAsia" w:eastAsiaTheme="minorEastAsia"/>
                <w:szCs w:val="21"/>
              </w:rPr>
              <w:t>工业废水、工业固废等</w:t>
            </w:r>
          </w:p>
        </w:tc>
      </w:tr>
      <w:tr w14:paraId="47891E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632B7B96">
            <w:pPr>
              <w:widowControl/>
              <w:spacing w:line="320" w:lineRule="exact"/>
              <w:ind w:left="-25" w:right="-25"/>
              <w:jc w:val="center"/>
              <w:rPr>
                <w:rFonts w:eastAsiaTheme="minorEastAsia"/>
                <w:szCs w:val="21"/>
              </w:rPr>
            </w:pPr>
          </w:p>
        </w:tc>
        <w:tc>
          <w:tcPr>
            <w:tcW w:w="1097" w:type="dxa"/>
            <w:shd w:val="clear" w:color="auto" w:fill="auto"/>
            <w:noWrap/>
            <w:vAlign w:val="center"/>
          </w:tcPr>
          <w:p w14:paraId="52FB3CB4">
            <w:pPr>
              <w:widowControl/>
              <w:spacing w:line="320" w:lineRule="exact"/>
              <w:ind w:left="-25" w:right="-25"/>
              <w:jc w:val="center"/>
              <w:rPr>
                <w:rFonts w:eastAsiaTheme="minorEastAsia"/>
                <w:szCs w:val="21"/>
              </w:rPr>
            </w:pPr>
            <w:r>
              <w:rPr>
                <w:rFonts w:hint="eastAsia" w:eastAsiaTheme="minorEastAsia"/>
                <w:szCs w:val="21"/>
              </w:rPr>
              <w:t>固体废物</w:t>
            </w:r>
          </w:p>
        </w:tc>
        <w:tc>
          <w:tcPr>
            <w:tcW w:w="1418" w:type="dxa"/>
            <w:shd w:val="clear" w:color="auto" w:fill="auto"/>
            <w:noWrap/>
            <w:vAlign w:val="center"/>
          </w:tcPr>
          <w:p w14:paraId="1CB60C2E">
            <w:pPr>
              <w:widowControl/>
              <w:spacing w:line="320" w:lineRule="exact"/>
              <w:ind w:left="-25" w:right="-25"/>
              <w:jc w:val="center"/>
              <w:rPr>
                <w:rFonts w:eastAsiaTheme="minorEastAsia"/>
                <w:szCs w:val="21"/>
              </w:rPr>
            </w:pPr>
            <w:r>
              <w:rPr>
                <w:rFonts w:hint="eastAsia" w:eastAsiaTheme="minorEastAsia"/>
                <w:szCs w:val="21"/>
              </w:rPr>
              <w:t xml:space="preserve">固体废物综合利用和处置 </w:t>
            </w:r>
          </w:p>
        </w:tc>
        <w:tc>
          <w:tcPr>
            <w:tcW w:w="679" w:type="dxa"/>
            <w:shd w:val="clear" w:color="auto" w:fill="auto"/>
            <w:noWrap/>
            <w:vAlign w:val="center"/>
          </w:tcPr>
          <w:p w14:paraId="6570BD6C">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16CB9788">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0CEEFA62">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3122C6B">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758F4C06">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675E38A4">
            <w:pPr>
              <w:widowControl/>
              <w:spacing w:line="320" w:lineRule="exact"/>
              <w:ind w:left="-25" w:right="-25"/>
              <w:jc w:val="center"/>
              <w:rPr>
                <w:rFonts w:eastAsiaTheme="minorEastAsia"/>
                <w:szCs w:val="21"/>
              </w:rPr>
            </w:pPr>
            <w:r>
              <w:rPr>
                <w:rFonts w:hint="eastAsia" w:eastAsiaTheme="minorEastAsia"/>
                <w:szCs w:val="21"/>
              </w:rPr>
              <w:t>工业</w:t>
            </w:r>
          </w:p>
        </w:tc>
      </w:tr>
      <w:tr w14:paraId="69D334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187436AF">
            <w:pPr>
              <w:widowControl/>
              <w:spacing w:line="320" w:lineRule="exact"/>
              <w:ind w:left="-25" w:right="-25"/>
              <w:jc w:val="center"/>
              <w:rPr>
                <w:rFonts w:eastAsiaTheme="minorEastAsia"/>
                <w:szCs w:val="21"/>
              </w:rPr>
            </w:pPr>
          </w:p>
        </w:tc>
        <w:tc>
          <w:tcPr>
            <w:tcW w:w="1097" w:type="dxa"/>
            <w:vMerge w:val="restart"/>
            <w:shd w:val="clear" w:color="auto" w:fill="auto"/>
            <w:noWrap/>
            <w:vAlign w:val="center"/>
          </w:tcPr>
          <w:p w14:paraId="71979EC4">
            <w:pPr>
              <w:widowControl/>
              <w:spacing w:line="320" w:lineRule="exact"/>
              <w:ind w:left="-25" w:right="-25"/>
              <w:jc w:val="center"/>
              <w:rPr>
                <w:rFonts w:eastAsiaTheme="minorEastAsia"/>
                <w:szCs w:val="21"/>
              </w:rPr>
            </w:pPr>
            <w:r>
              <w:rPr>
                <w:rFonts w:hint="eastAsia" w:eastAsiaTheme="minorEastAsia"/>
                <w:szCs w:val="21"/>
              </w:rPr>
              <w:t>环境承载力</w:t>
            </w:r>
          </w:p>
        </w:tc>
        <w:tc>
          <w:tcPr>
            <w:tcW w:w="1418" w:type="dxa"/>
            <w:shd w:val="clear" w:color="auto" w:fill="auto"/>
            <w:noWrap/>
            <w:vAlign w:val="center"/>
          </w:tcPr>
          <w:p w14:paraId="0830B37F">
            <w:pPr>
              <w:widowControl/>
              <w:spacing w:line="320" w:lineRule="exact"/>
              <w:ind w:left="-25" w:right="-25"/>
              <w:jc w:val="center"/>
              <w:rPr>
                <w:rFonts w:eastAsiaTheme="minorEastAsia"/>
                <w:szCs w:val="21"/>
              </w:rPr>
            </w:pPr>
            <w:r>
              <w:rPr>
                <w:rFonts w:hint="eastAsia" w:eastAsiaTheme="minorEastAsia"/>
                <w:szCs w:val="21"/>
              </w:rPr>
              <w:t xml:space="preserve">水资源 </w:t>
            </w:r>
          </w:p>
        </w:tc>
        <w:tc>
          <w:tcPr>
            <w:tcW w:w="679" w:type="dxa"/>
            <w:shd w:val="clear" w:color="auto" w:fill="auto"/>
            <w:noWrap/>
            <w:vAlign w:val="center"/>
          </w:tcPr>
          <w:p w14:paraId="65450E12">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76CD3704">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78E4B558">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70026BE1">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069E26F8">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1AC1E7CA">
            <w:pPr>
              <w:widowControl/>
              <w:spacing w:line="320" w:lineRule="exact"/>
              <w:ind w:left="-25" w:right="-25"/>
              <w:jc w:val="center"/>
              <w:rPr>
                <w:rFonts w:eastAsiaTheme="minorEastAsia"/>
                <w:szCs w:val="21"/>
              </w:rPr>
            </w:pPr>
            <w:r>
              <w:rPr>
                <w:rFonts w:hint="eastAsia" w:eastAsiaTheme="minorEastAsia"/>
                <w:szCs w:val="21"/>
              </w:rPr>
              <w:t>工业、生活</w:t>
            </w:r>
          </w:p>
        </w:tc>
      </w:tr>
      <w:tr w14:paraId="68E8BB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1FDE6203">
            <w:pPr>
              <w:widowControl/>
              <w:spacing w:line="320" w:lineRule="exact"/>
              <w:ind w:left="-25" w:right="-25"/>
              <w:jc w:val="center"/>
              <w:rPr>
                <w:rFonts w:eastAsiaTheme="minorEastAsia"/>
                <w:szCs w:val="21"/>
              </w:rPr>
            </w:pPr>
          </w:p>
        </w:tc>
        <w:tc>
          <w:tcPr>
            <w:tcW w:w="1097" w:type="dxa"/>
            <w:vMerge w:val="continue"/>
            <w:vAlign w:val="center"/>
          </w:tcPr>
          <w:p w14:paraId="6FEF27E6">
            <w:pPr>
              <w:widowControl/>
              <w:spacing w:line="320" w:lineRule="exact"/>
              <w:ind w:left="-25" w:right="-25"/>
              <w:jc w:val="center"/>
              <w:rPr>
                <w:rFonts w:eastAsiaTheme="minorEastAsia"/>
                <w:szCs w:val="21"/>
              </w:rPr>
            </w:pPr>
          </w:p>
        </w:tc>
        <w:tc>
          <w:tcPr>
            <w:tcW w:w="1418" w:type="dxa"/>
            <w:shd w:val="clear" w:color="auto" w:fill="auto"/>
            <w:noWrap/>
            <w:vAlign w:val="center"/>
          </w:tcPr>
          <w:p w14:paraId="12FF4840">
            <w:pPr>
              <w:widowControl/>
              <w:spacing w:line="320" w:lineRule="exact"/>
              <w:ind w:left="-25" w:right="-25"/>
              <w:jc w:val="center"/>
              <w:rPr>
                <w:rFonts w:eastAsiaTheme="minorEastAsia"/>
                <w:szCs w:val="21"/>
              </w:rPr>
            </w:pPr>
            <w:r>
              <w:rPr>
                <w:rFonts w:hint="eastAsia" w:eastAsiaTheme="minorEastAsia"/>
                <w:szCs w:val="21"/>
              </w:rPr>
              <w:t xml:space="preserve">土地资源 </w:t>
            </w:r>
          </w:p>
        </w:tc>
        <w:tc>
          <w:tcPr>
            <w:tcW w:w="679" w:type="dxa"/>
            <w:shd w:val="clear" w:color="auto" w:fill="auto"/>
            <w:noWrap/>
            <w:vAlign w:val="center"/>
          </w:tcPr>
          <w:p w14:paraId="1BB9A491">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2DBC63AD">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43EFA1A3">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47DC0D61">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157D6706">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26150BC0">
            <w:pPr>
              <w:widowControl/>
              <w:spacing w:line="320" w:lineRule="exact"/>
              <w:ind w:left="-25" w:right="-25"/>
              <w:jc w:val="center"/>
              <w:rPr>
                <w:rFonts w:eastAsiaTheme="minorEastAsia"/>
                <w:szCs w:val="21"/>
              </w:rPr>
            </w:pPr>
            <w:r>
              <w:rPr>
                <w:rFonts w:hint="eastAsia" w:eastAsiaTheme="minorEastAsia"/>
                <w:szCs w:val="21"/>
              </w:rPr>
              <w:t>工业等开发</w:t>
            </w:r>
          </w:p>
        </w:tc>
      </w:tr>
      <w:tr w14:paraId="386139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1B49C133">
            <w:pPr>
              <w:widowControl/>
              <w:spacing w:line="320" w:lineRule="exact"/>
              <w:ind w:left="-25" w:right="-25"/>
              <w:jc w:val="center"/>
              <w:rPr>
                <w:rFonts w:eastAsiaTheme="minorEastAsia"/>
                <w:szCs w:val="21"/>
              </w:rPr>
            </w:pPr>
          </w:p>
        </w:tc>
        <w:tc>
          <w:tcPr>
            <w:tcW w:w="1097" w:type="dxa"/>
            <w:vMerge w:val="continue"/>
            <w:vAlign w:val="center"/>
          </w:tcPr>
          <w:p w14:paraId="51A12FB1">
            <w:pPr>
              <w:widowControl/>
              <w:spacing w:line="320" w:lineRule="exact"/>
              <w:ind w:left="-25" w:right="-25"/>
              <w:jc w:val="center"/>
              <w:rPr>
                <w:rFonts w:eastAsiaTheme="minorEastAsia"/>
                <w:szCs w:val="21"/>
              </w:rPr>
            </w:pPr>
          </w:p>
        </w:tc>
        <w:tc>
          <w:tcPr>
            <w:tcW w:w="1418" w:type="dxa"/>
            <w:shd w:val="clear" w:color="auto" w:fill="auto"/>
            <w:noWrap/>
            <w:vAlign w:val="center"/>
          </w:tcPr>
          <w:p w14:paraId="4870F52C">
            <w:pPr>
              <w:widowControl/>
              <w:spacing w:line="320" w:lineRule="exact"/>
              <w:ind w:left="-25" w:right="-25"/>
              <w:jc w:val="center"/>
              <w:rPr>
                <w:rFonts w:eastAsiaTheme="minorEastAsia"/>
                <w:szCs w:val="21"/>
              </w:rPr>
            </w:pPr>
            <w:r>
              <w:rPr>
                <w:rFonts w:hint="eastAsia" w:eastAsiaTheme="minorEastAsia"/>
                <w:szCs w:val="21"/>
              </w:rPr>
              <w:t xml:space="preserve">能源 </w:t>
            </w:r>
          </w:p>
        </w:tc>
        <w:tc>
          <w:tcPr>
            <w:tcW w:w="679" w:type="dxa"/>
            <w:shd w:val="clear" w:color="auto" w:fill="auto"/>
            <w:noWrap/>
            <w:vAlign w:val="center"/>
          </w:tcPr>
          <w:p w14:paraId="21C15E75">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6569ECAF">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507DF9BA">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6737C46D">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3A309546">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5952A2DE">
            <w:pPr>
              <w:widowControl/>
              <w:spacing w:line="320" w:lineRule="exact"/>
              <w:ind w:left="-25" w:right="-25"/>
              <w:jc w:val="center"/>
              <w:rPr>
                <w:rFonts w:eastAsiaTheme="minorEastAsia"/>
                <w:szCs w:val="21"/>
              </w:rPr>
            </w:pPr>
            <w:r>
              <w:rPr>
                <w:rFonts w:hint="eastAsia" w:eastAsiaTheme="minorEastAsia"/>
                <w:szCs w:val="21"/>
              </w:rPr>
              <w:t>工业、生活</w:t>
            </w:r>
          </w:p>
        </w:tc>
      </w:tr>
      <w:tr w14:paraId="063808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02421AAB">
            <w:pPr>
              <w:widowControl/>
              <w:spacing w:line="320" w:lineRule="exact"/>
              <w:ind w:left="-25" w:right="-25"/>
              <w:jc w:val="center"/>
              <w:rPr>
                <w:rFonts w:eastAsiaTheme="minorEastAsia"/>
                <w:szCs w:val="21"/>
              </w:rPr>
            </w:pPr>
          </w:p>
        </w:tc>
        <w:tc>
          <w:tcPr>
            <w:tcW w:w="1097" w:type="dxa"/>
            <w:vMerge w:val="restart"/>
            <w:shd w:val="clear" w:color="auto" w:fill="auto"/>
            <w:noWrap/>
            <w:vAlign w:val="center"/>
          </w:tcPr>
          <w:p w14:paraId="74515E52">
            <w:pPr>
              <w:widowControl/>
              <w:spacing w:line="320" w:lineRule="exact"/>
              <w:ind w:left="-25" w:right="-25"/>
              <w:jc w:val="center"/>
              <w:rPr>
                <w:rFonts w:eastAsiaTheme="minorEastAsia"/>
                <w:szCs w:val="21"/>
              </w:rPr>
            </w:pPr>
            <w:r>
              <w:rPr>
                <w:rFonts w:hint="eastAsia" w:eastAsiaTheme="minorEastAsia"/>
                <w:szCs w:val="21"/>
              </w:rPr>
              <w:t>环境容量</w:t>
            </w:r>
          </w:p>
        </w:tc>
        <w:tc>
          <w:tcPr>
            <w:tcW w:w="1418" w:type="dxa"/>
            <w:shd w:val="clear" w:color="auto" w:fill="auto"/>
            <w:noWrap/>
            <w:vAlign w:val="center"/>
          </w:tcPr>
          <w:p w14:paraId="69C96671">
            <w:pPr>
              <w:widowControl/>
              <w:spacing w:line="320" w:lineRule="exact"/>
              <w:ind w:left="-25" w:right="-25"/>
              <w:jc w:val="center"/>
              <w:rPr>
                <w:rFonts w:eastAsiaTheme="minorEastAsia"/>
                <w:szCs w:val="21"/>
              </w:rPr>
            </w:pPr>
            <w:r>
              <w:rPr>
                <w:rFonts w:hint="eastAsia" w:eastAsiaTheme="minorEastAsia"/>
                <w:szCs w:val="21"/>
              </w:rPr>
              <w:t xml:space="preserve">大气环境容量 </w:t>
            </w:r>
          </w:p>
        </w:tc>
        <w:tc>
          <w:tcPr>
            <w:tcW w:w="679" w:type="dxa"/>
            <w:shd w:val="clear" w:color="auto" w:fill="auto"/>
            <w:noWrap/>
            <w:vAlign w:val="center"/>
          </w:tcPr>
          <w:p w14:paraId="485E8469">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4C81063B">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067EC793">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1ACB85A4">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3332EDD2">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143615CE">
            <w:pPr>
              <w:widowControl/>
              <w:spacing w:line="320" w:lineRule="exact"/>
              <w:ind w:left="-25" w:right="-25"/>
              <w:jc w:val="center"/>
              <w:rPr>
                <w:rFonts w:eastAsiaTheme="minorEastAsia"/>
                <w:szCs w:val="21"/>
              </w:rPr>
            </w:pPr>
            <w:r>
              <w:rPr>
                <w:rFonts w:hint="eastAsia" w:eastAsiaTheme="minorEastAsia"/>
                <w:szCs w:val="21"/>
              </w:rPr>
              <w:t>工业、生活</w:t>
            </w:r>
          </w:p>
        </w:tc>
      </w:tr>
      <w:tr w14:paraId="25D11F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vAlign w:val="center"/>
          </w:tcPr>
          <w:p w14:paraId="4CA01226">
            <w:pPr>
              <w:widowControl/>
              <w:spacing w:line="320" w:lineRule="exact"/>
              <w:ind w:left="-25" w:right="-25"/>
              <w:jc w:val="center"/>
              <w:rPr>
                <w:rFonts w:eastAsiaTheme="minorEastAsia"/>
                <w:szCs w:val="21"/>
              </w:rPr>
            </w:pPr>
          </w:p>
        </w:tc>
        <w:tc>
          <w:tcPr>
            <w:tcW w:w="1097" w:type="dxa"/>
            <w:vMerge w:val="continue"/>
            <w:vAlign w:val="center"/>
          </w:tcPr>
          <w:p w14:paraId="42966D34">
            <w:pPr>
              <w:widowControl/>
              <w:spacing w:line="320" w:lineRule="exact"/>
              <w:ind w:left="-25" w:right="-25"/>
              <w:jc w:val="center"/>
              <w:rPr>
                <w:rFonts w:eastAsiaTheme="minorEastAsia"/>
                <w:szCs w:val="21"/>
              </w:rPr>
            </w:pPr>
          </w:p>
        </w:tc>
        <w:tc>
          <w:tcPr>
            <w:tcW w:w="1418" w:type="dxa"/>
            <w:shd w:val="clear" w:color="auto" w:fill="auto"/>
            <w:noWrap/>
            <w:vAlign w:val="center"/>
          </w:tcPr>
          <w:p w14:paraId="60269697">
            <w:pPr>
              <w:widowControl/>
              <w:spacing w:line="320" w:lineRule="exact"/>
              <w:ind w:left="-25" w:right="-25"/>
              <w:jc w:val="center"/>
              <w:rPr>
                <w:rFonts w:eastAsiaTheme="minorEastAsia"/>
                <w:szCs w:val="21"/>
              </w:rPr>
            </w:pPr>
            <w:r>
              <w:rPr>
                <w:rFonts w:hint="eastAsia" w:eastAsiaTheme="minorEastAsia"/>
                <w:szCs w:val="21"/>
              </w:rPr>
              <w:t xml:space="preserve">水环境容量 </w:t>
            </w:r>
          </w:p>
        </w:tc>
        <w:tc>
          <w:tcPr>
            <w:tcW w:w="679" w:type="dxa"/>
            <w:shd w:val="clear" w:color="auto" w:fill="auto"/>
            <w:noWrap/>
            <w:vAlign w:val="center"/>
          </w:tcPr>
          <w:p w14:paraId="5B3B6C5B">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030C8603">
            <w:pPr>
              <w:widowControl/>
              <w:spacing w:line="320" w:lineRule="exact"/>
              <w:ind w:left="-25" w:right="-25"/>
              <w:jc w:val="center"/>
              <w:rPr>
                <w:rFonts w:eastAsiaTheme="minorEastAsia"/>
                <w:szCs w:val="21"/>
              </w:rPr>
            </w:pPr>
            <w:r>
              <w:rPr>
                <w:rFonts w:hint="eastAsia" w:eastAsiaTheme="minorEastAsia"/>
                <w:szCs w:val="21"/>
              </w:rPr>
              <w:t>一般</w:t>
            </w:r>
          </w:p>
        </w:tc>
        <w:tc>
          <w:tcPr>
            <w:tcW w:w="709" w:type="dxa"/>
            <w:shd w:val="clear" w:color="auto" w:fill="auto"/>
            <w:noWrap/>
            <w:vAlign w:val="center"/>
          </w:tcPr>
          <w:p w14:paraId="4A36D12D">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719AFBAF">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1E0C4DB1">
            <w:pPr>
              <w:widowControl/>
              <w:spacing w:line="320" w:lineRule="exact"/>
              <w:ind w:left="-25" w:right="-25"/>
              <w:jc w:val="center"/>
              <w:rPr>
                <w:rFonts w:eastAsiaTheme="minorEastAsia"/>
                <w:szCs w:val="21"/>
              </w:rPr>
            </w:pPr>
            <w:r>
              <w:rPr>
                <w:rFonts w:hint="eastAsia" w:eastAsiaTheme="minorEastAsia"/>
                <w:szCs w:val="21"/>
              </w:rPr>
              <w:t>可逆</w:t>
            </w:r>
          </w:p>
        </w:tc>
        <w:tc>
          <w:tcPr>
            <w:tcW w:w="1616" w:type="dxa"/>
            <w:shd w:val="clear" w:color="auto" w:fill="auto"/>
            <w:noWrap/>
            <w:vAlign w:val="center"/>
          </w:tcPr>
          <w:p w14:paraId="7CB38C78">
            <w:pPr>
              <w:widowControl/>
              <w:spacing w:line="320" w:lineRule="exact"/>
              <w:ind w:left="-25" w:right="-25"/>
              <w:jc w:val="center"/>
              <w:rPr>
                <w:rFonts w:eastAsiaTheme="minorEastAsia"/>
                <w:szCs w:val="21"/>
              </w:rPr>
            </w:pPr>
            <w:r>
              <w:rPr>
                <w:rFonts w:hint="eastAsia" w:eastAsiaTheme="minorEastAsia"/>
                <w:szCs w:val="21"/>
              </w:rPr>
              <w:t>工业、生活</w:t>
            </w:r>
          </w:p>
        </w:tc>
      </w:tr>
      <w:tr w14:paraId="2890D9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restart"/>
            <w:shd w:val="clear" w:color="auto" w:fill="auto"/>
            <w:noWrap/>
            <w:vAlign w:val="center"/>
          </w:tcPr>
          <w:p w14:paraId="6C526A5A">
            <w:pPr>
              <w:widowControl/>
              <w:spacing w:line="320" w:lineRule="exact"/>
              <w:ind w:left="-25" w:right="-25"/>
              <w:jc w:val="center"/>
              <w:rPr>
                <w:rFonts w:eastAsiaTheme="minorEastAsia"/>
                <w:szCs w:val="21"/>
              </w:rPr>
            </w:pPr>
            <w:r>
              <w:rPr>
                <w:rFonts w:hint="eastAsia" w:eastAsiaTheme="minorEastAsia"/>
                <w:szCs w:val="21"/>
              </w:rPr>
              <w:t>生态环境</w:t>
            </w:r>
          </w:p>
        </w:tc>
        <w:tc>
          <w:tcPr>
            <w:tcW w:w="1097" w:type="dxa"/>
            <w:vMerge w:val="restart"/>
            <w:shd w:val="clear" w:color="auto" w:fill="auto"/>
            <w:noWrap/>
            <w:vAlign w:val="center"/>
          </w:tcPr>
          <w:p w14:paraId="5088EFB4">
            <w:pPr>
              <w:widowControl/>
              <w:spacing w:line="320" w:lineRule="exact"/>
              <w:ind w:left="-25" w:right="-25"/>
              <w:jc w:val="center"/>
              <w:rPr>
                <w:rFonts w:eastAsiaTheme="minorEastAsia"/>
                <w:szCs w:val="21"/>
              </w:rPr>
            </w:pPr>
            <w:r>
              <w:rPr>
                <w:rFonts w:hint="eastAsia" w:eastAsiaTheme="minorEastAsia"/>
                <w:szCs w:val="21"/>
              </w:rPr>
              <w:t>生态环境保护</w:t>
            </w:r>
          </w:p>
        </w:tc>
        <w:tc>
          <w:tcPr>
            <w:tcW w:w="1418" w:type="dxa"/>
            <w:shd w:val="clear" w:color="auto" w:fill="auto"/>
            <w:noWrap/>
            <w:vAlign w:val="center"/>
          </w:tcPr>
          <w:p w14:paraId="76F3AACD">
            <w:pPr>
              <w:widowControl/>
              <w:spacing w:line="320" w:lineRule="exact"/>
              <w:ind w:left="-25" w:right="-25"/>
              <w:jc w:val="center"/>
              <w:rPr>
                <w:rFonts w:eastAsiaTheme="minorEastAsia"/>
                <w:szCs w:val="21"/>
              </w:rPr>
            </w:pPr>
            <w:r>
              <w:rPr>
                <w:rFonts w:hint="eastAsia" w:eastAsiaTheme="minorEastAsia"/>
                <w:szCs w:val="21"/>
              </w:rPr>
              <w:t xml:space="preserve">绿化覆盖率 </w:t>
            </w:r>
          </w:p>
        </w:tc>
        <w:tc>
          <w:tcPr>
            <w:tcW w:w="679" w:type="dxa"/>
            <w:shd w:val="clear" w:color="auto" w:fill="auto"/>
            <w:noWrap/>
            <w:vAlign w:val="center"/>
          </w:tcPr>
          <w:p w14:paraId="35E07F0B">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3F14424E">
            <w:pPr>
              <w:widowControl/>
              <w:spacing w:line="320" w:lineRule="exact"/>
              <w:ind w:left="-25" w:right="-25"/>
              <w:jc w:val="center"/>
              <w:rPr>
                <w:rFonts w:eastAsiaTheme="minorEastAsia"/>
                <w:szCs w:val="21"/>
              </w:rPr>
            </w:pPr>
            <w:r>
              <w:rPr>
                <w:rFonts w:hint="eastAsia" w:eastAsiaTheme="minorEastAsia"/>
                <w:szCs w:val="21"/>
              </w:rPr>
              <w:t>较大</w:t>
            </w:r>
          </w:p>
        </w:tc>
        <w:tc>
          <w:tcPr>
            <w:tcW w:w="709" w:type="dxa"/>
            <w:shd w:val="clear" w:color="auto" w:fill="auto"/>
            <w:noWrap/>
            <w:vAlign w:val="center"/>
          </w:tcPr>
          <w:p w14:paraId="41BCB4DF">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5BDA43EA">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446A05FD">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204F1B82">
            <w:pPr>
              <w:widowControl/>
              <w:spacing w:line="320" w:lineRule="exact"/>
              <w:ind w:left="-25" w:right="-25"/>
              <w:jc w:val="center"/>
              <w:rPr>
                <w:rFonts w:eastAsiaTheme="minorEastAsia"/>
                <w:szCs w:val="21"/>
              </w:rPr>
            </w:pPr>
            <w:r>
              <w:rPr>
                <w:rFonts w:hint="eastAsia" w:eastAsiaTheme="minorEastAsia"/>
                <w:szCs w:val="21"/>
              </w:rPr>
              <w:t>各类占地对当地的植被产生永久的影响</w:t>
            </w:r>
          </w:p>
        </w:tc>
      </w:tr>
      <w:tr w14:paraId="1E830A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712" w:type="dxa"/>
            <w:vMerge w:val="continue"/>
            <w:shd w:val="clear" w:color="auto" w:fill="auto"/>
            <w:noWrap/>
            <w:vAlign w:val="center"/>
          </w:tcPr>
          <w:p w14:paraId="4F86AD5B">
            <w:pPr>
              <w:widowControl/>
              <w:spacing w:line="320" w:lineRule="exact"/>
              <w:ind w:left="-25" w:right="-25"/>
              <w:jc w:val="center"/>
              <w:rPr>
                <w:rFonts w:eastAsiaTheme="minorEastAsia"/>
                <w:szCs w:val="21"/>
              </w:rPr>
            </w:pPr>
          </w:p>
        </w:tc>
        <w:tc>
          <w:tcPr>
            <w:tcW w:w="1097" w:type="dxa"/>
            <w:vMerge w:val="continue"/>
            <w:shd w:val="clear" w:color="auto" w:fill="auto"/>
            <w:noWrap/>
            <w:vAlign w:val="center"/>
          </w:tcPr>
          <w:p w14:paraId="67308915">
            <w:pPr>
              <w:widowControl/>
              <w:spacing w:line="320" w:lineRule="exact"/>
              <w:ind w:left="-25" w:right="-25"/>
              <w:jc w:val="center"/>
              <w:rPr>
                <w:rFonts w:eastAsiaTheme="minorEastAsia"/>
                <w:szCs w:val="21"/>
              </w:rPr>
            </w:pPr>
          </w:p>
        </w:tc>
        <w:tc>
          <w:tcPr>
            <w:tcW w:w="1418" w:type="dxa"/>
            <w:shd w:val="clear" w:color="auto" w:fill="auto"/>
            <w:noWrap/>
            <w:vAlign w:val="center"/>
          </w:tcPr>
          <w:p w14:paraId="63CF7078">
            <w:pPr>
              <w:widowControl/>
              <w:spacing w:line="320" w:lineRule="exact"/>
              <w:ind w:left="-25" w:right="-25"/>
              <w:jc w:val="center"/>
              <w:rPr>
                <w:rFonts w:eastAsiaTheme="minorEastAsia"/>
                <w:szCs w:val="21"/>
              </w:rPr>
            </w:pPr>
            <w:r>
              <w:rPr>
                <w:rFonts w:hint="eastAsia" w:eastAsiaTheme="minorEastAsia"/>
                <w:szCs w:val="21"/>
              </w:rPr>
              <w:t xml:space="preserve">物种多样性 </w:t>
            </w:r>
          </w:p>
        </w:tc>
        <w:tc>
          <w:tcPr>
            <w:tcW w:w="679" w:type="dxa"/>
            <w:shd w:val="clear" w:color="auto" w:fill="auto"/>
            <w:noWrap/>
            <w:vAlign w:val="center"/>
          </w:tcPr>
          <w:p w14:paraId="113ECDD1">
            <w:pPr>
              <w:widowControl/>
              <w:spacing w:line="320" w:lineRule="exact"/>
              <w:ind w:left="-25" w:right="-25"/>
              <w:jc w:val="center"/>
              <w:rPr>
                <w:rFonts w:eastAsiaTheme="minorEastAsia"/>
                <w:szCs w:val="21"/>
              </w:rPr>
            </w:pPr>
            <w:r>
              <w:rPr>
                <w:rFonts w:hint="eastAsia" w:eastAsiaTheme="minorEastAsia"/>
                <w:szCs w:val="21"/>
              </w:rPr>
              <w:t>-</w:t>
            </w:r>
          </w:p>
        </w:tc>
        <w:tc>
          <w:tcPr>
            <w:tcW w:w="738" w:type="dxa"/>
            <w:shd w:val="clear" w:color="auto" w:fill="auto"/>
            <w:noWrap/>
            <w:vAlign w:val="center"/>
          </w:tcPr>
          <w:p w14:paraId="4EE9096A">
            <w:pPr>
              <w:widowControl/>
              <w:spacing w:line="320" w:lineRule="exact"/>
              <w:ind w:left="-25" w:right="-25"/>
              <w:jc w:val="center"/>
              <w:rPr>
                <w:rFonts w:eastAsiaTheme="minorEastAsia"/>
                <w:szCs w:val="21"/>
              </w:rPr>
            </w:pPr>
            <w:r>
              <w:rPr>
                <w:rFonts w:hint="eastAsia" w:eastAsiaTheme="minorEastAsia"/>
                <w:szCs w:val="21"/>
              </w:rPr>
              <w:t>轻</w:t>
            </w:r>
          </w:p>
        </w:tc>
        <w:tc>
          <w:tcPr>
            <w:tcW w:w="709" w:type="dxa"/>
            <w:shd w:val="clear" w:color="auto" w:fill="auto"/>
            <w:noWrap/>
            <w:vAlign w:val="center"/>
          </w:tcPr>
          <w:p w14:paraId="47E2FA1E">
            <w:pPr>
              <w:widowControl/>
              <w:spacing w:line="320" w:lineRule="exact"/>
              <w:ind w:left="-25" w:right="-25"/>
              <w:jc w:val="center"/>
              <w:rPr>
                <w:rFonts w:eastAsiaTheme="minorEastAsia"/>
                <w:szCs w:val="21"/>
              </w:rPr>
            </w:pPr>
            <w:r>
              <w:rPr>
                <w:rFonts w:hint="eastAsia" w:eastAsiaTheme="minorEastAsia"/>
                <w:szCs w:val="21"/>
              </w:rPr>
              <w:t>较长</w:t>
            </w:r>
          </w:p>
        </w:tc>
        <w:tc>
          <w:tcPr>
            <w:tcW w:w="709" w:type="dxa"/>
            <w:shd w:val="clear" w:color="auto" w:fill="auto"/>
            <w:noWrap/>
            <w:vAlign w:val="center"/>
          </w:tcPr>
          <w:p w14:paraId="1011A354">
            <w:pPr>
              <w:widowControl/>
              <w:spacing w:line="320" w:lineRule="exact"/>
              <w:ind w:left="-25" w:right="-25"/>
              <w:jc w:val="center"/>
              <w:rPr>
                <w:rFonts w:eastAsiaTheme="minorEastAsia"/>
                <w:szCs w:val="21"/>
              </w:rPr>
            </w:pPr>
            <w:r>
              <w:rPr>
                <w:rFonts w:hint="eastAsia" w:eastAsiaTheme="minorEastAsia"/>
                <w:szCs w:val="21"/>
              </w:rPr>
              <w:t>局部</w:t>
            </w:r>
          </w:p>
        </w:tc>
        <w:tc>
          <w:tcPr>
            <w:tcW w:w="850" w:type="dxa"/>
            <w:shd w:val="clear" w:color="auto" w:fill="auto"/>
            <w:noWrap/>
            <w:vAlign w:val="center"/>
          </w:tcPr>
          <w:p w14:paraId="0D4E2228">
            <w:pPr>
              <w:widowControl/>
              <w:spacing w:line="320" w:lineRule="exact"/>
              <w:ind w:left="-25" w:right="-25"/>
              <w:jc w:val="center"/>
              <w:rPr>
                <w:rFonts w:eastAsiaTheme="minorEastAsia"/>
                <w:szCs w:val="21"/>
              </w:rPr>
            </w:pPr>
            <w:r>
              <w:rPr>
                <w:rFonts w:hint="eastAsia" w:eastAsiaTheme="minorEastAsia"/>
                <w:szCs w:val="21"/>
              </w:rPr>
              <w:t>不可逆</w:t>
            </w:r>
          </w:p>
        </w:tc>
        <w:tc>
          <w:tcPr>
            <w:tcW w:w="1616" w:type="dxa"/>
            <w:shd w:val="clear" w:color="auto" w:fill="auto"/>
            <w:noWrap/>
            <w:vAlign w:val="center"/>
          </w:tcPr>
          <w:p w14:paraId="6140DA09">
            <w:pPr>
              <w:widowControl/>
              <w:spacing w:line="320" w:lineRule="exact"/>
              <w:ind w:left="-25" w:right="-25"/>
              <w:jc w:val="center"/>
              <w:rPr>
                <w:rFonts w:eastAsiaTheme="minorEastAsia"/>
                <w:szCs w:val="21"/>
              </w:rPr>
            </w:pPr>
            <w:r>
              <w:rPr>
                <w:rFonts w:hint="eastAsia" w:eastAsiaTheme="minorEastAsia"/>
                <w:szCs w:val="21"/>
              </w:rPr>
              <w:t>各类扰动对物种多样性影响</w:t>
            </w:r>
          </w:p>
        </w:tc>
      </w:tr>
    </w:tbl>
    <w:p w14:paraId="15FCDC2D">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37" w:name="_Toc206494967"/>
      <w:r>
        <w:rPr>
          <w:rFonts w:hint="eastAsia" w:eastAsiaTheme="minorEastAsia"/>
          <w:b/>
          <w:bCs/>
          <w:sz w:val="30"/>
          <w:szCs w:val="28"/>
        </w:rPr>
        <w:t>评价因子筛选</w:t>
      </w:r>
      <w:bookmarkEnd w:id="137"/>
    </w:p>
    <w:p w14:paraId="61D25B7E">
      <w:pPr>
        <w:spacing w:line="360" w:lineRule="auto"/>
        <w:ind w:firstLine="480" w:firstLineChars="200"/>
        <w:rPr>
          <w:rFonts w:eastAsiaTheme="minorEastAsia"/>
          <w:sz w:val="24"/>
        </w:rPr>
      </w:pPr>
      <w:r>
        <w:rPr>
          <w:rFonts w:hint="eastAsia" w:eastAsiaTheme="minorEastAsia"/>
          <w:sz w:val="24"/>
        </w:rPr>
        <w:t>评价区域评价以水环境、大气环境、生态环境、声环境、社会环境为主，根据工业结构和产业定位，选取对当地敏感保护目标有显著影响的因子作为评价因子。确定的本次评价工作的评价因子见下表。</w:t>
      </w:r>
    </w:p>
    <w:p w14:paraId="221D19A8">
      <w:pPr>
        <w:spacing w:line="360" w:lineRule="auto"/>
        <w:ind w:firstLine="422"/>
        <w:jc w:val="center"/>
        <w:rPr>
          <w:rFonts w:eastAsiaTheme="minorEastAsia"/>
          <w:sz w:val="24"/>
        </w:rPr>
      </w:pPr>
      <w:r>
        <w:rPr>
          <w:rFonts w:hint="eastAsia" w:eastAsiaTheme="minorEastAsia"/>
          <w:b/>
          <w:szCs w:val="21"/>
        </w:rPr>
        <w:t>表4.2-1   评价因子筛选结果</w:t>
      </w:r>
    </w:p>
    <w:tbl>
      <w:tblPr>
        <w:tblStyle w:val="8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75"/>
        <w:gridCol w:w="6253"/>
      </w:tblGrid>
      <w:tr w14:paraId="251511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5CFA840B">
            <w:pPr>
              <w:widowControl/>
              <w:spacing w:line="320" w:lineRule="exact"/>
              <w:ind w:left="-25" w:right="-25"/>
              <w:jc w:val="center"/>
              <w:rPr>
                <w:rFonts w:eastAsiaTheme="minorEastAsia"/>
                <w:kern w:val="0"/>
                <w:szCs w:val="21"/>
              </w:rPr>
            </w:pPr>
            <w:r>
              <w:rPr>
                <w:rFonts w:hint="eastAsia" w:eastAsiaTheme="minorEastAsia"/>
                <w:kern w:val="0"/>
                <w:szCs w:val="21"/>
              </w:rPr>
              <w:t>环境要素</w:t>
            </w:r>
          </w:p>
        </w:tc>
        <w:tc>
          <w:tcPr>
            <w:tcW w:w="3666" w:type="pct"/>
            <w:shd w:val="clear" w:color="auto" w:fill="auto"/>
            <w:vAlign w:val="center"/>
          </w:tcPr>
          <w:p w14:paraId="3BD3E925">
            <w:pPr>
              <w:widowControl/>
              <w:spacing w:line="320" w:lineRule="exact"/>
              <w:ind w:left="-25" w:right="-25"/>
              <w:jc w:val="center"/>
              <w:rPr>
                <w:rFonts w:eastAsiaTheme="minorEastAsia"/>
                <w:kern w:val="0"/>
                <w:szCs w:val="21"/>
              </w:rPr>
            </w:pPr>
            <w:r>
              <w:rPr>
                <w:rFonts w:hint="eastAsia" w:eastAsiaTheme="minorEastAsia"/>
                <w:kern w:val="0"/>
                <w:szCs w:val="21"/>
              </w:rPr>
              <w:t>评价因子</w:t>
            </w:r>
          </w:p>
        </w:tc>
      </w:tr>
      <w:tr w14:paraId="07801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5E3122DC">
            <w:pPr>
              <w:widowControl/>
              <w:spacing w:line="320" w:lineRule="exact"/>
              <w:ind w:left="-25" w:right="-25"/>
              <w:jc w:val="center"/>
              <w:rPr>
                <w:rFonts w:eastAsiaTheme="minorEastAsia"/>
                <w:kern w:val="0"/>
                <w:szCs w:val="21"/>
              </w:rPr>
            </w:pPr>
            <w:r>
              <w:rPr>
                <w:rFonts w:eastAsiaTheme="minorEastAsia"/>
                <w:szCs w:val="21"/>
              </w:rPr>
              <w:t>环境空气</w:t>
            </w:r>
          </w:p>
        </w:tc>
        <w:tc>
          <w:tcPr>
            <w:tcW w:w="3666" w:type="pct"/>
            <w:shd w:val="clear" w:color="auto" w:fill="auto"/>
            <w:vAlign w:val="center"/>
          </w:tcPr>
          <w:p w14:paraId="49843117">
            <w:pPr>
              <w:widowControl/>
              <w:spacing w:line="320" w:lineRule="exact"/>
              <w:ind w:left="-25" w:right="-25"/>
              <w:jc w:val="center"/>
              <w:rPr>
                <w:rFonts w:eastAsiaTheme="minorEastAsia"/>
                <w:kern w:val="0"/>
                <w:szCs w:val="21"/>
              </w:rPr>
            </w:pPr>
            <w:r>
              <w:rPr>
                <w:rFonts w:eastAsiaTheme="minorEastAsia"/>
                <w:szCs w:val="21"/>
              </w:rPr>
              <w:t>SO</w:t>
            </w:r>
            <w:r>
              <w:rPr>
                <w:rFonts w:eastAsiaTheme="minorEastAsia"/>
                <w:szCs w:val="21"/>
                <w:vertAlign w:val="subscript"/>
              </w:rPr>
              <w:t>2</w:t>
            </w:r>
            <w:r>
              <w:rPr>
                <w:rFonts w:eastAsiaTheme="minorEastAsia"/>
                <w:szCs w:val="21"/>
              </w:rPr>
              <w:t>、NO</w:t>
            </w:r>
            <w:r>
              <w:rPr>
                <w:rFonts w:eastAsiaTheme="minorEastAsia"/>
                <w:szCs w:val="21"/>
                <w:vertAlign w:val="subscript"/>
              </w:rPr>
              <w:t>2</w:t>
            </w:r>
            <w:r>
              <w:rPr>
                <w:rFonts w:eastAsiaTheme="minorEastAsia"/>
                <w:szCs w:val="21"/>
              </w:rPr>
              <w:t>、PM</w:t>
            </w:r>
            <w:r>
              <w:rPr>
                <w:rFonts w:eastAsiaTheme="minorEastAsia"/>
                <w:szCs w:val="21"/>
                <w:vertAlign w:val="subscript"/>
              </w:rPr>
              <w:t>10</w:t>
            </w:r>
            <w:r>
              <w:rPr>
                <w:rFonts w:eastAsiaTheme="minorEastAsia"/>
                <w:szCs w:val="21"/>
              </w:rPr>
              <w:t>、臭氧、CO、PM</w:t>
            </w:r>
            <w:r>
              <w:rPr>
                <w:rFonts w:eastAsiaTheme="minorEastAsia"/>
                <w:szCs w:val="21"/>
                <w:vertAlign w:val="subscript"/>
              </w:rPr>
              <w:t>2.5</w:t>
            </w:r>
            <w:r>
              <w:rPr>
                <w:rFonts w:eastAsiaTheme="minorEastAsia"/>
                <w:szCs w:val="21"/>
              </w:rPr>
              <w:t>、</w:t>
            </w:r>
            <w:r>
              <w:rPr>
                <w:rFonts w:hint="eastAsia" w:eastAsiaTheme="minorEastAsia"/>
                <w:szCs w:val="21"/>
              </w:rPr>
              <w:t>TSP</w:t>
            </w:r>
          </w:p>
        </w:tc>
      </w:tr>
      <w:tr w14:paraId="35A096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1A875E7C">
            <w:pPr>
              <w:widowControl/>
              <w:spacing w:line="320" w:lineRule="exact"/>
              <w:ind w:left="-25" w:right="-25"/>
              <w:jc w:val="center"/>
              <w:rPr>
                <w:rFonts w:eastAsiaTheme="minorEastAsia"/>
                <w:szCs w:val="21"/>
              </w:rPr>
            </w:pPr>
            <w:r>
              <w:rPr>
                <w:rFonts w:eastAsiaTheme="minorEastAsia"/>
                <w:szCs w:val="21"/>
              </w:rPr>
              <w:t>地表水</w:t>
            </w:r>
          </w:p>
        </w:tc>
        <w:tc>
          <w:tcPr>
            <w:tcW w:w="3666" w:type="pct"/>
            <w:shd w:val="clear" w:color="auto" w:fill="auto"/>
            <w:vAlign w:val="center"/>
          </w:tcPr>
          <w:p w14:paraId="63FD2E5C">
            <w:pPr>
              <w:widowControl/>
              <w:spacing w:line="320" w:lineRule="exact"/>
              <w:ind w:left="-25" w:right="-25"/>
              <w:jc w:val="center"/>
              <w:rPr>
                <w:rFonts w:eastAsiaTheme="minorEastAsia"/>
                <w:kern w:val="0"/>
                <w:szCs w:val="21"/>
              </w:rPr>
            </w:pPr>
            <w:r>
              <w:rPr>
                <w:rFonts w:hint="eastAsia" w:eastAsiaTheme="minorEastAsia"/>
                <w:szCs w:val="21"/>
              </w:rPr>
              <w:t>环境</w:t>
            </w:r>
            <w:r>
              <w:rPr>
                <w:rFonts w:eastAsiaTheme="minorEastAsia"/>
                <w:szCs w:val="21"/>
              </w:rPr>
              <w:t>质量公报中的基本因子</w:t>
            </w:r>
          </w:p>
        </w:tc>
      </w:tr>
      <w:tr w14:paraId="36B1C9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36C58CAC">
            <w:pPr>
              <w:widowControl/>
              <w:spacing w:line="320" w:lineRule="exact"/>
              <w:ind w:left="-25" w:right="-25"/>
              <w:jc w:val="center"/>
              <w:rPr>
                <w:rFonts w:eastAsiaTheme="minorEastAsia"/>
                <w:szCs w:val="21"/>
              </w:rPr>
            </w:pPr>
            <w:r>
              <w:rPr>
                <w:rFonts w:eastAsiaTheme="minorEastAsia"/>
                <w:szCs w:val="21"/>
              </w:rPr>
              <w:t>地下水</w:t>
            </w:r>
          </w:p>
        </w:tc>
        <w:tc>
          <w:tcPr>
            <w:tcW w:w="3666" w:type="pct"/>
            <w:shd w:val="clear" w:color="auto" w:fill="auto"/>
            <w:vAlign w:val="center"/>
          </w:tcPr>
          <w:p w14:paraId="233A521B">
            <w:pPr>
              <w:widowControl/>
              <w:spacing w:line="320" w:lineRule="exact"/>
              <w:ind w:left="-25" w:right="-25"/>
              <w:jc w:val="center"/>
              <w:rPr>
                <w:rFonts w:eastAsiaTheme="minorEastAsia"/>
                <w:kern w:val="0"/>
                <w:szCs w:val="21"/>
              </w:rPr>
            </w:pPr>
            <w:r>
              <w:rPr>
                <w:rFonts w:hint="eastAsia" w:eastAsiaTheme="minorEastAsia"/>
                <w:szCs w:val="21"/>
              </w:rPr>
              <w:t>K</w:t>
            </w:r>
            <w:r>
              <w:rPr>
                <w:rFonts w:hint="eastAsia" w:eastAsiaTheme="minorEastAsia"/>
                <w:szCs w:val="21"/>
                <w:vertAlign w:val="superscript"/>
              </w:rPr>
              <w:t>+</w:t>
            </w:r>
            <w:r>
              <w:rPr>
                <w:rFonts w:hint="eastAsia" w:eastAsiaTheme="minorEastAsia"/>
                <w:szCs w:val="21"/>
              </w:rPr>
              <w:t>+Na</w:t>
            </w:r>
            <w:r>
              <w:rPr>
                <w:rFonts w:hint="eastAsia" w:eastAsiaTheme="minorEastAsia"/>
                <w:szCs w:val="21"/>
                <w:vertAlign w:val="superscript"/>
              </w:rPr>
              <w:t>+</w:t>
            </w:r>
            <w:r>
              <w:rPr>
                <w:rFonts w:hint="eastAsia" w:eastAsiaTheme="minorEastAsia"/>
                <w:szCs w:val="21"/>
              </w:rPr>
              <w:t>、Ca</w:t>
            </w:r>
            <w:r>
              <w:rPr>
                <w:rFonts w:hint="eastAsia" w:eastAsiaTheme="minorEastAsia"/>
                <w:szCs w:val="21"/>
                <w:vertAlign w:val="superscript"/>
              </w:rPr>
              <w:t>2+</w:t>
            </w:r>
            <w:r>
              <w:rPr>
                <w:rFonts w:hint="eastAsia" w:eastAsiaTheme="minorEastAsia"/>
                <w:szCs w:val="21"/>
              </w:rPr>
              <w:t>、Mg</w:t>
            </w:r>
            <w:r>
              <w:rPr>
                <w:rFonts w:hint="eastAsia" w:eastAsiaTheme="minorEastAsia"/>
                <w:szCs w:val="21"/>
                <w:vertAlign w:val="superscript"/>
              </w:rPr>
              <w:t>2+</w:t>
            </w:r>
            <w:r>
              <w:rPr>
                <w:rFonts w:hint="eastAsia" w:eastAsiaTheme="minorEastAsia"/>
                <w:szCs w:val="21"/>
              </w:rPr>
              <w:t>、CO</w:t>
            </w:r>
            <w:r>
              <w:rPr>
                <w:rFonts w:hint="eastAsia" w:eastAsiaTheme="minorEastAsia"/>
                <w:szCs w:val="21"/>
                <w:vertAlign w:val="subscript"/>
              </w:rPr>
              <w:t>3</w:t>
            </w:r>
            <w:r>
              <w:rPr>
                <w:rFonts w:hint="eastAsia" w:eastAsiaTheme="minorEastAsia"/>
                <w:szCs w:val="21"/>
                <w:vertAlign w:val="superscript"/>
              </w:rPr>
              <w:t>2-</w:t>
            </w:r>
            <w:r>
              <w:rPr>
                <w:rFonts w:hint="eastAsia" w:eastAsiaTheme="minorEastAsia"/>
                <w:szCs w:val="21"/>
              </w:rPr>
              <w:t>、HCO</w:t>
            </w:r>
            <w:r>
              <w:rPr>
                <w:rFonts w:hint="eastAsia" w:eastAsiaTheme="minorEastAsia"/>
                <w:szCs w:val="21"/>
                <w:vertAlign w:val="subscript"/>
              </w:rPr>
              <w:t>3</w:t>
            </w:r>
            <w:r>
              <w:rPr>
                <w:rFonts w:hint="eastAsia" w:eastAsiaTheme="minorEastAsia"/>
                <w:szCs w:val="21"/>
                <w:vertAlign w:val="superscript"/>
              </w:rPr>
              <w:t>-</w:t>
            </w:r>
            <w:r>
              <w:rPr>
                <w:rFonts w:hint="eastAsia" w:eastAsiaTheme="minorEastAsia"/>
                <w:szCs w:val="21"/>
              </w:rPr>
              <w:t>、Cl</w:t>
            </w:r>
            <w:r>
              <w:rPr>
                <w:rFonts w:hint="eastAsia" w:eastAsiaTheme="minorEastAsia"/>
                <w:szCs w:val="21"/>
                <w:vertAlign w:val="superscript"/>
              </w:rPr>
              <w:t>-</w:t>
            </w:r>
            <w:r>
              <w:rPr>
                <w:rFonts w:hint="eastAsia" w:eastAsiaTheme="minorEastAsia"/>
                <w:szCs w:val="21"/>
              </w:rPr>
              <w:t>、SO</w:t>
            </w:r>
            <w:r>
              <w:rPr>
                <w:rFonts w:hint="eastAsia" w:eastAsiaTheme="minorEastAsia"/>
                <w:szCs w:val="21"/>
                <w:vertAlign w:val="subscript"/>
              </w:rPr>
              <w:t>4</w:t>
            </w:r>
            <w:r>
              <w:rPr>
                <w:rFonts w:hint="eastAsia" w:eastAsiaTheme="minorEastAsia"/>
                <w:szCs w:val="21"/>
                <w:vertAlign w:val="superscript"/>
              </w:rPr>
              <w:t>2-</w:t>
            </w:r>
            <w:r>
              <w:rPr>
                <w:rFonts w:hint="eastAsia" w:eastAsiaTheme="minorEastAsia"/>
                <w:szCs w:val="21"/>
              </w:rPr>
              <w:t>、pH、氨氮、硝酸盐、亚硝酸盐、挥发性酚类、氰化物、砷、汞、六价铬、总硬度、铅、氟化物、镉、铁、锰、锌、铝、溶解性总固体、总大肠菌群、细菌总数</w:t>
            </w:r>
          </w:p>
        </w:tc>
      </w:tr>
      <w:tr w14:paraId="6DE379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4DA713F9">
            <w:pPr>
              <w:widowControl/>
              <w:spacing w:line="320" w:lineRule="exact"/>
              <w:ind w:left="-25" w:right="-25"/>
              <w:jc w:val="center"/>
              <w:rPr>
                <w:rFonts w:eastAsiaTheme="minorEastAsia"/>
                <w:szCs w:val="21"/>
              </w:rPr>
            </w:pPr>
            <w:r>
              <w:rPr>
                <w:rFonts w:eastAsiaTheme="minorEastAsia"/>
                <w:szCs w:val="21"/>
              </w:rPr>
              <w:t>土壤</w:t>
            </w:r>
          </w:p>
        </w:tc>
        <w:tc>
          <w:tcPr>
            <w:tcW w:w="3666" w:type="pct"/>
            <w:shd w:val="clear" w:color="auto" w:fill="auto"/>
            <w:vAlign w:val="center"/>
          </w:tcPr>
          <w:p w14:paraId="2044ADEE">
            <w:pPr>
              <w:widowControl/>
              <w:spacing w:line="320" w:lineRule="exact"/>
              <w:ind w:left="-25" w:right="-25"/>
              <w:jc w:val="center"/>
              <w:rPr>
                <w:rFonts w:eastAsiaTheme="minorEastAsia"/>
                <w:kern w:val="0"/>
                <w:szCs w:val="21"/>
              </w:rPr>
            </w:pPr>
            <w:r>
              <w:rPr>
                <w:rFonts w:eastAsiaTheme="minorEastAsia"/>
                <w:szCs w:val="21"/>
              </w:rPr>
              <w:t>pH、石油烃、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b]蒽、茚并[1,2,3-cd]芘、萘</w:t>
            </w:r>
          </w:p>
        </w:tc>
      </w:tr>
      <w:tr w14:paraId="1FBAB8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4CD82F5A">
            <w:pPr>
              <w:widowControl/>
              <w:spacing w:line="320" w:lineRule="exact"/>
              <w:ind w:left="-25" w:right="-25"/>
              <w:jc w:val="center"/>
              <w:rPr>
                <w:rFonts w:eastAsiaTheme="minorEastAsia"/>
                <w:szCs w:val="21"/>
              </w:rPr>
            </w:pPr>
            <w:r>
              <w:rPr>
                <w:rFonts w:hint="eastAsia" w:eastAsiaTheme="minorEastAsia"/>
                <w:szCs w:val="21"/>
              </w:rPr>
              <w:t>声环境</w:t>
            </w:r>
          </w:p>
        </w:tc>
        <w:tc>
          <w:tcPr>
            <w:tcW w:w="3666" w:type="pct"/>
            <w:shd w:val="clear" w:color="auto" w:fill="auto"/>
            <w:vAlign w:val="center"/>
          </w:tcPr>
          <w:p w14:paraId="45521D7C">
            <w:pPr>
              <w:widowControl/>
              <w:spacing w:line="320" w:lineRule="exact"/>
              <w:ind w:left="-25" w:right="-25"/>
              <w:jc w:val="center"/>
              <w:rPr>
                <w:rFonts w:eastAsiaTheme="minorEastAsia"/>
                <w:kern w:val="0"/>
                <w:szCs w:val="21"/>
              </w:rPr>
            </w:pPr>
            <w:r>
              <w:rPr>
                <w:rFonts w:hint="eastAsia" w:eastAsiaTheme="minorEastAsia"/>
                <w:szCs w:val="21"/>
              </w:rPr>
              <w:t>区域环境噪声、交通干线噪声</w:t>
            </w:r>
          </w:p>
        </w:tc>
      </w:tr>
      <w:tr w14:paraId="4C7BED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56374E16">
            <w:pPr>
              <w:widowControl/>
              <w:spacing w:line="320" w:lineRule="exact"/>
              <w:ind w:left="-25" w:right="-25"/>
              <w:jc w:val="center"/>
              <w:rPr>
                <w:rFonts w:eastAsiaTheme="minorEastAsia"/>
                <w:szCs w:val="21"/>
              </w:rPr>
            </w:pPr>
            <w:r>
              <w:rPr>
                <w:rFonts w:hint="eastAsia" w:eastAsiaTheme="minorEastAsia"/>
                <w:szCs w:val="21"/>
              </w:rPr>
              <w:t>生态环境</w:t>
            </w:r>
          </w:p>
        </w:tc>
        <w:tc>
          <w:tcPr>
            <w:tcW w:w="3666" w:type="pct"/>
            <w:shd w:val="clear" w:color="auto" w:fill="auto"/>
            <w:vAlign w:val="center"/>
          </w:tcPr>
          <w:p w14:paraId="4924A2C4">
            <w:pPr>
              <w:widowControl/>
              <w:spacing w:line="320" w:lineRule="exact"/>
              <w:ind w:left="-25" w:right="-25"/>
              <w:jc w:val="center"/>
              <w:rPr>
                <w:rFonts w:eastAsiaTheme="minorEastAsia"/>
                <w:kern w:val="0"/>
                <w:szCs w:val="21"/>
              </w:rPr>
            </w:pPr>
            <w:r>
              <w:rPr>
                <w:rFonts w:hint="eastAsia" w:eastAsiaTheme="minorEastAsia"/>
                <w:szCs w:val="21"/>
              </w:rPr>
              <w:t>水土流失、生态完整性、绿化率</w:t>
            </w:r>
          </w:p>
        </w:tc>
      </w:tr>
      <w:tr w14:paraId="7001C4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432FA719">
            <w:pPr>
              <w:widowControl/>
              <w:spacing w:line="320" w:lineRule="exact"/>
              <w:ind w:left="-25" w:right="-25"/>
              <w:jc w:val="center"/>
              <w:rPr>
                <w:rFonts w:eastAsiaTheme="minorEastAsia"/>
                <w:szCs w:val="21"/>
              </w:rPr>
            </w:pPr>
            <w:r>
              <w:rPr>
                <w:rFonts w:hint="eastAsia" w:eastAsiaTheme="minorEastAsia"/>
                <w:szCs w:val="21"/>
              </w:rPr>
              <w:t>资源</w:t>
            </w:r>
          </w:p>
        </w:tc>
        <w:tc>
          <w:tcPr>
            <w:tcW w:w="3666" w:type="pct"/>
            <w:shd w:val="clear" w:color="auto" w:fill="auto"/>
            <w:vAlign w:val="center"/>
          </w:tcPr>
          <w:p w14:paraId="76D410CD">
            <w:pPr>
              <w:widowControl/>
              <w:spacing w:line="320" w:lineRule="exact"/>
              <w:ind w:left="-25" w:right="-25"/>
              <w:jc w:val="center"/>
              <w:rPr>
                <w:rFonts w:eastAsiaTheme="minorEastAsia"/>
                <w:kern w:val="0"/>
                <w:szCs w:val="21"/>
              </w:rPr>
            </w:pPr>
            <w:r>
              <w:rPr>
                <w:rFonts w:hint="eastAsia" w:eastAsiaTheme="minorEastAsia"/>
                <w:szCs w:val="21"/>
              </w:rPr>
              <w:t>土地资源、水资源、能源</w:t>
            </w:r>
          </w:p>
        </w:tc>
      </w:tr>
      <w:tr w14:paraId="50F3DC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0" w:hRule="atLeast"/>
        </w:trPr>
        <w:tc>
          <w:tcPr>
            <w:tcW w:w="1334" w:type="pct"/>
            <w:shd w:val="clear" w:color="auto" w:fill="auto"/>
            <w:vAlign w:val="center"/>
          </w:tcPr>
          <w:p w14:paraId="174377ED">
            <w:pPr>
              <w:widowControl/>
              <w:spacing w:line="320" w:lineRule="exact"/>
              <w:ind w:left="-25" w:right="-25"/>
              <w:jc w:val="center"/>
              <w:rPr>
                <w:rFonts w:eastAsiaTheme="minorEastAsia"/>
                <w:szCs w:val="21"/>
              </w:rPr>
            </w:pPr>
            <w:r>
              <w:rPr>
                <w:rFonts w:hint="eastAsia" w:eastAsiaTheme="minorEastAsia"/>
                <w:szCs w:val="21"/>
              </w:rPr>
              <w:t>社会环境</w:t>
            </w:r>
          </w:p>
        </w:tc>
        <w:tc>
          <w:tcPr>
            <w:tcW w:w="3666" w:type="pct"/>
            <w:shd w:val="clear" w:color="auto" w:fill="auto"/>
            <w:vAlign w:val="center"/>
          </w:tcPr>
          <w:p w14:paraId="5237F37D">
            <w:pPr>
              <w:widowControl/>
              <w:spacing w:line="320" w:lineRule="exact"/>
              <w:ind w:left="-25" w:right="-25"/>
              <w:jc w:val="center"/>
              <w:rPr>
                <w:rFonts w:eastAsiaTheme="minorEastAsia"/>
                <w:kern w:val="0"/>
                <w:szCs w:val="21"/>
              </w:rPr>
            </w:pPr>
            <w:r>
              <w:rPr>
                <w:rFonts w:hint="eastAsia" w:eastAsiaTheme="minorEastAsia"/>
                <w:szCs w:val="21"/>
              </w:rPr>
              <w:t>人口分布、城市规划、社会经济等</w:t>
            </w:r>
          </w:p>
        </w:tc>
      </w:tr>
    </w:tbl>
    <w:p w14:paraId="4BA05FCD">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38" w:name="_Toc206494968"/>
      <w:r>
        <w:rPr>
          <w:rFonts w:hint="eastAsia" w:eastAsiaTheme="minorEastAsia"/>
          <w:b/>
          <w:bCs/>
          <w:sz w:val="30"/>
          <w:szCs w:val="28"/>
        </w:rPr>
        <w:t>评价指标体系</w:t>
      </w:r>
      <w:bookmarkEnd w:id="138"/>
    </w:p>
    <w:p w14:paraId="632F1D7B">
      <w:pPr>
        <w:spacing w:line="360" w:lineRule="auto"/>
        <w:ind w:firstLine="480" w:firstLineChars="200"/>
        <w:rPr>
          <w:rFonts w:eastAsiaTheme="minorEastAsia"/>
          <w:sz w:val="24"/>
        </w:rPr>
      </w:pPr>
      <w:r>
        <w:rPr>
          <w:rFonts w:hint="eastAsia" w:eastAsiaTheme="minorEastAsia"/>
          <w:sz w:val="24"/>
        </w:rPr>
        <w:t>根据《规划环境影响评价技术导则 总纲》（HJ130-2019），评价指标是对环境目标的量化，一般可将环境目标分解为环境质量、生态保护、资源利用、社会经济等评价主题，本次评价结合项目区特点，并参考以国家、省、市的环境保护“十四五”规划的要求为依据确定园区规划的环境目标与评价指标。</w:t>
      </w:r>
    </w:p>
    <w:p w14:paraId="21896DD1">
      <w:pPr>
        <w:spacing w:line="360" w:lineRule="auto"/>
        <w:ind w:firstLine="480" w:firstLineChars="200"/>
        <w:rPr>
          <w:rFonts w:eastAsiaTheme="minorEastAsia"/>
          <w:sz w:val="24"/>
        </w:rPr>
      </w:pPr>
      <w:r>
        <w:rPr>
          <w:rFonts w:hint="eastAsia" w:eastAsiaTheme="minorEastAsia"/>
          <w:sz w:val="24"/>
        </w:rPr>
        <w:t>本评价指标体系参考《国家生态工业示范园区标准》(HJ274-2015)、《随州市生态环境保护“十四五”规划》等规划与标准。</w:t>
      </w:r>
    </w:p>
    <w:p w14:paraId="56A18BAD">
      <w:pPr>
        <w:spacing w:line="360" w:lineRule="auto"/>
        <w:ind w:firstLine="480" w:firstLineChars="200"/>
        <w:rPr>
          <w:rFonts w:eastAsiaTheme="minorEastAsia"/>
          <w:sz w:val="24"/>
        </w:rPr>
      </w:pPr>
      <w:r>
        <w:rPr>
          <w:rFonts w:hint="eastAsia" w:eastAsiaTheme="minorEastAsia"/>
          <w:sz w:val="24"/>
        </w:rPr>
        <w:t>《随州市生态环境保护“十四五”规划》以改善生态环境质量为核心，以推动结构调整和高质量发展为主线，以生态环境治理体系和治理能力现代化建设为支撑，保持生态文明建设战略定力，大力推进绿色低碳发展，持续改善环境质量，有效防控环境风险，维护生态安全和生物安全，守住自然安全边界。</w:t>
      </w:r>
    </w:p>
    <w:p w14:paraId="21FAA05D">
      <w:pPr>
        <w:spacing w:line="360" w:lineRule="auto"/>
        <w:ind w:firstLine="480" w:firstLineChars="200"/>
        <w:rPr>
          <w:rFonts w:eastAsiaTheme="minorEastAsia"/>
          <w:sz w:val="24"/>
        </w:rPr>
      </w:pPr>
      <w:r>
        <w:rPr>
          <w:rFonts w:hint="eastAsia" w:eastAsiaTheme="minorEastAsia"/>
          <w:sz w:val="24"/>
        </w:rPr>
        <w:t>《国家生态工业示范园区标准》(HJ/T 274-2015)适用于国家生态工业示范园区的建设和管理，可作为国家生态工业示范园区的评价和依据，建设规划编制、建设成效评估的技术依据，也可作为其他相关生态工业建设咨询活动的参考依据。本评价将遵循《中华人民共和国循环经济促进法》和《国家生态工业示范园区标准》(HJ/T 274-2015)对该园区提出--致或更高的环境目标。</w:t>
      </w:r>
    </w:p>
    <w:p w14:paraId="4F79F92E">
      <w:pPr>
        <w:spacing w:line="360" w:lineRule="auto"/>
        <w:ind w:firstLine="480" w:firstLineChars="200"/>
        <w:rPr>
          <w:rFonts w:eastAsiaTheme="minorEastAsia"/>
          <w:sz w:val="24"/>
        </w:rPr>
      </w:pPr>
      <w:r>
        <w:rPr>
          <w:rFonts w:hint="eastAsia" w:eastAsiaTheme="minorEastAsia"/>
          <w:sz w:val="24"/>
        </w:rPr>
        <w:t>因此，本评价指标体系参考以上规划与标准，确立了评价指标体系，评价体系选择了经济发展、资源利用、污染防治、环境风险防范及环境管理等5个环境主题。区域环境目标与主要评价指标见下表。</w:t>
      </w:r>
    </w:p>
    <w:p w14:paraId="37F935D8">
      <w:pPr>
        <w:spacing w:line="360" w:lineRule="auto"/>
        <w:ind w:firstLine="422"/>
        <w:jc w:val="center"/>
        <w:rPr>
          <w:rFonts w:eastAsiaTheme="minorEastAsia"/>
          <w:b/>
          <w:snapToGrid w:val="0"/>
          <w:kern w:val="18"/>
          <w:szCs w:val="21"/>
        </w:rPr>
      </w:pPr>
      <w:r>
        <w:rPr>
          <w:rFonts w:hint="eastAsia" w:eastAsiaTheme="minorEastAsia"/>
          <w:b/>
          <w:snapToGrid w:val="0"/>
          <w:kern w:val="18"/>
          <w:szCs w:val="21"/>
        </w:rPr>
        <w:t>表4.3-1   园区评价指标体系</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08"/>
        <w:gridCol w:w="1704"/>
        <w:gridCol w:w="991"/>
        <w:gridCol w:w="1276"/>
        <w:gridCol w:w="849"/>
        <w:gridCol w:w="2042"/>
      </w:tblGrid>
      <w:tr w14:paraId="45772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562" w:type="pct"/>
            <w:vMerge w:val="restart"/>
            <w:vAlign w:val="center"/>
          </w:tcPr>
          <w:p w14:paraId="7AD77AA1">
            <w:pPr>
              <w:adjustRightInd w:val="0"/>
              <w:snapToGrid w:val="0"/>
              <w:spacing w:line="320" w:lineRule="exact"/>
              <w:jc w:val="center"/>
              <w:textAlignment w:val="baseline"/>
              <w:rPr>
                <w:rFonts w:eastAsiaTheme="minorEastAsia"/>
                <w:bCs/>
                <w:szCs w:val="20"/>
              </w:rPr>
            </w:pPr>
            <w:bookmarkStart w:id="139" w:name="_Hlk170461308"/>
            <w:r>
              <w:rPr>
                <w:rFonts w:eastAsiaTheme="minorEastAsia"/>
                <w:bCs/>
                <w:szCs w:val="20"/>
              </w:rPr>
              <w:t>类别</w:t>
            </w:r>
          </w:p>
        </w:tc>
        <w:tc>
          <w:tcPr>
            <w:tcW w:w="415" w:type="pct"/>
            <w:vMerge w:val="restart"/>
            <w:vAlign w:val="center"/>
          </w:tcPr>
          <w:p w14:paraId="24B98850">
            <w:pPr>
              <w:adjustRightInd w:val="0"/>
              <w:snapToGrid w:val="0"/>
              <w:spacing w:line="320" w:lineRule="exact"/>
              <w:jc w:val="center"/>
              <w:textAlignment w:val="baseline"/>
              <w:rPr>
                <w:rFonts w:eastAsiaTheme="minorEastAsia"/>
                <w:bCs/>
                <w:szCs w:val="20"/>
              </w:rPr>
            </w:pPr>
            <w:r>
              <w:rPr>
                <w:rFonts w:eastAsiaTheme="minorEastAsia"/>
                <w:bCs/>
                <w:szCs w:val="20"/>
              </w:rPr>
              <w:t>序号</w:t>
            </w:r>
          </w:p>
        </w:tc>
        <w:tc>
          <w:tcPr>
            <w:tcW w:w="999" w:type="pct"/>
            <w:vMerge w:val="restart"/>
            <w:vAlign w:val="center"/>
          </w:tcPr>
          <w:p w14:paraId="1B8795D2">
            <w:pPr>
              <w:adjustRightInd w:val="0"/>
              <w:snapToGrid w:val="0"/>
              <w:spacing w:line="320" w:lineRule="exact"/>
              <w:jc w:val="center"/>
              <w:textAlignment w:val="baseline"/>
              <w:rPr>
                <w:rFonts w:eastAsiaTheme="minorEastAsia"/>
                <w:bCs/>
                <w:szCs w:val="20"/>
              </w:rPr>
            </w:pPr>
            <w:r>
              <w:rPr>
                <w:rFonts w:eastAsiaTheme="minorEastAsia"/>
                <w:bCs/>
                <w:szCs w:val="20"/>
              </w:rPr>
              <w:t>评价指标</w:t>
            </w:r>
          </w:p>
        </w:tc>
        <w:tc>
          <w:tcPr>
            <w:tcW w:w="581" w:type="pct"/>
            <w:vMerge w:val="restart"/>
            <w:vAlign w:val="center"/>
          </w:tcPr>
          <w:p w14:paraId="4AE25178">
            <w:pPr>
              <w:adjustRightInd w:val="0"/>
              <w:snapToGrid w:val="0"/>
              <w:spacing w:line="320" w:lineRule="exact"/>
              <w:jc w:val="center"/>
              <w:textAlignment w:val="baseline"/>
              <w:rPr>
                <w:rFonts w:eastAsiaTheme="minorEastAsia"/>
                <w:bCs/>
                <w:szCs w:val="20"/>
              </w:rPr>
            </w:pPr>
            <w:r>
              <w:rPr>
                <w:rFonts w:eastAsiaTheme="minorEastAsia"/>
                <w:bCs/>
                <w:szCs w:val="20"/>
              </w:rPr>
              <w:t>单位</w:t>
            </w:r>
          </w:p>
        </w:tc>
        <w:tc>
          <w:tcPr>
            <w:tcW w:w="748" w:type="pct"/>
            <w:vMerge w:val="restart"/>
            <w:vAlign w:val="center"/>
          </w:tcPr>
          <w:p w14:paraId="542D1F9B">
            <w:pPr>
              <w:adjustRightInd w:val="0"/>
              <w:snapToGrid w:val="0"/>
              <w:spacing w:line="320" w:lineRule="exact"/>
              <w:jc w:val="center"/>
              <w:textAlignment w:val="baseline"/>
              <w:rPr>
                <w:rFonts w:eastAsiaTheme="minorEastAsia"/>
                <w:bCs/>
                <w:szCs w:val="20"/>
              </w:rPr>
            </w:pPr>
            <w:r>
              <w:rPr>
                <w:rFonts w:eastAsiaTheme="minorEastAsia"/>
                <w:bCs/>
                <w:szCs w:val="20"/>
              </w:rPr>
              <w:t>规划园区评价指标值</w:t>
            </w:r>
          </w:p>
        </w:tc>
        <w:tc>
          <w:tcPr>
            <w:tcW w:w="1695" w:type="pct"/>
            <w:gridSpan w:val="2"/>
            <w:vAlign w:val="center"/>
          </w:tcPr>
          <w:p w14:paraId="7264CDA3">
            <w:pPr>
              <w:adjustRightInd w:val="0"/>
              <w:snapToGrid w:val="0"/>
              <w:spacing w:line="320" w:lineRule="exact"/>
              <w:jc w:val="center"/>
              <w:textAlignment w:val="baseline"/>
              <w:rPr>
                <w:rFonts w:eastAsiaTheme="minorEastAsia"/>
                <w:bCs/>
                <w:szCs w:val="20"/>
              </w:rPr>
            </w:pPr>
            <w:r>
              <w:rPr>
                <w:rFonts w:eastAsiaTheme="minorEastAsia"/>
                <w:bCs/>
                <w:szCs w:val="20"/>
              </w:rPr>
              <w:t>参考依据</w:t>
            </w:r>
          </w:p>
        </w:tc>
      </w:tr>
      <w:tr w14:paraId="0495D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2" w:type="pct"/>
            <w:vMerge w:val="continue"/>
            <w:vAlign w:val="center"/>
          </w:tcPr>
          <w:p w14:paraId="4AD4FFC8">
            <w:pPr>
              <w:adjustRightInd w:val="0"/>
              <w:snapToGrid w:val="0"/>
              <w:spacing w:line="320" w:lineRule="exact"/>
              <w:jc w:val="center"/>
              <w:textAlignment w:val="baseline"/>
              <w:rPr>
                <w:rFonts w:eastAsiaTheme="minorEastAsia"/>
                <w:bCs/>
                <w:szCs w:val="20"/>
              </w:rPr>
            </w:pPr>
          </w:p>
        </w:tc>
        <w:tc>
          <w:tcPr>
            <w:tcW w:w="415" w:type="pct"/>
            <w:vMerge w:val="continue"/>
            <w:vAlign w:val="center"/>
          </w:tcPr>
          <w:p w14:paraId="47B58B03">
            <w:pPr>
              <w:adjustRightInd w:val="0"/>
              <w:snapToGrid w:val="0"/>
              <w:spacing w:line="320" w:lineRule="exact"/>
              <w:jc w:val="center"/>
              <w:textAlignment w:val="baseline"/>
              <w:rPr>
                <w:rFonts w:eastAsiaTheme="minorEastAsia"/>
                <w:bCs/>
                <w:szCs w:val="20"/>
              </w:rPr>
            </w:pPr>
          </w:p>
        </w:tc>
        <w:tc>
          <w:tcPr>
            <w:tcW w:w="999" w:type="pct"/>
            <w:vMerge w:val="continue"/>
            <w:vAlign w:val="center"/>
          </w:tcPr>
          <w:p w14:paraId="5BB02491">
            <w:pPr>
              <w:adjustRightInd w:val="0"/>
              <w:snapToGrid w:val="0"/>
              <w:spacing w:line="320" w:lineRule="exact"/>
              <w:jc w:val="center"/>
              <w:textAlignment w:val="baseline"/>
              <w:rPr>
                <w:rFonts w:eastAsiaTheme="minorEastAsia"/>
                <w:bCs/>
                <w:szCs w:val="20"/>
              </w:rPr>
            </w:pPr>
          </w:p>
        </w:tc>
        <w:tc>
          <w:tcPr>
            <w:tcW w:w="581" w:type="pct"/>
            <w:vMerge w:val="continue"/>
            <w:vAlign w:val="center"/>
          </w:tcPr>
          <w:p w14:paraId="3DD61C06">
            <w:pPr>
              <w:adjustRightInd w:val="0"/>
              <w:snapToGrid w:val="0"/>
              <w:spacing w:line="320" w:lineRule="exact"/>
              <w:jc w:val="center"/>
              <w:textAlignment w:val="baseline"/>
              <w:rPr>
                <w:rFonts w:eastAsiaTheme="minorEastAsia"/>
                <w:bCs/>
                <w:szCs w:val="20"/>
              </w:rPr>
            </w:pPr>
          </w:p>
        </w:tc>
        <w:tc>
          <w:tcPr>
            <w:tcW w:w="748" w:type="pct"/>
            <w:vMerge w:val="continue"/>
            <w:vAlign w:val="center"/>
          </w:tcPr>
          <w:p w14:paraId="62D25149">
            <w:pPr>
              <w:adjustRightInd w:val="0"/>
              <w:snapToGrid w:val="0"/>
              <w:spacing w:line="320" w:lineRule="exact"/>
              <w:jc w:val="center"/>
              <w:textAlignment w:val="baseline"/>
              <w:rPr>
                <w:rFonts w:eastAsiaTheme="minorEastAsia"/>
                <w:bCs/>
                <w:szCs w:val="20"/>
              </w:rPr>
            </w:pPr>
          </w:p>
        </w:tc>
        <w:tc>
          <w:tcPr>
            <w:tcW w:w="498" w:type="pct"/>
            <w:vAlign w:val="center"/>
          </w:tcPr>
          <w:p w14:paraId="578206B4">
            <w:pPr>
              <w:adjustRightInd w:val="0"/>
              <w:snapToGrid w:val="0"/>
              <w:spacing w:line="320" w:lineRule="exact"/>
              <w:jc w:val="center"/>
              <w:textAlignment w:val="baseline"/>
              <w:rPr>
                <w:rFonts w:eastAsiaTheme="minorEastAsia"/>
                <w:bCs/>
                <w:szCs w:val="20"/>
              </w:rPr>
            </w:pPr>
            <w:r>
              <w:rPr>
                <w:rFonts w:eastAsiaTheme="minorEastAsia"/>
                <w:bCs/>
                <w:szCs w:val="20"/>
              </w:rPr>
              <w:t>参考值</w:t>
            </w:r>
          </w:p>
        </w:tc>
        <w:tc>
          <w:tcPr>
            <w:tcW w:w="1197" w:type="pct"/>
            <w:vAlign w:val="center"/>
          </w:tcPr>
          <w:p w14:paraId="07BB4FF7">
            <w:pPr>
              <w:adjustRightInd w:val="0"/>
              <w:snapToGrid w:val="0"/>
              <w:spacing w:line="320" w:lineRule="exact"/>
              <w:jc w:val="center"/>
              <w:textAlignment w:val="baseline"/>
              <w:rPr>
                <w:rFonts w:eastAsiaTheme="minorEastAsia"/>
                <w:bCs/>
                <w:szCs w:val="20"/>
              </w:rPr>
            </w:pPr>
            <w:r>
              <w:rPr>
                <w:rFonts w:eastAsiaTheme="minorEastAsia"/>
                <w:bCs/>
                <w:szCs w:val="20"/>
              </w:rPr>
              <w:t>参考标准</w:t>
            </w:r>
          </w:p>
        </w:tc>
      </w:tr>
      <w:tr w14:paraId="60A06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Align w:val="center"/>
          </w:tcPr>
          <w:p w14:paraId="631A2BBE">
            <w:pPr>
              <w:adjustRightInd w:val="0"/>
              <w:snapToGrid w:val="0"/>
              <w:spacing w:line="320" w:lineRule="exact"/>
              <w:jc w:val="center"/>
              <w:textAlignment w:val="baseline"/>
              <w:rPr>
                <w:rFonts w:eastAsiaTheme="minorEastAsia"/>
                <w:bCs/>
                <w:szCs w:val="20"/>
              </w:rPr>
            </w:pPr>
            <w:r>
              <w:rPr>
                <w:rFonts w:eastAsiaTheme="minorEastAsia"/>
                <w:bCs/>
                <w:szCs w:val="20"/>
              </w:rPr>
              <w:t>经济发展</w:t>
            </w:r>
          </w:p>
        </w:tc>
        <w:tc>
          <w:tcPr>
            <w:tcW w:w="415" w:type="pct"/>
            <w:vAlign w:val="center"/>
          </w:tcPr>
          <w:p w14:paraId="4274D205">
            <w:pPr>
              <w:adjustRightInd w:val="0"/>
              <w:snapToGrid w:val="0"/>
              <w:spacing w:line="320" w:lineRule="exact"/>
              <w:jc w:val="center"/>
              <w:textAlignment w:val="baseline"/>
              <w:rPr>
                <w:rFonts w:eastAsiaTheme="minorEastAsia"/>
                <w:bCs/>
                <w:szCs w:val="20"/>
              </w:rPr>
            </w:pPr>
            <w:r>
              <w:rPr>
                <w:rFonts w:hint="eastAsia" w:eastAsiaTheme="minorEastAsia"/>
                <w:bCs/>
                <w:szCs w:val="20"/>
              </w:rPr>
              <w:t>1</w:t>
            </w:r>
          </w:p>
        </w:tc>
        <w:tc>
          <w:tcPr>
            <w:tcW w:w="999" w:type="pct"/>
            <w:vAlign w:val="center"/>
          </w:tcPr>
          <w:p w14:paraId="64792F0D">
            <w:pPr>
              <w:adjustRightInd w:val="0"/>
              <w:snapToGrid w:val="0"/>
              <w:spacing w:line="320" w:lineRule="exact"/>
              <w:jc w:val="center"/>
              <w:textAlignment w:val="baseline"/>
              <w:rPr>
                <w:rFonts w:eastAsiaTheme="minorEastAsia"/>
                <w:bCs/>
                <w:szCs w:val="20"/>
              </w:rPr>
            </w:pPr>
            <w:r>
              <w:rPr>
                <w:rFonts w:eastAsiaTheme="minorEastAsia"/>
                <w:bCs/>
                <w:szCs w:val="20"/>
              </w:rPr>
              <w:t>人均工业增加值</w:t>
            </w:r>
          </w:p>
        </w:tc>
        <w:tc>
          <w:tcPr>
            <w:tcW w:w="581" w:type="pct"/>
            <w:vAlign w:val="center"/>
          </w:tcPr>
          <w:p w14:paraId="1AE7096D">
            <w:pPr>
              <w:adjustRightInd w:val="0"/>
              <w:snapToGrid w:val="0"/>
              <w:spacing w:line="320" w:lineRule="exact"/>
              <w:jc w:val="center"/>
              <w:textAlignment w:val="baseline"/>
              <w:rPr>
                <w:rFonts w:eastAsiaTheme="minorEastAsia"/>
                <w:bCs/>
                <w:szCs w:val="20"/>
              </w:rPr>
            </w:pPr>
            <w:r>
              <w:rPr>
                <w:rFonts w:eastAsiaTheme="minorEastAsia"/>
                <w:bCs/>
                <w:szCs w:val="20"/>
              </w:rPr>
              <w:t>万元</w:t>
            </w:r>
            <w:r>
              <w:rPr>
                <w:rFonts w:hint="eastAsia" w:eastAsiaTheme="minorEastAsia"/>
                <w:bCs/>
                <w:szCs w:val="20"/>
              </w:rPr>
              <w:t>/人</w:t>
            </w:r>
          </w:p>
        </w:tc>
        <w:tc>
          <w:tcPr>
            <w:tcW w:w="748" w:type="pct"/>
            <w:vAlign w:val="center"/>
          </w:tcPr>
          <w:p w14:paraId="3606DD6A">
            <w:pPr>
              <w:adjustRightInd w:val="0"/>
              <w:snapToGrid w:val="0"/>
              <w:spacing w:line="320" w:lineRule="exact"/>
              <w:jc w:val="center"/>
              <w:textAlignment w:val="baseline"/>
              <w:rPr>
                <w:rFonts w:eastAsiaTheme="minorEastAsia"/>
                <w:bCs/>
                <w:szCs w:val="20"/>
              </w:rPr>
            </w:pPr>
            <w:r>
              <w:rPr>
                <w:rFonts w:hint="eastAsia" w:eastAsiaTheme="minorEastAsia"/>
                <w:bCs/>
                <w:szCs w:val="20"/>
              </w:rPr>
              <w:t>≥15</w:t>
            </w:r>
          </w:p>
        </w:tc>
        <w:tc>
          <w:tcPr>
            <w:tcW w:w="498" w:type="pct"/>
            <w:vAlign w:val="center"/>
          </w:tcPr>
          <w:p w14:paraId="1ED46811">
            <w:pPr>
              <w:adjustRightInd w:val="0"/>
              <w:snapToGrid w:val="0"/>
              <w:spacing w:line="320" w:lineRule="exact"/>
              <w:jc w:val="center"/>
              <w:textAlignment w:val="baseline"/>
              <w:rPr>
                <w:rFonts w:eastAsiaTheme="minorEastAsia"/>
                <w:bCs/>
                <w:szCs w:val="20"/>
              </w:rPr>
            </w:pPr>
            <w:r>
              <w:rPr>
                <w:rFonts w:hint="eastAsia" w:eastAsiaTheme="minorEastAsia"/>
                <w:bCs/>
                <w:szCs w:val="20"/>
              </w:rPr>
              <w:t>≥15</w:t>
            </w:r>
          </w:p>
        </w:tc>
        <w:tc>
          <w:tcPr>
            <w:tcW w:w="1197" w:type="pct"/>
            <w:vMerge w:val="restart"/>
            <w:vAlign w:val="center"/>
          </w:tcPr>
          <w:p w14:paraId="6FAE5C60">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国家生态工业示范园区标准</w:t>
            </w:r>
            <w:r>
              <w:rPr>
                <w:rFonts w:eastAsiaTheme="minorEastAsia"/>
                <w:bCs/>
                <w:szCs w:val="20"/>
              </w:rPr>
              <w:t>》（HJ 274-2015）</w:t>
            </w:r>
          </w:p>
        </w:tc>
      </w:tr>
      <w:tr w14:paraId="48B02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restart"/>
            <w:vAlign w:val="center"/>
          </w:tcPr>
          <w:p w14:paraId="6542B8FC">
            <w:pPr>
              <w:adjustRightInd w:val="0"/>
              <w:snapToGrid w:val="0"/>
              <w:spacing w:line="320" w:lineRule="exact"/>
              <w:jc w:val="center"/>
              <w:textAlignment w:val="baseline"/>
              <w:rPr>
                <w:rFonts w:eastAsiaTheme="minorEastAsia"/>
                <w:bCs/>
                <w:szCs w:val="20"/>
              </w:rPr>
            </w:pPr>
            <w:r>
              <w:rPr>
                <w:rFonts w:eastAsiaTheme="minorEastAsia"/>
                <w:bCs/>
                <w:szCs w:val="20"/>
              </w:rPr>
              <w:t>资源利用</w:t>
            </w:r>
          </w:p>
        </w:tc>
        <w:tc>
          <w:tcPr>
            <w:tcW w:w="415" w:type="pct"/>
            <w:vAlign w:val="center"/>
          </w:tcPr>
          <w:p w14:paraId="7104292C">
            <w:pPr>
              <w:adjustRightInd w:val="0"/>
              <w:snapToGrid w:val="0"/>
              <w:spacing w:line="320" w:lineRule="exact"/>
              <w:jc w:val="center"/>
              <w:textAlignment w:val="baseline"/>
              <w:rPr>
                <w:rFonts w:eastAsiaTheme="minorEastAsia"/>
                <w:bCs/>
                <w:szCs w:val="20"/>
              </w:rPr>
            </w:pPr>
            <w:r>
              <w:rPr>
                <w:rFonts w:hint="eastAsia" w:eastAsiaTheme="minorEastAsia"/>
                <w:bCs/>
                <w:szCs w:val="20"/>
              </w:rPr>
              <w:t>2</w:t>
            </w:r>
          </w:p>
        </w:tc>
        <w:tc>
          <w:tcPr>
            <w:tcW w:w="999" w:type="pct"/>
            <w:vAlign w:val="center"/>
          </w:tcPr>
          <w:p w14:paraId="2C07E5E8">
            <w:pPr>
              <w:adjustRightInd w:val="0"/>
              <w:snapToGrid w:val="0"/>
              <w:spacing w:line="320" w:lineRule="exact"/>
              <w:jc w:val="center"/>
              <w:textAlignment w:val="baseline"/>
              <w:rPr>
                <w:rFonts w:eastAsiaTheme="minorEastAsia"/>
                <w:bCs/>
                <w:szCs w:val="20"/>
              </w:rPr>
            </w:pPr>
            <w:r>
              <w:rPr>
                <w:rFonts w:hint="eastAsia" w:eastAsiaTheme="minorEastAsia"/>
                <w:bCs/>
                <w:szCs w:val="20"/>
              </w:rPr>
              <w:t>单位工业用地面积工业增加值三年年均增长率</w:t>
            </w:r>
          </w:p>
        </w:tc>
        <w:tc>
          <w:tcPr>
            <w:tcW w:w="581" w:type="pct"/>
            <w:vAlign w:val="center"/>
          </w:tcPr>
          <w:p w14:paraId="54A67F84">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1A6CBE79">
            <w:pPr>
              <w:adjustRightInd w:val="0"/>
              <w:snapToGrid w:val="0"/>
              <w:spacing w:line="320" w:lineRule="exact"/>
              <w:jc w:val="center"/>
              <w:textAlignment w:val="baseline"/>
              <w:rPr>
                <w:rFonts w:eastAsiaTheme="minorEastAsia"/>
                <w:bCs/>
                <w:szCs w:val="20"/>
              </w:rPr>
            </w:pPr>
            <w:r>
              <w:rPr>
                <w:rFonts w:hint="eastAsia" w:eastAsiaTheme="minorEastAsia"/>
                <w:bCs/>
                <w:szCs w:val="20"/>
              </w:rPr>
              <w:t>≥6</w:t>
            </w:r>
          </w:p>
        </w:tc>
        <w:tc>
          <w:tcPr>
            <w:tcW w:w="498" w:type="pct"/>
            <w:vAlign w:val="center"/>
          </w:tcPr>
          <w:p w14:paraId="30C1B64F">
            <w:pPr>
              <w:adjustRightInd w:val="0"/>
              <w:snapToGrid w:val="0"/>
              <w:spacing w:line="320" w:lineRule="exact"/>
              <w:jc w:val="center"/>
              <w:textAlignment w:val="baseline"/>
              <w:rPr>
                <w:rFonts w:eastAsiaTheme="minorEastAsia"/>
                <w:bCs/>
                <w:szCs w:val="20"/>
              </w:rPr>
            </w:pPr>
            <w:r>
              <w:rPr>
                <w:rFonts w:hint="eastAsia" w:eastAsiaTheme="minorEastAsia"/>
                <w:bCs/>
                <w:szCs w:val="20"/>
              </w:rPr>
              <w:t>≥6</w:t>
            </w:r>
          </w:p>
        </w:tc>
        <w:tc>
          <w:tcPr>
            <w:tcW w:w="1197" w:type="pct"/>
            <w:vMerge w:val="continue"/>
            <w:vAlign w:val="center"/>
          </w:tcPr>
          <w:p w14:paraId="700944F5">
            <w:pPr>
              <w:adjustRightInd w:val="0"/>
              <w:snapToGrid w:val="0"/>
              <w:spacing w:line="320" w:lineRule="exact"/>
              <w:jc w:val="center"/>
              <w:textAlignment w:val="baseline"/>
              <w:rPr>
                <w:rFonts w:eastAsiaTheme="minorEastAsia"/>
                <w:bCs/>
                <w:szCs w:val="20"/>
              </w:rPr>
            </w:pPr>
          </w:p>
        </w:tc>
      </w:tr>
      <w:tr w14:paraId="6EB03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3ED3A6F1">
            <w:pPr>
              <w:adjustRightInd w:val="0"/>
              <w:snapToGrid w:val="0"/>
              <w:spacing w:line="320" w:lineRule="exact"/>
              <w:jc w:val="center"/>
              <w:textAlignment w:val="baseline"/>
              <w:rPr>
                <w:rFonts w:eastAsiaTheme="minorEastAsia"/>
                <w:bCs/>
                <w:szCs w:val="20"/>
              </w:rPr>
            </w:pPr>
          </w:p>
        </w:tc>
        <w:tc>
          <w:tcPr>
            <w:tcW w:w="415" w:type="pct"/>
            <w:vAlign w:val="center"/>
          </w:tcPr>
          <w:p w14:paraId="0C5EE426">
            <w:pPr>
              <w:adjustRightInd w:val="0"/>
              <w:snapToGrid w:val="0"/>
              <w:spacing w:line="320" w:lineRule="exact"/>
              <w:jc w:val="center"/>
              <w:textAlignment w:val="baseline"/>
              <w:rPr>
                <w:rFonts w:eastAsiaTheme="minorEastAsia"/>
                <w:bCs/>
                <w:szCs w:val="20"/>
              </w:rPr>
            </w:pPr>
            <w:r>
              <w:rPr>
                <w:rFonts w:hint="eastAsia" w:eastAsiaTheme="minorEastAsia"/>
                <w:bCs/>
                <w:szCs w:val="20"/>
              </w:rPr>
              <w:t>3</w:t>
            </w:r>
          </w:p>
        </w:tc>
        <w:tc>
          <w:tcPr>
            <w:tcW w:w="999" w:type="pct"/>
            <w:vAlign w:val="center"/>
          </w:tcPr>
          <w:p w14:paraId="4C4D0F5A">
            <w:pPr>
              <w:adjustRightInd w:val="0"/>
              <w:snapToGrid w:val="0"/>
              <w:spacing w:line="320" w:lineRule="exact"/>
              <w:jc w:val="center"/>
              <w:textAlignment w:val="baseline"/>
              <w:rPr>
                <w:rFonts w:eastAsiaTheme="minorEastAsia"/>
                <w:bCs/>
                <w:szCs w:val="20"/>
              </w:rPr>
            </w:pPr>
            <w:r>
              <w:rPr>
                <w:rFonts w:hint="eastAsia" w:eastAsiaTheme="minorEastAsia"/>
                <w:bCs/>
                <w:szCs w:val="20"/>
              </w:rPr>
              <w:t>单位工业增加值能耗</w:t>
            </w:r>
          </w:p>
        </w:tc>
        <w:tc>
          <w:tcPr>
            <w:tcW w:w="581" w:type="pct"/>
            <w:vAlign w:val="center"/>
          </w:tcPr>
          <w:p w14:paraId="648D410F">
            <w:pPr>
              <w:adjustRightInd w:val="0"/>
              <w:snapToGrid w:val="0"/>
              <w:spacing w:line="320" w:lineRule="exact"/>
              <w:jc w:val="center"/>
              <w:textAlignment w:val="baseline"/>
              <w:rPr>
                <w:rFonts w:eastAsiaTheme="minorEastAsia"/>
                <w:bCs/>
                <w:szCs w:val="20"/>
              </w:rPr>
            </w:pPr>
            <w:r>
              <w:rPr>
                <w:rFonts w:hint="eastAsia" w:eastAsiaTheme="minorEastAsia"/>
                <w:bCs/>
                <w:szCs w:val="20"/>
              </w:rPr>
              <w:t>吨标煤/万元</w:t>
            </w:r>
          </w:p>
        </w:tc>
        <w:tc>
          <w:tcPr>
            <w:tcW w:w="748" w:type="pct"/>
            <w:vAlign w:val="center"/>
          </w:tcPr>
          <w:p w14:paraId="6AD301DF">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0.5</w:t>
            </w:r>
          </w:p>
        </w:tc>
        <w:tc>
          <w:tcPr>
            <w:tcW w:w="498" w:type="pct"/>
            <w:vAlign w:val="center"/>
          </w:tcPr>
          <w:p w14:paraId="77A1DA1B">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0.5</w:t>
            </w:r>
          </w:p>
        </w:tc>
        <w:tc>
          <w:tcPr>
            <w:tcW w:w="1197" w:type="pct"/>
            <w:vMerge w:val="continue"/>
            <w:vAlign w:val="center"/>
          </w:tcPr>
          <w:p w14:paraId="4701D62A">
            <w:pPr>
              <w:adjustRightInd w:val="0"/>
              <w:snapToGrid w:val="0"/>
              <w:spacing w:line="320" w:lineRule="exact"/>
              <w:jc w:val="center"/>
              <w:textAlignment w:val="baseline"/>
              <w:rPr>
                <w:rFonts w:eastAsiaTheme="minorEastAsia"/>
                <w:bCs/>
                <w:szCs w:val="20"/>
              </w:rPr>
            </w:pPr>
          </w:p>
        </w:tc>
      </w:tr>
      <w:tr w14:paraId="7C7A7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14107FFC">
            <w:pPr>
              <w:adjustRightInd w:val="0"/>
              <w:snapToGrid w:val="0"/>
              <w:spacing w:line="320" w:lineRule="exact"/>
              <w:jc w:val="center"/>
              <w:textAlignment w:val="baseline"/>
              <w:rPr>
                <w:rFonts w:eastAsiaTheme="minorEastAsia"/>
                <w:bCs/>
                <w:szCs w:val="20"/>
              </w:rPr>
            </w:pPr>
          </w:p>
        </w:tc>
        <w:tc>
          <w:tcPr>
            <w:tcW w:w="415" w:type="pct"/>
            <w:vAlign w:val="center"/>
          </w:tcPr>
          <w:p w14:paraId="7B3C47D6">
            <w:pPr>
              <w:adjustRightInd w:val="0"/>
              <w:snapToGrid w:val="0"/>
              <w:spacing w:line="320" w:lineRule="exact"/>
              <w:jc w:val="center"/>
              <w:textAlignment w:val="baseline"/>
              <w:rPr>
                <w:rFonts w:eastAsiaTheme="minorEastAsia"/>
                <w:bCs/>
                <w:szCs w:val="20"/>
              </w:rPr>
            </w:pPr>
            <w:r>
              <w:rPr>
                <w:rFonts w:hint="eastAsia" w:eastAsiaTheme="minorEastAsia"/>
                <w:bCs/>
                <w:szCs w:val="20"/>
              </w:rPr>
              <w:t>4</w:t>
            </w:r>
          </w:p>
        </w:tc>
        <w:tc>
          <w:tcPr>
            <w:tcW w:w="999" w:type="pct"/>
            <w:vAlign w:val="center"/>
          </w:tcPr>
          <w:p w14:paraId="2077A985">
            <w:pPr>
              <w:adjustRightInd w:val="0"/>
              <w:snapToGrid w:val="0"/>
              <w:spacing w:line="320" w:lineRule="exact"/>
              <w:jc w:val="center"/>
              <w:textAlignment w:val="baseline"/>
              <w:rPr>
                <w:rFonts w:eastAsiaTheme="minorEastAsia"/>
                <w:bCs/>
                <w:szCs w:val="20"/>
              </w:rPr>
            </w:pPr>
            <w:r>
              <w:rPr>
                <w:rFonts w:hint="eastAsia" w:eastAsiaTheme="minorEastAsia"/>
                <w:bCs/>
                <w:szCs w:val="20"/>
              </w:rPr>
              <w:t>单位工业增加值新鲜水耗</w:t>
            </w:r>
          </w:p>
        </w:tc>
        <w:tc>
          <w:tcPr>
            <w:tcW w:w="581" w:type="pct"/>
            <w:vAlign w:val="center"/>
          </w:tcPr>
          <w:p w14:paraId="2B5FC763">
            <w:pPr>
              <w:adjustRightInd w:val="0"/>
              <w:snapToGrid w:val="0"/>
              <w:spacing w:line="320" w:lineRule="exact"/>
              <w:jc w:val="center"/>
              <w:textAlignment w:val="baseline"/>
              <w:rPr>
                <w:rFonts w:eastAsiaTheme="minorEastAsia"/>
                <w:bCs/>
                <w:szCs w:val="20"/>
              </w:rPr>
            </w:pPr>
            <w:r>
              <w:rPr>
                <w:rFonts w:hint="eastAsia" w:eastAsiaTheme="minorEastAsia"/>
                <w:bCs/>
                <w:szCs w:val="20"/>
              </w:rPr>
              <w:t>立方米/万元</w:t>
            </w:r>
          </w:p>
        </w:tc>
        <w:tc>
          <w:tcPr>
            <w:tcW w:w="748" w:type="pct"/>
            <w:vAlign w:val="center"/>
          </w:tcPr>
          <w:p w14:paraId="74DD9382">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8</w:t>
            </w:r>
          </w:p>
        </w:tc>
        <w:tc>
          <w:tcPr>
            <w:tcW w:w="498" w:type="pct"/>
            <w:vAlign w:val="center"/>
          </w:tcPr>
          <w:p w14:paraId="25246365">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8</w:t>
            </w:r>
          </w:p>
        </w:tc>
        <w:tc>
          <w:tcPr>
            <w:tcW w:w="1197" w:type="pct"/>
            <w:vMerge w:val="continue"/>
            <w:vAlign w:val="center"/>
          </w:tcPr>
          <w:p w14:paraId="2EC0B8D9">
            <w:pPr>
              <w:adjustRightInd w:val="0"/>
              <w:snapToGrid w:val="0"/>
              <w:spacing w:line="320" w:lineRule="exact"/>
              <w:jc w:val="center"/>
              <w:textAlignment w:val="baseline"/>
              <w:rPr>
                <w:rFonts w:eastAsiaTheme="minorEastAsia"/>
                <w:bCs/>
                <w:szCs w:val="20"/>
              </w:rPr>
            </w:pPr>
          </w:p>
        </w:tc>
      </w:tr>
      <w:tr w14:paraId="5E552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4352CE20">
            <w:pPr>
              <w:adjustRightInd w:val="0"/>
              <w:snapToGrid w:val="0"/>
              <w:spacing w:line="320" w:lineRule="exact"/>
              <w:jc w:val="center"/>
              <w:textAlignment w:val="baseline"/>
              <w:rPr>
                <w:rFonts w:eastAsiaTheme="minorEastAsia"/>
                <w:bCs/>
                <w:szCs w:val="20"/>
              </w:rPr>
            </w:pPr>
          </w:p>
        </w:tc>
        <w:tc>
          <w:tcPr>
            <w:tcW w:w="415" w:type="pct"/>
            <w:vAlign w:val="center"/>
          </w:tcPr>
          <w:p w14:paraId="4001E2B3">
            <w:pPr>
              <w:adjustRightInd w:val="0"/>
              <w:snapToGrid w:val="0"/>
              <w:spacing w:line="320" w:lineRule="exact"/>
              <w:jc w:val="center"/>
              <w:textAlignment w:val="baseline"/>
              <w:rPr>
                <w:rFonts w:eastAsiaTheme="minorEastAsia"/>
                <w:bCs/>
                <w:szCs w:val="20"/>
              </w:rPr>
            </w:pPr>
            <w:r>
              <w:rPr>
                <w:rFonts w:hint="eastAsia" w:eastAsiaTheme="minorEastAsia"/>
                <w:bCs/>
                <w:szCs w:val="20"/>
              </w:rPr>
              <w:t>5</w:t>
            </w:r>
          </w:p>
        </w:tc>
        <w:tc>
          <w:tcPr>
            <w:tcW w:w="999" w:type="pct"/>
            <w:vAlign w:val="center"/>
          </w:tcPr>
          <w:p w14:paraId="649EACCC">
            <w:pPr>
              <w:adjustRightInd w:val="0"/>
              <w:snapToGrid w:val="0"/>
              <w:spacing w:line="320" w:lineRule="exact"/>
              <w:jc w:val="center"/>
              <w:textAlignment w:val="baseline"/>
              <w:rPr>
                <w:rFonts w:eastAsiaTheme="minorEastAsia"/>
                <w:bCs/>
                <w:szCs w:val="20"/>
              </w:rPr>
            </w:pPr>
            <w:r>
              <w:rPr>
                <w:rFonts w:hint="eastAsia" w:eastAsiaTheme="minorEastAsia"/>
                <w:bCs/>
                <w:szCs w:val="20"/>
              </w:rPr>
              <w:t>工业用水重复利用率</w:t>
            </w:r>
          </w:p>
        </w:tc>
        <w:tc>
          <w:tcPr>
            <w:tcW w:w="581" w:type="pct"/>
            <w:vAlign w:val="center"/>
          </w:tcPr>
          <w:p w14:paraId="0FC885F0">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55438682">
            <w:pPr>
              <w:adjustRightInd w:val="0"/>
              <w:snapToGrid w:val="0"/>
              <w:spacing w:line="320" w:lineRule="exact"/>
              <w:jc w:val="center"/>
              <w:textAlignment w:val="baseline"/>
              <w:rPr>
                <w:rFonts w:eastAsiaTheme="minorEastAsia"/>
                <w:bCs/>
                <w:szCs w:val="20"/>
              </w:rPr>
            </w:pPr>
            <w:r>
              <w:rPr>
                <w:rFonts w:hint="eastAsia" w:eastAsiaTheme="minorEastAsia"/>
                <w:bCs/>
                <w:szCs w:val="20"/>
              </w:rPr>
              <w:t>≥75</w:t>
            </w:r>
          </w:p>
        </w:tc>
        <w:tc>
          <w:tcPr>
            <w:tcW w:w="498" w:type="pct"/>
            <w:vAlign w:val="center"/>
          </w:tcPr>
          <w:p w14:paraId="287C9CA5">
            <w:pPr>
              <w:adjustRightInd w:val="0"/>
              <w:snapToGrid w:val="0"/>
              <w:spacing w:line="320" w:lineRule="exact"/>
              <w:jc w:val="center"/>
              <w:textAlignment w:val="baseline"/>
              <w:rPr>
                <w:rFonts w:eastAsiaTheme="minorEastAsia"/>
                <w:bCs/>
                <w:szCs w:val="20"/>
              </w:rPr>
            </w:pPr>
            <w:r>
              <w:rPr>
                <w:rFonts w:hint="eastAsia" w:eastAsiaTheme="minorEastAsia"/>
                <w:bCs/>
                <w:szCs w:val="20"/>
              </w:rPr>
              <w:t>≥75</w:t>
            </w:r>
          </w:p>
        </w:tc>
        <w:tc>
          <w:tcPr>
            <w:tcW w:w="1197" w:type="pct"/>
            <w:vMerge w:val="continue"/>
            <w:vAlign w:val="center"/>
          </w:tcPr>
          <w:p w14:paraId="679F5932">
            <w:pPr>
              <w:adjustRightInd w:val="0"/>
              <w:snapToGrid w:val="0"/>
              <w:spacing w:line="320" w:lineRule="exact"/>
              <w:jc w:val="center"/>
              <w:textAlignment w:val="baseline"/>
              <w:rPr>
                <w:rFonts w:eastAsiaTheme="minorEastAsia"/>
                <w:bCs/>
                <w:szCs w:val="20"/>
              </w:rPr>
            </w:pPr>
          </w:p>
        </w:tc>
      </w:tr>
      <w:tr w14:paraId="3BF16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restart"/>
            <w:vAlign w:val="center"/>
          </w:tcPr>
          <w:p w14:paraId="17D56505">
            <w:pPr>
              <w:adjustRightInd w:val="0"/>
              <w:snapToGrid w:val="0"/>
              <w:spacing w:line="320" w:lineRule="exact"/>
              <w:jc w:val="center"/>
              <w:textAlignment w:val="baseline"/>
              <w:rPr>
                <w:rFonts w:eastAsiaTheme="minorEastAsia"/>
                <w:bCs/>
                <w:szCs w:val="20"/>
              </w:rPr>
            </w:pPr>
            <w:r>
              <w:rPr>
                <w:rFonts w:eastAsiaTheme="minorEastAsia"/>
                <w:bCs/>
                <w:szCs w:val="20"/>
              </w:rPr>
              <w:t>污染防治指标</w:t>
            </w:r>
          </w:p>
        </w:tc>
        <w:tc>
          <w:tcPr>
            <w:tcW w:w="415" w:type="pct"/>
            <w:vAlign w:val="center"/>
          </w:tcPr>
          <w:p w14:paraId="054BD2EA">
            <w:pPr>
              <w:adjustRightInd w:val="0"/>
              <w:snapToGrid w:val="0"/>
              <w:spacing w:line="320" w:lineRule="exact"/>
              <w:jc w:val="center"/>
              <w:textAlignment w:val="baseline"/>
              <w:rPr>
                <w:rFonts w:eastAsiaTheme="minorEastAsia"/>
                <w:bCs/>
                <w:szCs w:val="20"/>
              </w:rPr>
            </w:pPr>
            <w:r>
              <w:rPr>
                <w:rFonts w:hint="eastAsia" w:eastAsiaTheme="minorEastAsia"/>
                <w:bCs/>
                <w:szCs w:val="20"/>
              </w:rPr>
              <w:t>6</w:t>
            </w:r>
          </w:p>
        </w:tc>
        <w:tc>
          <w:tcPr>
            <w:tcW w:w="999" w:type="pct"/>
            <w:vAlign w:val="center"/>
          </w:tcPr>
          <w:p w14:paraId="5340A5FA">
            <w:pPr>
              <w:adjustRightInd w:val="0"/>
              <w:snapToGrid w:val="0"/>
              <w:spacing w:line="320" w:lineRule="exact"/>
              <w:jc w:val="center"/>
              <w:textAlignment w:val="baseline"/>
              <w:rPr>
                <w:rFonts w:eastAsiaTheme="minorEastAsia"/>
                <w:bCs/>
                <w:szCs w:val="20"/>
              </w:rPr>
            </w:pPr>
            <w:r>
              <w:rPr>
                <w:rFonts w:eastAsiaTheme="minorEastAsia"/>
                <w:bCs/>
                <w:szCs w:val="20"/>
              </w:rPr>
              <w:t>单位工业增加值废水排放量</w:t>
            </w:r>
          </w:p>
        </w:tc>
        <w:tc>
          <w:tcPr>
            <w:tcW w:w="581" w:type="pct"/>
            <w:vAlign w:val="center"/>
          </w:tcPr>
          <w:p w14:paraId="488F9047">
            <w:pPr>
              <w:adjustRightInd w:val="0"/>
              <w:snapToGrid w:val="0"/>
              <w:spacing w:line="320" w:lineRule="exact"/>
              <w:jc w:val="center"/>
              <w:textAlignment w:val="baseline"/>
              <w:rPr>
                <w:rFonts w:eastAsiaTheme="minorEastAsia"/>
                <w:bCs/>
                <w:szCs w:val="20"/>
              </w:rPr>
            </w:pPr>
            <w:r>
              <w:rPr>
                <w:rFonts w:eastAsiaTheme="minorEastAsia"/>
                <w:bCs/>
                <w:szCs w:val="20"/>
              </w:rPr>
              <w:t>吨</w:t>
            </w:r>
            <w:r>
              <w:rPr>
                <w:rFonts w:hint="eastAsia" w:eastAsiaTheme="minorEastAsia"/>
                <w:bCs/>
                <w:szCs w:val="20"/>
              </w:rPr>
              <w:t>/万元</w:t>
            </w:r>
          </w:p>
        </w:tc>
        <w:tc>
          <w:tcPr>
            <w:tcW w:w="748" w:type="pct"/>
            <w:vAlign w:val="center"/>
          </w:tcPr>
          <w:p w14:paraId="100E6D1C">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7</w:t>
            </w:r>
          </w:p>
        </w:tc>
        <w:tc>
          <w:tcPr>
            <w:tcW w:w="498" w:type="pct"/>
            <w:vAlign w:val="center"/>
          </w:tcPr>
          <w:p w14:paraId="6DC8E8B2">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7</w:t>
            </w:r>
          </w:p>
        </w:tc>
        <w:tc>
          <w:tcPr>
            <w:tcW w:w="1197" w:type="pct"/>
            <w:vMerge w:val="continue"/>
            <w:vAlign w:val="center"/>
          </w:tcPr>
          <w:p w14:paraId="3000361A">
            <w:pPr>
              <w:adjustRightInd w:val="0"/>
              <w:snapToGrid w:val="0"/>
              <w:spacing w:line="320" w:lineRule="exact"/>
              <w:jc w:val="center"/>
              <w:textAlignment w:val="baseline"/>
              <w:rPr>
                <w:rFonts w:eastAsiaTheme="minorEastAsia"/>
                <w:bCs/>
                <w:szCs w:val="20"/>
              </w:rPr>
            </w:pPr>
          </w:p>
        </w:tc>
      </w:tr>
      <w:tr w14:paraId="080A1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4313967B">
            <w:pPr>
              <w:adjustRightInd w:val="0"/>
              <w:snapToGrid w:val="0"/>
              <w:spacing w:line="320" w:lineRule="exact"/>
              <w:jc w:val="center"/>
              <w:textAlignment w:val="baseline"/>
              <w:rPr>
                <w:rFonts w:eastAsiaTheme="minorEastAsia"/>
                <w:bCs/>
                <w:szCs w:val="20"/>
              </w:rPr>
            </w:pPr>
          </w:p>
        </w:tc>
        <w:tc>
          <w:tcPr>
            <w:tcW w:w="415" w:type="pct"/>
            <w:vAlign w:val="center"/>
          </w:tcPr>
          <w:p w14:paraId="57392B6C">
            <w:pPr>
              <w:adjustRightInd w:val="0"/>
              <w:snapToGrid w:val="0"/>
              <w:spacing w:line="320" w:lineRule="exact"/>
              <w:jc w:val="center"/>
              <w:textAlignment w:val="baseline"/>
              <w:rPr>
                <w:rFonts w:eastAsiaTheme="minorEastAsia"/>
                <w:bCs/>
                <w:szCs w:val="20"/>
              </w:rPr>
            </w:pPr>
            <w:r>
              <w:rPr>
                <w:rFonts w:hint="eastAsia" w:eastAsiaTheme="minorEastAsia"/>
                <w:bCs/>
                <w:szCs w:val="20"/>
              </w:rPr>
              <w:t>7</w:t>
            </w:r>
          </w:p>
        </w:tc>
        <w:tc>
          <w:tcPr>
            <w:tcW w:w="999" w:type="pct"/>
            <w:vAlign w:val="center"/>
          </w:tcPr>
          <w:p w14:paraId="4B50D38B">
            <w:pPr>
              <w:adjustRightInd w:val="0"/>
              <w:snapToGrid w:val="0"/>
              <w:spacing w:line="320" w:lineRule="exact"/>
              <w:jc w:val="center"/>
              <w:textAlignment w:val="baseline"/>
              <w:rPr>
                <w:rFonts w:eastAsiaTheme="minorEastAsia"/>
                <w:bCs/>
                <w:szCs w:val="20"/>
              </w:rPr>
            </w:pPr>
            <w:r>
              <w:rPr>
                <w:rFonts w:eastAsiaTheme="minorEastAsia"/>
                <w:bCs/>
                <w:szCs w:val="20"/>
              </w:rPr>
              <w:t>工业固体废物处置利用率</w:t>
            </w:r>
          </w:p>
        </w:tc>
        <w:tc>
          <w:tcPr>
            <w:tcW w:w="581" w:type="pct"/>
            <w:vAlign w:val="center"/>
          </w:tcPr>
          <w:p w14:paraId="08BCCC32">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0B9E2106">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08623341">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restart"/>
            <w:vAlign w:val="center"/>
          </w:tcPr>
          <w:p w14:paraId="009A3254">
            <w:pPr>
              <w:adjustRightInd w:val="0"/>
              <w:snapToGrid w:val="0"/>
              <w:spacing w:line="320" w:lineRule="exact"/>
              <w:jc w:val="center"/>
              <w:textAlignment w:val="baseline"/>
              <w:rPr>
                <w:rFonts w:eastAsiaTheme="minorEastAsia"/>
                <w:bCs/>
                <w:szCs w:val="20"/>
              </w:rPr>
            </w:pPr>
            <w:r>
              <w:rPr>
                <w:rFonts w:hint="eastAsia" w:eastAsiaTheme="minorEastAsia"/>
                <w:bCs/>
                <w:szCs w:val="20"/>
              </w:rPr>
              <w:t>《随州市生态环境保护“十四五”规划》</w:t>
            </w:r>
          </w:p>
        </w:tc>
      </w:tr>
      <w:tr w14:paraId="6B93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5F39ECDD">
            <w:pPr>
              <w:adjustRightInd w:val="0"/>
              <w:snapToGrid w:val="0"/>
              <w:spacing w:line="320" w:lineRule="exact"/>
              <w:jc w:val="center"/>
              <w:textAlignment w:val="baseline"/>
              <w:rPr>
                <w:rFonts w:eastAsiaTheme="minorEastAsia"/>
                <w:bCs/>
                <w:szCs w:val="20"/>
              </w:rPr>
            </w:pPr>
          </w:p>
        </w:tc>
        <w:tc>
          <w:tcPr>
            <w:tcW w:w="415" w:type="pct"/>
            <w:vAlign w:val="center"/>
          </w:tcPr>
          <w:p w14:paraId="484F6665">
            <w:pPr>
              <w:adjustRightInd w:val="0"/>
              <w:snapToGrid w:val="0"/>
              <w:spacing w:line="320" w:lineRule="exact"/>
              <w:jc w:val="center"/>
              <w:textAlignment w:val="baseline"/>
              <w:rPr>
                <w:rFonts w:eastAsiaTheme="minorEastAsia"/>
                <w:bCs/>
                <w:szCs w:val="20"/>
              </w:rPr>
            </w:pPr>
            <w:r>
              <w:rPr>
                <w:rFonts w:hint="eastAsia" w:eastAsiaTheme="minorEastAsia"/>
                <w:bCs/>
                <w:szCs w:val="20"/>
              </w:rPr>
              <w:t>8</w:t>
            </w:r>
          </w:p>
        </w:tc>
        <w:tc>
          <w:tcPr>
            <w:tcW w:w="999" w:type="pct"/>
            <w:vAlign w:val="center"/>
          </w:tcPr>
          <w:p w14:paraId="144CECA7">
            <w:pPr>
              <w:adjustRightInd w:val="0"/>
              <w:snapToGrid w:val="0"/>
              <w:spacing w:line="320" w:lineRule="exact"/>
              <w:jc w:val="center"/>
              <w:textAlignment w:val="baseline"/>
              <w:rPr>
                <w:rFonts w:eastAsiaTheme="minorEastAsia"/>
                <w:bCs/>
                <w:szCs w:val="20"/>
              </w:rPr>
            </w:pPr>
            <w:r>
              <w:rPr>
                <w:rFonts w:eastAsiaTheme="minorEastAsia"/>
                <w:bCs/>
                <w:szCs w:val="20"/>
              </w:rPr>
              <w:t>危险废物安全处置利用率</w:t>
            </w:r>
          </w:p>
        </w:tc>
        <w:tc>
          <w:tcPr>
            <w:tcW w:w="581" w:type="pct"/>
            <w:vAlign w:val="center"/>
          </w:tcPr>
          <w:p w14:paraId="53190F81">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344B8738">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5E7E276C">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46401DDA">
            <w:pPr>
              <w:adjustRightInd w:val="0"/>
              <w:snapToGrid w:val="0"/>
              <w:spacing w:line="320" w:lineRule="exact"/>
              <w:jc w:val="center"/>
              <w:textAlignment w:val="baseline"/>
              <w:rPr>
                <w:rFonts w:eastAsiaTheme="minorEastAsia"/>
                <w:bCs/>
                <w:szCs w:val="20"/>
              </w:rPr>
            </w:pPr>
          </w:p>
        </w:tc>
      </w:tr>
      <w:tr w14:paraId="2B559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00FAFB3E">
            <w:pPr>
              <w:adjustRightInd w:val="0"/>
              <w:snapToGrid w:val="0"/>
              <w:spacing w:line="320" w:lineRule="exact"/>
              <w:jc w:val="center"/>
              <w:textAlignment w:val="baseline"/>
              <w:rPr>
                <w:rFonts w:eastAsiaTheme="minorEastAsia"/>
                <w:bCs/>
                <w:szCs w:val="20"/>
              </w:rPr>
            </w:pPr>
          </w:p>
        </w:tc>
        <w:tc>
          <w:tcPr>
            <w:tcW w:w="415" w:type="pct"/>
            <w:vAlign w:val="center"/>
          </w:tcPr>
          <w:p w14:paraId="519B6CBE">
            <w:pPr>
              <w:adjustRightInd w:val="0"/>
              <w:snapToGrid w:val="0"/>
              <w:spacing w:line="320" w:lineRule="exact"/>
              <w:jc w:val="center"/>
              <w:textAlignment w:val="baseline"/>
              <w:rPr>
                <w:rFonts w:eastAsiaTheme="minorEastAsia"/>
                <w:bCs/>
                <w:szCs w:val="20"/>
              </w:rPr>
            </w:pPr>
            <w:r>
              <w:rPr>
                <w:rFonts w:hint="eastAsia" w:eastAsiaTheme="minorEastAsia"/>
                <w:bCs/>
                <w:szCs w:val="20"/>
              </w:rPr>
              <w:t>9</w:t>
            </w:r>
          </w:p>
        </w:tc>
        <w:tc>
          <w:tcPr>
            <w:tcW w:w="999" w:type="pct"/>
            <w:vAlign w:val="center"/>
          </w:tcPr>
          <w:p w14:paraId="63E8FBE1">
            <w:pPr>
              <w:adjustRightInd w:val="0"/>
              <w:snapToGrid w:val="0"/>
              <w:spacing w:line="320" w:lineRule="exact"/>
              <w:jc w:val="center"/>
              <w:textAlignment w:val="baseline"/>
              <w:rPr>
                <w:rFonts w:eastAsiaTheme="minorEastAsia"/>
                <w:bCs/>
                <w:szCs w:val="20"/>
              </w:rPr>
            </w:pPr>
            <w:r>
              <w:rPr>
                <w:rFonts w:hint="eastAsia" w:eastAsiaTheme="minorEastAsia"/>
                <w:bCs/>
                <w:szCs w:val="20"/>
              </w:rPr>
              <w:t>城市</w:t>
            </w:r>
            <w:r>
              <w:rPr>
                <w:rFonts w:eastAsiaTheme="minorEastAsia"/>
                <w:bCs/>
                <w:szCs w:val="20"/>
              </w:rPr>
              <w:t>生活污水集中收集率</w:t>
            </w:r>
          </w:p>
        </w:tc>
        <w:tc>
          <w:tcPr>
            <w:tcW w:w="581" w:type="pct"/>
            <w:vAlign w:val="center"/>
          </w:tcPr>
          <w:p w14:paraId="105E7D85">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315E37B5">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0D2782A9">
            <w:pPr>
              <w:adjustRightInd w:val="0"/>
              <w:snapToGrid w:val="0"/>
              <w:spacing w:line="320" w:lineRule="exact"/>
              <w:jc w:val="center"/>
              <w:textAlignment w:val="baseline"/>
              <w:rPr>
                <w:rFonts w:eastAsiaTheme="minorEastAsia"/>
                <w:bCs/>
                <w:szCs w:val="20"/>
              </w:rPr>
            </w:pPr>
            <w:r>
              <w:rPr>
                <w:rFonts w:hint="eastAsia" w:eastAsiaTheme="minorEastAsia"/>
                <w:bCs/>
                <w:szCs w:val="20"/>
              </w:rPr>
              <w:t>60</w:t>
            </w:r>
          </w:p>
        </w:tc>
        <w:tc>
          <w:tcPr>
            <w:tcW w:w="1197" w:type="pct"/>
            <w:vMerge w:val="continue"/>
            <w:vAlign w:val="center"/>
          </w:tcPr>
          <w:p w14:paraId="7CAF5133">
            <w:pPr>
              <w:adjustRightInd w:val="0"/>
              <w:snapToGrid w:val="0"/>
              <w:spacing w:line="320" w:lineRule="exact"/>
              <w:jc w:val="center"/>
              <w:textAlignment w:val="baseline"/>
              <w:rPr>
                <w:rFonts w:eastAsiaTheme="minorEastAsia"/>
                <w:bCs/>
                <w:szCs w:val="20"/>
              </w:rPr>
            </w:pPr>
          </w:p>
        </w:tc>
      </w:tr>
      <w:tr w14:paraId="2D5B0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71D83A35">
            <w:pPr>
              <w:adjustRightInd w:val="0"/>
              <w:snapToGrid w:val="0"/>
              <w:spacing w:line="320" w:lineRule="exact"/>
              <w:jc w:val="center"/>
              <w:textAlignment w:val="baseline"/>
              <w:rPr>
                <w:rFonts w:eastAsiaTheme="minorEastAsia"/>
                <w:bCs/>
                <w:szCs w:val="20"/>
              </w:rPr>
            </w:pPr>
          </w:p>
        </w:tc>
        <w:tc>
          <w:tcPr>
            <w:tcW w:w="415" w:type="pct"/>
            <w:vAlign w:val="center"/>
          </w:tcPr>
          <w:p w14:paraId="44C642DA">
            <w:pPr>
              <w:adjustRightInd w:val="0"/>
              <w:snapToGrid w:val="0"/>
              <w:spacing w:line="320" w:lineRule="exact"/>
              <w:jc w:val="center"/>
              <w:textAlignment w:val="baseline"/>
              <w:rPr>
                <w:rFonts w:eastAsiaTheme="minorEastAsia"/>
                <w:bCs/>
                <w:szCs w:val="20"/>
              </w:rPr>
            </w:pPr>
            <w:r>
              <w:rPr>
                <w:rFonts w:hint="eastAsia" w:eastAsiaTheme="minorEastAsia"/>
                <w:bCs/>
                <w:szCs w:val="20"/>
              </w:rPr>
              <w:t>10</w:t>
            </w:r>
          </w:p>
        </w:tc>
        <w:tc>
          <w:tcPr>
            <w:tcW w:w="999" w:type="pct"/>
            <w:vAlign w:val="center"/>
          </w:tcPr>
          <w:p w14:paraId="1F093775">
            <w:pPr>
              <w:adjustRightInd w:val="0"/>
              <w:snapToGrid w:val="0"/>
              <w:spacing w:line="320" w:lineRule="exact"/>
              <w:jc w:val="center"/>
              <w:textAlignment w:val="baseline"/>
              <w:rPr>
                <w:rFonts w:eastAsiaTheme="minorEastAsia"/>
                <w:bCs/>
                <w:szCs w:val="20"/>
              </w:rPr>
            </w:pPr>
            <w:r>
              <w:rPr>
                <w:rFonts w:hint="eastAsia" w:eastAsiaTheme="minorEastAsia"/>
                <w:bCs/>
                <w:szCs w:val="20"/>
              </w:rPr>
              <w:t>县城污水处理率</w:t>
            </w:r>
          </w:p>
        </w:tc>
        <w:tc>
          <w:tcPr>
            <w:tcW w:w="581" w:type="pct"/>
            <w:vAlign w:val="center"/>
          </w:tcPr>
          <w:p w14:paraId="5A343258">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25AED098">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044B9624">
            <w:pPr>
              <w:adjustRightInd w:val="0"/>
              <w:snapToGrid w:val="0"/>
              <w:spacing w:line="320" w:lineRule="exact"/>
              <w:jc w:val="center"/>
              <w:textAlignment w:val="baseline"/>
              <w:rPr>
                <w:rFonts w:eastAsiaTheme="minorEastAsia"/>
                <w:bCs/>
                <w:szCs w:val="20"/>
              </w:rPr>
            </w:pPr>
            <w:r>
              <w:rPr>
                <w:rFonts w:hint="eastAsia" w:eastAsiaTheme="minorEastAsia"/>
                <w:bCs/>
                <w:szCs w:val="20"/>
              </w:rPr>
              <w:t>完成省定目标</w:t>
            </w:r>
          </w:p>
        </w:tc>
        <w:tc>
          <w:tcPr>
            <w:tcW w:w="1197" w:type="pct"/>
            <w:vMerge w:val="continue"/>
            <w:vAlign w:val="center"/>
          </w:tcPr>
          <w:p w14:paraId="480284F5">
            <w:pPr>
              <w:adjustRightInd w:val="0"/>
              <w:snapToGrid w:val="0"/>
              <w:spacing w:line="320" w:lineRule="exact"/>
              <w:jc w:val="center"/>
              <w:textAlignment w:val="baseline"/>
              <w:rPr>
                <w:rFonts w:eastAsiaTheme="minorEastAsia"/>
                <w:bCs/>
                <w:szCs w:val="20"/>
              </w:rPr>
            </w:pPr>
          </w:p>
        </w:tc>
      </w:tr>
      <w:tr w14:paraId="6F773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0B112F36">
            <w:pPr>
              <w:adjustRightInd w:val="0"/>
              <w:snapToGrid w:val="0"/>
              <w:spacing w:line="320" w:lineRule="exact"/>
              <w:jc w:val="center"/>
              <w:textAlignment w:val="baseline"/>
              <w:rPr>
                <w:rFonts w:eastAsiaTheme="minorEastAsia"/>
                <w:bCs/>
                <w:szCs w:val="20"/>
              </w:rPr>
            </w:pPr>
          </w:p>
        </w:tc>
        <w:tc>
          <w:tcPr>
            <w:tcW w:w="415" w:type="pct"/>
            <w:vAlign w:val="center"/>
          </w:tcPr>
          <w:p w14:paraId="38F819D1">
            <w:pPr>
              <w:adjustRightInd w:val="0"/>
              <w:snapToGrid w:val="0"/>
              <w:spacing w:line="320" w:lineRule="exact"/>
              <w:jc w:val="center"/>
              <w:textAlignment w:val="baseline"/>
              <w:rPr>
                <w:rFonts w:eastAsiaTheme="minorEastAsia"/>
                <w:bCs/>
                <w:szCs w:val="20"/>
              </w:rPr>
            </w:pPr>
            <w:r>
              <w:rPr>
                <w:rFonts w:hint="eastAsia" w:eastAsiaTheme="minorEastAsia"/>
                <w:bCs/>
                <w:szCs w:val="20"/>
              </w:rPr>
              <w:t>11</w:t>
            </w:r>
          </w:p>
        </w:tc>
        <w:tc>
          <w:tcPr>
            <w:tcW w:w="999" w:type="pct"/>
            <w:vAlign w:val="center"/>
          </w:tcPr>
          <w:p w14:paraId="38C69048">
            <w:pPr>
              <w:adjustRightInd w:val="0"/>
              <w:snapToGrid w:val="0"/>
              <w:spacing w:line="320" w:lineRule="exact"/>
              <w:jc w:val="center"/>
              <w:textAlignment w:val="baseline"/>
              <w:rPr>
                <w:rFonts w:eastAsiaTheme="minorEastAsia"/>
                <w:bCs/>
                <w:szCs w:val="20"/>
              </w:rPr>
            </w:pPr>
            <w:r>
              <w:rPr>
                <w:rFonts w:eastAsiaTheme="minorEastAsia"/>
                <w:bCs/>
                <w:szCs w:val="20"/>
              </w:rPr>
              <w:t>农村生活污水治理率</w:t>
            </w:r>
          </w:p>
        </w:tc>
        <w:tc>
          <w:tcPr>
            <w:tcW w:w="581" w:type="pct"/>
            <w:vAlign w:val="center"/>
          </w:tcPr>
          <w:p w14:paraId="179E60CC">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1EAFF788">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27B909C6">
            <w:pPr>
              <w:adjustRightInd w:val="0"/>
              <w:snapToGrid w:val="0"/>
              <w:spacing w:line="320" w:lineRule="exact"/>
              <w:jc w:val="center"/>
              <w:textAlignment w:val="baseline"/>
              <w:rPr>
                <w:rFonts w:eastAsiaTheme="minorEastAsia"/>
                <w:bCs/>
                <w:szCs w:val="20"/>
              </w:rPr>
            </w:pPr>
            <w:r>
              <w:rPr>
                <w:rFonts w:hint="eastAsia" w:eastAsiaTheme="minorEastAsia"/>
                <w:bCs/>
                <w:szCs w:val="20"/>
              </w:rPr>
              <w:t>40</w:t>
            </w:r>
          </w:p>
        </w:tc>
        <w:tc>
          <w:tcPr>
            <w:tcW w:w="1197" w:type="pct"/>
            <w:vMerge w:val="continue"/>
            <w:vAlign w:val="center"/>
          </w:tcPr>
          <w:p w14:paraId="23D5D157">
            <w:pPr>
              <w:adjustRightInd w:val="0"/>
              <w:snapToGrid w:val="0"/>
              <w:spacing w:line="320" w:lineRule="exact"/>
              <w:jc w:val="center"/>
              <w:textAlignment w:val="baseline"/>
              <w:rPr>
                <w:rFonts w:eastAsiaTheme="minorEastAsia"/>
                <w:bCs/>
                <w:szCs w:val="20"/>
              </w:rPr>
            </w:pPr>
          </w:p>
        </w:tc>
      </w:tr>
      <w:tr w14:paraId="5700C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106B27B4">
            <w:pPr>
              <w:adjustRightInd w:val="0"/>
              <w:snapToGrid w:val="0"/>
              <w:spacing w:line="320" w:lineRule="exact"/>
              <w:jc w:val="center"/>
              <w:textAlignment w:val="baseline"/>
              <w:rPr>
                <w:rFonts w:eastAsiaTheme="minorEastAsia"/>
                <w:bCs/>
                <w:szCs w:val="20"/>
              </w:rPr>
            </w:pPr>
          </w:p>
        </w:tc>
        <w:tc>
          <w:tcPr>
            <w:tcW w:w="415" w:type="pct"/>
            <w:vAlign w:val="center"/>
          </w:tcPr>
          <w:p w14:paraId="5AAE3834">
            <w:pPr>
              <w:adjustRightInd w:val="0"/>
              <w:snapToGrid w:val="0"/>
              <w:spacing w:line="320" w:lineRule="exact"/>
              <w:jc w:val="center"/>
              <w:textAlignment w:val="baseline"/>
              <w:rPr>
                <w:rFonts w:eastAsiaTheme="minorEastAsia"/>
                <w:bCs/>
                <w:szCs w:val="20"/>
              </w:rPr>
            </w:pPr>
            <w:r>
              <w:rPr>
                <w:rFonts w:hint="eastAsia" w:eastAsiaTheme="minorEastAsia"/>
                <w:bCs/>
                <w:szCs w:val="20"/>
              </w:rPr>
              <w:t>12</w:t>
            </w:r>
          </w:p>
        </w:tc>
        <w:tc>
          <w:tcPr>
            <w:tcW w:w="999" w:type="pct"/>
            <w:vAlign w:val="center"/>
          </w:tcPr>
          <w:p w14:paraId="66B3CBC4">
            <w:pPr>
              <w:adjustRightInd w:val="0"/>
              <w:snapToGrid w:val="0"/>
              <w:spacing w:line="320" w:lineRule="exact"/>
              <w:jc w:val="center"/>
              <w:textAlignment w:val="baseline"/>
              <w:rPr>
                <w:rFonts w:eastAsiaTheme="minorEastAsia"/>
                <w:bCs/>
                <w:szCs w:val="20"/>
              </w:rPr>
            </w:pPr>
            <w:r>
              <w:rPr>
                <w:rFonts w:hint="eastAsia" w:eastAsiaTheme="minorEastAsia"/>
                <w:bCs/>
                <w:szCs w:val="20"/>
              </w:rPr>
              <w:t>废气达标排放率</w:t>
            </w:r>
          </w:p>
        </w:tc>
        <w:tc>
          <w:tcPr>
            <w:tcW w:w="581" w:type="pct"/>
            <w:vAlign w:val="center"/>
          </w:tcPr>
          <w:p w14:paraId="388D0951">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6F37BB3E">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74BEAD67">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restart"/>
            <w:vAlign w:val="center"/>
          </w:tcPr>
          <w:p w14:paraId="3AB686B0">
            <w:pPr>
              <w:adjustRightInd w:val="0"/>
              <w:snapToGrid w:val="0"/>
              <w:spacing w:line="320" w:lineRule="exact"/>
              <w:jc w:val="center"/>
              <w:textAlignment w:val="baseline"/>
              <w:rPr>
                <w:rFonts w:eastAsiaTheme="minorEastAsia"/>
                <w:bCs/>
                <w:szCs w:val="20"/>
              </w:rPr>
            </w:pPr>
            <w:r>
              <w:rPr>
                <w:rFonts w:hint="eastAsia" w:eastAsiaTheme="minorEastAsia"/>
                <w:bCs/>
                <w:szCs w:val="20"/>
              </w:rPr>
              <w:t>相关污染防治标准要求</w:t>
            </w:r>
          </w:p>
        </w:tc>
      </w:tr>
      <w:tr w14:paraId="53CE5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41535721">
            <w:pPr>
              <w:adjustRightInd w:val="0"/>
              <w:snapToGrid w:val="0"/>
              <w:spacing w:line="320" w:lineRule="exact"/>
              <w:jc w:val="center"/>
              <w:textAlignment w:val="baseline"/>
              <w:rPr>
                <w:rFonts w:eastAsiaTheme="minorEastAsia"/>
                <w:bCs/>
                <w:szCs w:val="20"/>
              </w:rPr>
            </w:pPr>
          </w:p>
        </w:tc>
        <w:tc>
          <w:tcPr>
            <w:tcW w:w="415" w:type="pct"/>
            <w:vAlign w:val="center"/>
          </w:tcPr>
          <w:p w14:paraId="6D3467F0">
            <w:pPr>
              <w:adjustRightInd w:val="0"/>
              <w:snapToGrid w:val="0"/>
              <w:spacing w:line="320" w:lineRule="exact"/>
              <w:jc w:val="center"/>
              <w:textAlignment w:val="baseline"/>
              <w:rPr>
                <w:rFonts w:eastAsiaTheme="minorEastAsia"/>
                <w:bCs/>
                <w:szCs w:val="20"/>
              </w:rPr>
            </w:pPr>
            <w:r>
              <w:rPr>
                <w:rFonts w:hint="eastAsia" w:eastAsiaTheme="minorEastAsia"/>
                <w:bCs/>
                <w:szCs w:val="20"/>
              </w:rPr>
              <w:t>13</w:t>
            </w:r>
          </w:p>
        </w:tc>
        <w:tc>
          <w:tcPr>
            <w:tcW w:w="999" w:type="pct"/>
            <w:vAlign w:val="center"/>
          </w:tcPr>
          <w:p w14:paraId="0CA95095">
            <w:pPr>
              <w:adjustRightInd w:val="0"/>
              <w:snapToGrid w:val="0"/>
              <w:spacing w:line="320" w:lineRule="exact"/>
              <w:jc w:val="center"/>
              <w:textAlignment w:val="baseline"/>
              <w:rPr>
                <w:rFonts w:eastAsiaTheme="minorEastAsia"/>
                <w:bCs/>
                <w:szCs w:val="20"/>
              </w:rPr>
            </w:pPr>
            <w:r>
              <w:rPr>
                <w:rFonts w:hint="eastAsia" w:eastAsiaTheme="minorEastAsia"/>
                <w:bCs/>
                <w:szCs w:val="20"/>
              </w:rPr>
              <w:t>厂界噪声达标率</w:t>
            </w:r>
          </w:p>
        </w:tc>
        <w:tc>
          <w:tcPr>
            <w:tcW w:w="581" w:type="pct"/>
            <w:vAlign w:val="center"/>
          </w:tcPr>
          <w:p w14:paraId="29BCC8E0">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0D111B25">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2E7B90DD">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7A472FB4">
            <w:pPr>
              <w:adjustRightInd w:val="0"/>
              <w:snapToGrid w:val="0"/>
              <w:spacing w:line="320" w:lineRule="exact"/>
              <w:jc w:val="center"/>
              <w:textAlignment w:val="baseline"/>
              <w:rPr>
                <w:rFonts w:eastAsiaTheme="minorEastAsia"/>
                <w:bCs/>
                <w:szCs w:val="20"/>
              </w:rPr>
            </w:pPr>
          </w:p>
        </w:tc>
      </w:tr>
      <w:tr w14:paraId="77A4A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5842CBC9">
            <w:pPr>
              <w:adjustRightInd w:val="0"/>
              <w:snapToGrid w:val="0"/>
              <w:spacing w:line="320" w:lineRule="exact"/>
              <w:jc w:val="center"/>
              <w:textAlignment w:val="baseline"/>
              <w:rPr>
                <w:rFonts w:eastAsiaTheme="minorEastAsia"/>
                <w:bCs/>
                <w:szCs w:val="20"/>
              </w:rPr>
            </w:pPr>
          </w:p>
        </w:tc>
        <w:tc>
          <w:tcPr>
            <w:tcW w:w="415" w:type="pct"/>
            <w:vAlign w:val="center"/>
          </w:tcPr>
          <w:p w14:paraId="019556BC">
            <w:pPr>
              <w:adjustRightInd w:val="0"/>
              <w:snapToGrid w:val="0"/>
              <w:spacing w:line="320" w:lineRule="exact"/>
              <w:jc w:val="center"/>
              <w:textAlignment w:val="baseline"/>
              <w:rPr>
                <w:rFonts w:eastAsiaTheme="minorEastAsia"/>
                <w:bCs/>
                <w:szCs w:val="20"/>
              </w:rPr>
            </w:pPr>
            <w:r>
              <w:rPr>
                <w:rFonts w:hint="eastAsia" w:eastAsiaTheme="minorEastAsia"/>
                <w:bCs/>
                <w:szCs w:val="20"/>
              </w:rPr>
              <w:t>14</w:t>
            </w:r>
          </w:p>
        </w:tc>
        <w:tc>
          <w:tcPr>
            <w:tcW w:w="999" w:type="pct"/>
            <w:vAlign w:val="center"/>
          </w:tcPr>
          <w:p w14:paraId="17463D63">
            <w:pPr>
              <w:adjustRightInd w:val="0"/>
              <w:snapToGrid w:val="0"/>
              <w:spacing w:line="320" w:lineRule="exact"/>
              <w:jc w:val="center"/>
              <w:textAlignment w:val="baseline"/>
              <w:rPr>
                <w:rFonts w:eastAsiaTheme="minorEastAsia"/>
                <w:bCs/>
                <w:szCs w:val="20"/>
              </w:rPr>
            </w:pPr>
            <w:r>
              <w:rPr>
                <w:rFonts w:hint="eastAsia" w:eastAsiaTheme="minorEastAsia"/>
                <w:bCs/>
                <w:szCs w:val="20"/>
              </w:rPr>
              <w:t>生活垃圾无害化处理率</w:t>
            </w:r>
          </w:p>
        </w:tc>
        <w:tc>
          <w:tcPr>
            <w:tcW w:w="581" w:type="pct"/>
            <w:vAlign w:val="center"/>
          </w:tcPr>
          <w:p w14:paraId="714DB3C8">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574CFB23">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106D3BF7">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2DE03D94">
            <w:pPr>
              <w:adjustRightInd w:val="0"/>
              <w:snapToGrid w:val="0"/>
              <w:spacing w:line="320" w:lineRule="exact"/>
              <w:jc w:val="center"/>
              <w:textAlignment w:val="baseline"/>
              <w:rPr>
                <w:rFonts w:eastAsiaTheme="minorEastAsia"/>
                <w:bCs/>
                <w:szCs w:val="20"/>
              </w:rPr>
            </w:pPr>
          </w:p>
        </w:tc>
      </w:tr>
      <w:tr w14:paraId="7DAE0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restart"/>
            <w:vAlign w:val="center"/>
          </w:tcPr>
          <w:p w14:paraId="650A220E">
            <w:pPr>
              <w:adjustRightInd w:val="0"/>
              <w:snapToGrid w:val="0"/>
              <w:spacing w:line="320" w:lineRule="exact"/>
              <w:jc w:val="center"/>
              <w:textAlignment w:val="baseline"/>
              <w:rPr>
                <w:rFonts w:eastAsiaTheme="minorEastAsia"/>
                <w:bCs/>
                <w:szCs w:val="20"/>
              </w:rPr>
            </w:pPr>
            <w:r>
              <w:rPr>
                <w:rFonts w:eastAsiaTheme="minorEastAsia"/>
                <w:bCs/>
                <w:szCs w:val="20"/>
              </w:rPr>
              <w:t>环境风险防范</w:t>
            </w:r>
          </w:p>
        </w:tc>
        <w:tc>
          <w:tcPr>
            <w:tcW w:w="415" w:type="pct"/>
            <w:vAlign w:val="center"/>
          </w:tcPr>
          <w:p w14:paraId="54E749D9">
            <w:pPr>
              <w:adjustRightInd w:val="0"/>
              <w:snapToGrid w:val="0"/>
              <w:spacing w:line="320" w:lineRule="exact"/>
              <w:jc w:val="center"/>
              <w:textAlignment w:val="baseline"/>
              <w:rPr>
                <w:rFonts w:eastAsiaTheme="minorEastAsia"/>
                <w:bCs/>
                <w:szCs w:val="20"/>
              </w:rPr>
            </w:pPr>
            <w:r>
              <w:rPr>
                <w:rFonts w:hint="eastAsia" w:eastAsiaTheme="minorEastAsia"/>
                <w:bCs/>
                <w:szCs w:val="20"/>
              </w:rPr>
              <w:t>15</w:t>
            </w:r>
          </w:p>
        </w:tc>
        <w:tc>
          <w:tcPr>
            <w:tcW w:w="999" w:type="pct"/>
            <w:vAlign w:val="center"/>
          </w:tcPr>
          <w:p w14:paraId="27B993BF">
            <w:pPr>
              <w:adjustRightInd w:val="0"/>
              <w:snapToGrid w:val="0"/>
              <w:spacing w:line="320" w:lineRule="exact"/>
              <w:jc w:val="center"/>
              <w:textAlignment w:val="baseline"/>
              <w:rPr>
                <w:rFonts w:eastAsiaTheme="minorEastAsia"/>
                <w:bCs/>
                <w:szCs w:val="20"/>
              </w:rPr>
            </w:pPr>
            <w:r>
              <w:rPr>
                <w:rFonts w:eastAsiaTheme="minorEastAsia"/>
                <w:bCs/>
                <w:szCs w:val="20"/>
              </w:rPr>
              <w:t>重点建设用地安全利用率</w:t>
            </w:r>
          </w:p>
        </w:tc>
        <w:tc>
          <w:tcPr>
            <w:tcW w:w="581" w:type="pct"/>
            <w:vAlign w:val="center"/>
          </w:tcPr>
          <w:p w14:paraId="12684FD4">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0DDDB456">
            <w:pPr>
              <w:adjustRightInd w:val="0"/>
              <w:snapToGrid w:val="0"/>
              <w:spacing w:line="320" w:lineRule="exact"/>
              <w:jc w:val="center"/>
              <w:textAlignment w:val="baseline"/>
              <w:rPr>
                <w:rFonts w:eastAsiaTheme="minorEastAsia"/>
                <w:bCs/>
                <w:szCs w:val="20"/>
              </w:rPr>
            </w:pPr>
            <w:r>
              <w:rPr>
                <w:rFonts w:hint="eastAsia" w:eastAsiaTheme="minorEastAsia"/>
                <w:bCs/>
                <w:szCs w:val="20"/>
              </w:rPr>
              <w:t>完成省定目标</w:t>
            </w:r>
          </w:p>
        </w:tc>
        <w:tc>
          <w:tcPr>
            <w:tcW w:w="498" w:type="pct"/>
            <w:vAlign w:val="center"/>
          </w:tcPr>
          <w:p w14:paraId="04C409DE">
            <w:pPr>
              <w:adjustRightInd w:val="0"/>
              <w:snapToGrid w:val="0"/>
              <w:spacing w:line="320" w:lineRule="exact"/>
              <w:jc w:val="center"/>
              <w:textAlignment w:val="baseline"/>
              <w:rPr>
                <w:rFonts w:eastAsiaTheme="minorEastAsia"/>
                <w:bCs/>
                <w:szCs w:val="20"/>
              </w:rPr>
            </w:pPr>
            <w:r>
              <w:rPr>
                <w:rFonts w:hint="eastAsia" w:eastAsiaTheme="minorEastAsia"/>
                <w:bCs/>
                <w:szCs w:val="20"/>
              </w:rPr>
              <w:t>完成省定目标</w:t>
            </w:r>
          </w:p>
        </w:tc>
        <w:tc>
          <w:tcPr>
            <w:tcW w:w="1197" w:type="pct"/>
            <w:vAlign w:val="center"/>
          </w:tcPr>
          <w:p w14:paraId="14A7FB41">
            <w:pPr>
              <w:adjustRightInd w:val="0"/>
              <w:snapToGrid w:val="0"/>
              <w:spacing w:line="320" w:lineRule="exact"/>
              <w:jc w:val="center"/>
              <w:textAlignment w:val="baseline"/>
              <w:rPr>
                <w:rFonts w:eastAsiaTheme="minorEastAsia"/>
                <w:bCs/>
                <w:szCs w:val="20"/>
              </w:rPr>
            </w:pPr>
            <w:r>
              <w:rPr>
                <w:rFonts w:hint="eastAsia" w:eastAsiaTheme="minorEastAsia"/>
                <w:bCs/>
                <w:szCs w:val="20"/>
              </w:rPr>
              <w:t>《随州市生态环境保护“十四五”规划》</w:t>
            </w:r>
          </w:p>
        </w:tc>
      </w:tr>
      <w:tr w14:paraId="7D302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14654C05">
            <w:pPr>
              <w:adjustRightInd w:val="0"/>
              <w:snapToGrid w:val="0"/>
              <w:spacing w:line="320" w:lineRule="exact"/>
              <w:jc w:val="center"/>
              <w:textAlignment w:val="baseline"/>
              <w:rPr>
                <w:rFonts w:eastAsiaTheme="minorEastAsia"/>
                <w:bCs/>
                <w:szCs w:val="20"/>
              </w:rPr>
            </w:pPr>
          </w:p>
        </w:tc>
        <w:tc>
          <w:tcPr>
            <w:tcW w:w="415" w:type="pct"/>
            <w:vAlign w:val="center"/>
          </w:tcPr>
          <w:p w14:paraId="7EBBE1E7">
            <w:pPr>
              <w:adjustRightInd w:val="0"/>
              <w:snapToGrid w:val="0"/>
              <w:spacing w:line="320" w:lineRule="exact"/>
              <w:jc w:val="center"/>
              <w:textAlignment w:val="baseline"/>
              <w:rPr>
                <w:rFonts w:eastAsiaTheme="minorEastAsia"/>
                <w:bCs/>
                <w:szCs w:val="20"/>
              </w:rPr>
            </w:pPr>
            <w:r>
              <w:rPr>
                <w:rFonts w:hint="eastAsia" w:eastAsiaTheme="minorEastAsia"/>
                <w:bCs/>
                <w:szCs w:val="20"/>
              </w:rPr>
              <w:t>16</w:t>
            </w:r>
          </w:p>
        </w:tc>
        <w:tc>
          <w:tcPr>
            <w:tcW w:w="999" w:type="pct"/>
            <w:vAlign w:val="center"/>
          </w:tcPr>
          <w:p w14:paraId="619720BF">
            <w:pPr>
              <w:adjustRightInd w:val="0"/>
              <w:snapToGrid w:val="0"/>
              <w:spacing w:line="320" w:lineRule="exact"/>
              <w:jc w:val="center"/>
              <w:textAlignment w:val="baseline"/>
              <w:rPr>
                <w:rFonts w:eastAsiaTheme="minorEastAsia"/>
                <w:bCs/>
                <w:szCs w:val="20"/>
              </w:rPr>
            </w:pPr>
            <w:r>
              <w:rPr>
                <w:rFonts w:hint="eastAsia" w:eastAsiaTheme="minorEastAsia"/>
                <w:szCs w:val="21"/>
              </w:rPr>
              <w:t>突发环境事件处置率(%)</w:t>
            </w:r>
          </w:p>
        </w:tc>
        <w:tc>
          <w:tcPr>
            <w:tcW w:w="581" w:type="pct"/>
            <w:vAlign w:val="center"/>
          </w:tcPr>
          <w:p w14:paraId="0AB1A3C5">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790F49A8">
            <w:pPr>
              <w:adjustRightInd w:val="0"/>
              <w:snapToGrid w:val="0"/>
              <w:spacing w:line="320" w:lineRule="exact"/>
              <w:jc w:val="center"/>
              <w:textAlignment w:val="baseline"/>
              <w:rPr>
                <w:rFonts w:eastAsiaTheme="minorEastAsia"/>
                <w:bCs/>
                <w:szCs w:val="20"/>
              </w:rPr>
            </w:pPr>
            <w:r>
              <w:rPr>
                <w:rFonts w:hint="eastAsia" w:eastAsiaTheme="minorEastAsia"/>
                <w:szCs w:val="21"/>
              </w:rPr>
              <w:t>100</w:t>
            </w:r>
          </w:p>
        </w:tc>
        <w:tc>
          <w:tcPr>
            <w:tcW w:w="498" w:type="pct"/>
            <w:vAlign w:val="center"/>
          </w:tcPr>
          <w:p w14:paraId="3649FDC2">
            <w:pPr>
              <w:adjustRightInd w:val="0"/>
              <w:snapToGrid w:val="0"/>
              <w:spacing w:line="320" w:lineRule="exact"/>
              <w:jc w:val="center"/>
              <w:textAlignment w:val="baseline"/>
              <w:rPr>
                <w:rFonts w:eastAsiaTheme="minorEastAsia"/>
                <w:bCs/>
                <w:szCs w:val="20"/>
              </w:rPr>
            </w:pPr>
            <w:r>
              <w:rPr>
                <w:rFonts w:hint="eastAsia" w:eastAsiaTheme="minorEastAsia"/>
                <w:szCs w:val="21"/>
              </w:rPr>
              <w:t>100</w:t>
            </w:r>
          </w:p>
        </w:tc>
        <w:tc>
          <w:tcPr>
            <w:tcW w:w="1197" w:type="pct"/>
            <w:vMerge w:val="restart"/>
            <w:vAlign w:val="center"/>
          </w:tcPr>
          <w:p w14:paraId="76AC7E7F">
            <w:pPr>
              <w:adjustRightInd w:val="0"/>
              <w:snapToGrid w:val="0"/>
              <w:spacing w:line="320" w:lineRule="exact"/>
              <w:jc w:val="center"/>
              <w:textAlignment w:val="baseline"/>
              <w:rPr>
                <w:rFonts w:eastAsiaTheme="minorEastAsia"/>
                <w:bCs/>
                <w:szCs w:val="20"/>
              </w:rPr>
            </w:pPr>
            <w:r>
              <w:rPr>
                <w:rFonts w:hint="eastAsia" w:eastAsiaTheme="minorEastAsia"/>
                <w:bCs/>
                <w:szCs w:val="20"/>
              </w:rPr>
              <w:t>相关风险防控要求</w:t>
            </w:r>
          </w:p>
        </w:tc>
      </w:tr>
      <w:tr w14:paraId="37585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75F58A89">
            <w:pPr>
              <w:adjustRightInd w:val="0"/>
              <w:snapToGrid w:val="0"/>
              <w:spacing w:line="320" w:lineRule="exact"/>
              <w:jc w:val="center"/>
              <w:textAlignment w:val="baseline"/>
              <w:rPr>
                <w:rFonts w:eastAsiaTheme="minorEastAsia"/>
                <w:bCs/>
                <w:szCs w:val="20"/>
              </w:rPr>
            </w:pPr>
          </w:p>
        </w:tc>
        <w:tc>
          <w:tcPr>
            <w:tcW w:w="415" w:type="pct"/>
            <w:vAlign w:val="center"/>
          </w:tcPr>
          <w:p w14:paraId="623E0F62">
            <w:pPr>
              <w:adjustRightInd w:val="0"/>
              <w:snapToGrid w:val="0"/>
              <w:spacing w:line="320" w:lineRule="exact"/>
              <w:jc w:val="center"/>
              <w:textAlignment w:val="baseline"/>
              <w:rPr>
                <w:rFonts w:eastAsiaTheme="minorEastAsia"/>
                <w:bCs/>
                <w:szCs w:val="20"/>
              </w:rPr>
            </w:pPr>
            <w:r>
              <w:rPr>
                <w:rFonts w:hint="eastAsia" w:eastAsiaTheme="minorEastAsia"/>
                <w:bCs/>
                <w:szCs w:val="20"/>
              </w:rPr>
              <w:t>17</w:t>
            </w:r>
          </w:p>
        </w:tc>
        <w:tc>
          <w:tcPr>
            <w:tcW w:w="999" w:type="pct"/>
            <w:vAlign w:val="center"/>
          </w:tcPr>
          <w:p w14:paraId="49F36FDE">
            <w:pPr>
              <w:adjustRightInd w:val="0"/>
              <w:snapToGrid w:val="0"/>
              <w:spacing w:line="320" w:lineRule="exact"/>
              <w:jc w:val="center"/>
              <w:textAlignment w:val="baseline"/>
              <w:rPr>
                <w:rFonts w:eastAsiaTheme="minorEastAsia"/>
                <w:bCs/>
                <w:szCs w:val="20"/>
              </w:rPr>
            </w:pPr>
            <w:r>
              <w:rPr>
                <w:rFonts w:hint="eastAsia" w:eastAsiaTheme="minorEastAsia"/>
                <w:szCs w:val="21"/>
              </w:rPr>
              <w:t>突发环境风险防范应急处理能力建设指标</w:t>
            </w:r>
          </w:p>
        </w:tc>
        <w:tc>
          <w:tcPr>
            <w:tcW w:w="581" w:type="pct"/>
            <w:vAlign w:val="center"/>
          </w:tcPr>
          <w:p w14:paraId="1D89EAD0">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0E94A02E">
            <w:pPr>
              <w:adjustRightInd w:val="0"/>
              <w:snapToGrid w:val="0"/>
              <w:spacing w:line="320" w:lineRule="exact"/>
              <w:jc w:val="center"/>
              <w:textAlignment w:val="baseline"/>
              <w:rPr>
                <w:rFonts w:eastAsiaTheme="minorEastAsia"/>
                <w:bCs/>
                <w:szCs w:val="20"/>
              </w:rPr>
            </w:pPr>
            <w:r>
              <w:rPr>
                <w:rFonts w:hint="eastAsia" w:eastAsiaTheme="minorEastAsia"/>
                <w:szCs w:val="21"/>
              </w:rPr>
              <w:t>建立完善的环境风险应急系统</w:t>
            </w:r>
          </w:p>
        </w:tc>
        <w:tc>
          <w:tcPr>
            <w:tcW w:w="498" w:type="pct"/>
            <w:vAlign w:val="center"/>
          </w:tcPr>
          <w:p w14:paraId="78F650D4">
            <w:pPr>
              <w:adjustRightInd w:val="0"/>
              <w:snapToGrid w:val="0"/>
              <w:spacing w:line="320" w:lineRule="exact"/>
              <w:jc w:val="center"/>
              <w:textAlignment w:val="baseline"/>
              <w:rPr>
                <w:rFonts w:eastAsiaTheme="minorEastAsia"/>
                <w:bCs/>
                <w:szCs w:val="20"/>
              </w:rPr>
            </w:pPr>
            <w:r>
              <w:rPr>
                <w:rFonts w:hint="eastAsia" w:eastAsiaTheme="minorEastAsia"/>
                <w:szCs w:val="21"/>
              </w:rPr>
              <w:t>建立完善的环境风险应急系统</w:t>
            </w:r>
          </w:p>
        </w:tc>
        <w:tc>
          <w:tcPr>
            <w:tcW w:w="1197" w:type="pct"/>
            <w:vMerge w:val="continue"/>
            <w:vAlign w:val="center"/>
          </w:tcPr>
          <w:p w14:paraId="231087C4">
            <w:pPr>
              <w:adjustRightInd w:val="0"/>
              <w:snapToGrid w:val="0"/>
              <w:spacing w:line="320" w:lineRule="exact"/>
              <w:jc w:val="center"/>
              <w:textAlignment w:val="baseline"/>
              <w:rPr>
                <w:rFonts w:eastAsiaTheme="minorEastAsia"/>
                <w:bCs/>
                <w:szCs w:val="20"/>
              </w:rPr>
            </w:pPr>
          </w:p>
        </w:tc>
      </w:tr>
      <w:tr w14:paraId="32BDC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restart"/>
            <w:vAlign w:val="center"/>
          </w:tcPr>
          <w:p w14:paraId="64A309FD">
            <w:pPr>
              <w:adjustRightInd w:val="0"/>
              <w:snapToGrid w:val="0"/>
              <w:spacing w:line="320" w:lineRule="exact"/>
              <w:jc w:val="center"/>
              <w:textAlignment w:val="baseline"/>
              <w:rPr>
                <w:rFonts w:eastAsiaTheme="minorEastAsia"/>
                <w:bCs/>
                <w:szCs w:val="20"/>
              </w:rPr>
            </w:pPr>
            <w:r>
              <w:rPr>
                <w:rFonts w:hint="eastAsia" w:eastAsiaTheme="minorEastAsia"/>
                <w:bCs/>
                <w:szCs w:val="20"/>
              </w:rPr>
              <w:t>环境</w:t>
            </w:r>
            <w:r>
              <w:rPr>
                <w:rFonts w:eastAsiaTheme="minorEastAsia"/>
                <w:bCs/>
                <w:szCs w:val="20"/>
              </w:rPr>
              <w:t>管理</w:t>
            </w:r>
          </w:p>
        </w:tc>
        <w:tc>
          <w:tcPr>
            <w:tcW w:w="415" w:type="pct"/>
            <w:vAlign w:val="center"/>
          </w:tcPr>
          <w:p w14:paraId="50F0FDB8">
            <w:pPr>
              <w:adjustRightInd w:val="0"/>
              <w:snapToGrid w:val="0"/>
              <w:spacing w:line="320" w:lineRule="exact"/>
              <w:jc w:val="center"/>
              <w:textAlignment w:val="baseline"/>
              <w:rPr>
                <w:rFonts w:eastAsiaTheme="minorEastAsia"/>
                <w:bCs/>
                <w:szCs w:val="20"/>
              </w:rPr>
            </w:pPr>
            <w:r>
              <w:rPr>
                <w:rFonts w:hint="eastAsia" w:eastAsiaTheme="minorEastAsia"/>
                <w:bCs/>
                <w:szCs w:val="20"/>
              </w:rPr>
              <w:t>18</w:t>
            </w:r>
          </w:p>
        </w:tc>
        <w:tc>
          <w:tcPr>
            <w:tcW w:w="999" w:type="pct"/>
            <w:vAlign w:val="center"/>
          </w:tcPr>
          <w:p w14:paraId="4D7C193D">
            <w:pPr>
              <w:adjustRightInd w:val="0"/>
              <w:snapToGrid w:val="0"/>
              <w:spacing w:line="320" w:lineRule="exact"/>
              <w:jc w:val="center"/>
              <w:textAlignment w:val="baseline"/>
              <w:rPr>
                <w:rFonts w:eastAsiaTheme="minorEastAsia"/>
                <w:bCs/>
                <w:szCs w:val="20"/>
              </w:rPr>
            </w:pPr>
            <w:r>
              <w:rPr>
                <w:rFonts w:eastAsiaTheme="minorEastAsia"/>
                <w:bCs/>
                <w:szCs w:val="20"/>
              </w:rPr>
              <w:t>环境管理能力完善度</w:t>
            </w:r>
          </w:p>
        </w:tc>
        <w:tc>
          <w:tcPr>
            <w:tcW w:w="581" w:type="pct"/>
            <w:vAlign w:val="center"/>
          </w:tcPr>
          <w:p w14:paraId="4930831F">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63C4C523">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2A26864C">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restart"/>
            <w:vAlign w:val="center"/>
          </w:tcPr>
          <w:p w14:paraId="7ED2FB64">
            <w:pPr>
              <w:adjustRightInd w:val="0"/>
              <w:snapToGrid w:val="0"/>
              <w:spacing w:line="320" w:lineRule="exact"/>
              <w:jc w:val="center"/>
              <w:textAlignment w:val="baseline"/>
              <w:rPr>
                <w:rFonts w:eastAsiaTheme="minorEastAsia"/>
                <w:bCs/>
                <w:szCs w:val="20"/>
              </w:rPr>
            </w:pPr>
            <w:r>
              <w:rPr>
                <w:rFonts w:eastAsiaTheme="minorEastAsia"/>
                <w:bCs/>
                <w:szCs w:val="20"/>
              </w:rPr>
              <w:t>《</w:t>
            </w:r>
            <w:r>
              <w:rPr>
                <w:rFonts w:hint="eastAsia" w:eastAsiaTheme="minorEastAsia"/>
                <w:bCs/>
                <w:szCs w:val="20"/>
              </w:rPr>
              <w:t>国家生态工业示范园区标准</w:t>
            </w:r>
            <w:r>
              <w:rPr>
                <w:rFonts w:eastAsiaTheme="minorEastAsia"/>
                <w:bCs/>
                <w:szCs w:val="20"/>
              </w:rPr>
              <w:t>》（HJ 274-2015）</w:t>
            </w:r>
          </w:p>
        </w:tc>
      </w:tr>
      <w:tr w14:paraId="3E1B1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72B7577F">
            <w:pPr>
              <w:adjustRightInd w:val="0"/>
              <w:snapToGrid w:val="0"/>
              <w:spacing w:line="320" w:lineRule="exact"/>
              <w:jc w:val="center"/>
              <w:textAlignment w:val="baseline"/>
              <w:rPr>
                <w:rFonts w:eastAsiaTheme="minorEastAsia"/>
                <w:bCs/>
                <w:szCs w:val="20"/>
              </w:rPr>
            </w:pPr>
          </w:p>
        </w:tc>
        <w:tc>
          <w:tcPr>
            <w:tcW w:w="415" w:type="pct"/>
            <w:vAlign w:val="center"/>
          </w:tcPr>
          <w:p w14:paraId="6C383B55">
            <w:pPr>
              <w:adjustRightInd w:val="0"/>
              <w:snapToGrid w:val="0"/>
              <w:spacing w:line="320" w:lineRule="exact"/>
              <w:jc w:val="center"/>
              <w:textAlignment w:val="baseline"/>
              <w:rPr>
                <w:rFonts w:eastAsiaTheme="minorEastAsia"/>
                <w:bCs/>
                <w:szCs w:val="20"/>
              </w:rPr>
            </w:pPr>
            <w:r>
              <w:rPr>
                <w:rFonts w:hint="eastAsia" w:eastAsiaTheme="minorEastAsia"/>
                <w:bCs/>
                <w:szCs w:val="20"/>
              </w:rPr>
              <w:t>19</w:t>
            </w:r>
          </w:p>
        </w:tc>
        <w:tc>
          <w:tcPr>
            <w:tcW w:w="999" w:type="pct"/>
            <w:vAlign w:val="center"/>
          </w:tcPr>
          <w:p w14:paraId="0EAD2F49">
            <w:pPr>
              <w:adjustRightInd w:val="0"/>
              <w:snapToGrid w:val="0"/>
              <w:spacing w:line="320" w:lineRule="exact"/>
              <w:jc w:val="center"/>
              <w:textAlignment w:val="baseline"/>
              <w:rPr>
                <w:rFonts w:eastAsiaTheme="minorEastAsia"/>
                <w:bCs/>
                <w:szCs w:val="20"/>
              </w:rPr>
            </w:pPr>
            <w:r>
              <w:rPr>
                <w:rFonts w:eastAsiaTheme="minorEastAsia"/>
                <w:bCs/>
                <w:szCs w:val="20"/>
              </w:rPr>
              <w:t>园区环境风险防控体系建设完善度</w:t>
            </w:r>
          </w:p>
        </w:tc>
        <w:tc>
          <w:tcPr>
            <w:tcW w:w="581" w:type="pct"/>
            <w:vAlign w:val="center"/>
          </w:tcPr>
          <w:p w14:paraId="76F6F615">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336F5318">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0D1ADADB">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699E3668">
            <w:pPr>
              <w:adjustRightInd w:val="0"/>
              <w:snapToGrid w:val="0"/>
              <w:spacing w:line="320" w:lineRule="exact"/>
              <w:jc w:val="center"/>
              <w:textAlignment w:val="baseline"/>
              <w:rPr>
                <w:rFonts w:eastAsiaTheme="minorEastAsia"/>
                <w:bCs/>
                <w:szCs w:val="20"/>
              </w:rPr>
            </w:pPr>
          </w:p>
        </w:tc>
      </w:tr>
      <w:tr w14:paraId="2A26B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63422D41">
            <w:pPr>
              <w:adjustRightInd w:val="0"/>
              <w:snapToGrid w:val="0"/>
              <w:spacing w:line="320" w:lineRule="exact"/>
              <w:jc w:val="center"/>
              <w:textAlignment w:val="baseline"/>
              <w:rPr>
                <w:rFonts w:eastAsiaTheme="minorEastAsia"/>
                <w:bCs/>
                <w:szCs w:val="20"/>
              </w:rPr>
            </w:pPr>
          </w:p>
        </w:tc>
        <w:tc>
          <w:tcPr>
            <w:tcW w:w="415" w:type="pct"/>
            <w:vAlign w:val="center"/>
          </w:tcPr>
          <w:p w14:paraId="3BF826ED">
            <w:pPr>
              <w:adjustRightInd w:val="0"/>
              <w:snapToGrid w:val="0"/>
              <w:spacing w:line="320" w:lineRule="exact"/>
              <w:jc w:val="center"/>
              <w:textAlignment w:val="baseline"/>
              <w:rPr>
                <w:rFonts w:eastAsiaTheme="minorEastAsia"/>
                <w:bCs/>
                <w:szCs w:val="20"/>
              </w:rPr>
            </w:pPr>
            <w:r>
              <w:rPr>
                <w:rFonts w:hint="eastAsia" w:eastAsiaTheme="minorEastAsia"/>
                <w:bCs/>
                <w:szCs w:val="20"/>
              </w:rPr>
              <w:t>20</w:t>
            </w:r>
          </w:p>
        </w:tc>
        <w:tc>
          <w:tcPr>
            <w:tcW w:w="999" w:type="pct"/>
            <w:vAlign w:val="center"/>
          </w:tcPr>
          <w:p w14:paraId="699EF5B9">
            <w:pPr>
              <w:adjustRightInd w:val="0"/>
              <w:snapToGrid w:val="0"/>
              <w:spacing w:line="320" w:lineRule="exact"/>
              <w:jc w:val="center"/>
              <w:textAlignment w:val="baseline"/>
              <w:rPr>
                <w:rFonts w:eastAsiaTheme="minorEastAsia"/>
                <w:bCs/>
                <w:szCs w:val="20"/>
              </w:rPr>
            </w:pPr>
            <w:r>
              <w:rPr>
                <w:rFonts w:hint="eastAsia" w:eastAsiaTheme="minorEastAsia"/>
                <w:bCs/>
                <w:szCs w:val="20"/>
              </w:rPr>
              <w:t>建设项目环评执行率</w:t>
            </w:r>
          </w:p>
        </w:tc>
        <w:tc>
          <w:tcPr>
            <w:tcW w:w="581" w:type="pct"/>
            <w:vAlign w:val="center"/>
          </w:tcPr>
          <w:p w14:paraId="045AA0C0">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5DBF9402">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156BD7C5">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restart"/>
            <w:vAlign w:val="center"/>
          </w:tcPr>
          <w:p w14:paraId="6A13B8EA">
            <w:pPr>
              <w:adjustRightInd w:val="0"/>
              <w:snapToGrid w:val="0"/>
              <w:spacing w:line="320" w:lineRule="exact"/>
              <w:jc w:val="center"/>
              <w:textAlignment w:val="baseline"/>
              <w:rPr>
                <w:rFonts w:eastAsiaTheme="minorEastAsia"/>
                <w:bCs/>
                <w:szCs w:val="20"/>
              </w:rPr>
            </w:pPr>
            <w:r>
              <w:rPr>
                <w:rFonts w:hint="eastAsia" w:eastAsiaTheme="minorEastAsia"/>
                <w:bCs/>
                <w:szCs w:val="20"/>
              </w:rPr>
              <w:t>《中华人民共和国环境影响评价法》、《固定污染源排污许可分类管理名录》（2019年版）等要求</w:t>
            </w:r>
          </w:p>
        </w:tc>
      </w:tr>
      <w:tr w14:paraId="146CE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6C2B9CDC">
            <w:pPr>
              <w:adjustRightInd w:val="0"/>
              <w:snapToGrid w:val="0"/>
              <w:spacing w:line="320" w:lineRule="exact"/>
              <w:jc w:val="center"/>
              <w:textAlignment w:val="baseline"/>
              <w:rPr>
                <w:rFonts w:eastAsiaTheme="minorEastAsia"/>
                <w:bCs/>
                <w:szCs w:val="20"/>
              </w:rPr>
            </w:pPr>
          </w:p>
        </w:tc>
        <w:tc>
          <w:tcPr>
            <w:tcW w:w="415" w:type="pct"/>
            <w:vAlign w:val="center"/>
          </w:tcPr>
          <w:p w14:paraId="549D3E54">
            <w:pPr>
              <w:adjustRightInd w:val="0"/>
              <w:snapToGrid w:val="0"/>
              <w:spacing w:line="320" w:lineRule="exact"/>
              <w:jc w:val="center"/>
              <w:textAlignment w:val="baseline"/>
              <w:rPr>
                <w:rFonts w:eastAsiaTheme="minorEastAsia"/>
                <w:bCs/>
                <w:szCs w:val="20"/>
              </w:rPr>
            </w:pPr>
            <w:r>
              <w:rPr>
                <w:rFonts w:hint="eastAsia" w:eastAsiaTheme="minorEastAsia"/>
                <w:bCs/>
                <w:szCs w:val="20"/>
              </w:rPr>
              <w:t>21</w:t>
            </w:r>
          </w:p>
        </w:tc>
        <w:tc>
          <w:tcPr>
            <w:tcW w:w="999" w:type="pct"/>
            <w:vAlign w:val="center"/>
          </w:tcPr>
          <w:p w14:paraId="7261CE51">
            <w:pPr>
              <w:adjustRightInd w:val="0"/>
              <w:snapToGrid w:val="0"/>
              <w:spacing w:line="320" w:lineRule="exact"/>
              <w:jc w:val="center"/>
              <w:textAlignment w:val="baseline"/>
              <w:rPr>
                <w:rFonts w:eastAsiaTheme="minorEastAsia"/>
                <w:bCs/>
                <w:szCs w:val="20"/>
              </w:rPr>
            </w:pPr>
            <w:r>
              <w:rPr>
                <w:rFonts w:hint="eastAsia" w:eastAsiaTheme="minorEastAsia"/>
                <w:bCs/>
                <w:szCs w:val="20"/>
              </w:rPr>
              <w:t>三同时执行率</w:t>
            </w:r>
          </w:p>
        </w:tc>
        <w:tc>
          <w:tcPr>
            <w:tcW w:w="581" w:type="pct"/>
            <w:vAlign w:val="center"/>
          </w:tcPr>
          <w:p w14:paraId="01D8E190">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662AC9F6">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599331FC">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3372774C">
            <w:pPr>
              <w:adjustRightInd w:val="0"/>
              <w:snapToGrid w:val="0"/>
              <w:spacing w:line="320" w:lineRule="exact"/>
              <w:jc w:val="center"/>
              <w:textAlignment w:val="baseline"/>
              <w:rPr>
                <w:rFonts w:eastAsiaTheme="minorEastAsia"/>
                <w:bCs/>
                <w:szCs w:val="20"/>
              </w:rPr>
            </w:pPr>
          </w:p>
        </w:tc>
      </w:tr>
      <w:tr w14:paraId="2B0E5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2" w:type="pct"/>
            <w:vMerge w:val="continue"/>
            <w:vAlign w:val="center"/>
          </w:tcPr>
          <w:p w14:paraId="60D7EC49">
            <w:pPr>
              <w:adjustRightInd w:val="0"/>
              <w:snapToGrid w:val="0"/>
              <w:spacing w:line="320" w:lineRule="exact"/>
              <w:jc w:val="center"/>
              <w:textAlignment w:val="baseline"/>
              <w:rPr>
                <w:rFonts w:eastAsiaTheme="minorEastAsia"/>
                <w:bCs/>
                <w:szCs w:val="20"/>
              </w:rPr>
            </w:pPr>
          </w:p>
        </w:tc>
        <w:tc>
          <w:tcPr>
            <w:tcW w:w="415" w:type="pct"/>
            <w:vAlign w:val="center"/>
          </w:tcPr>
          <w:p w14:paraId="18B7F34F">
            <w:pPr>
              <w:adjustRightInd w:val="0"/>
              <w:snapToGrid w:val="0"/>
              <w:spacing w:line="320" w:lineRule="exact"/>
              <w:jc w:val="center"/>
              <w:textAlignment w:val="baseline"/>
              <w:rPr>
                <w:rFonts w:eastAsiaTheme="minorEastAsia"/>
                <w:bCs/>
                <w:szCs w:val="20"/>
              </w:rPr>
            </w:pPr>
            <w:r>
              <w:rPr>
                <w:rFonts w:hint="eastAsia" w:eastAsiaTheme="minorEastAsia"/>
                <w:bCs/>
                <w:szCs w:val="20"/>
              </w:rPr>
              <w:t>22</w:t>
            </w:r>
          </w:p>
        </w:tc>
        <w:tc>
          <w:tcPr>
            <w:tcW w:w="999" w:type="pct"/>
            <w:vAlign w:val="center"/>
          </w:tcPr>
          <w:p w14:paraId="11433A44">
            <w:pPr>
              <w:adjustRightInd w:val="0"/>
              <w:snapToGrid w:val="0"/>
              <w:spacing w:line="320" w:lineRule="exact"/>
              <w:jc w:val="center"/>
              <w:textAlignment w:val="baseline"/>
              <w:rPr>
                <w:rFonts w:eastAsiaTheme="minorEastAsia"/>
                <w:bCs/>
                <w:szCs w:val="20"/>
              </w:rPr>
            </w:pPr>
            <w:r>
              <w:rPr>
                <w:rFonts w:hint="eastAsia" w:eastAsiaTheme="minorEastAsia"/>
                <w:bCs/>
                <w:szCs w:val="20"/>
              </w:rPr>
              <w:t>工业企业排污许可证执行率</w:t>
            </w:r>
          </w:p>
        </w:tc>
        <w:tc>
          <w:tcPr>
            <w:tcW w:w="581" w:type="pct"/>
            <w:vAlign w:val="center"/>
          </w:tcPr>
          <w:p w14:paraId="5740838F">
            <w:pPr>
              <w:adjustRightInd w:val="0"/>
              <w:snapToGrid w:val="0"/>
              <w:spacing w:line="320" w:lineRule="exact"/>
              <w:jc w:val="center"/>
              <w:textAlignment w:val="baseline"/>
              <w:rPr>
                <w:rFonts w:eastAsiaTheme="minorEastAsia"/>
                <w:bCs/>
                <w:szCs w:val="20"/>
              </w:rPr>
            </w:pPr>
            <w:r>
              <w:rPr>
                <w:rFonts w:hint="eastAsia" w:eastAsiaTheme="minorEastAsia"/>
                <w:bCs/>
                <w:szCs w:val="20"/>
              </w:rPr>
              <w:t>%</w:t>
            </w:r>
          </w:p>
        </w:tc>
        <w:tc>
          <w:tcPr>
            <w:tcW w:w="748" w:type="pct"/>
            <w:vAlign w:val="center"/>
          </w:tcPr>
          <w:p w14:paraId="51721A96">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498" w:type="pct"/>
            <w:vAlign w:val="center"/>
          </w:tcPr>
          <w:p w14:paraId="54C7E6FF">
            <w:pPr>
              <w:adjustRightInd w:val="0"/>
              <w:snapToGrid w:val="0"/>
              <w:spacing w:line="320" w:lineRule="exact"/>
              <w:jc w:val="center"/>
              <w:textAlignment w:val="baseline"/>
              <w:rPr>
                <w:rFonts w:eastAsiaTheme="minorEastAsia"/>
                <w:bCs/>
                <w:szCs w:val="20"/>
              </w:rPr>
            </w:pPr>
            <w:r>
              <w:rPr>
                <w:rFonts w:hint="eastAsia" w:eastAsiaTheme="minorEastAsia"/>
                <w:bCs/>
                <w:szCs w:val="20"/>
              </w:rPr>
              <w:t>100</w:t>
            </w:r>
          </w:p>
        </w:tc>
        <w:tc>
          <w:tcPr>
            <w:tcW w:w="1197" w:type="pct"/>
            <w:vMerge w:val="continue"/>
            <w:vAlign w:val="center"/>
          </w:tcPr>
          <w:p w14:paraId="09C5C612">
            <w:pPr>
              <w:adjustRightInd w:val="0"/>
              <w:snapToGrid w:val="0"/>
              <w:spacing w:line="320" w:lineRule="exact"/>
              <w:jc w:val="center"/>
              <w:textAlignment w:val="baseline"/>
              <w:rPr>
                <w:rFonts w:eastAsiaTheme="minorEastAsia"/>
                <w:bCs/>
                <w:szCs w:val="20"/>
              </w:rPr>
            </w:pPr>
          </w:p>
        </w:tc>
      </w:tr>
      <w:bookmarkEnd w:id="139"/>
    </w:tbl>
    <w:p w14:paraId="2709DE5F">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140" w:name="_Toc206494969"/>
      <w:r>
        <w:rPr>
          <w:rFonts w:hint="eastAsia" w:eastAsiaTheme="minorEastAsia"/>
          <w:kern w:val="2"/>
          <w:sz w:val="36"/>
          <w:szCs w:val="36"/>
        </w:rPr>
        <w:t>环境影响预测与评价</w:t>
      </w:r>
      <w:bookmarkEnd w:id="140"/>
    </w:p>
    <w:p w14:paraId="39B6418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41" w:name="_Toc206494970"/>
      <w:r>
        <w:rPr>
          <w:rFonts w:hint="eastAsia" w:eastAsiaTheme="minorEastAsia"/>
          <w:b/>
          <w:bCs/>
          <w:sz w:val="30"/>
          <w:szCs w:val="28"/>
        </w:rPr>
        <w:t>规划实施生态环境压力分析</w:t>
      </w:r>
      <w:bookmarkEnd w:id="141"/>
    </w:p>
    <w:p w14:paraId="6AB542EB">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次评价根据产业发展规划确定的产业结构和规模布局，结合现状污染源的分布情况，分析确定规划实施后主要的污染源及其源强，以2035年作为预测年。在选取污染源分析的因子时主要考虑以下几个方面的因素：</w:t>
      </w:r>
    </w:p>
    <w:p w14:paraId="5D823EA9">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（1）区内确定的主导行业的特征污染物；</w:t>
      </w:r>
    </w:p>
    <w:p w14:paraId="7668DE59">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（2）国家和地方政府重点控制的污染物；</w:t>
      </w:r>
    </w:p>
    <w:p w14:paraId="3066020F">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（3）当地环境介质较为敏感的污染因子。</w:t>
      </w:r>
    </w:p>
    <w:p w14:paraId="48D6D90C">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目前园区石材加工等已有一定的工业基础，与规划的发展方向一致。本次评价对现有企业污染物产排情况进行了调查，同时对现有企业环保手续执行情况进行了统计。根据产业园规划确定的产业定位及发展规模，通过类比产业园现状各产业污染物排放，以及同类型的园区情况，对区内污染物排放情况进行预测，最终确定规划2035年主要污染物及其排放量。</w:t>
      </w:r>
    </w:p>
    <w:p w14:paraId="2DFD5712">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142" w:name="_Toc206494971"/>
      <w:r>
        <w:rPr>
          <w:rFonts w:hint="eastAsia" w:eastAsiaTheme="minorEastAsia"/>
          <w:b/>
          <w:bCs/>
          <w:color w:val="000000" w:themeColor="text1"/>
          <w:sz w:val="24"/>
          <w14:textFill>
            <w14:solidFill>
              <w14:schemeClr w14:val="tx1"/>
            </w14:solidFill>
          </w14:textFill>
        </w:rPr>
        <w:t>废气污染源强</w:t>
      </w:r>
      <w:bookmarkEnd w:id="142"/>
    </w:p>
    <w:p w14:paraId="4CF4089F">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评价区域四个加工园区目前主要有163家企业入驻，同时园区规划预留部分工业用地供后期拟新增的石材加工、资源循环利用项目使用</w:t>
      </w:r>
      <w:bookmarkStart w:id="143" w:name="_Hlk169256054"/>
      <w:r>
        <w:rPr>
          <w:rFonts w:hint="eastAsia" w:eastAsiaTheme="minorEastAsia"/>
          <w:color w:val="000000" w:themeColor="text1"/>
          <w:sz w:val="24"/>
          <w14:textFill>
            <w14:solidFill>
              <w14:schemeClr w14:val="tx1"/>
            </w14:solidFill>
          </w14:textFill>
        </w:rPr>
        <w:t>，新上项目需配套</w:t>
      </w:r>
      <w:bookmarkEnd w:id="143"/>
      <w:r>
        <w:rPr>
          <w:rFonts w:hint="eastAsia" w:eastAsiaTheme="minorEastAsia"/>
          <w:color w:val="000000" w:themeColor="text1"/>
          <w:sz w:val="24"/>
          <w14:textFill>
            <w14:solidFill>
              <w14:schemeClr w14:val="tx1"/>
            </w14:solidFill>
          </w14:textFill>
        </w:rPr>
        <w:t>建设废气治理设施，且确保</w:t>
      </w:r>
      <w:r>
        <w:rPr>
          <w:rFonts w:eastAsiaTheme="minorEastAsia"/>
          <w:color w:val="000000" w:themeColor="text1"/>
          <w:sz w:val="24"/>
          <w14:textFill>
            <w14:solidFill>
              <w14:schemeClr w14:val="tx1"/>
            </w14:solidFill>
          </w14:textFill>
        </w:rPr>
        <w:t>工艺</w:t>
      </w:r>
      <w:r>
        <w:rPr>
          <w:rFonts w:hint="eastAsia" w:eastAsiaTheme="minorEastAsia"/>
          <w:color w:val="000000" w:themeColor="text1"/>
          <w:sz w:val="24"/>
          <w14:textFill>
            <w14:solidFill>
              <w14:schemeClr w14:val="tx1"/>
            </w14:solidFill>
          </w14:textFill>
        </w:rPr>
        <w:t>粉尘达标排放。</w:t>
      </w:r>
    </w:p>
    <w:p w14:paraId="0FAB46E5">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根据规划区域产业现状，近期（2025年）企业年加工约18020万平方米花岗岩和1000万吨砂石骨料，换算为石材加工量约为1973.08万t/a。</w:t>
      </w:r>
    </w:p>
    <w:p w14:paraId="7CA892C0">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产业规划远期（2035年）年加工约20000万平方米花岗岩和3000万吨砂石骨料，换算为石材加工量约为4080万t/a。</w:t>
      </w:r>
    </w:p>
    <w:p w14:paraId="60706CCD">
      <w:pPr>
        <w:spacing w:line="360" w:lineRule="auto"/>
        <w:ind w:firstLine="422"/>
        <w:jc w:val="center"/>
        <w:rPr>
          <w:rFonts w:eastAsiaTheme="minorEastAsia"/>
          <w:b/>
          <w:szCs w:val="21"/>
        </w:rPr>
      </w:pPr>
      <w:r>
        <w:rPr>
          <w:rFonts w:hint="eastAsia" w:eastAsiaTheme="minorEastAsia"/>
          <w:b/>
          <w:szCs w:val="21"/>
        </w:rPr>
        <w:t>表5.1.1-1  规划期企业生产情况汇总表</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3"/>
        <w:gridCol w:w="1291"/>
        <w:gridCol w:w="1985"/>
        <w:gridCol w:w="1417"/>
        <w:gridCol w:w="1898"/>
        <w:gridCol w:w="1134"/>
      </w:tblGrid>
      <w:tr w14:paraId="30583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71" w:type="pct"/>
            <w:vMerge w:val="restart"/>
            <w:vAlign w:val="center"/>
          </w:tcPr>
          <w:p w14:paraId="2D07E06E">
            <w:pPr>
              <w:widowControl/>
              <w:spacing w:line="320" w:lineRule="exact"/>
              <w:ind w:left="-25" w:right="-25"/>
              <w:jc w:val="center"/>
              <w:rPr>
                <w:rFonts w:eastAsiaTheme="minorEastAsia"/>
                <w:kern w:val="0"/>
                <w:szCs w:val="21"/>
              </w:rPr>
            </w:pPr>
            <w:r>
              <w:rPr>
                <w:rFonts w:eastAsiaTheme="minorEastAsia"/>
                <w:kern w:val="0"/>
                <w:szCs w:val="21"/>
              </w:rPr>
              <w:t>序号</w:t>
            </w:r>
          </w:p>
        </w:tc>
        <w:tc>
          <w:tcPr>
            <w:tcW w:w="757" w:type="pct"/>
            <w:vMerge w:val="restart"/>
            <w:vAlign w:val="center"/>
          </w:tcPr>
          <w:p w14:paraId="718E63C1">
            <w:pPr>
              <w:widowControl/>
              <w:spacing w:line="320" w:lineRule="exact"/>
              <w:ind w:left="-25" w:right="-25"/>
              <w:jc w:val="center"/>
              <w:rPr>
                <w:rFonts w:eastAsiaTheme="minorEastAsia"/>
                <w:kern w:val="0"/>
                <w:szCs w:val="21"/>
              </w:rPr>
            </w:pPr>
            <w:r>
              <w:rPr>
                <w:rFonts w:hint="eastAsia" w:eastAsiaTheme="minorEastAsia"/>
                <w:kern w:val="0"/>
                <w:szCs w:val="21"/>
              </w:rPr>
              <w:t>园区</w:t>
            </w:r>
          </w:p>
        </w:tc>
        <w:tc>
          <w:tcPr>
            <w:tcW w:w="1995" w:type="pct"/>
            <w:gridSpan w:val="2"/>
            <w:tcBorders>
              <w:bottom w:val="single" w:color="auto" w:sz="4" w:space="0"/>
            </w:tcBorders>
            <w:vAlign w:val="center"/>
          </w:tcPr>
          <w:p w14:paraId="737DF7DD">
            <w:pPr>
              <w:spacing w:line="320" w:lineRule="exact"/>
              <w:ind w:left="-25" w:right="-25"/>
              <w:jc w:val="center"/>
              <w:rPr>
                <w:rFonts w:eastAsiaTheme="minorEastAsia"/>
                <w:kern w:val="0"/>
                <w:szCs w:val="21"/>
              </w:rPr>
            </w:pPr>
            <w:r>
              <w:rPr>
                <w:rFonts w:hint="eastAsia" w:eastAsiaTheme="minorEastAsia"/>
                <w:kern w:val="0"/>
                <w:szCs w:val="21"/>
              </w:rPr>
              <w:t>规划近期（2025年）</w:t>
            </w:r>
          </w:p>
        </w:tc>
        <w:tc>
          <w:tcPr>
            <w:tcW w:w="1777" w:type="pct"/>
            <w:gridSpan w:val="2"/>
            <w:tcBorders>
              <w:bottom w:val="single" w:color="auto" w:sz="4" w:space="0"/>
            </w:tcBorders>
            <w:vAlign w:val="center"/>
          </w:tcPr>
          <w:p w14:paraId="43C4CB7C">
            <w:pPr>
              <w:spacing w:line="320" w:lineRule="exact"/>
              <w:ind w:left="-25" w:right="-25"/>
              <w:jc w:val="center"/>
              <w:rPr>
                <w:rFonts w:eastAsiaTheme="minorEastAsia"/>
                <w:kern w:val="0"/>
                <w:szCs w:val="21"/>
              </w:rPr>
            </w:pPr>
            <w:r>
              <w:rPr>
                <w:rFonts w:hint="eastAsia" w:eastAsiaTheme="minorEastAsia"/>
                <w:kern w:val="0"/>
                <w:szCs w:val="21"/>
              </w:rPr>
              <w:t>规划远期（2035年）</w:t>
            </w:r>
          </w:p>
        </w:tc>
      </w:tr>
      <w:tr w14:paraId="1BAF7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trPr>
        <w:tc>
          <w:tcPr>
            <w:tcW w:w="471" w:type="pct"/>
            <w:vMerge w:val="continue"/>
            <w:vAlign w:val="center"/>
          </w:tcPr>
          <w:p w14:paraId="066C8F18">
            <w:pPr>
              <w:widowControl/>
              <w:spacing w:line="320" w:lineRule="exact"/>
              <w:ind w:left="-25" w:right="-25"/>
              <w:jc w:val="center"/>
              <w:rPr>
                <w:rFonts w:eastAsiaTheme="minorEastAsia"/>
                <w:kern w:val="0"/>
                <w:szCs w:val="21"/>
              </w:rPr>
            </w:pPr>
          </w:p>
        </w:tc>
        <w:tc>
          <w:tcPr>
            <w:tcW w:w="757" w:type="pct"/>
            <w:vMerge w:val="continue"/>
            <w:vAlign w:val="center"/>
          </w:tcPr>
          <w:p w14:paraId="7718DB5A">
            <w:pPr>
              <w:widowControl/>
              <w:spacing w:line="320" w:lineRule="exact"/>
              <w:ind w:left="-25" w:right="-25"/>
              <w:jc w:val="center"/>
              <w:rPr>
                <w:rFonts w:eastAsiaTheme="minorEastAsia"/>
                <w:kern w:val="0"/>
                <w:szCs w:val="21"/>
              </w:rPr>
            </w:pPr>
          </w:p>
        </w:tc>
        <w:tc>
          <w:tcPr>
            <w:tcW w:w="1164" w:type="pct"/>
            <w:tcBorders>
              <w:top w:val="single" w:color="auto" w:sz="4" w:space="0"/>
              <w:right w:val="single" w:color="auto" w:sz="4" w:space="0"/>
            </w:tcBorders>
            <w:vAlign w:val="center"/>
          </w:tcPr>
          <w:p w14:paraId="21D69732">
            <w:pPr>
              <w:spacing w:line="320" w:lineRule="exact"/>
              <w:ind w:left="-25" w:right="-25"/>
              <w:jc w:val="center"/>
              <w:rPr>
                <w:rFonts w:eastAsiaTheme="minorEastAsia"/>
                <w:kern w:val="0"/>
                <w:szCs w:val="21"/>
              </w:rPr>
            </w:pPr>
            <w:r>
              <w:rPr>
                <w:rFonts w:hint="eastAsia" w:eastAsiaTheme="minorEastAsia"/>
                <w:kern w:val="0"/>
                <w:szCs w:val="21"/>
              </w:rPr>
              <w:t>主要产品及规模</w:t>
            </w:r>
          </w:p>
        </w:tc>
        <w:tc>
          <w:tcPr>
            <w:tcW w:w="831" w:type="pct"/>
            <w:tcBorders>
              <w:top w:val="single" w:color="auto" w:sz="4" w:space="0"/>
            </w:tcBorders>
            <w:vAlign w:val="center"/>
          </w:tcPr>
          <w:p w14:paraId="42417C86">
            <w:pPr>
              <w:spacing w:line="320" w:lineRule="exact"/>
              <w:ind w:left="-25" w:right="-25"/>
              <w:jc w:val="center"/>
              <w:rPr>
                <w:rFonts w:eastAsiaTheme="minorEastAsia"/>
                <w:kern w:val="0"/>
                <w:szCs w:val="21"/>
              </w:rPr>
            </w:pPr>
            <w:r>
              <w:rPr>
                <w:rFonts w:hint="eastAsia" w:eastAsiaTheme="minorEastAsia"/>
                <w:kern w:val="0"/>
                <w:szCs w:val="21"/>
              </w:rPr>
              <w:t>石材加工量（万t/a）</w:t>
            </w:r>
          </w:p>
        </w:tc>
        <w:tc>
          <w:tcPr>
            <w:tcW w:w="1113" w:type="pct"/>
            <w:tcBorders>
              <w:top w:val="single" w:color="auto" w:sz="4" w:space="0"/>
              <w:right w:val="single" w:color="auto" w:sz="4" w:space="0"/>
            </w:tcBorders>
            <w:vAlign w:val="center"/>
          </w:tcPr>
          <w:p w14:paraId="16371D35">
            <w:pPr>
              <w:spacing w:line="320" w:lineRule="exact"/>
              <w:ind w:left="-25" w:right="-25"/>
              <w:jc w:val="center"/>
              <w:rPr>
                <w:rFonts w:eastAsiaTheme="minorEastAsia"/>
                <w:kern w:val="0"/>
                <w:szCs w:val="21"/>
              </w:rPr>
            </w:pPr>
            <w:r>
              <w:rPr>
                <w:rFonts w:hint="eastAsia" w:eastAsiaTheme="minorEastAsia"/>
                <w:kern w:val="0"/>
                <w:szCs w:val="21"/>
              </w:rPr>
              <w:t>主要产品及规模</w:t>
            </w:r>
          </w:p>
        </w:tc>
        <w:tc>
          <w:tcPr>
            <w:tcW w:w="664" w:type="pct"/>
            <w:tcBorders>
              <w:top w:val="single" w:color="auto" w:sz="4" w:space="0"/>
              <w:left w:val="single" w:color="auto" w:sz="4" w:space="0"/>
            </w:tcBorders>
            <w:vAlign w:val="center"/>
          </w:tcPr>
          <w:p w14:paraId="542FFBAD">
            <w:pPr>
              <w:spacing w:line="320" w:lineRule="exact"/>
              <w:ind w:left="-25" w:right="-25"/>
              <w:jc w:val="center"/>
              <w:rPr>
                <w:rFonts w:eastAsiaTheme="minorEastAsia"/>
                <w:kern w:val="0"/>
                <w:szCs w:val="21"/>
              </w:rPr>
            </w:pPr>
            <w:r>
              <w:rPr>
                <w:rFonts w:hint="eastAsia" w:eastAsiaTheme="minorEastAsia"/>
                <w:kern w:val="0"/>
                <w:szCs w:val="21"/>
              </w:rPr>
              <w:t>石材加工量（万t/a）</w:t>
            </w:r>
          </w:p>
        </w:tc>
      </w:tr>
      <w:tr w14:paraId="2E657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71" w:type="pct"/>
            <w:shd w:val="clear" w:color="auto" w:fill="auto"/>
            <w:vAlign w:val="center"/>
          </w:tcPr>
          <w:p w14:paraId="102CCF6E">
            <w:pPr>
              <w:widowControl/>
              <w:spacing w:line="320" w:lineRule="exact"/>
              <w:ind w:left="-25" w:right="-25"/>
              <w:jc w:val="center"/>
              <w:rPr>
                <w:rFonts w:eastAsiaTheme="minorEastAsia"/>
                <w:kern w:val="0"/>
                <w:szCs w:val="21"/>
              </w:rPr>
            </w:pPr>
            <w:r>
              <w:rPr>
                <w:rFonts w:eastAsiaTheme="minorEastAsia"/>
                <w:kern w:val="0"/>
                <w:szCs w:val="21"/>
              </w:rPr>
              <w:t>1</w:t>
            </w:r>
          </w:p>
        </w:tc>
        <w:tc>
          <w:tcPr>
            <w:tcW w:w="757" w:type="pct"/>
            <w:vAlign w:val="center"/>
          </w:tcPr>
          <w:p w14:paraId="61B255CB">
            <w:pPr>
              <w:widowControl/>
              <w:spacing w:line="320" w:lineRule="exact"/>
              <w:ind w:left="-25" w:right="-25"/>
              <w:jc w:val="center"/>
              <w:rPr>
                <w:rFonts w:eastAsiaTheme="minorEastAsia"/>
                <w:kern w:val="0"/>
                <w:szCs w:val="21"/>
              </w:rPr>
            </w:pPr>
            <w:r>
              <w:rPr>
                <w:rFonts w:hint="eastAsia" w:eastAsiaTheme="minorEastAsia"/>
                <w:kern w:val="0"/>
                <w:szCs w:val="21"/>
              </w:rPr>
              <w:t>吴山闽商石材产业园</w:t>
            </w:r>
          </w:p>
        </w:tc>
        <w:tc>
          <w:tcPr>
            <w:tcW w:w="1164" w:type="pct"/>
            <w:tcBorders>
              <w:right w:val="single" w:color="auto" w:sz="4" w:space="0"/>
            </w:tcBorders>
            <w:shd w:val="clear" w:color="auto" w:fill="auto"/>
            <w:vAlign w:val="center"/>
          </w:tcPr>
          <w:p w14:paraId="1E153C4D">
            <w:pPr>
              <w:widowControl/>
              <w:spacing w:line="320" w:lineRule="exact"/>
              <w:ind w:left="-25" w:right="-25"/>
              <w:jc w:val="center"/>
              <w:rPr>
                <w:rFonts w:eastAsiaTheme="minorEastAsia"/>
                <w:kern w:val="0"/>
                <w:szCs w:val="21"/>
              </w:rPr>
            </w:pPr>
            <w:r>
              <w:rPr>
                <w:rFonts w:hint="eastAsia" w:eastAsiaTheme="minorEastAsia"/>
                <w:kern w:val="0"/>
                <w:szCs w:val="21"/>
              </w:rPr>
              <w:t>年加工8430</w:t>
            </w:r>
            <w:r>
              <w:rPr>
                <w:rFonts w:eastAsiaTheme="minorEastAsia"/>
                <w:kern w:val="0"/>
                <w:szCs w:val="21"/>
              </w:rPr>
              <w:t>万平方米花岗岩、</w:t>
            </w:r>
            <w:r>
              <w:rPr>
                <w:rFonts w:hint="eastAsia" w:eastAsiaTheme="minorEastAsia"/>
                <w:kern w:val="0"/>
                <w:szCs w:val="21"/>
              </w:rPr>
              <w:t>300万吨砂石骨料</w:t>
            </w:r>
          </w:p>
        </w:tc>
        <w:tc>
          <w:tcPr>
            <w:tcW w:w="831" w:type="pct"/>
            <w:vAlign w:val="center"/>
          </w:tcPr>
          <w:p w14:paraId="78604ECC">
            <w:pPr>
              <w:widowControl/>
              <w:spacing w:line="320" w:lineRule="exact"/>
              <w:ind w:left="-25" w:right="-25"/>
              <w:jc w:val="center"/>
              <w:rPr>
                <w:rFonts w:eastAsiaTheme="minorEastAsia"/>
                <w:kern w:val="0"/>
                <w:szCs w:val="21"/>
              </w:rPr>
            </w:pPr>
            <w:r>
              <w:rPr>
                <w:rFonts w:hint="eastAsia" w:eastAsiaTheme="minorEastAsia"/>
                <w:kern w:val="0"/>
                <w:szCs w:val="21"/>
              </w:rPr>
              <w:t>755.22</w:t>
            </w:r>
          </w:p>
        </w:tc>
        <w:tc>
          <w:tcPr>
            <w:tcW w:w="1113" w:type="pct"/>
            <w:tcBorders>
              <w:right w:val="single" w:color="auto" w:sz="4" w:space="0"/>
            </w:tcBorders>
            <w:vAlign w:val="center"/>
          </w:tcPr>
          <w:p w14:paraId="5A27AAC4">
            <w:pPr>
              <w:widowControl/>
              <w:spacing w:line="320" w:lineRule="exact"/>
              <w:ind w:left="-25" w:right="-25"/>
              <w:jc w:val="center"/>
              <w:rPr>
                <w:rFonts w:eastAsiaTheme="minorEastAsia"/>
                <w:kern w:val="0"/>
                <w:szCs w:val="21"/>
              </w:rPr>
            </w:pPr>
            <w:r>
              <w:rPr>
                <w:rFonts w:hint="eastAsia" w:eastAsiaTheme="minorEastAsia"/>
                <w:kern w:val="0"/>
                <w:szCs w:val="21"/>
              </w:rPr>
              <w:t>年加工9500</w:t>
            </w:r>
            <w:r>
              <w:rPr>
                <w:rFonts w:eastAsiaTheme="minorEastAsia"/>
                <w:kern w:val="0"/>
                <w:szCs w:val="21"/>
              </w:rPr>
              <w:t>万平方米花岗岩、</w:t>
            </w:r>
            <w:r>
              <w:rPr>
                <w:rFonts w:hint="eastAsia" w:eastAsiaTheme="minorEastAsia"/>
                <w:kern w:val="0"/>
                <w:szCs w:val="21"/>
              </w:rPr>
              <w:t>1500万吨砂石骨料</w:t>
            </w:r>
          </w:p>
        </w:tc>
        <w:tc>
          <w:tcPr>
            <w:tcW w:w="664" w:type="pct"/>
            <w:tcBorders>
              <w:left w:val="single" w:color="auto" w:sz="4" w:space="0"/>
            </w:tcBorders>
            <w:shd w:val="clear" w:color="auto" w:fill="auto"/>
            <w:vAlign w:val="center"/>
          </w:tcPr>
          <w:p w14:paraId="7C7C3648">
            <w:pPr>
              <w:widowControl/>
              <w:spacing w:line="320" w:lineRule="exact"/>
              <w:ind w:left="-25" w:right="-25"/>
              <w:jc w:val="center"/>
              <w:rPr>
                <w:rFonts w:eastAsiaTheme="minorEastAsia"/>
                <w:kern w:val="0"/>
                <w:szCs w:val="21"/>
              </w:rPr>
            </w:pPr>
            <w:r>
              <w:rPr>
                <w:rFonts w:eastAsiaTheme="minorEastAsia"/>
                <w:kern w:val="0"/>
                <w:szCs w:val="21"/>
              </w:rPr>
              <w:t>2013</w:t>
            </w:r>
          </w:p>
        </w:tc>
      </w:tr>
      <w:tr w14:paraId="77080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71" w:type="pct"/>
            <w:shd w:val="clear" w:color="auto" w:fill="auto"/>
            <w:vAlign w:val="center"/>
          </w:tcPr>
          <w:p w14:paraId="57157DBF">
            <w:pPr>
              <w:widowControl/>
              <w:spacing w:line="320" w:lineRule="exact"/>
              <w:ind w:left="-25" w:right="-25"/>
              <w:jc w:val="center"/>
              <w:rPr>
                <w:rFonts w:eastAsiaTheme="minorEastAsia"/>
                <w:kern w:val="0"/>
                <w:szCs w:val="21"/>
              </w:rPr>
            </w:pPr>
            <w:r>
              <w:rPr>
                <w:rFonts w:eastAsiaTheme="minorEastAsia"/>
                <w:kern w:val="0"/>
                <w:szCs w:val="21"/>
              </w:rPr>
              <w:t>2</w:t>
            </w:r>
          </w:p>
        </w:tc>
        <w:tc>
          <w:tcPr>
            <w:tcW w:w="757" w:type="pct"/>
            <w:vAlign w:val="center"/>
          </w:tcPr>
          <w:p w14:paraId="3E3F84C1">
            <w:pPr>
              <w:widowControl/>
              <w:spacing w:line="320" w:lineRule="exact"/>
              <w:ind w:left="-25" w:right="-25"/>
              <w:jc w:val="center"/>
              <w:rPr>
                <w:rFonts w:eastAsiaTheme="minorEastAsia"/>
                <w:kern w:val="0"/>
                <w:szCs w:val="21"/>
              </w:rPr>
            </w:pPr>
            <w:r>
              <w:rPr>
                <w:rFonts w:hint="eastAsia" w:eastAsiaTheme="minorEastAsia"/>
                <w:kern w:val="0"/>
                <w:szCs w:val="21"/>
              </w:rPr>
              <w:t>万和石材产业园</w:t>
            </w:r>
          </w:p>
        </w:tc>
        <w:tc>
          <w:tcPr>
            <w:tcW w:w="1164" w:type="pct"/>
            <w:tcBorders>
              <w:right w:val="single" w:color="auto" w:sz="4" w:space="0"/>
            </w:tcBorders>
            <w:shd w:val="clear" w:color="auto" w:fill="auto"/>
            <w:vAlign w:val="center"/>
          </w:tcPr>
          <w:p w14:paraId="0ADDF71C">
            <w:pPr>
              <w:widowControl/>
              <w:spacing w:line="320" w:lineRule="exact"/>
              <w:ind w:left="-25" w:right="-25"/>
              <w:jc w:val="center"/>
              <w:rPr>
                <w:rFonts w:eastAsiaTheme="minorEastAsia"/>
                <w:kern w:val="0"/>
                <w:szCs w:val="21"/>
              </w:rPr>
            </w:pPr>
            <w:r>
              <w:rPr>
                <w:rFonts w:hint="eastAsia" w:eastAsiaTheme="minorEastAsia"/>
                <w:kern w:val="0"/>
                <w:szCs w:val="21"/>
              </w:rPr>
              <w:t>年加工7560</w:t>
            </w:r>
            <w:r>
              <w:rPr>
                <w:rFonts w:eastAsiaTheme="minorEastAsia"/>
                <w:kern w:val="0"/>
                <w:szCs w:val="21"/>
              </w:rPr>
              <w:t>万平方米花岗岩、</w:t>
            </w:r>
            <w:r>
              <w:rPr>
                <w:rFonts w:hint="eastAsia" w:eastAsiaTheme="minorEastAsia"/>
                <w:kern w:val="0"/>
                <w:szCs w:val="21"/>
              </w:rPr>
              <w:t>400万吨砂石骨料</w:t>
            </w:r>
          </w:p>
        </w:tc>
        <w:tc>
          <w:tcPr>
            <w:tcW w:w="831" w:type="pct"/>
            <w:vAlign w:val="center"/>
          </w:tcPr>
          <w:p w14:paraId="3A379BE6">
            <w:pPr>
              <w:widowControl/>
              <w:spacing w:line="320" w:lineRule="exact"/>
              <w:ind w:left="-25" w:right="-25"/>
              <w:jc w:val="center"/>
              <w:rPr>
                <w:rFonts w:eastAsiaTheme="minorEastAsia"/>
                <w:kern w:val="0"/>
                <w:szCs w:val="21"/>
              </w:rPr>
            </w:pPr>
            <w:r>
              <w:rPr>
                <w:rFonts w:hint="eastAsia" w:eastAsiaTheme="minorEastAsia"/>
                <w:kern w:val="0"/>
                <w:szCs w:val="21"/>
              </w:rPr>
              <w:t>808.24</w:t>
            </w:r>
          </w:p>
        </w:tc>
        <w:tc>
          <w:tcPr>
            <w:tcW w:w="1113" w:type="pct"/>
            <w:tcBorders>
              <w:right w:val="single" w:color="auto" w:sz="4" w:space="0"/>
            </w:tcBorders>
            <w:vAlign w:val="center"/>
          </w:tcPr>
          <w:p w14:paraId="262E95E0">
            <w:pPr>
              <w:widowControl/>
              <w:spacing w:line="320" w:lineRule="exact"/>
              <w:ind w:left="-25" w:right="-25"/>
              <w:jc w:val="center"/>
              <w:rPr>
                <w:rFonts w:eastAsiaTheme="minorEastAsia"/>
                <w:kern w:val="0"/>
                <w:szCs w:val="21"/>
              </w:rPr>
            </w:pPr>
            <w:r>
              <w:rPr>
                <w:rFonts w:hint="eastAsia" w:eastAsiaTheme="minorEastAsia"/>
                <w:kern w:val="0"/>
                <w:szCs w:val="21"/>
              </w:rPr>
              <w:t>年加工8300</w:t>
            </w:r>
            <w:r>
              <w:rPr>
                <w:rFonts w:eastAsiaTheme="minorEastAsia"/>
                <w:kern w:val="0"/>
                <w:szCs w:val="21"/>
              </w:rPr>
              <w:t>万平方米花岗岩、</w:t>
            </w:r>
            <w:r>
              <w:rPr>
                <w:rFonts w:hint="eastAsia" w:eastAsiaTheme="minorEastAsia"/>
                <w:kern w:val="0"/>
                <w:szCs w:val="21"/>
              </w:rPr>
              <w:t>1000万吨砂石骨料</w:t>
            </w:r>
          </w:p>
        </w:tc>
        <w:tc>
          <w:tcPr>
            <w:tcW w:w="664" w:type="pct"/>
            <w:tcBorders>
              <w:left w:val="single" w:color="auto" w:sz="4" w:space="0"/>
            </w:tcBorders>
            <w:shd w:val="clear" w:color="auto" w:fill="auto"/>
            <w:vAlign w:val="center"/>
          </w:tcPr>
          <w:p w14:paraId="642EA0C8">
            <w:pPr>
              <w:widowControl/>
              <w:spacing w:line="320" w:lineRule="exact"/>
              <w:ind w:left="-25" w:right="-25"/>
              <w:jc w:val="center"/>
              <w:rPr>
                <w:rFonts w:eastAsiaTheme="minorEastAsia"/>
                <w:kern w:val="0"/>
                <w:szCs w:val="21"/>
              </w:rPr>
            </w:pPr>
            <w:r>
              <w:rPr>
                <w:rFonts w:eastAsiaTheme="minorEastAsia"/>
                <w:kern w:val="0"/>
                <w:szCs w:val="21"/>
              </w:rPr>
              <w:t>1448.2</w:t>
            </w:r>
          </w:p>
        </w:tc>
      </w:tr>
      <w:tr w14:paraId="2B75A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71" w:type="pct"/>
            <w:shd w:val="clear" w:color="auto" w:fill="auto"/>
            <w:vAlign w:val="center"/>
          </w:tcPr>
          <w:p w14:paraId="004D4E9A">
            <w:pPr>
              <w:widowControl/>
              <w:spacing w:line="320" w:lineRule="exact"/>
              <w:ind w:left="-25" w:right="-25"/>
              <w:jc w:val="center"/>
              <w:rPr>
                <w:rFonts w:eastAsiaTheme="minorEastAsia"/>
                <w:kern w:val="0"/>
                <w:szCs w:val="21"/>
              </w:rPr>
            </w:pPr>
            <w:r>
              <w:rPr>
                <w:rFonts w:eastAsiaTheme="minorEastAsia"/>
                <w:kern w:val="0"/>
                <w:szCs w:val="21"/>
              </w:rPr>
              <w:t>3</w:t>
            </w:r>
          </w:p>
        </w:tc>
        <w:tc>
          <w:tcPr>
            <w:tcW w:w="757" w:type="pct"/>
            <w:vAlign w:val="center"/>
          </w:tcPr>
          <w:p w14:paraId="393302E0">
            <w:pPr>
              <w:widowControl/>
              <w:spacing w:line="320" w:lineRule="exact"/>
              <w:ind w:left="-25" w:right="-25"/>
              <w:jc w:val="center"/>
              <w:rPr>
                <w:rFonts w:eastAsiaTheme="minorEastAsia"/>
                <w:kern w:val="0"/>
                <w:szCs w:val="21"/>
              </w:rPr>
            </w:pPr>
            <w:r>
              <w:rPr>
                <w:rFonts w:hint="eastAsia" w:eastAsiaTheme="minorEastAsia"/>
                <w:kern w:val="0"/>
                <w:szCs w:val="21"/>
              </w:rPr>
              <w:t>太白顶石材产业园</w:t>
            </w:r>
          </w:p>
        </w:tc>
        <w:tc>
          <w:tcPr>
            <w:tcW w:w="1164" w:type="pct"/>
            <w:tcBorders>
              <w:right w:val="single" w:color="auto" w:sz="4" w:space="0"/>
            </w:tcBorders>
            <w:shd w:val="clear" w:color="auto" w:fill="auto"/>
            <w:vAlign w:val="center"/>
          </w:tcPr>
          <w:p w14:paraId="0584BA88">
            <w:pPr>
              <w:widowControl/>
              <w:spacing w:line="320" w:lineRule="exact"/>
              <w:ind w:left="-25" w:right="-25"/>
              <w:jc w:val="center"/>
              <w:rPr>
                <w:rFonts w:eastAsiaTheme="minorEastAsia"/>
                <w:kern w:val="0"/>
                <w:szCs w:val="21"/>
              </w:rPr>
            </w:pPr>
            <w:r>
              <w:rPr>
                <w:rFonts w:hint="eastAsia" w:eastAsiaTheme="minorEastAsia"/>
                <w:kern w:val="0"/>
                <w:szCs w:val="21"/>
              </w:rPr>
              <w:t>年加工1850</w:t>
            </w:r>
            <w:r>
              <w:rPr>
                <w:rFonts w:eastAsiaTheme="minorEastAsia"/>
                <w:kern w:val="0"/>
                <w:szCs w:val="21"/>
              </w:rPr>
              <w:t>万平方米花岗岩、</w:t>
            </w:r>
            <w:r>
              <w:rPr>
                <w:rFonts w:hint="eastAsia" w:eastAsiaTheme="minorEastAsia"/>
                <w:kern w:val="0"/>
                <w:szCs w:val="21"/>
              </w:rPr>
              <w:t>200万吨砂石骨料</w:t>
            </w:r>
          </w:p>
        </w:tc>
        <w:tc>
          <w:tcPr>
            <w:tcW w:w="831" w:type="pct"/>
            <w:vAlign w:val="center"/>
          </w:tcPr>
          <w:p w14:paraId="463EA069">
            <w:pPr>
              <w:widowControl/>
              <w:spacing w:line="320" w:lineRule="exact"/>
              <w:ind w:left="-25" w:right="-25"/>
              <w:jc w:val="center"/>
              <w:rPr>
                <w:rFonts w:eastAsiaTheme="minorEastAsia"/>
                <w:kern w:val="0"/>
                <w:szCs w:val="21"/>
              </w:rPr>
            </w:pPr>
            <w:r>
              <w:rPr>
                <w:rFonts w:hint="eastAsia" w:eastAsiaTheme="minorEastAsia"/>
                <w:kern w:val="0"/>
                <w:szCs w:val="21"/>
              </w:rPr>
              <w:t>299.9</w:t>
            </w:r>
          </w:p>
        </w:tc>
        <w:tc>
          <w:tcPr>
            <w:tcW w:w="1113" w:type="pct"/>
            <w:tcBorders>
              <w:right w:val="single" w:color="auto" w:sz="4" w:space="0"/>
            </w:tcBorders>
            <w:vAlign w:val="center"/>
          </w:tcPr>
          <w:p w14:paraId="4353212F">
            <w:pPr>
              <w:widowControl/>
              <w:spacing w:line="320" w:lineRule="exact"/>
              <w:ind w:left="-25" w:right="-25"/>
              <w:jc w:val="center"/>
              <w:rPr>
                <w:rFonts w:eastAsiaTheme="minorEastAsia"/>
                <w:kern w:val="0"/>
                <w:szCs w:val="21"/>
              </w:rPr>
            </w:pPr>
            <w:r>
              <w:rPr>
                <w:rFonts w:hint="eastAsia" w:eastAsiaTheme="minorEastAsia"/>
                <w:kern w:val="0"/>
                <w:szCs w:val="21"/>
              </w:rPr>
              <w:t>年加工2000</w:t>
            </w:r>
            <w:r>
              <w:rPr>
                <w:rFonts w:eastAsiaTheme="minorEastAsia"/>
                <w:kern w:val="0"/>
                <w:szCs w:val="21"/>
              </w:rPr>
              <w:t>万平方米花岗岩、</w:t>
            </w:r>
            <w:r>
              <w:rPr>
                <w:rFonts w:hint="eastAsia" w:eastAsiaTheme="minorEastAsia"/>
                <w:kern w:val="0"/>
                <w:szCs w:val="21"/>
              </w:rPr>
              <w:t>300万吨砂石骨料</w:t>
            </w:r>
          </w:p>
        </w:tc>
        <w:tc>
          <w:tcPr>
            <w:tcW w:w="664" w:type="pct"/>
            <w:tcBorders>
              <w:left w:val="single" w:color="auto" w:sz="4" w:space="0"/>
            </w:tcBorders>
            <w:shd w:val="clear" w:color="auto" w:fill="auto"/>
            <w:vAlign w:val="center"/>
          </w:tcPr>
          <w:p w14:paraId="3AD896C8">
            <w:pPr>
              <w:widowControl/>
              <w:spacing w:line="320" w:lineRule="exact"/>
              <w:ind w:left="-25" w:right="-25"/>
              <w:jc w:val="center"/>
              <w:rPr>
                <w:rFonts w:eastAsiaTheme="minorEastAsia"/>
                <w:kern w:val="0"/>
                <w:szCs w:val="21"/>
              </w:rPr>
            </w:pPr>
            <w:r>
              <w:rPr>
                <w:rFonts w:eastAsiaTheme="minorEastAsia"/>
                <w:kern w:val="0"/>
                <w:szCs w:val="21"/>
              </w:rPr>
              <w:t>408</w:t>
            </w:r>
          </w:p>
        </w:tc>
      </w:tr>
      <w:tr w14:paraId="2A5E9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471" w:type="pct"/>
            <w:shd w:val="clear" w:color="auto" w:fill="auto"/>
            <w:vAlign w:val="center"/>
          </w:tcPr>
          <w:p w14:paraId="68C08D00">
            <w:pPr>
              <w:widowControl/>
              <w:spacing w:line="320" w:lineRule="exact"/>
              <w:ind w:left="-25" w:right="-25"/>
              <w:jc w:val="center"/>
              <w:rPr>
                <w:rFonts w:eastAsiaTheme="minorEastAsia"/>
                <w:kern w:val="0"/>
                <w:szCs w:val="21"/>
              </w:rPr>
            </w:pPr>
            <w:r>
              <w:rPr>
                <w:rFonts w:eastAsiaTheme="minorEastAsia"/>
                <w:kern w:val="0"/>
                <w:szCs w:val="21"/>
              </w:rPr>
              <w:t>4</w:t>
            </w:r>
          </w:p>
        </w:tc>
        <w:tc>
          <w:tcPr>
            <w:tcW w:w="757" w:type="pct"/>
            <w:vAlign w:val="center"/>
          </w:tcPr>
          <w:p w14:paraId="2E4EFC3C">
            <w:pPr>
              <w:widowControl/>
              <w:spacing w:line="320" w:lineRule="exact"/>
              <w:ind w:left="-25" w:right="-25"/>
              <w:jc w:val="center"/>
              <w:rPr>
                <w:rFonts w:eastAsiaTheme="minorEastAsia"/>
                <w:kern w:val="0"/>
                <w:szCs w:val="21"/>
              </w:rPr>
            </w:pPr>
            <w:r>
              <w:rPr>
                <w:rFonts w:hint="eastAsia" w:eastAsiaTheme="minorEastAsia"/>
                <w:kern w:val="0"/>
                <w:szCs w:val="21"/>
              </w:rPr>
              <w:t>草店石材产业园</w:t>
            </w:r>
          </w:p>
        </w:tc>
        <w:tc>
          <w:tcPr>
            <w:tcW w:w="1164" w:type="pct"/>
            <w:tcBorders>
              <w:right w:val="single" w:color="auto" w:sz="4" w:space="0"/>
            </w:tcBorders>
            <w:shd w:val="clear" w:color="auto" w:fill="auto"/>
            <w:vAlign w:val="center"/>
          </w:tcPr>
          <w:p w14:paraId="67921C18">
            <w:pPr>
              <w:widowControl/>
              <w:spacing w:line="320" w:lineRule="exact"/>
              <w:ind w:left="-25" w:right="-25"/>
              <w:jc w:val="center"/>
              <w:rPr>
                <w:rFonts w:eastAsiaTheme="minorEastAsia"/>
                <w:kern w:val="0"/>
                <w:szCs w:val="21"/>
              </w:rPr>
            </w:pPr>
            <w:r>
              <w:rPr>
                <w:rFonts w:hint="eastAsia" w:eastAsiaTheme="minorEastAsia"/>
                <w:kern w:val="0"/>
                <w:szCs w:val="21"/>
              </w:rPr>
              <w:t>年加工180</w:t>
            </w:r>
            <w:r>
              <w:rPr>
                <w:rFonts w:eastAsiaTheme="minorEastAsia"/>
                <w:kern w:val="0"/>
                <w:szCs w:val="21"/>
              </w:rPr>
              <w:t>万平方米花岗岩、</w:t>
            </w:r>
            <w:r>
              <w:rPr>
                <w:rFonts w:hint="eastAsia" w:eastAsiaTheme="minorEastAsia"/>
                <w:kern w:val="0"/>
                <w:szCs w:val="21"/>
              </w:rPr>
              <w:t>100万吨砂石骨料</w:t>
            </w:r>
          </w:p>
        </w:tc>
        <w:tc>
          <w:tcPr>
            <w:tcW w:w="831" w:type="pct"/>
            <w:vAlign w:val="center"/>
          </w:tcPr>
          <w:p w14:paraId="4644AAB5">
            <w:pPr>
              <w:widowControl/>
              <w:spacing w:line="320" w:lineRule="exact"/>
              <w:ind w:left="-25" w:right="-25"/>
              <w:jc w:val="center"/>
              <w:rPr>
                <w:rFonts w:eastAsiaTheme="minorEastAsia"/>
                <w:kern w:val="0"/>
                <w:szCs w:val="21"/>
              </w:rPr>
            </w:pPr>
            <w:r>
              <w:rPr>
                <w:rFonts w:hint="eastAsia" w:eastAsiaTheme="minorEastAsia"/>
                <w:kern w:val="0"/>
                <w:szCs w:val="21"/>
              </w:rPr>
              <w:t>109.72</w:t>
            </w:r>
          </w:p>
        </w:tc>
        <w:tc>
          <w:tcPr>
            <w:tcW w:w="1113" w:type="pct"/>
            <w:tcBorders>
              <w:right w:val="single" w:color="auto" w:sz="4" w:space="0"/>
            </w:tcBorders>
            <w:vAlign w:val="center"/>
          </w:tcPr>
          <w:p w14:paraId="1ECCB4AA">
            <w:pPr>
              <w:widowControl/>
              <w:spacing w:line="320" w:lineRule="exact"/>
              <w:ind w:left="-25" w:right="-25"/>
              <w:jc w:val="center"/>
              <w:rPr>
                <w:rFonts w:eastAsiaTheme="minorEastAsia"/>
                <w:kern w:val="0"/>
                <w:szCs w:val="21"/>
              </w:rPr>
            </w:pPr>
            <w:r>
              <w:rPr>
                <w:rFonts w:hint="eastAsia" w:eastAsiaTheme="minorEastAsia"/>
                <w:kern w:val="0"/>
                <w:szCs w:val="21"/>
              </w:rPr>
              <w:t>年加工200</w:t>
            </w:r>
            <w:r>
              <w:rPr>
                <w:rFonts w:eastAsiaTheme="minorEastAsia"/>
                <w:kern w:val="0"/>
                <w:szCs w:val="21"/>
              </w:rPr>
              <w:t>万平方米花岗岩、</w:t>
            </w:r>
            <w:r>
              <w:rPr>
                <w:rFonts w:hint="eastAsia" w:eastAsiaTheme="minorEastAsia"/>
                <w:kern w:val="0"/>
                <w:szCs w:val="21"/>
              </w:rPr>
              <w:t>200万吨砂石骨料</w:t>
            </w:r>
          </w:p>
        </w:tc>
        <w:tc>
          <w:tcPr>
            <w:tcW w:w="664" w:type="pct"/>
            <w:tcBorders>
              <w:left w:val="single" w:color="auto" w:sz="4" w:space="0"/>
            </w:tcBorders>
            <w:shd w:val="clear" w:color="auto" w:fill="auto"/>
            <w:vAlign w:val="center"/>
          </w:tcPr>
          <w:p w14:paraId="1B2E8324">
            <w:pPr>
              <w:widowControl/>
              <w:spacing w:line="320" w:lineRule="exact"/>
              <w:ind w:left="-25" w:right="-25"/>
              <w:jc w:val="center"/>
              <w:rPr>
                <w:rFonts w:eastAsiaTheme="minorEastAsia"/>
                <w:kern w:val="0"/>
                <w:szCs w:val="21"/>
              </w:rPr>
            </w:pPr>
            <w:r>
              <w:rPr>
                <w:rFonts w:eastAsiaTheme="minorEastAsia"/>
                <w:kern w:val="0"/>
                <w:szCs w:val="21"/>
              </w:rPr>
              <w:t>210.8</w:t>
            </w:r>
          </w:p>
        </w:tc>
      </w:tr>
      <w:tr w14:paraId="45673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1228" w:type="pct"/>
            <w:gridSpan w:val="2"/>
            <w:shd w:val="clear" w:color="auto" w:fill="auto"/>
            <w:vAlign w:val="center"/>
          </w:tcPr>
          <w:p w14:paraId="6BE675B1">
            <w:pPr>
              <w:widowControl/>
              <w:spacing w:line="320" w:lineRule="exact"/>
              <w:ind w:left="-25" w:right="-25"/>
              <w:jc w:val="center"/>
              <w:rPr>
                <w:rFonts w:eastAsiaTheme="minorEastAsia"/>
                <w:kern w:val="0"/>
                <w:szCs w:val="21"/>
              </w:rPr>
            </w:pPr>
            <w:r>
              <w:rPr>
                <w:rFonts w:hint="eastAsia" w:eastAsiaTheme="minorEastAsia"/>
                <w:kern w:val="0"/>
                <w:szCs w:val="21"/>
              </w:rPr>
              <w:t>合计</w:t>
            </w:r>
          </w:p>
        </w:tc>
        <w:tc>
          <w:tcPr>
            <w:tcW w:w="1164" w:type="pct"/>
            <w:tcBorders>
              <w:right w:val="single" w:color="auto" w:sz="4" w:space="0"/>
            </w:tcBorders>
            <w:shd w:val="clear" w:color="auto" w:fill="auto"/>
            <w:vAlign w:val="center"/>
          </w:tcPr>
          <w:p w14:paraId="2EE8A5AA">
            <w:pPr>
              <w:widowControl/>
              <w:spacing w:line="320" w:lineRule="exact"/>
              <w:ind w:left="-25" w:right="-25"/>
              <w:jc w:val="center"/>
              <w:rPr>
                <w:rFonts w:eastAsiaTheme="minorEastAsia"/>
                <w:kern w:val="0"/>
                <w:szCs w:val="21"/>
              </w:rPr>
            </w:pPr>
            <w:r>
              <w:rPr>
                <w:rFonts w:hint="eastAsia" w:eastAsiaTheme="minorEastAsia"/>
                <w:kern w:val="0"/>
                <w:szCs w:val="21"/>
              </w:rPr>
              <w:t>年加工18020</w:t>
            </w:r>
            <w:r>
              <w:rPr>
                <w:rFonts w:eastAsiaTheme="minorEastAsia"/>
                <w:kern w:val="0"/>
                <w:szCs w:val="21"/>
              </w:rPr>
              <w:t>万平方米花岗岩、</w:t>
            </w:r>
            <w:r>
              <w:rPr>
                <w:rFonts w:hint="eastAsia" w:eastAsiaTheme="minorEastAsia"/>
                <w:kern w:val="0"/>
                <w:szCs w:val="21"/>
              </w:rPr>
              <w:t>1000万吨砂石骨料</w:t>
            </w:r>
          </w:p>
        </w:tc>
        <w:tc>
          <w:tcPr>
            <w:tcW w:w="831" w:type="pct"/>
            <w:vAlign w:val="center"/>
          </w:tcPr>
          <w:p w14:paraId="2177F9FE">
            <w:pPr>
              <w:widowControl/>
              <w:spacing w:line="320" w:lineRule="exact"/>
              <w:ind w:left="-25" w:right="-25"/>
              <w:jc w:val="center"/>
              <w:rPr>
                <w:rFonts w:eastAsiaTheme="minorEastAsia"/>
                <w:kern w:val="0"/>
                <w:szCs w:val="21"/>
              </w:rPr>
            </w:pPr>
            <w:r>
              <w:rPr>
                <w:rFonts w:hint="eastAsia" w:eastAsiaTheme="minorEastAsia"/>
                <w:kern w:val="0"/>
                <w:szCs w:val="21"/>
              </w:rPr>
              <w:t>1973.08</w:t>
            </w:r>
          </w:p>
        </w:tc>
        <w:tc>
          <w:tcPr>
            <w:tcW w:w="1113" w:type="pct"/>
            <w:tcBorders>
              <w:right w:val="single" w:color="auto" w:sz="4" w:space="0"/>
            </w:tcBorders>
            <w:vAlign w:val="center"/>
          </w:tcPr>
          <w:p w14:paraId="5A722F62">
            <w:pPr>
              <w:widowControl/>
              <w:spacing w:line="320" w:lineRule="exact"/>
              <w:ind w:left="-25" w:right="-25"/>
              <w:jc w:val="center"/>
              <w:rPr>
                <w:rFonts w:eastAsiaTheme="minorEastAsia"/>
                <w:kern w:val="0"/>
                <w:szCs w:val="21"/>
              </w:rPr>
            </w:pPr>
            <w:r>
              <w:rPr>
                <w:rFonts w:hint="eastAsia" w:eastAsiaTheme="minorEastAsia"/>
                <w:kern w:val="0"/>
                <w:szCs w:val="21"/>
              </w:rPr>
              <w:t>年加工20000</w:t>
            </w:r>
            <w:r>
              <w:rPr>
                <w:rFonts w:eastAsiaTheme="minorEastAsia"/>
                <w:kern w:val="0"/>
                <w:szCs w:val="21"/>
              </w:rPr>
              <w:t>万平方米花岗岩、</w:t>
            </w:r>
            <w:r>
              <w:rPr>
                <w:rFonts w:hint="eastAsia" w:eastAsiaTheme="minorEastAsia"/>
                <w:kern w:val="0"/>
                <w:szCs w:val="21"/>
              </w:rPr>
              <w:t>3000万吨砂石骨料</w:t>
            </w:r>
          </w:p>
        </w:tc>
        <w:tc>
          <w:tcPr>
            <w:tcW w:w="664" w:type="pct"/>
            <w:tcBorders>
              <w:left w:val="single" w:color="auto" w:sz="4" w:space="0"/>
            </w:tcBorders>
            <w:shd w:val="clear" w:color="auto" w:fill="auto"/>
            <w:vAlign w:val="center"/>
          </w:tcPr>
          <w:p w14:paraId="4C879886">
            <w:pPr>
              <w:widowControl/>
              <w:spacing w:line="320" w:lineRule="exact"/>
              <w:ind w:left="-25" w:right="-25"/>
              <w:jc w:val="center"/>
              <w:rPr>
                <w:rFonts w:eastAsiaTheme="minorEastAsia"/>
                <w:kern w:val="0"/>
                <w:szCs w:val="21"/>
              </w:rPr>
            </w:pPr>
            <w:r>
              <w:rPr>
                <w:rFonts w:hint="eastAsia" w:eastAsiaTheme="minorEastAsia"/>
                <w:kern w:val="0"/>
                <w:szCs w:val="21"/>
              </w:rPr>
              <w:t>4080</w:t>
            </w:r>
          </w:p>
        </w:tc>
      </w:tr>
    </w:tbl>
    <w:p w14:paraId="21356988">
      <w:pPr>
        <w:spacing w:line="360" w:lineRule="auto"/>
        <w:ind w:firstLine="480" w:firstLineChars="200"/>
        <w:rPr>
          <w:rFonts w:eastAsiaTheme="minorEastAsia"/>
          <w:sz w:val="24"/>
        </w:rPr>
      </w:pPr>
      <w:r>
        <w:rPr>
          <w:rFonts w:hint="eastAsia" w:eastAsiaTheme="minorEastAsia"/>
          <w:sz w:val="24"/>
        </w:rPr>
        <w:t>（1）花岗岩加工粉尘</w:t>
      </w:r>
    </w:p>
    <w:p w14:paraId="428F27DE">
      <w:pPr>
        <w:spacing w:line="360" w:lineRule="auto"/>
        <w:ind w:firstLine="480" w:firstLineChars="200"/>
        <w:rPr>
          <w:rFonts w:eastAsiaTheme="minorEastAsia"/>
          <w:sz w:val="24"/>
        </w:rPr>
      </w:pPr>
      <w:r>
        <w:rPr>
          <w:rFonts w:hint="eastAsia" w:eastAsiaTheme="minorEastAsia"/>
          <w:sz w:val="24"/>
        </w:rPr>
        <w:t>花岗岩加工磨边、切边、大切、荔枝面加工、磨光、开槽及喷砂等生产过程中产生一定量的粉尘。根据《排放源统计调查产排污核算方法和系数手册》（生态环境部办公厅2021年6月11日印发）中303砖瓦、石材等建筑材料制造行业系数手册-3032建筑用石加工行业-建筑板材（毛板、毛光板、规格板）-荒料（花岗石、板岩等）-锯解、磨抛、裁切-所有规模的废气产排污系数，废气中颗粒物产污系数为0.0325kg/m</w:t>
      </w:r>
      <w:r>
        <w:rPr>
          <w:rFonts w:eastAsiaTheme="minorEastAsia"/>
          <w:sz w:val="24"/>
        </w:rPr>
        <w:t>²</w:t>
      </w:r>
      <w:r>
        <w:rPr>
          <w:rFonts w:hint="eastAsia" w:eastAsiaTheme="minorEastAsia"/>
          <w:sz w:val="24"/>
        </w:rPr>
        <w:t>-产品。近期2025年实际年加工板材量约18020万m</w:t>
      </w:r>
      <w:r>
        <w:rPr>
          <w:rFonts w:eastAsiaTheme="minorEastAsia"/>
          <w:sz w:val="24"/>
        </w:rPr>
        <w:t>²</w:t>
      </w:r>
      <w:r>
        <w:rPr>
          <w:rFonts w:hint="eastAsia" w:eastAsiaTheme="minorEastAsia"/>
          <w:sz w:val="24"/>
        </w:rPr>
        <w:t>，远期（2035年）计划年加工板材量约20000万m</w:t>
      </w:r>
      <w:r>
        <w:rPr>
          <w:rFonts w:eastAsiaTheme="minorEastAsia"/>
          <w:sz w:val="24"/>
        </w:rPr>
        <w:t>²</w:t>
      </w:r>
      <w:r>
        <w:rPr>
          <w:rFonts w:hint="eastAsia" w:eastAsiaTheme="minorEastAsia"/>
          <w:sz w:val="24"/>
        </w:rPr>
        <w:t>，</w:t>
      </w:r>
      <w:r>
        <w:rPr>
          <w:rFonts w:eastAsiaTheme="minorEastAsia"/>
          <w:sz w:val="24"/>
        </w:rPr>
        <w:t>计算得</w:t>
      </w:r>
      <w:r>
        <w:rPr>
          <w:rFonts w:hint="eastAsia" w:eastAsiaTheme="minorEastAsia"/>
          <w:sz w:val="24"/>
        </w:rPr>
        <w:t>近期颗粒物产生量为5856.5t/a，远期颗粒物产生量为6500t/a。</w:t>
      </w:r>
    </w:p>
    <w:p w14:paraId="62804CEC">
      <w:pPr>
        <w:spacing w:line="360" w:lineRule="auto"/>
        <w:ind w:firstLine="480" w:firstLineChars="200"/>
        <w:rPr>
          <w:rFonts w:eastAsiaTheme="minorEastAsia"/>
          <w:sz w:val="24"/>
        </w:rPr>
      </w:pPr>
      <w:r>
        <w:rPr>
          <w:rFonts w:hint="eastAsia" w:eastAsiaTheme="minorEastAsia"/>
          <w:sz w:val="24"/>
        </w:rPr>
        <w:t>生产过程采取喷水湿式作业、车间封闭管理，根据《排放源统计调查产排污核算方法和系数手册》，3032建筑用石加工行业末端治理技术采取湿法作业平均去除效率约93%，加工过程约20%粉尘为喷砂粉尘，喷砂机配备有自动分离和自带滤芯除尘系统，使用过的钢砂被负压从机器的底部输送到旋风分离器中进行分离，储存在分离器下部料斗中的钢砂被循环使用；粉尘被输送到喷砂机除尘箱中进行处理，采用滤芯除尘器，除尘效率为99%，则处理后近期无组织颗粒物排放量为339.677t/a，远期无组织颗粒物排放量为377t/a。</w:t>
      </w:r>
    </w:p>
    <w:p w14:paraId="6E0D8030">
      <w:pPr>
        <w:spacing w:line="360" w:lineRule="auto"/>
        <w:ind w:firstLine="480" w:firstLineChars="200"/>
        <w:rPr>
          <w:rFonts w:eastAsiaTheme="minorEastAsia"/>
          <w:sz w:val="24"/>
        </w:rPr>
      </w:pPr>
      <w:r>
        <w:rPr>
          <w:rFonts w:hint="eastAsia" w:eastAsiaTheme="minorEastAsia"/>
          <w:sz w:val="24"/>
        </w:rPr>
        <w:t xml:space="preserve">（2）砂石骨料加工粉尘 </w:t>
      </w:r>
    </w:p>
    <w:p w14:paraId="4A08C41A">
      <w:pPr>
        <w:spacing w:line="360" w:lineRule="auto"/>
        <w:ind w:firstLine="480" w:firstLineChars="200"/>
        <w:rPr>
          <w:rFonts w:eastAsiaTheme="minorEastAsia"/>
          <w:sz w:val="24"/>
        </w:rPr>
      </w:pPr>
      <w:r>
        <w:rPr>
          <w:rFonts w:hint="eastAsia" w:eastAsiaTheme="minorEastAsia"/>
          <w:sz w:val="24"/>
        </w:rPr>
        <w:t>骨料加工过程产生一定量的粉尘。根据《排放源统计调查产排污核算方法和系数手册》（生态环境部办公厅2021年6月11日印发）中303砖瓦、石材等建筑材料制造行业系数手册-3039其他建筑材料制造行业-砂石骨料产品采用破碎筛分工艺的废气产排污系数，废气中颗粒物产污系数为1.89kg/t-产品。远期（2035年）计划年产3000万吨砂石骨料，</w:t>
      </w:r>
      <w:r>
        <w:rPr>
          <w:rFonts w:eastAsiaTheme="minorEastAsia"/>
          <w:sz w:val="24"/>
        </w:rPr>
        <w:t>计算得</w:t>
      </w:r>
      <w:r>
        <w:rPr>
          <w:rFonts w:hint="eastAsia" w:eastAsiaTheme="minorEastAsia"/>
          <w:sz w:val="24"/>
        </w:rPr>
        <w:t>近期颗粒物产生量为18900t/a，远期颗粒物产生量为56700t/a。石料的破碎、筛分均在密闭厂房内进行，产生的粉尘负压收集至袋除尘器处理后排放，袋除尘处理效率按99.7%，计算得近期颗粒物排放量56.7t/a，远期颗粒物排放量为170.10t/a。</w:t>
      </w:r>
    </w:p>
    <w:p w14:paraId="4510A88A">
      <w:pPr>
        <w:spacing w:line="360" w:lineRule="auto"/>
        <w:ind w:firstLine="480" w:firstLineChars="200"/>
        <w:rPr>
          <w:rFonts w:eastAsiaTheme="minorEastAsia"/>
          <w:sz w:val="24"/>
        </w:rPr>
      </w:pPr>
      <w:r>
        <w:rPr>
          <w:rFonts w:hint="eastAsia" w:eastAsiaTheme="minorEastAsia"/>
          <w:sz w:val="24"/>
        </w:rPr>
        <w:t>（3）火烧面废气</w:t>
      </w:r>
    </w:p>
    <w:p w14:paraId="4D8E9CC3">
      <w:pPr>
        <w:spacing w:line="360" w:lineRule="auto"/>
        <w:ind w:firstLine="480" w:firstLineChars="200"/>
        <w:rPr>
          <w:sz w:val="24"/>
          <w:szCs w:val="22"/>
        </w:rPr>
      </w:pPr>
      <w:r>
        <w:rPr>
          <w:rFonts w:hint="eastAsia" w:eastAsiaTheme="minorEastAsia"/>
          <w:sz w:val="24"/>
        </w:rPr>
        <w:t>石材加工过程火烧面工序以液化石油气和氧气作火焰燃料，利用耐热火焰喷头对锯割合格的半成品板材表面进行火烧处理。液化石油气（纯度&gt;99.95%）和氧气经充分燃烧后主要生成和水蒸汽，并排放少量的颗粒物、二氧化硫、氮氧化物。据统计，近期企业液化石油气用量约262t/a</w:t>
      </w:r>
      <w:r>
        <w:rPr>
          <w:rFonts w:hint="eastAsia"/>
          <w:sz w:val="24"/>
          <w:szCs w:val="22"/>
        </w:rPr>
        <w:t>，气态量约</w:t>
      </w:r>
      <w:r>
        <w:rPr>
          <w:sz w:val="24"/>
          <w:szCs w:val="22"/>
        </w:rPr>
        <w:t>117480.8</w:t>
      </w:r>
      <w:r>
        <w:rPr>
          <w:rFonts w:hint="eastAsia"/>
          <w:sz w:val="24"/>
          <w:szCs w:val="22"/>
        </w:rPr>
        <w:t>m</w:t>
      </w:r>
      <w:r>
        <w:rPr>
          <w:rFonts w:hint="eastAsia"/>
          <w:sz w:val="24"/>
          <w:szCs w:val="22"/>
          <w:vertAlign w:val="superscript"/>
        </w:rPr>
        <w:t>3</w:t>
      </w:r>
      <w:r>
        <w:rPr>
          <w:rFonts w:hint="eastAsia"/>
          <w:sz w:val="24"/>
          <w:szCs w:val="22"/>
        </w:rPr>
        <w:t>/a</w:t>
      </w:r>
      <w:r>
        <w:rPr>
          <w:rFonts w:hint="eastAsia" w:eastAsiaTheme="minorEastAsia"/>
          <w:sz w:val="24"/>
        </w:rPr>
        <w:t>。</w:t>
      </w:r>
      <w:r>
        <w:rPr>
          <w:rFonts w:hint="eastAsia"/>
          <w:sz w:val="24"/>
          <w:szCs w:val="22"/>
        </w:rPr>
        <w:t>远期预计使用量约300t/a，气态量约</w:t>
      </w:r>
      <w:r>
        <w:rPr>
          <w:sz w:val="24"/>
          <w:szCs w:val="22"/>
        </w:rPr>
        <w:t>134520.0</w:t>
      </w:r>
      <w:r>
        <w:rPr>
          <w:rFonts w:hint="eastAsia"/>
          <w:sz w:val="24"/>
          <w:szCs w:val="22"/>
        </w:rPr>
        <w:t>m</w:t>
      </w:r>
      <w:r>
        <w:rPr>
          <w:rFonts w:hint="eastAsia"/>
          <w:sz w:val="24"/>
          <w:szCs w:val="22"/>
          <w:vertAlign w:val="superscript"/>
        </w:rPr>
        <w:t>3</w:t>
      </w:r>
      <w:r>
        <w:rPr>
          <w:rFonts w:hint="eastAsia"/>
          <w:sz w:val="24"/>
          <w:szCs w:val="22"/>
        </w:rPr>
        <w:t>/a。</w:t>
      </w:r>
    </w:p>
    <w:p w14:paraId="635289C6">
      <w:pPr>
        <w:spacing w:line="360" w:lineRule="auto"/>
        <w:ind w:firstLine="480" w:firstLineChars="200"/>
        <w:rPr>
          <w:rFonts w:eastAsiaTheme="minorEastAsia"/>
          <w:sz w:val="24"/>
        </w:rPr>
      </w:pPr>
      <w:r>
        <w:rPr>
          <w:rFonts w:hint="eastAsia" w:eastAsiaTheme="minorEastAsia"/>
          <w:sz w:val="24"/>
        </w:rPr>
        <w:t>参考《排污许可证申请与核发技术规范 锅炉》（HJ953-2018）中表 F.3 燃气工业锅炉的废气产排污系数，颗粒物2.86kg/万m³原料，二氧化硫0.02S kg/万m³原料（S取100），氮氧化物59.61kg/万m³原料，计算得近期颗粒物产生量为0.034t/a、二氧化硫产生量为0.0235t/a、氮氧化物产生量为0.700t/a；远期颗粒物产生量为0.038t/a、二氧化硫产生量为0.0269t/a、氮氧化物产生量为0.802t/a。通过加强车间通风，燃烧废气对大气影响可以接受。</w:t>
      </w:r>
    </w:p>
    <w:p w14:paraId="16508763">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（4）石材加工废气汇总</w:t>
      </w:r>
    </w:p>
    <w:p w14:paraId="437D0020">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综上所述，远期2035年各园区污染物排放情况如下表。</w:t>
      </w:r>
    </w:p>
    <w:p w14:paraId="532486BB">
      <w:pPr>
        <w:spacing w:line="360" w:lineRule="auto"/>
        <w:ind w:firstLine="422"/>
        <w:jc w:val="center"/>
        <w:rPr>
          <w:rFonts w:eastAsiaTheme="minorEastAsia"/>
          <w:b/>
          <w:szCs w:val="21"/>
        </w:rPr>
      </w:pPr>
      <w:r>
        <w:rPr>
          <w:b/>
          <w:szCs w:val="21"/>
        </w:rPr>
        <w:t>表</w:t>
      </w:r>
      <w:r>
        <w:rPr>
          <w:rFonts w:hint="eastAsia"/>
          <w:b/>
          <w:szCs w:val="21"/>
        </w:rPr>
        <w:t>5.1.1-2</w:t>
      </w:r>
      <w:r>
        <w:rPr>
          <w:rFonts w:hint="eastAsia" w:eastAsiaTheme="minorEastAsia"/>
          <w:b/>
          <w:szCs w:val="21"/>
        </w:rPr>
        <w:t xml:space="preserve">  各园区远期2035年大气污染物排放情况</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0"/>
        <w:gridCol w:w="2699"/>
        <w:gridCol w:w="1844"/>
        <w:gridCol w:w="1276"/>
        <w:gridCol w:w="1899"/>
      </w:tblGrid>
      <w:tr w14:paraId="7699B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Merge w:val="restart"/>
            <w:vAlign w:val="center"/>
          </w:tcPr>
          <w:p w14:paraId="02516BE8">
            <w:pPr>
              <w:widowControl/>
              <w:spacing w:line="320" w:lineRule="exact"/>
              <w:ind w:left="-25" w:right="-25"/>
              <w:jc w:val="center"/>
              <w:rPr>
                <w:rFonts w:eastAsiaTheme="minorEastAsia"/>
                <w:kern w:val="0"/>
                <w:szCs w:val="21"/>
              </w:rPr>
            </w:pPr>
            <w:r>
              <w:rPr>
                <w:rFonts w:eastAsiaTheme="minorEastAsia"/>
                <w:kern w:val="0"/>
                <w:szCs w:val="21"/>
              </w:rPr>
              <w:t>序号</w:t>
            </w:r>
          </w:p>
        </w:tc>
        <w:tc>
          <w:tcPr>
            <w:tcW w:w="1582" w:type="pct"/>
            <w:vMerge w:val="restart"/>
            <w:vAlign w:val="center"/>
          </w:tcPr>
          <w:p w14:paraId="0FF5BD47">
            <w:pPr>
              <w:widowControl/>
              <w:spacing w:line="320" w:lineRule="exact"/>
              <w:ind w:left="-25" w:right="-25"/>
              <w:jc w:val="center"/>
              <w:rPr>
                <w:rFonts w:eastAsiaTheme="minorEastAsia"/>
                <w:kern w:val="0"/>
                <w:szCs w:val="21"/>
              </w:rPr>
            </w:pPr>
            <w:r>
              <w:rPr>
                <w:rFonts w:hint="eastAsia" w:eastAsiaTheme="minorEastAsia"/>
                <w:kern w:val="0"/>
                <w:szCs w:val="21"/>
              </w:rPr>
              <w:t>园区名称</w:t>
            </w:r>
          </w:p>
        </w:tc>
        <w:tc>
          <w:tcPr>
            <w:tcW w:w="2942" w:type="pct"/>
            <w:gridSpan w:val="3"/>
            <w:tcBorders>
              <w:bottom w:val="single" w:color="auto" w:sz="4" w:space="0"/>
            </w:tcBorders>
            <w:vAlign w:val="center"/>
          </w:tcPr>
          <w:p w14:paraId="214CC6D6">
            <w:pPr>
              <w:widowControl/>
              <w:spacing w:line="320" w:lineRule="exact"/>
              <w:ind w:left="-25" w:right="-25"/>
              <w:jc w:val="center"/>
              <w:rPr>
                <w:rFonts w:eastAsiaTheme="minorEastAsia"/>
                <w:kern w:val="0"/>
                <w:szCs w:val="21"/>
              </w:rPr>
            </w:pPr>
            <w:r>
              <w:rPr>
                <w:rFonts w:eastAsiaTheme="minorEastAsia"/>
                <w:kern w:val="0"/>
                <w:szCs w:val="21"/>
              </w:rPr>
              <w:t>污染物排放量（t/a）</w:t>
            </w:r>
          </w:p>
        </w:tc>
      </w:tr>
      <w:tr w14:paraId="1CFFE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Merge w:val="continue"/>
            <w:vAlign w:val="center"/>
          </w:tcPr>
          <w:p w14:paraId="3031BB3C">
            <w:pPr>
              <w:widowControl/>
              <w:spacing w:line="320" w:lineRule="exact"/>
              <w:ind w:left="-25" w:right="-25"/>
              <w:jc w:val="center"/>
              <w:rPr>
                <w:rFonts w:eastAsiaTheme="minorEastAsia"/>
                <w:kern w:val="0"/>
                <w:szCs w:val="21"/>
              </w:rPr>
            </w:pPr>
          </w:p>
        </w:tc>
        <w:tc>
          <w:tcPr>
            <w:tcW w:w="1582" w:type="pct"/>
            <w:vMerge w:val="continue"/>
            <w:vAlign w:val="center"/>
          </w:tcPr>
          <w:p w14:paraId="53756B7A">
            <w:pPr>
              <w:widowControl/>
              <w:spacing w:line="320" w:lineRule="exact"/>
              <w:ind w:left="-25" w:right="-25"/>
              <w:jc w:val="center"/>
              <w:rPr>
                <w:rFonts w:eastAsiaTheme="minorEastAsia"/>
                <w:kern w:val="0"/>
                <w:szCs w:val="21"/>
              </w:rPr>
            </w:pPr>
          </w:p>
        </w:tc>
        <w:tc>
          <w:tcPr>
            <w:tcW w:w="1081" w:type="pct"/>
            <w:tcBorders>
              <w:top w:val="single" w:color="auto" w:sz="4" w:space="0"/>
              <w:bottom w:val="single" w:color="auto" w:sz="4" w:space="0"/>
            </w:tcBorders>
            <w:vAlign w:val="center"/>
          </w:tcPr>
          <w:p w14:paraId="2C11134D">
            <w:pPr>
              <w:spacing w:line="320" w:lineRule="exact"/>
              <w:ind w:left="-25" w:right="-25"/>
              <w:jc w:val="center"/>
              <w:rPr>
                <w:rFonts w:eastAsiaTheme="minorEastAsia"/>
                <w:kern w:val="0"/>
                <w:szCs w:val="21"/>
              </w:rPr>
            </w:pPr>
            <w:r>
              <w:rPr>
                <w:rFonts w:eastAsiaTheme="minorEastAsia"/>
                <w:kern w:val="0"/>
                <w:szCs w:val="21"/>
              </w:rPr>
              <w:t>颗粒物</w:t>
            </w:r>
          </w:p>
        </w:tc>
        <w:tc>
          <w:tcPr>
            <w:tcW w:w="748" w:type="pct"/>
            <w:tcBorders>
              <w:top w:val="single" w:color="auto" w:sz="4" w:space="0"/>
              <w:bottom w:val="single" w:color="auto" w:sz="4" w:space="0"/>
            </w:tcBorders>
            <w:vAlign w:val="center"/>
          </w:tcPr>
          <w:p w14:paraId="5B0EDC34">
            <w:pPr>
              <w:spacing w:line="320" w:lineRule="exact"/>
              <w:ind w:left="-25" w:right="-25"/>
              <w:jc w:val="center"/>
              <w:rPr>
                <w:rFonts w:eastAsiaTheme="minorEastAsia"/>
                <w:kern w:val="0"/>
                <w:szCs w:val="21"/>
              </w:rPr>
            </w:pPr>
            <w:r>
              <w:rPr>
                <w:rFonts w:hint="eastAsia" w:eastAsiaTheme="minorEastAsia"/>
                <w:kern w:val="0"/>
                <w:szCs w:val="21"/>
              </w:rPr>
              <w:t>二氧化硫</w:t>
            </w:r>
          </w:p>
        </w:tc>
        <w:tc>
          <w:tcPr>
            <w:tcW w:w="1113" w:type="pct"/>
            <w:tcBorders>
              <w:top w:val="single" w:color="auto" w:sz="4" w:space="0"/>
              <w:bottom w:val="single" w:color="auto" w:sz="4" w:space="0"/>
            </w:tcBorders>
            <w:vAlign w:val="center"/>
          </w:tcPr>
          <w:p w14:paraId="22EB19D4">
            <w:pPr>
              <w:spacing w:line="320" w:lineRule="exact"/>
              <w:ind w:left="-25" w:right="-25"/>
              <w:jc w:val="center"/>
              <w:rPr>
                <w:rFonts w:eastAsiaTheme="minorEastAsia"/>
                <w:kern w:val="0"/>
                <w:szCs w:val="21"/>
              </w:rPr>
            </w:pPr>
            <w:r>
              <w:rPr>
                <w:rFonts w:hint="eastAsia" w:eastAsiaTheme="minorEastAsia"/>
                <w:kern w:val="0"/>
                <w:szCs w:val="21"/>
              </w:rPr>
              <w:t>氮氧化物</w:t>
            </w:r>
          </w:p>
        </w:tc>
      </w:tr>
      <w:tr w14:paraId="79C86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6DBB03BF">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1582" w:type="pct"/>
            <w:vAlign w:val="center"/>
          </w:tcPr>
          <w:p w14:paraId="03CE6DEF">
            <w:pPr>
              <w:widowControl/>
              <w:spacing w:line="320" w:lineRule="exact"/>
              <w:ind w:left="-25" w:right="-25"/>
              <w:jc w:val="center"/>
              <w:rPr>
                <w:rFonts w:eastAsiaTheme="minorEastAsia"/>
                <w:kern w:val="0"/>
                <w:szCs w:val="21"/>
              </w:rPr>
            </w:pPr>
            <w:r>
              <w:rPr>
                <w:rFonts w:eastAsiaTheme="minorEastAsia"/>
                <w:kern w:val="0"/>
                <w:szCs w:val="21"/>
              </w:rPr>
              <w:t>吴山闽商石材产业园</w:t>
            </w:r>
          </w:p>
        </w:tc>
        <w:tc>
          <w:tcPr>
            <w:tcW w:w="1081" w:type="pct"/>
            <w:tcBorders>
              <w:top w:val="single" w:color="auto" w:sz="4" w:space="0"/>
              <w:bottom w:val="single" w:color="auto" w:sz="4" w:space="0"/>
            </w:tcBorders>
            <w:vAlign w:val="center"/>
          </w:tcPr>
          <w:p w14:paraId="68BB952D">
            <w:pPr>
              <w:jc w:val="center"/>
              <w:rPr>
                <w:color w:val="000000"/>
                <w:szCs w:val="21"/>
              </w:rPr>
            </w:pPr>
            <w:r>
              <w:rPr>
                <w:color w:val="000000"/>
                <w:szCs w:val="21"/>
              </w:rPr>
              <w:t xml:space="preserve">264.13 </w:t>
            </w:r>
          </w:p>
        </w:tc>
        <w:tc>
          <w:tcPr>
            <w:tcW w:w="748" w:type="pct"/>
            <w:tcBorders>
              <w:top w:val="single" w:color="auto" w:sz="4" w:space="0"/>
              <w:bottom w:val="single" w:color="auto" w:sz="4" w:space="0"/>
            </w:tcBorders>
            <w:vAlign w:val="center"/>
          </w:tcPr>
          <w:p w14:paraId="5F9C1C2B">
            <w:pPr>
              <w:jc w:val="center"/>
              <w:rPr>
                <w:color w:val="000000"/>
                <w:szCs w:val="21"/>
              </w:rPr>
            </w:pPr>
            <w:r>
              <w:rPr>
                <w:color w:val="000000"/>
                <w:szCs w:val="21"/>
              </w:rPr>
              <w:t xml:space="preserve">0.0054 </w:t>
            </w:r>
          </w:p>
        </w:tc>
        <w:tc>
          <w:tcPr>
            <w:tcW w:w="1113" w:type="pct"/>
            <w:tcBorders>
              <w:top w:val="single" w:color="auto" w:sz="4" w:space="0"/>
              <w:bottom w:val="single" w:color="auto" w:sz="4" w:space="0"/>
            </w:tcBorders>
            <w:vAlign w:val="center"/>
          </w:tcPr>
          <w:p w14:paraId="19D55CFC">
            <w:pPr>
              <w:jc w:val="center"/>
              <w:rPr>
                <w:color w:val="000000"/>
                <w:szCs w:val="21"/>
              </w:rPr>
            </w:pPr>
            <w:r>
              <w:rPr>
                <w:color w:val="000000"/>
                <w:szCs w:val="21"/>
              </w:rPr>
              <w:t xml:space="preserve">0.1604 </w:t>
            </w:r>
          </w:p>
        </w:tc>
      </w:tr>
      <w:tr w14:paraId="5B077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1DB487D4">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582" w:type="pct"/>
            <w:vAlign w:val="center"/>
          </w:tcPr>
          <w:p w14:paraId="633C2546">
            <w:pPr>
              <w:widowControl/>
              <w:spacing w:line="320" w:lineRule="exact"/>
              <w:ind w:left="-25" w:right="-25"/>
              <w:jc w:val="center"/>
              <w:rPr>
                <w:rFonts w:eastAsiaTheme="minorEastAsia"/>
                <w:kern w:val="0"/>
                <w:szCs w:val="21"/>
              </w:rPr>
            </w:pPr>
            <w:r>
              <w:rPr>
                <w:rFonts w:eastAsiaTheme="minorEastAsia"/>
                <w:kern w:val="0"/>
                <w:szCs w:val="21"/>
              </w:rPr>
              <w:t>万和石材产业园</w:t>
            </w:r>
          </w:p>
        </w:tc>
        <w:tc>
          <w:tcPr>
            <w:tcW w:w="1081" w:type="pct"/>
            <w:tcBorders>
              <w:top w:val="single" w:color="auto" w:sz="4" w:space="0"/>
              <w:bottom w:val="single" w:color="auto" w:sz="4" w:space="0"/>
            </w:tcBorders>
            <w:vAlign w:val="center"/>
          </w:tcPr>
          <w:p w14:paraId="4B7400DA">
            <w:pPr>
              <w:jc w:val="center"/>
              <w:rPr>
                <w:color w:val="000000"/>
                <w:szCs w:val="21"/>
              </w:rPr>
            </w:pPr>
            <w:r>
              <w:rPr>
                <w:color w:val="000000"/>
                <w:szCs w:val="21"/>
              </w:rPr>
              <w:t xml:space="preserve">213.17 </w:t>
            </w:r>
          </w:p>
        </w:tc>
        <w:tc>
          <w:tcPr>
            <w:tcW w:w="748" w:type="pct"/>
            <w:tcBorders>
              <w:top w:val="single" w:color="auto" w:sz="4" w:space="0"/>
              <w:bottom w:val="single" w:color="auto" w:sz="4" w:space="0"/>
            </w:tcBorders>
            <w:vAlign w:val="center"/>
          </w:tcPr>
          <w:p w14:paraId="1BDAE274">
            <w:pPr>
              <w:jc w:val="center"/>
              <w:rPr>
                <w:color w:val="000000"/>
                <w:szCs w:val="21"/>
              </w:rPr>
            </w:pPr>
            <w:r>
              <w:rPr>
                <w:color w:val="000000"/>
                <w:szCs w:val="21"/>
              </w:rPr>
              <w:t xml:space="preserve">0.0135 </w:t>
            </w:r>
          </w:p>
        </w:tc>
        <w:tc>
          <w:tcPr>
            <w:tcW w:w="1113" w:type="pct"/>
            <w:tcBorders>
              <w:top w:val="single" w:color="auto" w:sz="4" w:space="0"/>
              <w:bottom w:val="single" w:color="auto" w:sz="4" w:space="0"/>
            </w:tcBorders>
            <w:vAlign w:val="center"/>
          </w:tcPr>
          <w:p w14:paraId="050067E5">
            <w:pPr>
              <w:jc w:val="center"/>
              <w:rPr>
                <w:color w:val="000000"/>
                <w:szCs w:val="21"/>
              </w:rPr>
            </w:pPr>
            <w:r>
              <w:rPr>
                <w:color w:val="000000"/>
                <w:szCs w:val="21"/>
              </w:rPr>
              <w:t xml:space="preserve">0.4009 </w:t>
            </w:r>
          </w:p>
        </w:tc>
      </w:tr>
      <w:tr w14:paraId="5C0CE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393BF184">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1582" w:type="pct"/>
            <w:vAlign w:val="center"/>
          </w:tcPr>
          <w:p w14:paraId="215C5F37">
            <w:pPr>
              <w:widowControl/>
              <w:spacing w:line="320" w:lineRule="exact"/>
              <w:ind w:left="-25" w:right="-25"/>
              <w:jc w:val="center"/>
              <w:rPr>
                <w:rFonts w:eastAsiaTheme="minorEastAsia"/>
                <w:kern w:val="0"/>
                <w:szCs w:val="21"/>
              </w:rPr>
            </w:pPr>
            <w:r>
              <w:rPr>
                <w:rFonts w:eastAsiaTheme="minorEastAsia"/>
                <w:kern w:val="0"/>
                <w:szCs w:val="21"/>
              </w:rPr>
              <w:t>太白顶石材产业园</w:t>
            </w:r>
          </w:p>
        </w:tc>
        <w:tc>
          <w:tcPr>
            <w:tcW w:w="1081" w:type="pct"/>
            <w:tcBorders>
              <w:top w:val="single" w:color="auto" w:sz="4" w:space="0"/>
              <w:bottom w:val="single" w:color="auto" w:sz="4" w:space="0"/>
            </w:tcBorders>
            <w:vAlign w:val="center"/>
          </w:tcPr>
          <w:p w14:paraId="7BDC2C2E">
            <w:pPr>
              <w:jc w:val="center"/>
              <w:rPr>
                <w:color w:val="000000"/>
                <w:szCs w:val="21"/>
              </w:rPr>
            </w:pPr>
            <w:r>
              <w:rPr>
                <w:color w:val="000000"/>
                <w:szCs w:val="21"/>
              </w:rPr>
              <w:t xml:space="preserve">54.72 </w:t>
            </w:r>
          </w:p>
        </w:tc>
        <w:tc>
          <w:tcPr>
            <w:tcW w:w="748" w:type="pct"/>
            <w:tcBorders>
              <w:top w:val="single" w:color="auto" w:sz="4" w:space="0"/>
              <w:bottom w:val="single" w:color="auto" w:sz="4" w:space="0"/>
            </w:tcBorders>
            <w:vAlign w:val="center"/>
          </w:tcPr>
          <w:p w14:paraId="46C0AD62">
            <w:pPr>
              <w:jc w:val="center"/>
              <w:rPr>
                <w:color w:val="000000"/>
                <w:szCs w:val="21"/>
              </w:rPr>
            </w:pPr>
            <w:r>
              <w:rPr>
                <w:color w:val="000000"/>
                <w:szCs w:val="21"/>
              </w:rPr>
              <w:t xml:space="preserve">0.0067 </w:t>
            </w:r>
          </w:p>
        </w:tc>
        <w:tc>
          <w:tcPr>
            <w:tcW w:w="1113" w:type="pct"/>
            <w:tcBorders>
              <w:top w:val="single" w:color="auto" w:sz="4" w:space="0"/>
              <w:bottom w:val="single" w:color="auto" w:sz="4" w:space="0"/>
            </w:tcBorders>
            <w:vAlign w:val="center"/>
          </w:tcPr>
          <w:p w14:paraId="68883DE8">
            <w:pPr>
              <w:jc w:val="center"/>
              <w:rPr>
                <w:color w:val="000000"/>
                <w:szCs w:val="21"/>
              </w:rPr>
            </w:pPr>
            <w:r>
              <w:rPr>
                <w:color w:val="000000"/>
                <w:szCs w:val="21"/>
              </w:rPr>
              <w:t xml:space="preserve">0.2005 </w:t>
            </w:r>
          </w:p>
        </w:tc>
      </w:tr>
      <w:tr w14:paraId="748247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5E16DDED">
            <w:pPr>
              <w:widowControl/>
              <w:spacing w:line="320" w:lineRule="exact"/>
              <w:ind w:left="-25" w:right="-25"/>
              <w:jc w:val="center"/>
              <w:rPr>
                <w:rFonts w:eastAsiaTheme="minorEastAsia"/>
                <w:kern w:val="0"/>
                <w:szCs w:val="21"/>
              </w:rPr>
            </w:pPr>
            <w:r>
              <w:rPr>
                <w:rFonts w:hint="eastAsia" w:eastAsiaTheme="minorEastAsia"/>
                <w:kern w:val="0"/>
                <w:szCs w:val="21"/>
              </w:rPr>
              <w:t>4</w:t>
            </w:r>
          </w:p>
        </w:tc>
        <w:tc>
          <w:tcPr>
            <w:tcW w:w="1582" w:type="pct"/>
            <w:vAlign w:val="center"/>
          </w:tcPr>
          <w:p w14:paraId="399B3449">
            <w:pPr>
              <w:widowControl/>
              <w:spacing w:line="320" w:lineRule="exact"/>
              <w:ind w:left="-25" w:right="-25"/>
              <w:jc w:val="center"/>
              <w:rPr>
                <w:rFonts w:eastAsiaTheme="minorEastAsia"/>
                <w:kern w:val="0"/>
                <w:szCs w:val="21"/>
              </w:rPr>
            </w:pPr>
            <w:r>
              <w:rPr>
                <w:rFonts w:eastAsiaTheme="minorEastAsia"/>
                <w:kern w:val="0"/>
                <w:szCs w:val="21"/>
              </w:rPr>
              <w:t>草店石材产业园</w:t>
            </w:r>
          </w:p>
        </w:tc>
        <w:tc>
          <w:tcPr>
            <w:tcW w:w="1081" w:type="pct"/>
            <w:tcBorders>
              <w:top w:val="single" w:color="auto" w:sz="4" w:space="0"/>
              <w:bottom w:val="single" w:color="auto" w:sz="4" w:space="0"/>
            </w:tcBorders>
            <w:vAlign w:val="center"/>
          </w:tcPr>
          <w:p w14:paraId="65D294AD">
            <w:pPr>
              <w:jc w:val="center"/>
              <w:rPr>
                <w:color w:val="000000"/>
                <w:szCs w:val="21"/>
              </w:rPr>
            </w:pPr>
            <w:r>
              <w:rPr>
                <w:color w:val="000000"/>
                <w:szCs w:val="21"/>
              </w:rPr>
              <w:t xml:space="preserve">15.11 </w:t>
            </w:r>
          </w:p>
        </w:tc>
        <w:tc>
          <w:tcPr>
            <w:tcW w:w="748" w:type="pct"/>
            <w:tcBorders>
              <w:top w:val="single" w:color="auto" w:sz="4" w:space="0"/>
              <w:bottom w:val="single" w:color="auto" w:sz="4" w:space="0"/>
            </w:tcBorders>
            <w:vAlign w:val="center"/>
          </w:tcPr>
          <w:p w14:paraId="6E0CCB51">
            <w:pPr>
              <w:jc w:val="center"/>
              <w:rPr>
                <w:color w:val="000000"/>
                <w:szCs w:val="21"/>
              </w:rPr>
            </w:pPr>
            <w:r>
              <w:rPr>
                <w:color w:val="000000"/>
                <w:szCs w:val="21"/>
              </w:rPr>
              <w:t xml:space="preserve">0.0013 </w:t>
            </w:r>
          </w:p>
        </w:tc>
        <w:tc>
          <w:tcPr>
            <w:tcW w:w="1113" w:type="pct"/>
            <w:tcBorders>
              <w:top w:val="single" w:color="auto" w:sz="4" w:space="0"/>
              <w:bottom w:val="single" w:color="auto" w:sz="4" w:space="0"/>
            </w:tcBorders>
            <w:vAlign w:val="center"/>
          </w:tcPr>
          <w:p w14:paraId="3A23EE23">
            <w:pPr>
              <w:jc w:val="center"/>
              <w:rPr>
                <w:color w:val="000000"/>
                <w:szCs w:val="21"/>
              </w:rPr>
            </w:pPr>
            <w:r>
              <w:rPr>
                <w:color w:val="000000"/>
                <w:szCs w:val="21"/>
              </w:rPr>
              <w:t xml:space="preserve">0.0401 </w:t>
            </w:r>
          </w:p>
        </w:tc>
      </w:tr>
      <w:tr w14:paraId="451A4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75" w:type="pct"/>
            <w:vAlign w:val="center"/>
          </w:tcPr>
          <w:p w14:paraId="044E0464">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1582" w:type="pct"/>
            <w:vAlign w:val="center"/>
          </w:tcPr>
          <w:p w14:paraId="3394D471">
            <w:pPr>
              <w:widowControl/>
              <w:spacing w:line="320" w:lineRule="exact"/>
              <w:ind w:left="-25" w:right="-25"/>
              <w:jc w:val="center"/>
              <w:rPr>
                <w:rFonts w:eastAsiaTheme="minorEastAsia"/>
                <w:kern w:val="0"/>
                <w:szCs w:val="21"/>
              </w:rPr>
            </w:pPr>
            <w:r>
              <w:rPr>
                <w:rFonts w:eastAsiaTheme="minorEastAsia"/>
                <w:kern w:val="0"/>
                <w:szCs w:val="21"/>
              </w:rPr>
              <w:t>合计</w:t>
            </w:r>
          </w:p>
        </w:tc>
        <w:tc>
          <w:tcPr>
            <w:tcW w:w="1081" w:type="pct"/>
            <w:tcBorders>
              <w:top w:val="single" w:color="auto" w:sz="4" w:space="0"/>
            </w:tcBorders>
            <w:vAlign w:val="center"/>
          </w:tcPr>
          <w:p w14:paraId="4AB9DBA9">
            <w:pPr>
              <w:jc w:val="center"/>
              <w:rPr>
                <w:color w:val="000000"/>
                <w:szCs w:val="21"/>
              </w:rPr>
            </w:pPr>
            <w:r>
              <w:rPr>
                <w:color w:val="000000"/>
                <w:szCs w:val="21"/>
              </w:rPr>
              <w:t xml:space="preserve">547.14 </w:t>
            </w:r>
          </w:p>
        </w:tc>
        <w:tc>
          <w:tcPr>
            <w:tcW w:w="748" w:type="pct"/>
            <w:tcBorders>
              <w:top w:val="single" w:color="auto" w:sz="4" w:space="0"/>
            </w:tcBorders>
            <w:vAlign w:val="center"/>
          </w:tcPr>
          <w:p w14:paraId="0C591CBC">
            <w:pPr>
              <w:jc w:val="center"/>
              <w:rPr>
                <w:color w:val="000000"/>
                <w:szCs w:val="21"/>
              </w:rPr>
            </w:pPr>
            <w:r>
              <w:rPr>
                <w:color w:val="000000"/>
                <w:szCs w:val="21"/>
              </w:rPr>
              <w:t xml:space="preserve">0.027 </w:t>
            </w:r>
          </w:p>
        </w:tc>
        <w:tc>
          <w:tcPr>
            <w:tcW w:w="1113" w:type="pct"/>
            <w:tcBorders>
              <w:top w:val="single" w:color="auto" w:sz="4" w:space="0"/>
            </w:tcBorders>
            <w:vAlign w:val="center"/>
          </w:tcPr>
          <w:p w14:paraId="683220CC">
            <w:pPr>
              <w:jc w:val="center"/>
              <w:rPr>
                <w:color w:val="000000"/>
                <w:szCs w:val="21"/>
              </w:rPr>
            </w:pPr>
            <w:r>
              <w:rPr>
                <w:color w:val="000000"/>
                <w:szCs w:val="21"/>
              </w:rPr>
              <w:t xml:space="preserve">0.802 </w:t>
            </w:r>
          </w:p>
        </w:tc>
      </w:tr>
    </w:tbl>
    <w:p w14:paraId="09336C35">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144" w:name="_Toc206494972"/>
      <w:r>
        <w:rPr>
          <w:rFonts w:hint="eastAsia" w:eastAsiaTheme="minorEastAsia"/>
          <w:b/>
          <w:bCs/>
          <w:color w:val="000000" w:themeColor="text1"/>
          <w:sz w:val="24"/>
          <w14:textFill>
            <w14:solidFill>
              <w14:schemeClr w14:val="tx1"/>
            </w14:solidFill>
          </w14:textFill>
        </w:rPr>
        <w:t>废水污染源强</w:t>
      </w:r>
      <w:bookmarkEnd w:id="144"/>
    </w:p>
    <w:p w14:paraId="2812BB1E">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根据园区发展规划，园区企业石材加工过程产生的工业废水及初期雨水均经沉淀池处理后回用于石材加工过程及洒水降尘，不对外排放。石材加工厂外排废水主要为员工办公生活废水，根据园区发展规划，近期2025年人口约40000人，规划预测2035年区内总人口约80000人。</w:t>
      </w:r>
    </w:p>
    <w:p w14:paraId="45F00017">
      <w:pPr>
        <w:spacing w:line="360" w:lineRule="auto"/>
        <w:ind w:firstLine="480" w:firstLineChars="200"/>
        <w:rPr>
          <w:rFonts w:eastAsiaTheme="minorEastAsia"/>
          <w:sz w:val="24"/>
        </w:rPr>
      </w:pPr>
      <w:r>
        <w:rPr>
          <w:rFonts w:hint="eastAsia" w:eastAsiaTheme="minorEastAsia"/>
          <w:sz w:val="24"/>
        </w:rPr>
        <w:t>远期规划园区生活污水经隔油池+化粪池处理后经规划管网排放至各乡镇污水处理厂进一步处理，参照2021年6月11日生态环境部在其官方网站公布的《生活污染源产排污系数手册》，计算得远期2035年生活污水排水量为3840m³/d。生活污水主要污染物为COD、BOD</w:t>
      </w:r>
      <w:r>
        <w:rPr>
          <w:rFonts w:hint="eastAsia" w:eastAsiaTheme="minorEastAsia"/>
          <w:sz w:val="24"/>
          <w:vertAlign w:val="subscript"/>
        </w:rPr>
        <w:t>5</w:t>
      </w:r>
      <w:r>
        <w:rPr>
          <w:rFonts w:hint="eastAsia" w:eastAsiaTheme="minorEastAsia"/>
          <w:sz w:val="24"/>
        </w:rPr>
        <w:t>、SS、氨氮、动植物油，产生浓度分别为300mg/L、120mg/L、250mg/L、26mg/L、60mg/L，经隔油池+化粪池处理后通过市政管网排入各乡镇污水处理厂，尾水达到《城镇污水处理厂污染物排放标准》（GB18918-2002）一级A标准后排入地表水体。本次废水排放总量核算按废水最终排入地表水体所需执行的《城镇污水处理厂污染物排放标准》（GB18918-2002）一级A标准值进行核算。</w:t>
      </w:r>
    </w:p>
    <w:p w14:paraId="04354A8B">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规划区内水污染物产生及排放情况见下表。</w:t>
      </w:r>
    </w:p>
    <w:p w14:paraId="2239EF46">
      <w:pPr>
        <w:spacing w:line="360" w:lineRule="auto"/>
        <w:ind w:firstLine="422"/>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表</w:t>
      </w:r>
      <w:r>
        <w:rPr>
          <w:rFonts w:hint="eastAsia" w:eastAsiaTheme="minorEastAsia"/>
          <w:b/>
          <w:color w:val="000000" w:themeColor="text1"/>
          <w:szCs w:val="21"/>
          <w14:textFill>
            <w14:solidFill>
              <w14:schemeClr w14:val="tx1"/>
            </w14:solidFill>
          </w14:textFill>
        </w:rPr>
        <w:t>5.1.2-1   园区远期2035年废水产生和排放情况表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03"/>
        <w:gridCol w:w="1393"/>
        <w:gridCol w:w="1114"/>
        <w:gridCol w:w="1115"/>
        <w:gridCol w:w="930"/>
        <w:gridCol w:w="1181"/>
        <w:gridCol w:w="1192"/>
      </w:tblGrid>
      <w:tr w14:paraId="1B340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996" w:type="dxa"/>
            <w:gridSpan w:val="2"/>
            <w:vMerge w:val="restart"/>
            <w:vAlign w:val="center"/>
          </w:tcPr>
          <w:p w14:paraId="75EFC814">
            <w:pPr>
              <w:widowControl/>
              <w:spacing w:line="320" w:lineRule="exact"/>
              <w:jc w:val="center"/>
              <w:rPr>
                <w:kern w:val="0"/>
                <w:szCs w:val="21"/>
              </w:rPr>
            </w:pPr>
            <w:r>
              <w:rPr>
                <w:kern w:val="0"/>
                <w:szCs w:val="21"/>
              </w:rPr>
              <w:t>类别</w:t>
            </w:r>
          </w:p>
        </w:tc>
        <w:tc>
          <w:tcPr>
            <w:tcW w:w="5532" w:type="dxa"/>
            <w:gridSpan w:val="5"/>
            <w:vAlign w:val="center"/>
          </w:tcPr>
          <w:p w14:paraId="3148FB80">
            <w:pPr>
              <w:widowControl/>
              <w:spacing w:line="320" w:lineRule="exact"/>
              <w:jc w:val="center"/>
              <w:rPr>
                <w:kern w:val="0"/>
                <w:szCs w:val="21"/>
              </w:rPr>
            </w:pPr>
            <w:r>
              <w:rPr>
                <w:kern w:val="0"/>
                <w:szCs w:val="21"/>
              </w:rPr>
              <w:t>主要污染物（浓度单位mg/L，量单位t/a）</w:t>
            </w:r>
          </w:p>
        </w:tc>
      </w:tr>
      <w:tr w14:paraId="7CA6E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996" w:type="dxa"/>
            <w:gridSpan w:val="2"/>
            <w:vMerge w:val="continue"/>
            <w:vAlign w:val="center"/>
          </w:tcPr>
          <w:p w14:paraId="6B31F9D9">
            <w:pPr>
              <w:widowControl/>
              <w:spacing w:line="320" w:lineRule="exact"/>
              <w:jc w:val="center"/>
              <w:rPr>
                <w:kern w:val="0"/>
                <w:szCs w:val="21"/>
              </w:rPr>
            </w:pPr>
          </w:p>
        </w:tc>
        <w:tc>
          <w:tcPr>
            <w:tcW w:w="1114" w:type="dxa"/>
            <w:vAlign w:val="center"/>
          </w:tcPr>
          <w:p w14:paraId="284A9646">
            <w:pPr>
              <w:widowControl/>
              <w:spacing w:line="320" w:lineRule="exact"/>
              <w:jc w:val="center"/>
              <w:rPr>
                <w:kern w:val="0"/>
                <w:szCs w:val="21"/>
              </w:rPr>
            </w:pPr>
            <w:r>
              <w:rPr>
                <w:kern w:val="0"/>
                <w:szCs w:val="21"/>
              </w:rPr>
              <w:t>COD</w:t>
            </w:r>
          </w:p>
        </w:tc>
        <w:tc>
          <w:tcPr>
            <w:tcW w:w="1115" w:type="dxa"/>
            <w:vAlign w:val="center"/>
          </w:tcPr>
          <w:p w14:paraId="62BF2920">
            <w:pPr>
              <w:widowControl/>
              <w:spacing w:line="320" w:lineRule="exact"/>
              <w:jc w:val="center"/>
              <w:rPr>
                <w:kern w:val="0"/>
                <w:szCs w:val="21"/>
              </w:rPr>
            </w:pPr>
            <w:r>
              <w:rPr>
                <w:kern w:val="0"/>
                <w:szCs w:val="21"/>
              </w:rPr>
              <w:t>BOD</w:t>
            </w:r>
            <w:r>
              <w:rPr>
                <w:kern w:val="0"/>
                <w:szCs w:val="21"/>
                <w:vertAlign w:val="subscript"/>
              </w:rPr>
              <w:t>5</w:t>
            </w:r>
          </w:p>
        </w:tc>
        <w:tc>
          <w:tcPr>
            <w:tcW w:w="930" w:type="dxa"/>
            <w:vAlign w:val="center"/>
          </w:tcPr>
          <w:p w14:paraId="6B820E0E">
            <w:pPr>
              <w:widowControl/>
              <w:spacing w:line="320" w:lineRule="exact"/>
              <w:ind w:left="-53" w:leftChars="-25" w:right="-53" w:rightChars="-25"/>
              <w:contextualSpacing/>
              <w:jc w:val="center"/>
              <w:rPr>
                <w:kern w:val="0"/>
                <w:szCs w:val="21"/>
              </w:rPr>
            </w:pPr>
            <w:r>
              <w:rPr>
                <w:kern w:val="0"/>
                <w:szCs w:val="21"/>
              </w:rPr>
              <w:t>SS</w:t>
            </w:r>
          </w:p>
        </w:tc>
        <w:tc>
          <w:tcPr>
            <w:tcW w:w="1181" w:type="dxa"/>
            <w:vAlign w:val="center"/>
          </w:tcPr>
          <w:p w14:paraId="3EDEA2C5">
            <w:pPr>
              <w:spacing w:line="320" w:lineRule="exact"/>
              <w:ind w:left="-53" w:leftChars="-25" w:right="-53" w:rightChars="-25"/>
              <w:contextualSpacing/>
              <w:jc w:val="center"/>
              <w:rPr>
                <w:szCs w:val="21"/>
              </w:rPr>
            </w:pPr>
            <w:r>
              <w:rPr>
                <w:kern w:val="0"/>
                <w:szCs w:val="21"/>
              </w:rPr>
              <w:t>NH</w:t>
            </w:r>
            <w:r>
              <w:rPr>
                <w:kern w:val="0"/>
                <w:szCs w:val="21"/>
                <w:vertAlign w:val="subscript"/>
              </w:rPr>
              <w:t>3</w:t>
            </w:r>
            <w:r>
              <w:rPr>
                <w:kern w:val="0"/>
                <w:szCs w:val="21"/>
              </w:rPr>
              <w:t>-N</w:t>
            </w:r>
          </w:p>
        </w:tc>
        <w:tc>
          <w:tcPr>
            <w:tcW w:w="1192" w:type="dxa"/>
            <w:vAlign w:val="center"/>
          </w:tcPr>
          <w:p w14:paraId="6F8822F5">
            <w:pPr>
              <w:spacing w:line="320" w:lineRule="exact"/>
              <w:ind w:left="-53" w:leftChars="-25" w:right="-53" w:rightChars="-25"/>
              <w:contextualSpacing/>
              <w:jc w:val="center"/>
              <w:rPr>
                <w:szCs w:val="21"/>
              </w:rPr>
            </w:pPr>
            <w:r>
              <w:rPr>
                <w:szCs w:val="21"/>
              </w:rPr>
              <w:t>动植物油</w:t>
            </w:r>
          </w:p>
        </w:tc>
      </w:tr>
      <w:tr w14:paraId="34A09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restart"/>
            <w:vAlign w:val="center"/>
          </w:tcPr>
          <w:p w14:paraId="7DD8CA7E">
            <w:pPr>
              <w:widowControl/>
              <w:spacing w:line="320" w:lineRule="exact"/>
              <w:jc w:val="center"/>
              <w:rPr>
                <w:kern w:val="0"/>
                <w:szCs w:val="21"/>
              </w:rPr>
            </w:pPr>
            <w:r>
              <w:rPr>
                <w:kern w:val="0"/>
                <w:szCs w:val="21"/>
              </w:rPr>
              <w:t>园区生活污水</w:t>
            </w:r>
            <w:r>
              <w:rPr>
                <w:rFonts w:hint="eastAsia"/>
                <w:kern w:val="0"/>
                <w:szCs w:val="21"/>
              </w:rPr>
              <w:t>3840</w:t>
            </w:r>
            <w:r>
              <w:rPr>
                <w:kern w:val="0"/>
                <w:szCs w:val="21"/>
              </w:rPr>
              <w:t>m³/</w:t>
            </w:r>
            <w:r>
              <w:rPr>
                <w:rFonts w:hint="eastAsia"/>
                <w:kern w:val="0"/>
                <w:szCs w:val="21"/>
              </w:rPr>
              <w:t>d</w:t>
            </w:r>
          </w:p>
        </w:tc>
        <w:tc>
          <w:tcPr>
            <w:tcW w:w="1393" w:type="dxa"/>
            <w:vAlign w:val="center"/>
          </w:tcPr>
          <w:p w14:paraId="6F9AF7CC">
            <w:pPr>
              <w:widowControl/>
              <w:spacing w:line="320" w:lineRule="exact"/>
              <w:jc w:val="center"/>
              <w:rPr>
                <w:kern w:val="0"/>
                <w:szCs w:val="21"/>
              </w:rPr>
            </w:pPr>
            <w:r>
              <w:rPr>
                <w:rFonts w:hint="eastAsia"/>
                <w:kern w:val="0"/>
                <w:szCs w:val="21"/>
              </w:rPr>
              <w:t>产生浓度</w:t>
            </w:r>
          </w:p>
        </w:tc>
        <w:tc>
          <w:tcPr>
            <w:tcW w:w="1114" w:type="dxa"/>
            <w:tcBorders>
              <w:top w:val="nil"/>
              <w:left w:val="nil"/>
              <w:bottom w:val="single" w:color="000000" w:sz="8" w:space="0"/>
              <w:right w:val="single" w:color="000000" w:sz="8" w:space="0"/>
            </w:tcBorders>
            <w:shd w:val="clear" w:color="auto" w:fill="auto"/>
            <w:vAlign w:val="center"/>
          </w:tcPr>
          <w:p w14:paraId="7A67A7D1">
            <w:pPr>
              <w:widowControl/>
              <w:jc w:val="center"/>
              <w:textAlignment w:val="center"/>
              <w:rPr>
                <w:color w:val="000000"/>
                <w:sz w:val="22"/>
                <w:szCs w:val="22"/>
              </w:rPr>
            </w:pPr>
            <w:r>
              <w:rPr>
                <w:color w:val="000000"/>
                <w:kern w:val="0"/>
                <w:sz w:val="22"/>
                <w:szCs w:val="22"/>
                <w:lang w:bidi="ar"/>
              </w:rPr>
              <w:t>300</w:t>
            </w:r>
          </w:p>
        </w:tc>
        <w:tc>
          <w:tcPr>
            <w:tcW w:w="1115" w:type="dxa"/>
            <w:tcBorders>
              <w:top w:val="nil"/>
              <w:left w:val="nil"/>
              <w:bottom w:val="single" w:color="000000" w:sz="8" w:space="0"/>
              <w:right w:val="single" w:color="000000" w:sz="8" w:space="0"/>
            </w:tcBorders>
            <w:shd w:val="clear" w:color="auto" w:fill="auto"/>
            <w:vAlign w:val="center"/>
          </w:tcPr>
          <w:p w14:paraId="67A4FE0E">
            <w:pPr>
              <w:widowControl/>
              <w:jc w:val="center"/>
              <w:textAlignment w:val="center"/>
              <w:rPr>
                <w:color w:val="000000"/>
                <w:sz w:val="22"/>
                <w:szCs w:val="22"/>
              </w:rPr>
            </w:pPr>
            <w:r>
              <w:rPr>
                <w:color w:val="000000"/>
                <w:kern w:val="0"/>
                <w:sz w:val="22"/>
                <w:szCs w:val="22"/>
                <w:lang w:bidi="ar"/>
              </w:rPr>
              <w:t>120</w:t>
            </w:r>
          </w:p>
        </w:tc>
        <w:tc>
          <w:tcPr>
            <w:tcW w:w="930" w:type="dxa"/>
            <w:tcBorders>
              <w:top w:val="nil"/>
              <w:left w:val="nil"/>
              <w:bottom w:val="single" w:color="000000" w:sz="8" w:space="0"/>
              <w:right w:val="single" w:color="000000" w:sz="8" w:space="0"/>
            </w:tcBorders>
            <w:shd w:val="clear" w:color="auto" w:fill="auto"/>
            <w:vAlign w:val="center"/>
          </w:tcPr>
          <w:p w14:paraId="3A8CE4D9">
            <w:pPr>
              <w:widowControl/>
              <w:jc w:val="center"/>
              <w:textAlignment w:val="center"/>
              <w:rPr>
                <w:color w:val="000000"/>
                <w:sz w:val="22"/>
                <w:szCs w:val="22"/>
              </w:rPr>
            </w:pPr>
            <w:r>
              <w:rPr>
                <w:color w:val="000000"/>
                <w:kern w:val="0"/>
                <w:sz w:val="22"/>
                <w:szCs w:val="22"/>
                <w:lang w:bidi="ar"/>
              </w:rPr>
              <w:t>250</w:t>
            </w:r>
          </w:p>
        </w:tc>
        <w:tc>
          <w:tcPr>
            <w:tcW w:w="1181" w:type="dxa"/>
            <w:tcBorders>
              <w:top w:val="nil"/>
              <w:left w:val="nil"/>
              <w:bottom w:val="single" w:color="000000" w:sz="8" w:space="0"/>
              <w:right w:val="single" w:color="000000" w:sz="8" w:space="0"/>
            </w:tcBorders>
            <w:shd w:val="clear" w:color="auto" w:fill="auto"/>
            <w:vAlign w:val="center"/>
          </w:tcPr>
          <w:p w14:paraId="5C88AB46">
            <w:pPr>
              <w:widowControl/>
              <w:jc w:val="center"/>
              <w:textAlignment w:val="center"/>
              <w:rPr>
                <w:color w:val="000000"/>
                <w:sz w:val="22"/>
                <w:szCs w:val="22"/>
              </w:rPr>
            </w:pPr>
            <w:r>
              <w:rPr>
                <w:color w:val="000000"/>
                <w:kern w:val="0"/>
                <w:sz w:val="22"/>
                <w:szCs w:val="22"/>
                <w:lang w:bidi="ar"/>
              </w:rPr>
              <w:t>26</w:t>
            </w:r>
          </w:p>
        </w:tc>
        <w:tc>
          <w:tcPr>
            <w:tcW w:w="1192" w:type="dxa"/>
            <w:tcBorders>
              <w:top w:val="nil"/>
              <w:left w:val="nil"/>
              <w:bottom w:val="single" w:color="000000" w:sz="8" w:space="0"/>
              <w:right w:val="single" w:color="000000" w:sz="12" w:space="0"/>
            </w:tcBorders>
            <w:shd w:val="clear" w:color="auto" w:fill="auto"/>
            <w:vAlign w:val="center"/>
          </w:tcPr>
          <w:p w14:paraId="765CC782">
            <w:pPr>
              <w:widowControl/>
              <w:jc w:val="center"/>
              <w:textAlignment w:val="center"/>
              <w:rPr>
                <w:color w:val="000000"/>
                <w:sz w:val="22"/>
                <w:szCs w:val="22"/>
              </w:rPr>
            </w:pPr>
            <w:r>
              <w:rPr>
                <w:color w:val="000000"/>
                <w:kern w:val="0"/>
                <w:sz w:val="22"/>
                <w:szCs w:val="22"/>
                <w:lang w:bidi="ar"/>
              </w:rPr>
              <w:t>60</w:t>
            </w:r>
          </w:p>
        </w:tc>
      </w:tr>
      <w:tr w14:paraId="6B444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vAlign w:val="center"/>
          </w:tcPr>
          <w:p w14:paraId="54D72E3F">
            <w:pPr>
              <w:widowControl/>
              <w:spacing w:line="320" w:lineRule="exact"/>
              <w:jc w:val="center"/>
              <w:rPr>
                <w:kern w:val="0"/>
                <w:szCs w:val="21"/>
              </w:rPr>
            </w:pPr>
          </w:p>
        </w:tc>
        <w:tc>
          <w:tcPr>
            <w:tcW w:w="1393" w:type="dxa"/>
            <w:vAlign w:val="center"/>
          </w:tcPr>
          <w:p w14:paraId="0325F8DF">
            <w:pPr>
              <w:widowControl/>
              <w:spacing w:line="320" w:lineRule="exact"/>
              <w:jc w:val="center"/>
              <w:rPr>
                <w:kern w:val="0"/>
                <w:szCs w:val="21"/>
              </w:rPr>
            </w:pPr>
            <w:r>
              <w:rPr>
                <w:rFonts w:hint="eastAsia"/>
                <w:kern w:val="0"/>
                <w:szCs w:val="21"/>
              </w:rPr>
              <w:t>产生量</w:t>
            </w:r>
          </w:p>
        </w:tc>
        <w:tc>
          <w:tcPr>
            <w:tcW w:w="1114" w:type="dxa"/>
            <w:tcBorders>
              <w:top w:val="nil"/>
              <w:left w:val="nil"/>
              <w:bottom w:val="single" w:color="000000" w:sz="8" w:space="0"/>
              <w:right w:val="single" w:color="000000" w:sz="8" w:space="0"/>
            </w:tcBorders>
            <w:shd w:val="clear" w:color="auto" w:fill="auto"/>
            <w:vAlign w:val="center"/>
          </w:tcPr>
          <w:p w14:paraId="075E7724">
            <w:pPr>
              <w:widowControl/>
              <w:jc w:val="center"/>
              <w:textAlignment w:val="center"/>
              <w:rPr>
                <w:color w:val="000000"/>
                <w:sz w:val="22"/>
                <w:szCs w:val="22"/>
              </w:rPr>
            </w:pPr>
            <w:r>
              <w:rPr>
                <w:color w:val="000000"/>
                <w:kern w:val="0"/>
                <w:sz w:val="22"/>
                <w:szCs w:val="22"/>
                <w:lang w:bidi="ar"/>
              </w:rPr>
              <w:t xml:space="preserve">420.48 </w:t>
            </w:r>
          </w:p>
        </w:tc>
        <w:tc>
          <w:tcPr>
            <w:tcW w:w="1115" w:type="dxa"/>
            <w:tcBorders>
              <w:top w:val="nil"/>
              <w:left w:val="nil"/>
              <w:bottom w:val="single" w:color="000000" w:sz="8" w:space="0"/>
              <w:right w:val="single" w:color="000000" w:sz="8" w:space="0"/>
            </w:tcBorders>
            <w:shd w:val="clear" w:color="auto" w:fill="auto"/>
            <w:vAlign w:val="center"/>
          </w:tcPr>
          <w:p w14:paraId="06275651">
            <w:pPr>
              <w:widowControl/>
              <w:jc w:val="center"/>
              <w:textAlignment w:val="center"/>
              <w:rPr>
                <w:color w:val="000000"/>
                <w:sz w:val="22"/>
                <w:szCs w:val="22"/>
              </w:rPr>
            </w:pPr>
            <w:r>
              <w:rPr>
                <w:color w:val="000000"/>
                <w:kern w:val="0"/>
                <w:sz w:val="22"/>
                <w:szCs w:val="22"/>
                <w:lang w:bidi="ar"/>
              </w:rPr>
              <w:t xml:space="preserve">168.19 </w:t>
            </w:r>
          </w:p>
        </w:tc>
        <w:tc>
          <w:tcPr>
            <w:tcW w:w="930" w:type="dxa"/>
            <w:tcBorders>
              <w:top w:val="nil"/>
              <w:left w:val="nil"/>
              <w:bottom w:val="single" w:color="000000" w:sz="8" w:space="0"/>
              <w:right w:val="single" w:color="000000" w:sz="8" w:space="0"/>
            </w:tcBorders>
            <w:shd w:val="clear" w:color="auto" w:fill="auto"/>
            <w:vAlign w:val="center"/>
          </w:tcPr>
          <w:p w14:paraId="3F73B203">
            <w:pPr>
              <w:widowControl/>
              <w:jc w:val="center"/>
              <w:textAlignment w:val="center"/>
              <w:rPr>
                <w:color w:val="000000"/>
                <w:sz w:val="22"/>
                <w:szCs w:val="22"/>
              </w:rPr>
            </w:pPr>
            <w:r>
              <w:rPr>
                <w:color w:val="000000"/>
                <w:kern w:val="0"/>
                <w:sz w:val="22"/>
                <w:szCs w:val="22"/>
                <w:lang w:bidi="ar"/>
              </w:rPr>
              <w:t xml:space="preserve">350.40 </w:t>
            </w:r>
          </w:p>
        </w:tc>
        <w:tc>
          <w:tcPr>
            <w:tcW w:w="1181" w:type="dxa"/>
            <w:tcBorders>
              <w:top w:val="nil"/>
              <w:left w:val="nil"/>
              <w:bottom w:val="single" w:color="000000" w:sz="8" w:space="0"/>
              <w:right w:val="single" w:color="000000" w:sz="8" w:space="0"/>
            </w:tcBorders>
            <w:shd w:val="clear" w:color="auto" w:fill="auto"/>
            <w:vAlign w:val="center"/>
          </w:tcPr>
          <w:p w14:paraId="58E3DCB4">
            <w:pPr>
              <w:widowControl/>
              <w:jc w:val="center"/>
              <w:textAlignment w:val="center"/>
              <w:rPr>
                <w:color w:val="000000"/>
                <w:sz w:val="22"/>
                <w:szCs w:val="22"/>
              </w:rPr>
            </w:pPr>
            <w:r>
              <w:rPr>
                <w:color w:val="000000"/>
                <w:kern w:val="0"/>
                <w:sz w:val="22"/>
                <w:szCs w:val="22"/>
                <w:lang w:bidi="ar"/>
              </w:rPr>
              <w:t xml:space="preserve">36.44 </w:t>
            </w:r>
          </w:p>
        </w:tc>
        <w:tc>
          <w:tcPr>
            <w:tcW w:w="1192" w:type="dxa"/>
            <w:tcBorders>
              <w:top w:val="nil"/>
              <w:left w:val="nil"/>
              <w:bottom w:val="single" w:color="000000" w:sz="8" w:space="0"/>
              <w:right w:val="single" w:color="auto" w:sz="12" w:space="0"/>
            </w:tcBorders>
            <w:shd w:val="clear" w:color="auto" w:fill="auto"/>
            <w:vAlign w:val="center"/>
          </w:tcPr>
          <w:p w14:paraId="6D6CD39B">
            <w:pPr>
              <w:widowControl/>
              <w:jc w:val="center"/>
              <w:textAlignment w:val="center"/>
              <w:rPr>
                <w:color w:val="000000"/>
                <w:sz w:val="22"/>
                <w:szCs w:val="22"/>
              </w:rPr>
            </w:pPr>
            <w:r>
              <w:rPr>
                <w:color w:val="000000"/>
                <w:kern w:val="0"/>
                <w:sz w:val="22"/>
                <w:szCs w:val="22"/>
                <w:lang w:bidi="ar"/>
              </w:rPr>
              <w:t xml:space="preserve">84.10 </w:t>
            </w:r>
          </w:p>
        </w:tc>
      </w:tr>
      <w:tr w14:paraId="50661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1603" w:type="dxa"/>
            <w:vMerge w:val="continue"/>
            <w:vAlign w:val="center"/>
          </w:tcPr>
          <w:p w14:paraId="1DDBFCB3">
            <w:pPr>
              <w:widowControl/>
              <w:spacing w:line="320" w:lineRule="exact"/>
              <w:jc w:val="center"/>
              <w:rPr>
                <w:kern w:val="0"/>
                <w:szCs w:val="21"/>
              </w:rPr>
            </w:pPr>
          </w:p>
        </w:tc>
        <w:tc>
          <w:tcPr>
            <w:tcW w:w="1393" w:type="dxa"/>
            <w:vAlign w:val="center"/>
          </w:tcPr>
          <w:p w14:paraId="44C80935">
            <w:pPr>
              <w:widowControl/>
              <w:spacing w:line="320" w:lineRule="exact"/>
              <w:jc w:val="center"/>
              <w:rPr>
                <w:kern w:val="0"/>
                <w:szCs w:val="21"/>
              </w:rPr>
            </w:pPr>
            <w:r>
              <w:rPr>
                <w:rFonts w:hint="eastAsia"/>
                <w:kern w:val="0"/>
                <w:szCs w:val="21"/>
              </w:rPr>
              <w:t>排放</w:t>
            </w:r>
            <w:r>
              <w:rPr>
                <w:kern w:val="0"/>
                <w:szCs w:val="21"/>
              </w:rPr>
              <w:t>浓度</w:t>
            </w:r>
          </w:p>
        </w:tc>
        <w:tc>
          <w:tcPr>
            <w:tcW w:w="1114" w:type="dxa"/>
            <w:tcBorders>
              <w:top w:val="nil"/>
              <w:left w:val="nil"/>
              <w:bottom w:val="single" w:color="000000" w:sz="8" w:space="0"/>
              <w:right w:val="single" w:color="000000" w:sz="8" w:space="0"/>
            </w:tcBorders>
            <w:shd w:val="clear" w:color="auto" w:fill="auto"/>
            <w:vAlign w:val="center"/>
          </w:tcPr>
          <w:p w14:paraId="59AFF11A">
            <w:pPr>
              <w:widowControl/>
              <w:jc w:val="center"/>
              <w:textAlignment w:val="center"/>
              <w:rPr>
                <w:color w:val="000000"/>
                <w:sz w:val="22"/>
                <w:szCs w:val="22"/>
              </w:rPr>
            </w:pPr>
            <w:r>
              <w:rPr>
                <w:color w:val="000000"/>
                <w:kern w:val="0"/>
                <w:sz w:val="22"/>
                <w:szCs w:val="22"/>
                <w:lang w:bidi="ar"/>
              </w:rPr>
              <w:t xml:space="preserve">210.0 </w:t>
            </w:r>
          </w:p>
        </w:tc>
        <w:tc>
          <w:tcPr>
            <w:tcW w:w="1115" w:type="dxa"/>
            <w:tcBorders>
              <w:top w:val="nil"/>
              <w:left w:val="nil"/>
              <w:bottom w:val="single" w:color="000000" w:sz="8" w:space="0"/>
              <w:right w:val="single" w:color="000000" w:sz="8" w:space="0"/>
            </w:tcBorders>
            <w:shd w:val="clear" w:color="auto" w:fill="auto"/>
            <w:vAlign w:val="center"/>
          </w:tcPr>
          <w:p w14:paraId="597A2917">
            <w:pPr>
              <w:widowControl/>
              <w:jc w:val="center"/>
              <w:textAlignment w:val="center"/>
              <w:rPr>
                <w:color w:val="000000"/>
                <w:sz w:val="22"/>
                <w:szCs w:val="22"/>
              </w:rPr>
            </w:pPr>
            <w:r>
              <w:rPr>
                <w:color w:val="000000"/>
                <w:kern w:val="0"/>
                <w:sz w:val="22"/>
                <w:szCs w:val="22"/>
                <w:lang w:bidi="ar"/>
              </w:rPr>
              <w:t xml:space="preserve">102.0 </w:t>
            </w:r>
          </w:p>
        </w:tc>
        <w:tc>
          <w:tcPr>
            <w:tcW w:w="930" w:type="dxa"/>
            <w:tcBorders>
              <w:top w:val="nil"/>
              <w:left w:val="nil"/>
              <w:bottom w:val="single" w:color="000000" w:sz="8" w:space="0"/>
              <w:right w:val="single" w:color="000000" w:sz="8" w:space="0"/>
            </w:tcBorders>
            <w:shd w:val="clear" w:color="auto" w:fill="auto"/>
            <w:vAlign w:val="center"/>
          </w:tcPr>
          <w:p w14:paraId="0E9C63EB">
            <w:pPr>
              <w:widowControl/>
              <w:jc w:val="center"/>
              <w:textAlignment w:val="center"/>
              <w:rPr>
                <w:color w:val="000000"/>
                <w:sz w:val="22"/>
                <w:szCs w:val="22"/>
              </w:rPr>
            </w:pPr>
            <w:r>
              <w:rPr>
                <w:color w:val="000000"/>
                <w:kern w:val="0"/>
                <w:sz w:val="22"/>
                <w:szCs w:val="22"/>
                <w:lang w:bidi="ar"/>
              </w:rPr>
              <w:t xml:space="preserve">175.0 </w:t>
            </w:r>
          </w:p>
        </w:tc>
        <w:tc>
          <w:tcPr>
            <w:tcW w:w="1181" w:type="dxa"/>
            <w:tcBorders>
              <w:top w:val="nil"/>
              <w:left w:val="nil"/>
              <w:bottom w:val="single" w:color="000000" w:sz="8" w:space="0"/>
              <w:right w:val="single" w:color="000000" w:sz="8" w:space="0"/>
            </w:tcBorders>
            <w:shd w:val="clear" w:color="auto" w:fill="auto"/>
            <w:vAlign w:val="center"/>
          </w:tcPr>
          <w:p w14:paraId="4F609685">
            <w:pPr>
              <w:widowControl/>
              <w:jc w:val="center"/>
              <w:textAlignment w:val="center"/>
              <w:rPr>
                <w:color w:val="000000"/>
                <w:sz w:val="22"/>
                <w:szCs w:val="22"/>
              </w:rPr>
            </w:pPr>
            <w:r>
              <w:rPr>
                <w:color w:val="000000"/>
                <w:kern w:val="0"/>
                <w:sz w:val="22"/>
                <w:szCs w:val="22"/>
                <w:lang w:bidi="ar"/>
              </w:rPr>
              <w:t xml:space="preserve">23.4 </w:t>
            </w:r>
          </w:p>
        </w:tc>
        <w:tc>
          <w:tcPr>
            <w:tcW w:w="1192" w:type="dxa"/>
            <w:tcBorders>
              <w:top w:val="nil"/>
              <w:left w:val="nil"/>
              <w:bottom w:val="single" w:color="000000" w:sz="8" w:space="0"/>
              <w:right w:val="single" w:color="auto" w:sz="12" w:space="0"/>
            </w:tcBorders>
            <w:shd w:val="clear" w:color="auto" w:fill="auto"/>
            <w:vAlign w:val="center"/>
          </w:tcPr>
          <w:p w14:paraId="657C942F">
            <w:pPr>
              <w:widowControl/>
              <w:jc w:val="center"/>
              <w:textAlignment w:val="center"/>
              <w:rPr>
                <w:color w:val="000000"/>
                <w:sz w:val="22"/>
                <w:szCs w:val="22"/>
              </w:rPr>
            </w:pPr>
            <w:r>
              <w:rPr>
                <w:color w:val="000000"/>
                <w:kern w:val="0"/>
                <w:sz w:val="22"/>
                <w:szCs w:val="22"/>
                <w:lang w:bidi="ar"/>
              </w:rPr>
              <w:t xml:space="preserve">30.0 </w:t>
            </w:r>
          </w:p>
        </w:tc>
      </w:tr>
      <w:tr w14:paraId="026B6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vAlign w:val="center"/>
          </w:tcPr>
          <w:p w14:paraId="50BBE52A">
            <w:pPr>
              <w:widowControl/>
              <w:spacing w:line="320" w:lineRule="exact"/>
              <w:jc w:val="center"/>
              <w:rPr>
                <w:kern w:val="0"/>
                <w:szCs w:val="21"/>
              </w:rPr>
            </w:pPr>
          </w:p>
        </w:tc>
        <w:tc>
          <w:tcPr>
            <w:tcW w:w="1393" w:type="dxa"/>
            <w:vAlign w:val="center"/>
          </w:tcPr>
          <w:p w14:paraId="43A80B75">
            <w:pPr>
              <w:widowControl/>
              <w:spacing w:line="320" w:lineRule="exact"/>
              <w:jc w:val="center"/>
              <w:rPr>
                <w:kern w:val="0"/>
                <w:szCs w:val="21"/>
              </w:rPr>
            </w:pPr>
            <w:r>
              <w:rPr>
                <w:rFonts w:hint="eastAsia"/>
                <w:kern w:val="0"/>
                <w:szCs w:val="21"/>
              </w:rPr>
              <w:t>排放</w:t>
            </w:r>
            <w:r>
              <w:rPr>
                <w:kern w:val="0"/>
                <w:szCs w:val="21"/>
              </w:rPr>
              <w:t>量</w:t>
            </w:r>
          </w:p>
        </w:tc>
        <w:tc>
          <w:tcPr>
            <w:tcW w:w="1114" w:type="dxa"/>
            <w:tcBorders>
              <w:top w:val="nil"/>
              <w:left w:val="nil"/>
              <w:bottom w:val="single" w:color="000000" w:sz="8" w:space="0"/>
              <w:right w:val="single" w:color="000000" w:sz="8" w:space="0"/>
            </w:tcBorders>
            <w:shd w:val="clear" w:color="auto" w:fill="auto"/>
            <w:vAlign w:val="center"/>
          </w:tcPr>
          <w:p w14:paraId="6E67F20D">
            <w:pPr>
              <w:widowControl/>
              <w:jc w:val="center"/>
              <w:textAlignment w:val="center"/>
              <w:rPr>
                <w:color w:val="000000"/>
                <w:sz w:val="22"/>
                <w:szCs w:val="22"/>
              </w:rPr>
            </w:pPr>
            <w:r>
              <w:rPr>
                <w:color w:val="000000"/>
                <w:kern w:val="0"/>
                <w:sz w:val="22"/>
                <w:szCs w:val="22"/>
                <w:lang w:bidi="ar"/>
              </w:rPr>
              <w:t xml:space="preserve">294.34 </w:t>
            </w:r>
          </w:p>
        </w:tc>
        <w:tc>
          <w:tcPr>
            <w:tcW w:w="1115" w:type="dxa"/>
            <w:tcBorders>
              <w:top w:val="nil"/>
              <w:left w:val="nil"/>
              <w:bottom w:val="single" w:color="000000" w:sz="8" w:space="0"/>
              <w:right w:val="single" w:color="000000" w:sz="8" w:space="0"/>
            </w:tcBorders>
            <w:shd w:val="clear" w:color="auto" w:fill="auto"/>
            <w:vAlign w:val="center"/>
          </w:tcPr>
          <w:p w14:paraId="3DC1896B">
            <w:pPr>
              <w:widowControl/>
              <w:jc w:val="center"/>
              <w:textAlignment w:val="center"/>
              <w:rPr>
                <w:color w:val="000000"/>
                <w:sz w:val="22"/>
                <w:szCs w:val="22"/>
              </w:rPr>
            </w:pPr>
            <w:r>
              <w:rPr>
                <w:color w:val="000000"/>
                <w:kern w:val="0"/>
                <w:sz w:val="22"/>
                <w:szCs w:val="22"/>
                <w:lang w:bidi="ar"/>
              </w:rPr>
              <w:t xml:space="preserve">142.96 </w:t>
            </w:r>
          </w:p>
        </w:tc>
        <w:tc>
          <w:tcPr>
            <w:tcW w:w="930" w:type="dxa"/>
            <w:tcBorders>
              <w:top w:val="nil"/>
              <w:left w:val="nil"/>
              <w:bottom w:val="single" w:color="000000" w:sz="8" w:space="0"/>
              <w:right w:val="single" w:color="000000" w:sz="8" w:space="0"/>
            </w:tcBorders>
            <w:shd w:val="clear" w:color="auto" w:fill="auto"/>
            <w:vAlign w:val="center"/>
          </w:tcPr>
          <w:p w14:paraId="127A79E2">
            <w:pPr>
              <w:widowControl/>
              <w:jc w:val="center"/>
              <w:textAlignment w:val="center"/>
              <w:rPr>
                <w:color w:val="000000"/>
                <w:sz w:val="22"/>
                <w:szCs w:val="22"/>
              </w:rPr>
            </w:pPr>
            <w:r>
              <w:rPr>
                <w:color w:val="000000"/>
                <w:kern w:val="0"/>
                <w:sz w:val="22"/>
                <w:szCs w:val="22"/>
                <w:lang w:bidi="ar"/>
              </w:rPr>
              <w:t xml:space="preserve">245.28 </w:t>
            </w:r>
          </w:p>
        </w:tc>
        <w:tc>
          <w:tcPr>
            <w:tcW w:w="1181" w:type="dxa"/>
            <w:tcBorders>
              <w:top w:val="nil"/>
              <w:left w:val="nil"/>
              <w:bottom w:val="single" w:color="000000" w:sz="8" w:space="0"/>
              <w:right w:val="single" w:color="000000" w:sz="8" w:space="0"/>
            </w:tcBorders>
            <w:shd w:val="clear" w:color="auto" w:fill="auto"/>
            <w:vAlign w:val="center"/>
          </w:tcPr>
          <w:p w14:paraId="2966D934">
            <w:pPr>
              <w:widowControl/>
              <w:jc w:val="center"/>
              <w:textAlignment w:val="center"/>
              <w:rPr>
                <w:color w:val="000000"/>
                <w:sz w:val="22"/>
                <w:szCs w:val="22"/>
              </w:rPr>
            </w:pPr>
            <w:r>
              <w:rPr>
                <w:color w:val="000000"/>
                <w:kern w:val="0"/>
                <w:sz w:val="22"/>
                <w:szCs w:val="22"/>
                <w:lang w:bidi="ar"/>
              </w:rPr>
              <w:t xml:space="preserve">32.80 </w:t>
            </w:r>
          </w:p>
        </w:tc>
        <w:tc>
          <w:tcPr>
            <w:tcW w:w="1192" w:type="dxa"/>
            <w:tcBorders>
              <w:top w:val="nil"/>
              <w:left w:val="nil"/>
              <w:bottom w:val="single" w:color="000000" w:sz="8" w:space="0"/>
              <w:right w:val="single" w:color="auto" w:sz="12" w:space="0"/>
            </w:tcBorders>
            <w:shd w:val="clear" w:color="auto" w:fill="auto"/>
            <w:vAlign w:val="center"/>
          </w:tcPr>
          <w:p w14:paraId="33222A84">
            <w:pPr>
              <w:widowControl/>
              <w:jc w:val="center"/>
              <w:textAlignment w:val="center"/>
              <w:rPr>
                <w:color w:val="000000"/>
                <w:sz w:val="22"/>
                <w:szCs w:val="22"/>
              </w:rPr>
            </w:pPr>
            <w:r>
              <w:rPr>
                <w:color w:val="000000"/>
                <w:kern w:val="0"/>
                <w:sz w:val="22"/>
                <w:szCs w:val="22"/>
                <w:lang w:bidi="ar"/>
              </w:rPr>
              <w:t xml:space="preserve">42.05 </w:t>
            </w:r>
          </w:p>
        </w:tc>
      </w:tr>
      <w:tr w14:paraId="65885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Align w:val="center"/>
          </w:tcPr>
          <w:p w14:paraId="4C2DEA04">
            <w:pPr>
              <w:widowControl/>
              <w:spacing w:line="320" w:lineRule="exact"/>
              <w:jc w:val="center"/>
              <w:rPr>
                <w:kern w:val="0"/>
                <w:szCs w:val="21"/>
              </w:rPr>
            </w:pPr>
            <w:r>
              <w:rPr>
                <w:rFonts w:hint="eastAsia"/>
                <w:kern w:val="0"/>
                <w:szCs w:val="21"/>
              </w:rPr>
              <w:t>污水处理厂进水水质标准</w:t>
            </w:r>
          </w:p>
        </w:tc>
        <w:tc>
          <w:tcPr>
            <w:tcW w:w="1393" w:type="dxa"/>
            <w:vAlign w:val="center"/>
          </w:tcPr>
          <w:p w14:paraId="2F051FC5">
            <w:pPr>
              <w:widowControl/>
              <w:spacing w:line="320" w:lineRule="exact"/>
              <w:jc w:val="center"/>
              <w:rPr>
                <w:kern w:val="0"/>
                <w:szCs w:val="21"/>
              </w:rPr>
            </w:pPr>
            <w:r>
              <w:rPr>
                <w:rFonts w:hint="eastAsia"/>
                <w:kern w:val="0"/>
                <w:szCs w:val="21"/>
              </w:rPr>
              <w:t>/</w:t>
            </w:r>
          </w:p>
        </w:tc>
        <w:tc>
          <w:tcPr>
            <w:tcW w:w="1114" w:type="dxa"/>
            <w:tcBorders>
              <w:top w:val="nil"/>
              <w:left w:val="nil"/>
              <w:bottom w:val="single" w:color="000000" w:sz="8" w:space="0"/>
              <w:right w:val="single" w:color="000000" w:sz="8" w:space="0"/>
            </w:tcBorders>
            <w:shd w:val="clear" w:color="auto" w:fill="auto"/>
            <w:vAlign w:val="center"/>
          </w:tcPr>
          <w:p w14:paraId="5BBC9BD6">
            <w:pPr>
              <w:widowControl/>
              <w:jc w:val="center"/>
              <w:textAlignment w:val="center"/>
              <w:rPr>
                <w:color w:val="000000"/>
                <w:sz w:val="22"/>
                <w:szCs w:val="22"/>
              </w:rPr>
            </w:pPr>
            <w:r>
              <w:rPr>
                <w:color w:val="000000"/>
                <w:kern w:val="0"/>
                <w:sz w:val="22"/>
                <w:szCs w:val="22"/>
                <w:lang w:bidi="ar"/>
              </w:rPr>
              <w:t xml:space="preserve">220 </w:t>
            </w:r>
          </w:p>
        </w:tc>
        <w:tc>
          <w:tcPr>
            <w:tcW w:w="1115" w:type="dxa"/>
            <w:tcBorders>
              <w:top w:val="nil"/>
              <w:left w:val="nil"/>
              <w:bottom w:val="single" w:color="000000" w:sz="8" w:space="0"/>
              <w:right w:val="single" w:color="000000" w:sz="8" w:space="0"/>
            </w:tcBorders>
            <w:shd w:val="clear" w:color="auto" w:fill="auto"/>
            <w:vAlign w:val="center"/>
          </w:tcPr>
          <w:p w14:paraId="17E1C918">
            <w:pPr>
              <w:widowControl/>
              <w:jc w:val="center"/>
              <w:textAlignment w:val="center"/>
              <w:rPr>
                <w:color w:val="000000"/>
                <w:sz w:val="22"/>
                <w:szCs w:val="22"/>
              </w:rPr>
            </w:pPr>
            <w:r>
              <w:rPr>
                <w:color w:val="000000"/>
                <w:kern w:val="0"/>
                <w:sz w:val="22"/>
                <w:szCs w:val="22"/>
                <w:lang w:bidi="ar"/>
              </w:rPr>
              <w:t xml:space="preserve">110 </w:t>
            </w:r>
          </w:p>
        </w:tc>
        <w:tc>
          <w:tcPr>
            <w:tcW w:w="930" w:type="dxa"/>
            <w:tcBorders>
              <w:top w:val="nil"/>
              <w:left w:val="nil"/>
              <w:bottom w:val="single" w:color="000000" w:sz="8" w:space="0"/>
              <w:right w:val="single" w:color="000000" w:sz="8" w:space="0"/>
            </w:tcBorders>
            <w:shd w:val="clear" w:color="auto" w:fill="auto"/>
            <w:vAlign w:val="center"/>
          </w:tcPr>
          <w:p w14:paraId="77F36F3A">
            <w:pPr>
              <w:widowControl/>
              <w:jc w:val="center"/>
              <w:textAlignment w:val="center"/>
              <w:rPr>
                <w:color w:val="000000"/>
                <w:sz w:val="22"/>
                <w:szCs w:val="22"/>
              </w:rPr>
            </w:pPr>
            <w:r>
              <w:rPr>
                <w:color w:val="000000"/>
                <w:kern w:val="0"/>
                <w:sz w:val="22"/>
                <w:szCs w:val="22"/>
                <w:lang w:bidi="ar"/>
              </w:rPr>
              <w:t xml:space="preserve">180 </w:t>
            </w:r>
          </w:p>
        </w:tc>
        <w:tc>
          <w:tcPr>
            <w:tcW w:w="1181" w:type="dxa"/>
            <w:tcBorders>
              <w:top w:val="nil"/>
              <w:left w:val="nil"/>
              <w:bottom w:val="single" w:color="000000" w:sz="8" w:space="0"/>
              <w:right w:val="single" w:color="000000" w:sz="8" w:space="0"/>
            </w:tcBorders>
            <w:shd w:val="clear" w:color="auto" w:fill="auto"/>
            <w:vAlign w:val="center"/>
          </w:tcPr>
          <w:p w14:paraId="57105FE0">
            <w:pPr>
              <w:widowControl/>
              <w:jc w:val="center"/>
              <w:textAlignment w:val="center"/>
              <w:rPr>
                <w:color w:val="000000"/>
                <w:sz w:val="22"/>
                <w:szCs w:val="22"/>
              </w:rPr>
            </w:pPr>
            <w:r>
              <w:rPr>
                <w:color w:val="000000"/>
                <w:kern w:val="0"/>
                <w:sz w:val="22"/>
                <w:szCs w:val="22"/>
                <w:lang w:bidi="ar"/>
              </w:rPr>
              <w:t xml:space="preserve">28 </w:t>
            </w:r>
          </w:p>
        </w:tc>
        <w:tc>
          <w:tcPr>
            <w:tcW w:w="1192" w:type="dxa"/>
            <w:tcBorders>
              <w:top w:val="nil"/>
              <w:left w:val="nil"/>
              <w:bottom w:val="single" w:color="000000" w:sz="8" w:space="0"/>
              <w:right w:val="single" w:color="auto" w:sz="12" w:space="0"/>
            </w:tcBorders>
            <w:shd w:val="clear" w:color="auto" w:fill="auto"/>
            <w:vAlign w:val="center"/>
          </w:tcPr>
          <w:p w14:paraId="449849FA">
            <w:pPr>
              <w:widowControl/>
              <w:jc w:val="center"/>
              <w:textAlignment w:val="center"/>
              <w:rPr>
                <w:color w:val="000000"/>
                <w:sz w:val="22"/>
                <w:szCs w:val="22"/>
              </w:rPr>
            </w:pPr>
            <w:r>
              <w:rPr>
                <w:color w:val="000000"/>
                <w:kern w:val="0"/>
                <w:sz w:val="22"/>
                <w:szCs w:val="22"/>
                <w:lang w:bidi="ar"/>
              </w:rPr>
              <w:t>100</w:t>
            </w:r>
          </w:p>
        </w:tc>
      </w:tr>
      <w:tr w14:paraId="1D895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restart"/>
            <w:vAlign w:val="center"/>
          </w:tcPr>
          <w:p w14:paraId="15CD442C">
            <w:pPr>
              <w:spacing w:line="320" w:lineRule="exact"/>
              <w:jc w:val="center"/>
              <w:rPr>
                <w:kern w:val="0"/>
                <w:szCs w:val="21"/>
              </w:rPr>
            </w:pPr>
            <w:r>
              <w:rPr>
                <w:rFonts w:hint="eastAsia"/>
                <w:kern w:val="0"/>
                <w:szCs w:val="21"/>
              </w:rPr>
              <w:t>污水处理厂出水3840</w:t>
            </w:r>
            <w:r>
              <w:rPr>
                <w:kern w:val="0"/>
                <w:szCs w:val="21"/>
              </w:rPr>
              <w:t>m³/</w:t>
            </w:r>
            <w:r>
              <w:rPr>
                <w:rFonts w:hint="eastAsia"/>
                <w:kern w:val="0"/>
                <w:szCs w:val="21"/>
              </w:rPr>
              <w:t>d</w:t>
            </w:r>
          </w:p>
        </w:tc>
        <w:tc>
          <w:tcPr>
            <w:tcW w:w="1393" w:type="dxa"/>
            <w:vAlign w:val="center"/>
          </w:tcPr>
          <w:p w14:paraId="4DC7071C">
            <w:pPr>
              <w:widowControl/>
              <w:spacing w:line="320" w:lineRule="exact"/>
              <w:jc w:val="center"/>
              <w:rPr>
                <w:kern w:val="0"/>
                <w:szCs w:val="21"/>
              </w:rPr>
            </w:pPr>
            <w:r>
              <w:rPr>
                <w:rFonts w:hint="eastAsia"/>
                <w:kern w:val="0"/>
                <w:szCs w:val="21"/>
              </w:rPr>
              <w:t>排放</w:t>
            </w:r>
            <w:r>
              <w:rPr>
                <w:kern w:val="0"/>
                <w:szCs w:val="21"/>
              </w:rPr>
              <w:t>浓度</w:t>
            </w:r>
          </w:p>
        </w:tc>
        <w:tc>
          <w:tcPr>
            <w:tcW w:w="1114" w:type="dxa"/>
            <w:tcBorders>
              <w:top w:val="nil"/>
              <w:left w:val="nil"/>
              <w:bottom w:val="single" w:color="000000" w:sz="8" w:space="0"/>
              <w:right w:val="single" w:color="000000" w:sz="8" w:space="0"/>
            </w:tcBorders>
            <w:shd w:val="clear" w:color="auto" w:fill="auto"/>
            <w:vAlign w:val="center"/>
          </w:tcPr>
          <w:p w14:paraId="64A2D310">
            <w:pPr>
              <w:widowControl/>
              <w:jc w:val="center"/>
              <w:textAlignment w:val="center"/>
              <w:rPr>
                <w:color w:val="000000"/>
                <w:sz w:val="22"/>
                <w:szCs w:val="22"/>
              </w:rPr>
            </w:pPr>
            <w:r>
              <w:rPr>
                <w:color w:val="000000"/>
                <w:kern w:val="0"/>
                <w:sz w:val="22"/>
                <w:szCs w:val="22"/>
                <w:lang w:bidi="ar"/>
              </w:rPr>
              <w:t>50</w:t>
            </w:r>
          </w:p>
        </w:tc>
        <w:tc>
          <w:tcPr>
            <w:tcW w:w="1115" w:type="dxa"/>
            <w:tcBorders>
              <w:top w:val="nil"/>
              <w:left w:val="nil"/>
              <w:bottom w:val="single" w:color="000000" w:sz="8" w:space="0"/>
              <w:right w:val="single" w:color="000000" w:sz="8" w:space="0"/>
            </w:tcBorders>
            <w:shd w:val="clear" w:color="auto" w:fill="auto"/>
            <w:vAlign w:val="center"/>
          </w:tcPr>
          <w:p w14:paraId="18D31154">
            <w:pPr>
              <w:widowControl/>
              <w:jc w:val="center"/>
              <w:textAlignment w:val="center"/>
              <w:rPr>
                <w:color w:val="000000"/>
                <w:sz w:val="22"/>
                <w:szCs w:val="22"/>
              </w:rPr>
            </w:pPr>
            <w:r>
              <w:rPr>
                <w:color w:val="000000"/>
                <w:kern w:val="0"/>
                <w:sz w:val="22"/>
                <w:szCs w:val="22"/>
                <w:lang w:bidi="ar"/>
              </w:rPr>
              <w:t>10</w:t>
            </w:r>
          </w:p>
        </w:tc>
        <w:tc>
          <w:tcPr>
            <w:tcW w:w="930" w:type="dxa"/>
            <w:tcBorders>
              <w:top w:val="nil"/>
              <w:left w:val="nil"/>
              <w:bottom w:val="single" w:color="000000" w:sz="8" w:space="0"/>
              <w:right w:val="single" w:color="000000" w:sz="8" w:space="0"/>
            </w:tcBorders>
            <w:shd w:val="clear" w:color="auto" w:fill="auto"/>
            <w:vAlign w:val="center"/>
          </w:tcPr>
          <w:p w14:paraId="37ED3044">
            <w:pPr>
              <w:widowControl/>
              <w:jc w:val="center"/>
              <w:textAlignment w:val="center"/>
              <w:rPr>
                <w:color w:val="000000"/>
                <w:sz w:val="22"/>
                <w:szCs w:val="22"/>
              </w:rPr>
            </w:pPr>
            <w:r>
              <w:rPr>
                <w:color w:val="000000"/>
                <w:kern w:val="0"/>
                <w:sz w:val="22"/>
                <w:szCs w:val="22"/>
                <w:lang w:bidi="ar"/>
              </w:rPr>
              <w:t>10</w:t>
            </w:r>
          </w:p>
        </w:tc>
        <w:tc>
          <w:tcPr>
            <w:tcW w:w="1181" w:type="dxa"/>
            <w:tcBorders>
              <w:top w:val="nil"/>
              <w:left w:val="nil"/>
              <w:bottom w:val="single" w:color="000000" w:sz="8" w:space="0"/>
              <w:right w:val="single" w:color="000000" w:sz="8" w:space="0"/>
            </w:tcBorders>
            <w:shd w:val="clear" w:color="auto" w:fill="auto"/>
            <w:vAlign w:val="center"/>
          </w:tcPr>
          <w:p w14:paraId="2D4C1FCF">
            <w:pPr>
              <w:widowControl/>
              <w:jc w:val="center"/>
              <w:textAlignment w:val="center"/>
              <w:rPr>
                <w:color w:val="000000"/>
                <w:sz w:val="22"/>
                <w:szCs w:val="22"/>
              </w:rPr>
            </w:pPr>
            <w:r>
              <w:rPr>
                <w:color w:val="000000"/>
                <w:kern w:val="0"/>
                <w:sz w:val="22"/>
                <w:szCs w:val="22"/>
                <w:lang w:bidi="ar"/>
              </w:rPr>
              <w:t>5</w:t>
            </w:r>
          </w:p>
        </w:tc>
        <w:tc>
          <w:tcPr>
            <w:tcW w:w="1192" w:type="dxa"/>
            <w:tcBorders>
              <w:top w:val="nil"/>
              <w:left w:val="nil"/>
              <w:bottom w:val="single" w:color="000000" w:sz="8" w:space="0"/>
              <w:right w:val="single" w:color="auto" w:sz="12" w:space="0"/>
            </w:tcBorders>
            <w:shd w:val="clear" w:color="auto" w:fill="auto"/>
            <w:vAlign w:val="center"/>
          </w:tcPr>
          <w:p w14:paraId="774B9B35">
            <w:pPr>
              <w:widowControl/>
              <w:jc w:val="center"/>
              <w:textAlignment w:val="center"/>
              <w:rPr>
                <w:color w:val="000000"/>
                <w:sz w:val="22"/>
                <w:szCs w:val="22"/>
              </w:rPr>
            </w:pPr>
            <w:r>
              <w:rPr>
                <w:color w:val="000000"/>
                <w:kern w:val="0"/>
                <w:sz w:val="22"/>
                <w:szCs w:val="22"/>
                <w:lang w:bidi="ar"/>
              </w:rPr>
              <w:t>1</w:t>
            </w:r>
          </w:p>
        </w:tc>
      </w:tr>
      <w:tr w14:paraId="4FD09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603" w:type="dxa"/>
            <w:vMerge w:val="continue"/>
            <w:tcBorders>
              <w:bottom w:val="single" w:color="auto" w:sz="12" w:space="0"/>
            </w:tcBorders>
            <w:vAlign w:val="center"/>
          </w:tcPr>
          <w:p w14:paraId="6366C39C">
            <w:pPr>
              <w:widowControl/>
              <w:spacing w:line="320" w:lineRule="exact"/>
              <w:jc w:val="center"/>
              <w:rPr>
                <w:kern w:val="0"/>
                <w:szCs w:val="21"/>
              </w:rPr>
            </w:pPr>
          </w:p>
        </w:tc>
        <w:tc>
          <w:tcPr>
            <w:tcW w:w="1393" w:type="dxa"/>
            <w:tcBorders>
              <w:bottom w:val="single" w:color="auto" w:sz="12" w:space="0"/>
            </w:tcBorders>
            <w:vAlign w:val="center"/>
          </w:tcPr>
          <w:p w14:paraId="1F1D5F41">
            <w:pPr>
              <w:widowControl/>
              <w:spacing w:line="320" w:lineRule="exact"/>
              <w:jc w:val="center"/>
              <w:rPr>
                <w:kern w:val="0"/>
                <w:szCs w:val="21"/>
              </w:rPr>
            </w:pPr>
            <w:r>
              <w:rPr>
                <w:rFonts w:hint="eastAsia"/>
                <w:kern w:val="0"/>
                <w:szCs w:val="21"/>
              </w:rPr>
              <w:t>排放</w:t>
            </w:r>
            <w:r>
              <w:rPr>
                <w:kern w:val="0"/>
                <w:szCs w:val="21"/>
              </w:rPr>
              <w:t>量</w:t>
            </w:r>
          </w:p>
        </w:tc>
        <w:tc>
          <w:tcPr>
            <w:tcW w:w="1114" w:type="dxa"/>
            <w:tcBorders>
              <w:top w:val="nil"/>
              <w:left w:val="nil"/>
              <w:bottom w:val="single" w:color="auto" w:sz="12" w:space="0"/>
              <w:right w:val="single" w:color="000000" w:sz="8" w:space="0"/>
            </w:tcBorders>
            <w:shd w:val="clear" w:color="auto" w:fill="auto"/>
            <w:vAlign w:val="center"/>
          </w:tcPr>
          <w:p w14:paraId="161D4775">
            <w:pPr>
              <w:widowControl/>
              <w:jc w:val="center"/>
              <w:textAlignment w:val="center"/>
              <w:rPr>
                <w:color w:val="000000"/>
                <w:sz w:val="22"/>
                <w:szCs w:val="22"/>
              </w:rPr>
            </w:pPr>
            <w:r>
              <w:rPr>
                <w:color w:val="000000"/>
                <w:kern w:val="0"/>
                <w:sz w:val="22"/>
                <w:szCs w:val="22"/>
                <w:lang w:bidi="ar"/>
              </w:rPr>
              <w:t xml:space="preserve">70.08 </w:t>
            </w:r>
          </w:p>
        </w:tc>
        <w:tc>
          <w:tcPr>
            <w:tcW w:w="1115" w:type="dxa"/>
            <w:tcBorders>
              <w:top w:val="nil"/>
              <w:left w:val="nil"/>
              <w:bottom w:val="single" w:color="auto" w:sz="12" w:space="0"/>
              <w:right w:val="single" w:color="000000" w:sz="8" w:space="0"/>
            </w:tcBorders>
            <w:shd w:val="clear" w:color="auto" w:fill="auto"/>
            <w:vAlign w:val="center"/>
          </w:tcPr>
          <w:p w14:paraId="14994FB4">
            <w:pPr>
              <w:widowControl/>
              <w:jc w:val="center"/>
              <w:textAlignment w:val="center"/>
              <w:rPr>
                <w:color w:val="000000"/>
                <w:sz w:val="22"/>
                <w:szCs w:val="22"/>
              </w:rPr>
            </w:pPr>
            <w:r>
              <w:rPr>
                <w:color w:val="000000"/>
                <w:kern w:val="0"/>
                <w:sz w:val="22"/>
                <w:szCs w:val="22"/>
                <w:lang w:bidi="ar"/>
              </w:rPr>
              <w:t xml:space="preserve">14.02 </w:t>
            </w:r>
          </w:p>
        </w:tc>
        <w:tc>
          <w:tcPr>
            <w:tcW w:w="930" w:type="dxa"/>
            <w:tcBorders>
              <w:top w:val="nil"/>
              <w:left w:val="nil"/>
              <w:bottom w:val="single" w:color="auto" w:sz="12" w:space="0"/>
              <w:right w:val="single" w:color="000000" w:sz="8" w:space="0"/>
            </w:tcBorders>
            <w:shd w:val="clear" w:color="auto" w:fill="auto"/>
            <w:vAlign w:val="center"/>
          </w:tcPr>
          <w:p w14:paraId="418EA0B0">
            <w:pPr>
              <w:widowControl/>
              <w:jc w:val="center"/>
              <w:textAlignment w:val="center"/>
              <w:rPr>
                <w:color w:val="000000"/>
                <w:sz w:val="22"/>
                <w:szCs w:val="22"/>
              </w:rPr>
            </w:pPr>
            <w:r>
              <w:rPr>
                <w:color w:val="000000"/>
                <w:kern w:val="0"/>
                <w:sz w:val="22"/>
                <w:szCs w:val="22"/>
                <w:lang w:bidi="ar"/>
              </w:rPr>
              <w:t xml:space="preserve">14.02 </w:t>
            </w:r>
          </w:p>
        </w:tc>
        <w:tc>
          <w:tcPr>
            <w:tcW w:w="1181" w:type="dxa"/>
            <w:tcBorders>
              <w:top w:val="nil"/>
              <w:left w:val="nil"/>
              <w:bottom w:val="single" w:color="auto" w:sz="12" w:space="0"/>
              <w:right w:val="single" w:color="000000" w:sz="8" w:space="0"/>
            </w:tcBorders>
            <w:shd w:val="clear" w:color="auto" w:fill="auto"/>
            <w:vAlign w:val="center"/>
          </w:tcPr>
          <w:p w14:paraId="74979513">
            <w:pPr>
              <w:widowControl/>
              <w:jc w:val="center"/>
              <w:textAlignment w:val="center"/>
              <w:rPr>
                <w:color w:val="000000"/>
                <w:sz w:val="22"/>
                <w:szCs w:val="22"/>
              </w:rPr>
            </w:pPr>
            <w:r>
              <w:rPr>
                <w:color w:val="000000"/>
                <w:kern w:val="0"/>
                <w:sz w:val="22"/>
                <w:szCs w:val="22"/>
                <w:lang w:bidi="ar"/>
              </w:rPr>
              <w:t xml:space="preserve">7.01 </w:t>
            </w:r>
          </w:p>
        </w:tc>
        <w:tc>
          <w:tcPr>
            <w:tcW w:w="1192" w:type="dxa"/>
            <w:tcBorders>
              <w:top w:val="nil"/>
              <w:left w:val="nil"/>
              <w:bottom w:val="single" w:color="auto" w:sz="12" w:space="0"/>
              <w:right w:val="single" w:color="auto" w:sz="12" w:space="0"/>
            </w:tcBorders>
            <w:shd w:val="clear" w:color="auto" w:fill="auto"/>
            <w:vAlign w:val="center"/>
          </w:tcPr>
          <w:p w14:paraId="0A13DADA">
            <w:pPr>
              <w:widowControl/>
              <w:jc w:val="center"/>
              <w:textAlignment w:val="center"/>
              <w:rPr>
                <w:color w:val="000000"/>
                <w:sz w:val="22"/>
                <w:szCs w:val="22"/>
              </w:rPr>
            </w:pPr>
            <w:r>
              <w:rPr>
                <w:color w:val="000000"/>
                <w:kern w:val="0"/>
                <w:sz w:val="22"/>
                <w:szCs w:val="22"/>
                <w:lang w:bidi="ar"/>
              </w:rPr>
              <w:t xml:space="preserve">1.40 </w:t>
            </w:r>
          </w:p>
        </w:tc>
      </w:tr>
    </w:tbl>
    <w:p w14:paraId="7F411CC7">
      <w:pPr>
        <w:keepNext/>
        <w:keepLines/>
        <w:widowControl/>
        <w:numPr>
          <w:ilvl w:val="2"/>
          <w:numId w:val="1"/>
        </w:numPr>
        <w:spacing w:before="120" w:after="120" w:line="360" w:lineRule="auto"/>
        <w:jc w:val="left"/>
        <w:outlineLvl w:val="2"/>
        <w:rPr>
          <w:rFonts w:eastAsiaTheme="minorEastAsia"/>
          <w:b/>
          <w:bCs/>
          <w:color w:val="000000" w:themeColor="text1"/>
          <w:sz w:val="24"/>
          <w14:textFill>
            <w14:solidFill>
              <w14:schemeClr w14:val="tx1"/>
            </w14:solidFill>
          </w14:textFill>
        </w:rPr>
      </w:pPr>
      <w:bookmarkStart w:id="145" w:name="_Toc206494973"/>
      <w:r>
        <w:rPr>
          <w:rFonts w:hint="eastAsia" w:eastAsiaTheme="minorEastAsia"/>
          <w:b/>
          <w:bCs/>
          <w:color w:val="000000" w:themeColor="text1"/>
          <w:sz w:val="24"/>
          <w14:textFill>
            <w14:solidFill>
              <w14:schemeClr w14:val="tx1"/>
            </w14:solidFill>
          </w14:textFill>
        </w:rPr>
        <w:t>噪声污染源强</w:t>
      </w:r>
      <w:bookmarkEnd w:id="145"/>
    </w:p>
    <w:p w14:paraId="7C841D90">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（1）工业噪声</w:t>
      </w:r>
    </w:p>
    <w:p w14:paraId="7F5954A4">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根据评价范围内主导产业，区内工业噪声主要噪声源来自大切机、中切机、荔枝面机、红外线切机、自动切边机、磨光机、仿型机、喷砂机、火烧机等。大部分声源为连续排放，声级范围在75～95dB(A)之间。</w:t>
      </w:r>
    </w:p>
    <w:p w14:paraId="2D02AEE5">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（2）交通噪声</w:t>
      </w:r>
    </w:p>
    <w:p w14:paraId="6F454A82">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评价范围内交通噪声主要包括区内道路交通噪声，道路车辆的平均声压级如下：中型卡车为80~80dB(A)；转型客车、公共汽车为76~78dB(A)；摩托车为72~74dB(A)；微型车、小轿车为66~68dB(A)。</w:t>
      </w:r>
    </w:p>
    <w:p w14:paraId="7493A167">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（3）施工噪声</w:t>
      </w:r>
    </w:p>
    <w:p w14:paraId="703449F9">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评价范围内施工噪声主要在企业的施工及公共设施的施工工地，噪声设备包括推土机、振捣器、搅拌机等，声级为84~99dB(A)。</w:t>
      </w:r>
    </w:p>
    <w:p w14:paraId="69108A9A">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（4）生活噪声</w:t>
      </w:r>
    </w:p>
    <w:p w14:paraId="50AFA4AE">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社会噪声主要为：少量居民、商业门市噪声等。</w:t>
      </w:r>
    </w:p>
    <w:p w14:paraId="22DD5211">
      <w:pPr>
        <w:keepNext/>
        <w:keepLines/>
        <w:widowControl/>
        <w:numPr>
          <w:ilvl w:val="2"/>
          <w:numId w:val="1"/>
        </w:numPr>
        <w:spacing w:before="120" w:after="120" w:line="360" w:lineRule="auto"/>
        <w:jc w:val="left"/>
        <w:outlineLvl w:val="2"/>
        <w:rPr>
          <w:rFonts w:eastAsiaTheme="minorEastAsia"/>
          <w:b/>
          <w:bCs/>
          <w:sz w:val="24"/>
        </w:rPr>
      </w:pPr>
      <w:bookmarkStart w:id="146" w:name="_Toc206494974"/>
      <w:r>
        <w:rPr>
          <w:rFonts w:hint="eastAsia" w:eastAsiaTheme="minorEastAsia"/>
          <w:b/>
          <w:bCs/>
          <w:sz w:val="24"/>
        </w:rPr>
        <w:t>固体废物污染源强</w:t>
      </w:r>
      <w:bookmarkEnd w:id="146"/>
    </w:p>
    <w:p w14:paraId="00751416">
      <w:pPr>
        <w:spacing w:line="360" w:lineRule="auto"/>
        <w:ind w:firstLine="480" w:firstLineChars="200"/>
        <w:rPr>
          <w:rFonts w:eastAsiaTheme="minorEastAsia"/>
          <w:sz w:val="24"/>
        </w:rPr>
      </w:pPr>
      <w:r>
        <w:rPr>
          <w:rFonts w:hint="eastAsia" w:eastAsiaTheme="minorEastAsia"/>
          <w:sz w:val="24"/>
        </w:rPr>
        <w:t>规划</w:t>
      </w:r>
      <w:r>
        <w:rPr>
          <w:rFonts w:eastAsiaTheme="minorEastAsia"/>
          <w:sz w:val="24"/>
        </w:rPr>
        <w:t>园区产生的固体废物主要包括</w:t>
      </w:r>
      <w:r>
        <w:rPr>
          <w:rFonts w:hint="eastAsia" w:eastAsiaTheme="minorEastAsia"/>
          <w:sz w:val="24"/>
        </w:rPr>
        <w:t>生产过程中的工业固体废物（包括一般工业固体废物、危险废物）、员工办公生活及居民产生的生活垃圾。</w:t>
      </w:r>
    </w:p>
    <w:p w14:paraId="618DD6B4">
      <w:pPr>
        <w:spacing w:line="360" w:lineRule="auto"/>
        <w:ind w:firstLine="480" w:firstLineChars="200"/>
        <w:rPr>
          <w:rFonts w:eastAsiaTheme="minorEastAsia"/>
          <w:sz w:val="24"/>
        </w:rPr>
      </w:pPr>
      <w:r>
        <w:rPr>
          <w:rFonts w:hint="eastAsia" w:eastAsiaTheme="minorEastAsia"/>
          <w:sz w:val="24"/>
        </w:rPr>
        <w:t>（1）生活垃圾</w:t>
      </w:r>
    </w:p>
    <w:p w14:paraId="7AB3F2DC">
      <w:pPr>
        <w:spacing w:line="360" w:lineRule="auto"/>
        <w:ind w:firstLine="480" w:firstLineChars="200"/>
        <w:rPr>
          <w:rFonts w:eastAsiaTheme="minorEastAsia"/>
          <w:sz w:val="24"/>
        </w:rPr>
      </w:pPr>
      <w:r>
        <w:rPr>
          <w:rFonts w:hint="eastAsia" w:eastAsiaTheme="minorEastAsia"/>
          <w:sz w:val="24"/>
        </w:rPr>
        <w:t>根据规划园区企业现状及规划情况，现状人口约40000人，至2035年，规范范围内总人数约80000人。生活垃圾按1kg/人·日计，估算出近期年生活垃圾产生量为14600t/a，远期2035年生活垃圾产生量为29200t/a，由环卫部门收集统一处理。</w:t>
      </w:r>
    </w:p>
    <w:p w14:paraId="46CBFD09">
      <w:pPr>
        <w:spacing w:line="360" w:lineRule="auto"/>
        <w:ind w:firstLine="480" w:firstLineChars="200"/>
        <w:rPr>
          <w:rFonts w:eastAsiaTheme="minorEastAsia"/>
          <w:sz w:val="24"/>
        </w:rPr>
      </w:pPr>
      <w:r>
        <w:rPr>
          <w:rFonts w:hint="eastAsia" w:eastAsiaTheme="minorEastAsia"/>
          <w:sz w:val="24"/>
        </w:rPr>
        <w:t>（2）工业固体废物</w:t>
      </w:r>
    </w:p>
    <w:p w14:paraId="75CB28CB">
      <w:pPr>
        <w:spacing w:line="360" w:lineRule="auto"/>
        <w:ind w:firstLine="480" w:firstLineChars="200"/>
        <w:rPr>
          <w:rFonts w:eastAsiaTheme="minorEastAsia"/>
          <w:sz w:val="24"/>
        </w:rPr>
      </w:pPr>
      <w:r>
        <w:rPr>
          <w:rFonts w:hint="eastAsia" w:eastAsiaTheme="minorEastAsia"/>
          <w:sz w:val="24"/>
        </w:rPr>
        <w:t>工业固体废物包括一般工业固体废物和危险废物。</w:t>
      </w:r>
    </w:p>
    <w:p w14:paraId="597197AE">
      <w:pPr>
        <w:spacing w:line="360" w:lineRule="auto"/>
        <w:ind w:firstLine="480" w:firstLineChars="200"/>
        <w:rPr>
          <w:rFonts w:eastAsiaTheme="minorEastAsia"/>
          <w:sz w:val="24"/>
        </w:rPr>
      </w:pPr>
      <w:r>
        <w:rPr>
          <w:rFonts w:hint="eastAsia" w:eastAsiaTheme="minorEastAsia"/>
          <w:sz w:val="24"/>
        </w:rPr>
        <w:t>一般工业固体废物主要为废边角料、废钢砂及废滤芯、不合格品、底泥、除尘灰等，均分类收集后外售综合利用；</w:t>
      </w:r>
    </w:p>
    <w:p w14:paraId="6280B03B">
      <w:pPr>
        <w:spacing w:line="360" w:lineRule="auto"/>
        <w:ind w:firstLine="480" w:firstLineChars="200"/>
        <w:rPr>
          <w:rFonts w:eastAsiaTheme="minorEastAsia"/>
          <w:sz w:val="24"/>
        </w:rPr>
      </w:pPr>
      <w:r>
        <w:rPr>
          <w:rFonts w:hint="eastAsia" w:eastAsiaTheme="minorEastAsia"/>
          <w:sz w:val="24"/>
        </w:rPr>
        <w:t>危险废物主要为废润滑油，根据《国家危险废物名录》（2021年版），废润滑油危废类别为HW08废矿物油与含矿物油废物，废物代码为900-249-08，收集后暂存危险废物暂存间交有资质的单位处置。</w:t>
      </w:r>
    </w:p>
    <w:p w14:paraId="13154A6A">
      <w:pPr>
        <w:spacing w:line="360" w:lineRule="auto"/>
        <w:ind w:firstLine="480" w:firstLineChars="200"/>
        <w:rPr>
          <w:rFonts w:eastAsiaTheme="minorEastAsia"/>
          <w:sz w:val="24"/>
        </w:rPr>
      </w:pPr>
      <w:r>
        <w:rPr>
          <w:rFonts w:hint="eastAsia" w:eastAsiaTheme="minorEastAsia"/>
          <w:sz w:val="24"/>
        </w:rPr>
        <w:t>本次固体废物石材加工企业工业固废产生量类比现状固废产生情况进行估算。规划园区一般工业固体废物产生情况见下表。</w:t>
      </w:r>
    </w:p>
    <w:p w14:paraId="6C5E14D9">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5.1.4-1   园区固体废物产生量预测表</w:t>
      </w:r>
    </w:p>
    <w:tbl>
      <w:tblPr>
        <w:tblStyle w:val="88"/>
        <w:tblW w:w="494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7"/>
        <w:gridCol w:w="2253"/>
        <w:gridCol w:w="3257"/>
        <w:gridCol w:w="2131"/>
      </w:tblGrid>
      <w:tr w14:paraId="51EDD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472" w:type="pct"/>
            <w:vAlign w:val="center"/>
          </w:tcPr>
          <w:p w14:paraId="41405BAF">
            <w:pPr>
              <w:widowControl/>
              <w:spacing w:line="320" w:lineRule="exact"/>
              <w:ind w:left="-25" w:right="-25"/>
              <w:jc w:val="center"/>
              <w:rPr>
                <w:rFonts w:eastAsiaTheme="minorEastAsia"/>
                <w:kern w:val="0"/>
                <w:szCs w:val="21"/>
              </w:rPr>
            </w:pPr>
            <w:r>
              <w:rPr>
                <w:rFonts w:eastAsiaTheme="minorEastAsia"/>
                <w:kern w:val="0"/>
                <w:szCs w:val="21"/>
              </w:rPr>
              <w:t>序号</w:t>
            </w:r>
          </w:p>
        </w:tc>
        <w:tc>
          <w:tcPr>
            <w:tcW w:w="1334" w:type="pct"/>
            <w:vAlign w:val="center"/>
          </w:tcPr>
          <w:p w14:paraId="58294388">
            <w:pPr>
              <w:widowControl/>
              <w:spacing w:line="320" w:lineRule="exact"/>
              <w:ind w:left="-25" w:right="-25"/>
              <w:jc w:val="center"/>
              <w:rPr>
                <w:rFonts w:eastAsiaTheme="minorEastAsia"/>
                <w:kern w:val="0"/>
                <w:szCs w:val="21"/>
              </w:rPr>
            </w:pPr>
            <w:r>
              <w:rPr>
                <w:rFonts w:hint="eastAsia" w:eastAsiaTheme="minorEastAsia"/>
                <w:kern w:val="0"/>
                <w:szCs w:val="21"/>
              </w:rPr>
              <w:t>园区名称</w:t>
            </w:r>
          </w:p>
        </w:tc>
        <w:tc>
          <w:tcPr>
            <w:tcW w:w="1929" w:type="pct"/>
            <w:vAlign w:val="center"/>
          </w:tcPr>
          <w:p w14:paraId="71CE0400">
            <w:pPr>
              <w:widowControl/>
              <w:spacing w:line="320" w:lineRule="exact"/>
              <w:ind w:left="-25" w:right="-25"/>
              <w:jc w:val="center"/>
              <w:rPr>
                <w:rFonts w:eastAsiaTheme="minorEastAsia"/>
                <w:kern w:val="0"/>
                <w:szCs w:val="21"/>
              </w:rPr>
            </w:pPr>
            <w:r>
              <w:rPr>
                <w:rFonts w:hint="eastAsia"/>
                <w:kern w:val="0"/>
                <w:szCs w:val="21"/>
              </w:rPr>
              <w:t>一般工业固体废物产生量（t/a）</w:t>
            </w:r>
          </w:p>
        </w:tc>
        <w:tc>
          <w:tcPr>
            <w:tcW w:w="1262" w:type="pct"/>
            <w:vAlign w:val="center"/>
          </w:tcPr>
          <w:p w14:paraId="6D595709">
            <w:pPr>
              <w:widowControl/>
              <w:spacing w:line="320" w:lineRule="exact"/>
              <w:ind w:right="-25"/>
              <w:jc w:val="center"/>
              <w:rPr>
                <w:rFonts w:eastAsiaTheme="minorEastAsia"/>
                <w:kern w:val="0"/>
                <w:szCs w:val="21"/>
              </w:rPr>
            </w:pPr>
            <w:r>
              <w:rPr>
                <w:rFonts w:hint="eastAsia"/>
                <w:kern w:val="0"/>
                <w:szCs w:val="21"/>
              </w:rPr>
              <w:t>危险废物产生量（t/a）</w:t>
            </w:r>
          </w:p>
        </w:tc>
      </w:tr>
      <w:tr w14:paraId="519A3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72" w:type="pct"/>
            <w:vAlign w:val="center"/>
          </w:tcPr>
          <w:p w14:paraId="579A3266">
            <w:pPr>
              <w:widowControl/>
              <w:spacing w:line="320" w:lineRule="exact"/>
              <w:ind w:left="-25" w:right="-25"/>
              <w:jc w:val="center"/>
              <w:rPr>
                <w:rFonts w:eastAsiaTheme="minorEastAsia"/>
                <w:kern w:val="0"/>
                <w:szCs w:val="21"/>
              </w:rPr>
            </w:pPr>
            <w:r>
              <w:rPr>
                <w:rFonts w:hint="eastAsia" w:eastAsiaTheme="minorEastAsia"/>
                <w:kern w:val="0"/>
                <w:szCs w:val="21"/>
              </w:rPr>
              <w:t>1</w:t>
            </w:r>
          </w:p>
        </w:tc>
        <w:tc>
          <w:tcPr>
            <w:tcW w:w="1334" w:type="pct"/>
            <w:vAlign w:val="center"/>
          </w:tcPr>
          <w:p w14:paraId="43CBA41D">
            <w:pPr>
              <w:widowControl/>
              <w:spacing w:line="320" w:lineRule="exact"/>
              <w:ind w:left="-25" w:right="-25"/>
              <w:jc w:val="center"/>
              <w:rPr>
                <w:rFonts w:eastAsiaTheme="minorEastAsia"/>
                <w:kern w:val="0"/>
                <w:szCs w:val="21"/>
              </w:rPr>
            </w:pPr>
            <w:r>
              <w:rPr>
                <w:rFonts w:eastAsiaTheme="minorEastAsia"/>
                <w:kern w:val="0"/>
                <w:szCs w:val="21"/>
              </w:rPr>
              <w:t>吴山闽商石材产业园</w:t>
            </w:r>
          </w:p>
        </w:tc>
        <w:tc>
          <w:tcPr>
            <w:tcW w:w="1929" w:type="pct"/>
            <w:shd w:val="clear" w:color="auto" w:fill="auto"/>
            <w:vAlign w:val="center"/>
          </w:tcPr>
          <w:p w14:paraId="5A4F18B6">
            <w:pPr>
              <w:widowControl/>
              <w:jc w:val="center"/>
              <w:textAlignment w:val="center"/>
              <w:rPr>
                <w:color w:val="000000"/>
                <w:szCs w:val="21"/>
              </w:rPr>
            </w:pPr>
            <w:r>
              <w:rPr>
                <w:color w:val="000000"/>
                <w:kern w:val="0"/>
                <w:szCs w:val="21"/>
                <w:lang w:bidi="ar"/>
              </w:rPr>
              <w:t xml:space="preserve">3005164.4 </w:t>
            </w:r>
          </w:p>
        </w:tc>
        <w:tc>
          <w:tcPr>
            <w:tcW w:w="1262" w:type="pct"/>
            <w:shd w:val="clear" w:color="auto" w:fill="auto"/>
            <w:vAlign w:val="center"/>
          </w:tcPr>
          <w:p w14:paraId="69E92B16">
            <w:pPr>
              <w:widowControl/>
              <w:jc w:val="center"/>
              <w:textAlignment w:val="center"/>
              <w:rPr>
                <w:color w:val="000000"/>
                <w:szCs w:val="21"/>
              </w:rPr>
            </w:pPr>
            <w:r>
              <w:rPr>
                <w:color w:val="000000"/>
                <w:kern w:val="0"/>
                <w:szCs w:val="21"/>
                <w:lang w:bidi="ar"/>
              </w:rPr>
              <w:t xml:space="preserve">96.2 </w:t>
            </w:r>
          </w:p>
        </w:tc>
      </w:tr>
      <w:tr w14:paraId="36F19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472" w:type="pct"/>
            <w:vAlign w:val="center"/>
          </w:tcPr>
          <w:p w14:paraId="16D8E731">
            <w:pPr>
              <w:widowControl/>
              <w:spacing w:line="320" w:lineRule="exact"/>
              <w:ind w:left="-25" w:right="-25"/>
              <w:jc w:val="center"/>
              <w:rPr>
                <w:rFonts w:eastAsiaTheme="minorEastAsia"/>
                <w:kern w:val="0"/>
                <w:szCs w:val="21"/>
              </w:rPr>
            </w:pPr>
            <w:r>
              <w:rPr>
                <w:rFonts w:hint="eastAsia" w:eastAsiaTheme="minorEastAsia"/>
                <w:kern w:val="0"/>
                <w:szCs w:val="21"/>
              </w:rPr>
              <w:t>2</w:t>
            </w:r>
          </w:p>
        </w:tc>
        <w:tc>
          <w:tcPr>
            <w:tcW w:w="1334" w:type="pct"/>
            <w:vAlign w:val="center"/>
          </w:tcPr>
          <w:p w14:paraId="56359ED6">
            <w:pPr>
              <w:widowControl/>
              <w:spacing w:line="320" w:lineRule="exact"/>
              <w:ind w:left="-25" w:right="-25"/>
              <w:jc w:val="center"/>
              <w:rPr>
                <w:rFonts w:eastAsiaTheme="minorEastAsia"/>
                <w:kern w:val="0"/>
                <w:szCs w:val="21"/>
              </w:rPr>
            </w:pPr>
            <w:r>
              <w:rPr>
                <w:rFonts w:eastAsiaTheme="minorEastAsia"/>
                <w:kern w:val="0"/>
                <w:szCs w:val="21"/>
              </w:rPr>
              <w:t>万和石材产业园</w:t>
            </w:r>
          </w:p>
        </w:tc>
        <w:tc>
          <w:tcPr>
            <w:tcW w:w="1929" w:type="pct"/>
            <w:shd w:val="clear" w:color="auto" w:fill="auto"/>
            <w:vAlign w:val="center"/>
          </w:tcPr>
          <w:p w14:paraId="0945EA97">
            <w:pPr>
              <w:widowControl/>
              <w:jc w:val="center"/>
              <w:textAlignment w:val="center"/>
              <w:rPr>
                <w:color w:val="000000"/>
                <w:szCs w:val="21"/>
              </w:rPr>
            </w:pPr>
            <w:r>
              <w:rPr>
                <w:color w:val="000000"/>
                <w:kern w:val="0"/>
                <w:szCs w:val="21"/>
                <w:lang w:bidi="ar"/>
              </w:rPr>
              <w:t xml:space="preserve">1412083.2 </w:t>
            </w:r>
          </w:p>
        </w:tc>
        <w:tc>
          <w:tcPr>
            <w:tcW w:w="1262" w:type="pct"/>
            <w:shd w:val="clear" w:color="auto" w:fill="auto"/>
            <w:vAlign w:val="center"/>
          </w:tcPr>
          <w:p w14:paraId="64E885BA">
            <w:pPr>
              <w:widowControl/>
              <w:jc w:val="center"/>
              <w:textAlignment w:val="center"/>
              <w:rPr>
                <w:color w:val="000000"/>
                <w:szCs w:val="21"/>
              </w:rPr>
            </w:pPr>
            <w:r>
              <w:rPr>
                <w:color w:val="000000"/>
                <w:kern w:val="0"/>
                <w:szCs w:val="21"/>
                <w:lang w:bidi="ar"/>
              </w:rPr>
              <w:t xml:space="preserve">45.2 </w:t>
            </w:r>
          </w:p>
        </w:tc>
      </w:tr>
      <w:tr w14:paraId="08CE0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472" w:type="pct"/>
            <w:vAlign w:val="center"/>
          </w:tcPr>
          <w:p w14:paraId="135F2519">
            <w:pPr>
              <w:widowControl/>
              <w:spacing w:line="320" w:lineRule="exact"/>
              <w:ind w:left="-25" w:right="-25"/>
              <w:jc w:val="center"/>
              <w:rPr>
                <w:rFonts w:eastAsiaTheme="minorEastAsia"/>
                <w:kern w:val="0"/>
                <w:szCs w:val="21"/>
              </w:rPr>
            </w:pPr>
            <w:r>
              <w:rPr>
                <w:rFonts w:hint="eastAsia" w:eastAsiaTheme="minorEastAsia"/>
                <w:kern w:val="0"/>
                <w:szCs w:val="21"/>
              </w:rPr>
              <w:t>3</w:t>
            </w:r>
          </w:p>
        </w:tc>
        <w:tc>
          <w:tcPr>
            <w:tcW w:w="1334" w:type="pct"/>
            <w:vAlign w:val="center"/>
          </w:tcPr>
          <w:p w14:paraId="71B96723">
            <w:pPr>
              <w:widowControl/>
              <w:spacing w:line="320" w:lineRule="exact"/>
              <w:ind w:left="-25" w:right="-25"/>
              <w:jc w:val="center"/>
              <w:rPr>
                <w:rFonts w:eastAsiaTheme="minorEastAsia"/>
                <w:kern w:val="0"/>
                <w:szCs w:val="21"/>
              </w:rPr>
            </w:pPr>
            <w:r>
              <w:rPr>
                <w:rFonts w:eastAsiaTheme="minorEastAsia"/>
                <w:kern w:val="0"/>
                <w:szCs w:val="21"/>
              </w:rPr>
              <w:t>太白顶石材产业园</w:t>
            </w:r>
          </w:p>
        </w:tc>
        <w:tc>
          <w:tcPr>
            <w:tcW w:w="1929" w:type="pct"/>
            <w:shd w:val="clear" w:color="auto" w:fill="auto"/>
            <w:vAlign w:val="center"/>
          </w:tcPr>
          <w:p w14:paraId="74CF025B">
            <w:pPr>
              <w:widowControl/>
              <w:jc w:val="center"/>
              <w:textAlignment w:val="center"/>
              <w:rPr>
                <w:color w:val="000000"/>
                <w:szCs w:val="21"/>
              </w:rPr>
            </w:pPr>
            <w:r>
              <w:rPr>
                <w:color w:val="000000"/>
                <w:kern w:val="0"/>
                <w:szCs w:val="21"/>
                <w:lang w:bidi="ar"/>
              </w:rPr>
              <w:t xml:space="preserve">308961.4 </w:t>
            </w:r>
          </w:p>
        </w:tc>
        <w:tc>
          <w:tcPr>
            <w:tcW w:w="1262" w:type="pct"/>
            <w:shd w:val="clear" w:color="auto" w:fill="auto"/>
            <w:vAlign w:val="center"/>
          </w:tcPr>
          <w:p w14:paraId="38AB18FB">
            <w:pPr>
              <w:widowControl/>
              <w:jc w:val="center"/>
              <w:textAlignment w:val="center"/>
              <w:rPr>
                <w:color w:val="000000"/>
                <w:szCs w:val="21"/>
              </w:rPr>
            </w:pPr>
            <w:r>
              <w:rPr>
                <w:color w:val="000000"/>
                <w:kern w:val="0"/>
                <w:szCs w:val="21"/>
                <w:lang w:bidi="ar"/>
              </w:rPr>
              <w:t xml:space="preserve">11.9 </w:t>
            </w:r>
          </w:p>
        </w:tc>
      </w:tr>
      <w:tr w14:paraId="3973F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472" w:type="pct"/>
            <w:vAlign w:val="center"/>
          </w:tcPr>
          <w:p w14:paraId="3390B394">
            <w:pPr>
              <w:widowControl/>
              <w:spacing w:line="320" w:lineRule="exact"/>
              <w:ind w:left="-25" w:right="-25"/>
              <w:jc w:val="center"/>
              <w:rPr>
                <w:rFonts w:eastAsiaTheme="minorEastAsia"/>
                <w:kern w:val="0"/>
                <w:szCs w:val="21"/>
              </w:rPr>
            </w:pPr>
            <w:r>
              <w:rPr>
                <w:rFonts w:hint="eastAsia" w:eastAsiaTheme="minorEastAsia"/>
                <w:kern w:val="0"/>
                <w:szCs w:val="21"/>
              </w:rPr>
              <w:t>4</w:t>
            </w:r>
          </w:p>
        </w:tc>
        <w:tc>
          <w:tcPr>
            <w:tcW w:w="1334" w:type="pct"/>
            <w:vAlign w:val="center"/>
          </w:tcPr>
          <w:p w14:paraId="2E98271E">
            <w:pPr>
              <w:widowControl/>
              <w:spacing w:line="320" w:lineRule="exact"/>
              <w:ind w:left="-25" w:right="-25"/>
              <w:jc w:val="center"/>
              <w:rPr>
                <w:rFonts w:eastAsiaTheme="minorEastAsia"/>
                <w:kern w:val="0"/>
                <w:szCs w:val="21"/>
              </w:rPr>
            </w:pPr>
            <w:r>
              <w:rPr>
                <w:rFonts w:eastAsiaTheme="minorEastAsia"/>
                <w:kern w:val="0"/>
                <w:szCs w:val="21"/>
              </w:rPr>
              <w:t>草店石材产业园</w:t>
            </w:r>
          </w:p>
        </w:tc>
        <w:tc>
          <w:tcPr>
            <w:tcW w:w="1929" w:type="pct"/>
            <w:shd w:val="clear" w:color="auto" w:fill="auto"/>
            <w:vAlign w:val="center"/>
          </w:tcPr>
          <w:p w14:paraId="47660F3B">
            <w:pPr>
              <w:widowControl/>
              <w:jc w:val="center"/>
              <w:textAlignment w:val="center"/>
              <w:rPr>
                <w:color w:val="000000"/>
                <w:szCs w:val="21"/>
              </w:rPr>
            </w:pPr>
            <w:r>
              <w:rPr>
                <w:color w:val="000000"/>
                <w:kern w:val="0"/>
                <w:szCs w:val="21"/>
                <w:lang w:bidi="ar"/>
              </w:rPr>
              <w:t xml:space="preserve">167063.3 </w:t>
            </w:r>
          </w:p>
        </w:tc>
        <w:tc>
          <w:tcPr>
            <w:tcW w:w="1262" w:type="pct"/>
            <w:shd w:val="clear" w:color="auto" w:fill="auto"/>
            <w:vAlign w:val="center"/>
          </w:tcPr>
          <w:p w14:paraId="272E5A6F">
            <w:pPr>
              <w:widowControl/>
              <w:jc w:val="center"/>
              <w:textAlignment w:val="center"/>
              <w:rPr>
                <w:color w:val="000000"/>
                <w:szCs w:val="21"/>
              </w:rPr>
            </w:pPr>
            <w:r>
              <w:rPr>
                <w:color w:val="000000"/>
                <w:kern w:val="0"/>
                <w:szCs w:val="21"/>
                <w:lang w:bidi="ar"/>
              </w:rPr>
              <w:t xml:space="preserve">2.2 </w:t>
            </w:r>
          </w:p>
        </w:tc>
      </w:tr>
      <w:tr w14:paraId="4A24F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trPr>
        <w:tc>
          <w:tcPr>
            <w:tcW w:w="472" w:type="pct"/>
            <w:vAlign w:val="center"/>
          </w:tcPr>
          <w:p w14:paraId="11915FAC">
            <w:pPr>
              <w:widowControl/>
              <w:spacing w:line="320" w:lineRule="exact"/>
              <w:ind w:left="-25" w:right="-25"/>
              <w:jc w:val="center"/>
              <w:rPr>
                <w:rFonts w:eastAsiaTheme="minorEastAsia"/>
                <w:kern w:val="0"/>
                <w:szCs w:val="21"/>
              </w:rPr>
            </w:pPr>
            <w:r>
              <w:rPr>
                <w:rFonts w:hint="eastAsia" w:eastAsiaTheme="minorEastAsia"/>
                <w:kern w:val="0"/>
                <w:szCs w:val="21"/>
              </w:rPr>
              <w:t>5</w:t>
            </w:r>
          </w:p>
        </w:tc>
        <w:tc>
          <w:tcPr>
            <w:tcW w:w="1334" w:type="pct"/>
            <w:vAlign w:val="center"/>
          </w:tcPr>
          <w:p w14:paraId="6C80FA29">
            <w:pPr>
              <w:widowControl/>
              <w:spacing w:line="320" w:lineRule="exact"/>
              <w:ind w:left="-25" w:right="-25"/>
              <w:jc w:val="center"/>
              <w:rPr>
                <w:rFonts w:eastAsiaTheme="minorEastAsia"/>
                <w:kern w:val="0"/>
                <w:szCs w:val="21"/>
              </w:rPr>
            </w:pPr>
            <w:r>
              <w:rPr>
                <w:rFonts w:eastAsiaTheme="minorEastAsia"/>
                <w:kern w:val="0"/>
                <w:szCs w:val="21"/>
              </w:rPr>
              <w:t>合计</w:t>
            </w:r>
          </w:p>
        </w:tc>
        <w:tc>
          <w:tcPr>
            <w:tcW w:w="1929" w:type="pct"/>
            <w:shd w:val="clear" w:color="auto" w:fill="auto"/>
            <w:vAlign w:val="center"/>
          </w:tcPr>
          <w:p w14:paraId="140B3E34">
            <w:pPr>
              <w:widowControl/>
              <w:jc w:val="center"/>
              <w:textAlignment w:val="center"/>
              <w:rPr>
                <w:color w:val="000000"/>
                <w:szCs w:val="21"/>
              </w:rPr>
            </w:pPr>
            <w:r>
              <w:rPr>
                <w:color w:val="000000"/>
                <w:kern w:val="0"/>
                <w:szCs w:val="21"/>
                <w:lang w:bidi="ar"/>
              </w:rPr>
              <w:t xml:space="preserve">4893272.4 </w:t>
            </w:r>
          </w:p>
        </w:tc>
        <w:tc>
          <w:tcPr>
            <w:tcW w:w="1262" w:type="pct"/>
            <w:shd w:val="clear" w:color="auto" w:fill="auto"/>
            <w:vAlign w:val="center"/>
          </w:tcPr>
          <w:p w14:paraId="65801C9D">
            <w:pPr>
              <w:widowControl/>
              <w:jc w:val="center"/>
              <w:textAlignment w:val="center"/>
              <w:rPr>
                <w:color w:val="000000"/>
                <w:szCs w:val="21"/>
              </w:rPr>
            </w:pPr>
            <w:r>
              <w:rPr>
                <w:color w:val="000000"/>
                <w:kern w:val="0"/>
                <w:szCs w:val="21"/>
                <w:lang w:bidi="ar"/>
              </w:rPr>
              <w:t xml:space="preserve">155.5 </w:t>
            </w:r>
          </w:p>
        </w:tc>
      </w:tr>
    </w:tbl>
    <w:p w14:paraId="6960F141">
      <w:pPr>
        <w:keepNext/>
        <w:keepLines/>
        <w:widowControl/>
        <w:numPr>
          <w:ilvl w:val="2"/>
          <w:numId w:val="1"/>
        </w:numPr>
        <w:spacing w:before="120" w:after="120" w:line="360" w:lineRule="auto"/>
        <w:jc w:val="left"/>
        <w:outlineLvl w:val="2"/>
        <w:rPr>
          <w:rFonts w:eastAsiaTheme="minorEastAsia"/>
          <w:b/>
          <w:bCs/>
          <w:sz w:val="24"/>
        </w:rPr>
      </w:pPr>
      <w:bookmarkStart w:id="147" w:name="_Toc206494975"/>
      <w:r>
        <w:rPr>
          <w:rFonts w:hint="eastAsia" w:eastAsiaTheme="minorEastAsia"/>
          <w:b/>
          <w:bCs/>
          <w:sz w:val="24"/>
        </w:rPr>
        <w:t>污染源预测汇总</w:t>
      </w:r>
      <w:bookmarkEnd w:id="147"/>
    </w:p>
    <w:p w14:paraId="19DAB6EA">
      <w:pPr>
        <w:spacing w:line="360" w:lineRule="auto"/>
        <w:ind w:firstLine="480" w:firstLineChars="200"/>
        <w:rPr>
          <w:rFonts w:eastAsiaTheme="minorEastAsia"/>
          <w:sz w:val="24"/>
        </w:rPr>
      </w:pPr>
      <w:r>
        <w:rPr>
          <w:rFonts w:hint="eastAsia" w:eastAsiaTheme="minorEastAsia"/>
          <w:sz w:val="24"/>
        </w:rPr>
        <w:t>规划</w:t>
      </w:r>
      <w:r>
        <w:rPr>
          <w:rFonts w:eastAsiaTheme="minorEastAsia"/>
          <w:sz w:val="24"/>
        </w:rPr>
        <w:t>园区生活和工业排放的主要污染物量估算汇总如下表。</w:t>
      </w:r>
    </w:p>
    <w:p w14:paraId="05C4BAD5">
      <w:pPr>
        <w:spacing w:line="360" w:lineRule="auto"/>
        <w:ind w:firstLine="422"/>
        <w:jc w:val="center"/>
        <w:rPr>
          <w:rFonts w:eastAsiaTheme="minorEastAsia"/>
          <w:b/>
          <w:szCs w:val="21"/>
        </w:rPr>
      </w:pPr>
      <w:r>
        <w:rPr>
          <w:rFonts w:eastAsiaTheme="minorEastAsia"/>
          <w:b/>
          <w:szCs w:val="21"/>
        </w:rPr>
        <w:t>表</w:t>
      </w:r>
      <w:r>
        <w:rPr>
          <w:rFonts w:hint="eastAsia" w:eastAsiaTheme="minorEastAsia"/>
          <w:b/>
          <w:szCs w:val="21"/>
        </w:rPr>
        <w:t>5.1.5-1   规划园区主要污染物排放量汇总表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129"/>
        <w:gridCol w:w="2976"/>
        <w:gridCol w:w="2749"/>
      </w:tblGrid>
      <w:tr w14:paraId="45BBF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43" w:type="pct"/>
            <w:gridSpan w:val="2"/>
            <w:vAlign w:val="center"/>
          </w:tcPr>
          <w:p w14:paraId="446AAA4A">
            <w:pPr>
              <w:widowControl/>
              <w:spacing w:line="320" w:lineRule="exact"/>
              <w:jc w:val="center"/>
              <w:rPr>
                <w:kern w:val="0"/>
                <w:szCs w:val="21"/>
              </w:rPr>
            </w:pPr>
            <w:r>
              <w:rPr>
                <w:kern w:val="0"/>
                <w:szCs w:val="21"/>
              </w:rPr>
              <w:t>类别</w:t>
            </w:r>
          </w:p>
        </w:tc>
        <w:tc>
          <w:tcPr>
            <w:tcW w:w="1744" w:type="pct"/>
            <w:vAlign w:val="center"/>
          </w:tcPr>
          <w:p w14:paraId="61499B90">
            <w:pPr>
              <w:widowControl/>
              <w:spacing w:line="320" w:lineRule="exact"/>
              <w:ind w:left="-53" w:leftChars="-25" w:right="-53" w:rightChars="-25"/>
              <w:contextualSpacing/>
              <w:jc w:val="center"/>
              <w:rPr>
                <w:kern w:val="0"/>
                <w:szCs w:val="21"/>
              </w:rPr>
            </w:pPr>
            <w:r>
              <w:rPr>
                <w:rFonts w:hint="eastAsia"/>
                <w:kern w:val="0"/>
                <w:szCs w:val="21"/>
              </w:rPr>
              <w:t>近期2025年排放量（t/a）</w:t>
            </w:r>
          </w:p>
          <w:p w14:paraId="542A8A42">
            <w:pPr>
              <w:widowControl/>
              <w:spacing w:line="320" w:lineRule="exact"/>
              <w:ind w:left="-53" w:leftChars="-25" w:right="-53" w:rightChars="-25"/>
              <w:contextualSpacing/>
              <w:jc w:val="center"/>
              <w:rPr>
                <w:kern w:val="0"/>
                <w:szCs w:val="21"/>
              </w:rPr>
            </w:pPr>
            <w:r>
              <w:rPr>
                <w:rFonts w:hint="eastAsia"/>
                <w:kern w:val="0"/>
                <w:szCs w:val="21"/>
              </w:rPr>
              <w:t>固体废物为产生量（t/a）</w:t>
            </w:r>
          </w:p>
        </w:tc>
        <w:tc>
          <w:tcPr>
            <w:tcW w:w="1611" w:type="pct"/>
            <w:vAlign w:val="center"/>
          </w:tcPr>
          <w:p w14:paraId="17CC63C2">
            <w:pPr>
              <w:spacing w:line="320" w:lineRule="exact"/>
              <w:ind w:left="-53" w:leftChars="-25" w:right="-53" w:rightChars="-25"/>
              <w:contextualSpacing/>
              <w:jc w:val="center"/>
              <w:rPr>
                <w:szCs w:val="21"/>
              </w:rPr>
            </w:pPr>
            <w:r>
              <w:rPr>
                <w:rFonts w:hint="eastAsia"/>
                <w:kern w:val="0"/>
                <w:szCs w:val="21"/>
              </w:rPr>
              <w:t>规划至</w:t>
            </w:r>
            <w:r>
              <w:rPr>
                <w:rFonts w:hint="eastAsia"/>
                <w:szCs w:val="21"/>
              </w:rPr>
              <w:t>2035年</w:t>
            </w:r>
            <w:r>
              <w:rPr>
                <w:rFonts w:hint="eastAsia"/>
                <w:kern w:val="0"/>
                <w:szCs w:val="21"/>
              </w:rPr>
              <w:t>排放量（t/a）固体废物为产生量（t/a）</w:t>
            </w:r>
          </w:p>
        </w:tc>
      </w:tr>
      <w:tr w14:paraId="499EC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95" w:type="pct"/>
            <w:vMerge w:val="restart"/>
            <w:vAlign w:val="center"/>
          </w:tcPr>
          <w:p w14:paraId="41405442">
            <w:pPr>
              <w:widowControl/>
              <w:spacing w:line="320" w:lineRule="exact"/>
              <w:jc w:val="center"/>
              <w:rPr>
                <w:kern w:val="0"/>
                <w:szCs w:val="21"/>
              </w:rPr>
            </w:pPr>
            <w:r>
              <w:rPr>
                <w:kern w:val="0"/>
                <w:szCs w:val="21"/>
              </w:rPr>
              <w:t>废气</w:t>
            </w:r>
          </w:p>
        </w:tc>
        <w:tc>
          <w:tcPr>
            <w:tcW w:w="1248" w:type="pct"/>
            <w:vAlign w:val="center"/>
          </w:tcPr>
          <w:p w14:paraId="48A5E16E">
            <w:pPr>
              <w:widowControl/>
              <w:spacing w:line="320" w:lineRule="exact"/>
              <w:jc w:val="center"/>
              <w:rPr>
                <w:kern w:val="0"/>
                <w:szCs w:val="21"/>
              </w:rPr>
            </w:pPr>
            <w:r>
              <w:rPr>
                <w:kern w:val="0"/>
                <w:szCs w:val="21"/>
              </w:rPr>
              <w:t>颗粒物</w:t>
            </w:r>
          </w:p>
        </w:tc>
        <w:tc>
          <w:tcPr>
            <w:tcW w:w="1744" w:type="pct"/>
            <w:tcBorders>
              <w:top w:val="nil"/>
              <w:left w:val="nil"/>
              <w:bottom w:val="single" w:color="000000" w:sz="8" w:space="0"/>
              <w:right w:val="single" w:color="000000" w:sz="8" w:space="0"/>
            </w:tcBorders>
            <w:shd w:val="clear" w:color="auto" w:fill="auto"/>
            <w:vAlign w:val="center"/>
          </w:tcPr>
          <w:p w14:paraId="6F8A6DCE">
            <w:pPr>
              <w:widowControl/>
              <w:spacing w:line="320" w:lineRule="exact"/>
              <w:jc w:val="center"/>
              <w:rPr>
                <w:color w:val="000000"/>
                <w:szCs w:val="21"/>
              </w:rPr>
            </w:pPr>
            <w:r>
              <w:rPr>
                <w:rFonts w:hint="eastAsia"/>
                <w:color w:val="000000"/>
                <w:szCs w:val="21"/>
              </w:rPr>
              <w:t>396.41</w:t>
            </w:r>
          </w:p>
        </w:tc>
        <w:tc>
          <w:tcPr>
            <w:tcW w:w="1611" w:type="pct"/>
            <w:tcBorders>
              <w:top w:val="nil"/>
              <w:left w:val="nil"/>
              <w:bottom w:val="single" w:color="000000" w:sz="8" w:space="0"/>
              <w:right w:val="single" w:color="000000" w:sz="12" w:space="0"/>
            </w:tcBorders>
            <w:shd w:val="clear" w:color="auto" w:fill="auto"/>
            <w:vAlign w:val="center"/>
          </w:tcPr>
          <w:p w14:paraId="11942B23">
            <w:pPr>
              <w:widowControl/>
              <w:spacing w:line="320" w:lineRule="exact"/>
              <w:jc w:val="center"/>
              <w:rPr>
                <w:kern w:val="0"/>
                <w:szCs w:val="21"/>
              </w:rPr>
            </w:pPr>
            <w:r>
              <w:rPr>
                <w:color w:val="000000"/>
                <w:szCs w:val="21"/>
              </w:rPr>
              <w:t xml:space="preserve">547.14 </w:t>
            </w:r>
          </w:p>
        </w:tc>
      </w:tr>
      <w:tr w14:paraId="63B64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95" w:type="pct"/>
            <w:vMerge w:val="continue"/>
            <w:vAlign w:val="center"/>
          </w:tcPr>
          <w:p w14:paraId="0E94EED1">
            <w:pPr>
              <w:widowControl/>
              <w:spacing w:line="320" w:lineRule="exact"/>
              <w:jc w:val="center"/>
              <w:rPr>
                <w:kern w:val="0"/>
                <w:szCs w:val="21"/>
              </w:rPr>
            </w:pPr>
          </w:p>
        </w:tc>
        <w:tc>
          <w:tcPr>
            <w:tcW w:w="1248" w:type="pct"/>
            <w:vAlign w:val="center"/>
          </w:tcPr>
          <w:p w14:paraId="04DB8FD5">
            <w:pPr>
              <w:widowControl/>
              <w:spacing w:line="320" w:lineRule="exact"/>
              <w:jc w:val="center"/>
              <w:rPr>
                <w:kern w:val="0"/>
                <w:szCs w:val="21"/>
              </w:rPr>
            </w:pPr>
            <w:r>
              <w:rPr>
                <w:rFonts w:hint="eastAsia"/>
                <w:kern w:val="0"/>
                <w:szCs w:val="21"/>
              </w:rPr>
              <w:t>二氧化硫</w:t>
            </w:r>
          </w:p>
        </w:tc>
        <w:tc>
          <w:tcPr>
            <w:tcW w:w="1744" w:type="pct"/>
            <w:tcBorders>
              <w:top w:val="nil"/>
              <w:left w:val="nil"/>
              <w:bottom w:val="single" w:color="000000" w:sz="8" w:space="0"/>
              <w:right w:val="single" w:color="000000" w:sz="8" w:space="0"/>
            </w:tcBorders>
            <w:shd w:val="clear" w:color="auto" w:fill="auto"/>
            <w:vAlign w:val="center"/>
          </w:tcPr>
          <w:p w14:paraId="5C6EC9AF">
            <w:pPr>
              <w:widowControl/>
              <w:spacing w:line="320" w:lineRule="exact"/>
              <w:jc w:val="center"/>
              <w:rPr>
                <w:color w:val="000000"/>
                <w:szCs w:val="21"/>
              </w:rPr>
            </w:pPr>
            <w:r>
              <w:rPr>
                <w:rFonts w:hint="eastAsia"/>
                <w:color w:val="000000"/>
                <w:szCs w:val="21"/>
              </w:rPr>
              <w:t>0.023</w:t>
            </w:r>
          </w:p>
        </w:tc>
        <w:tc>
          <w:tcPr>
            <w:tcW w:w="1611" w:type="pct"/>
            <w:tcBorders>
              <w:top w:val="nil"/>
              <w:left w:val="nil"/>
              <w:bottom w:val="single" w:color="000000" w:sz="8" w:space="0"/>
              <w:right w:val="single" w:color="000000" w:sz="12" w:space="0"/>
            </w:tcBorders>
            <w:shd w:val="clear" w:color="auto" w:fill="auto"/>
            <w:vAlign w:val="center"/>
          </w:tcPr>
          <w:p w14:paraId="7B026161">
            <w:pPr>
              <w:widowControl/>
              <w:spacing w:line="320" w:lineRule="exact"/>
              <w:jc w:val="center"/>
              <w:rPr>
                <w:kern w:val="0"/>
                <w:szCs w:val="21"/>
              </w:rPr>
            </w:pPr>
            <w:r>
              <w:rPr>
                <w:rFonts w:hint="eastAsia"/>
                <w:kern w:val="0"/>
                <w:szCs w:val="21"/>
              </w:rPr>
              <w:t>0.027</w:t>
            </w:r>
          </w:p>
        </w:tc>
      </w:tr>
      <w:tr w14:paraId="73B6F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95" w:type="pct"/>
            <w:vMerge w:val="continue"/>
            <w:vAlign w:val="center"/>
          </w:tcPr>
          <w:p w14:paraId="4C014720">
            <w:pPr>
              <w:widowControl/>
              <w:spacing w:line="320" w:lineRule="exact"/>
              <w:jc w:val="center"/>
              <w:rPr>
                <w:kern w:val="0"/>
                <w:szCs w:val="21"/>
              </w:rPr>
            </w:pPr>
          </w:p>
        </w:tc>
        <w:tc>
          <w:tcPr>
            <w:tcW w:w="1248" w:type="pct"/>
            <w:vAlign w:val="center"/>
          </w:tcPr>
          <w:p w14:paraId="1973C829">
            <w:pPr>
              <w:widowControl/>
              <w:spacing w:line="320" w:lineRule="exact"/>
              <w:jc w:val="center"/>
              <w:rPr>
                <w:kern w:val="0"/>
                <w:szCs w:val="21"/>
              </w:rPr>
            </w:pPr>
            <w:r>
              <w:rPr>
                <w:rFonts w:hint="eastAsia"/>
                <w:kern w:val="0"/>
                <w:szCs w:val="21"/>
              </w:rPr>
              <w:t>氮氧化物</w:t>
            </w:r>
          </w:p>
        </w:tc>
        <w:tc>
          <w:tcPr>
            <w:tcW w:w="1744" w:type="pct"/>
            <w:tcBorders>
              <w:top w:val="nil"/>
              <w:left w:val="nil"/>
              <w:bottom w:val="single" w:color="000000" w:sz="8" w:space="0"/>
              <w:right w:val="single" w:color="000000" w:sz="8" w:space="0"/>
            </w:tcBorders>
            <w:shd w:val="clear" w:color="auto" w:fill="auto"/>
            <w:vAlign w:val="center"/>
          </w:tcPr>
          <w:p w14:paraId="18A59755">
            <w:pPr>
              <w:widowControl/>
              <w:spacing w:line="320" w:lineRule="exact"/>
              <w:jc w:val="center"/>
              <w:rPr>
                <w:color w:val="000000"/>
                <w:szCs w:val="21"/>
              </w:rPr>
            </w:pPr>
            <w:r>
              <w:rPr>
                <w:rFonts w:hint="eastAsia"/>
                <w:color w:val="000000"/>
                <w:szCs w:val="21"/>
              </w:rPr>
              <w:t>0.700</w:t>
            </w:r>
          </w:p>
        </w:tc>
        <w:tc>
          <w:tcPr>
            <w:tcW w:w="1611" w:type="pct"/>
            <w:tcBorders>
              <w:top w:val="nil"/>
              <w:left w:val="nil"/>
              <w:bottom w:val="single" w:color="000000" w:sz="8" w:space="0"/>
              <w:right w:val="single" w:color="000000" w:sz="12" w:space="0"/>
            </w:tcBorders>
            <w:shd w:val="clear" w:color="auto" w:fill="auto"/>
            <w:vAlign w:val="center"/>
          </w:tcPr>
          <w:p w14:paraId="25194E3E">
            <w:pPr>
              <w:widowControl/>
              <w:spacing w:line="320" w:lineRule="exact"/>
              <w:jc w:val="center"/>
              <w:rPr>
                <w:kern w:val="0"/>
                <w:szCs w:val="21"/>
              </w:rPr>
            </w:pPr>
            <w:r>
              <w:rPr>
                <w:rFonts w:hint="eastAsia"/>
                <w:kern w:val="0"/>
                <w:szCs w:val="21"/>
              </w:rPr>
              <w:t>0.802</w:t>
            </w:r>
          </w:p>
        </w:tc>
      </w:tr>
      <w:tr w14:paraId="77051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restart"/>
            <w:vAlign w:val="center"/>
          </w:tcPr>
          <w:p w14:paraId="274BD90B">
            <w:pPr>
              <w:widowControl/>
              <w:spacing w:line="320" w:lineRule="exact"/>
              <w:jc w:val="center"/>
              <w:rPr>
                <w:kern w:val="0"/>
                <w:szCs w:val="21"/>
              </w:rPr>
            </w:pPr>
            <w:r>
              <w:rPr>
                <w:kern w:val="0"/>
                <w:szCs w:val="21"/>
              </w:rPr>
              <w:t>废水</w:t>
            </w:r>
          </w:p>
        </w:tc>
        <w:tc>
          <w:tcPr>
            <w:tcW w:w="1248" w:type="pct"/>
            <w:vAlign w:val="center"/>
          </w:tcPr>
          <w:p w14:paraId="3739766D">
            <w:pPr>
              <w:widowControl/>
              <w:spacing w:line="320" w:lineRule="exact"/>
              <w:jc w:val="center"/>
              <w:rPr>
                <w:kern w:val="0"/>
                <w:szCs w:val="21"/>
              </w:rPr>
            </w:pPr>
            <w:r>
              <w:rPr>
                <w:kern w:val="0"/>
                <w:szCs w:val="21"/>
              </w:rPr>
              <w:t>COD</w:t>
            </w:r>
          </w:p>
        </w:tc>
        <w:tc>
          <w:tcPr>
            <w:tcW w:w="1744" w:type="pct"/>
            <w:vAlign w:val="center"/>
          </w:tcPr>
          <w:p w14:paraId="2E646F38">
            <w:pPr>
              <w:widowControl/>
              <w:spacing w:line="320" w:lineRule="exact"/>
              <w:jc w:val="center"/>
              <w:rPr>
                <w:color w:val="000000"/>
                <w:szCs w:val="21"/>
              </w:rPr>
            </w:pPr>
            <w:r>
              <w:rPr>
                <w:rFonts w:hint="eastAsia"/>
                <w:color w:val="000000"/>
                <w:szCs w:val="21"/>
              </w:rPr>
              <w:t>1.93</w:t>
            </w:r>
          </w:p>
        </w:tc>
        <w:tc>
          <w:tcPr>
            <w:tcW w:w="1611" w:type="pct"/>
            <w:vAlign w:val="center"/>
          </w:tcPr>
          <w:p w14:paraId="5FA9F456">
            <w:pPr>
              <w:widowControl/>
              <w:spacing w:line="320" w:lineRule="exact"/>
              <w:jc w:val="center"/>
              <w:rPr>
                <w:kern w:val="0"/>
                <w:szCs w:val="21"/>
              </w:rPr>
            </w:pPr>
            <w:r>
              <w:rPr>
                <w:color w:val="000000"/>
                <w:kern w:val="0"/>
                <w:sz w:val="22"/>
                <w:szCs w:val="22"/>
                <w:lang w:bidi="ar"/>
              </w:rPr>
              <w:t>70.08</w:t>
            </w:r>
          </w:p>
        </w:tc>
      </w:tr>
      <w:tr w14:paraId="222B2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vAlign w:val="center"/>
          </w:tcPr>
          <w:p w14:paraId="699E3BC9">
            <w:pPr>
              <w:widowControl/>
              <w:spacing w:line="320" w:lineRule="exact"/>
              <w:jc w:val="center"/>
              <w:rPr>
                <w:kern w:val="0"/>
                <w:szCs w:val="21"/>
              </w:rPr>
            </w:pPr>
          </w:p>
        </w:tc>
        <w:tc>
          <w:tcPr>
            <w:tcW w:w="1248" w:type="pct"/>
            <w:vAlign w:val="center"/>
          </w:tcPr>
          <w:p w14:paraId="7210DAC3">
            <w:pPr>
              <w:widowControl/>
              <w:spacing w:line="320" w:lineRule="exact"/>
              <w:jc w:val="center"/>
              <w:rPr>
                <w:kern w:val="0"/>
                <w:szCs w:val="21"/>
              </w:rPr>
            </w:pPr>
            <w:r>
              <w:rPr>
                <w:kern w:val="0"/>
                <w:szCs w:val="21"/>
              </w:rPr>
              <w:t>NH</w:t>
            </w:r>
            <w:r>
              <w:rPr>
                <w:kern w:val="0"/>
                <w:szCs w:val="21"/>
                <w:vertAlign w:val="subscript"/>
              </w:rPr>
              <w:t>3</w:t>
            </w:r>
            <w:r>
              <w:rPr>
                <w:kern w:val="0"/>
                <w:szCs w:val="21"/>
              </w:rPr>
              <w:t>-N</w:t>
            </w:r>
          </w:p>
        </w:tc>
        <w:tc>
          <w:tcPr>
            <w:tcW w:w="1744" w:type="pct"/>
            <w:vAlign w:val="center"/>
          </w:tcPr>
          <w:p w14:paraId="0BCA065F">
            <w:pPr>
              <w:widowControl/>
              <w:spacing w:line="320" w:lineRule="exact"/>
              <w:jc w:val="center"/>
              <w:rPr>
                <w:kern w:val="0"/>
                <w:szCs w:val="21"/>
              </w:rPr>
            </w:pPr>
            <w:r>
              <w:rPr>
                <w:rFonts w:hint="eastAsia"/>
                <w:kern w:val="0"/>
                <w:szCs w:val="21"/>
              </w:rPr>
              <w:t>0.19</w:t>
            </w:r>
          </w:p>
        </w:tc>
        <w:tc>
          <w:tcPr>
            <w:tcW w:w="1611" w:type="pct"/>
            <w:vAlign w:val="center"/>
          </w:tcPr>
          <w:p w14:paraId="51557A08">
            <w:pPr>
              <w:widowControl/>
              <w:spacing w:line="320" w:lineRule="exact"/>
              <w:jc w:val="center"/>
              <w:rPr>
                <w:kern w:val="0"/>
                <w:szCs w:val="21"/>
              </w:rPr>
            </w:pPr>
            <w:r>
              <w:rPr>
                <w:rFonts w:hint="eastAsia"/>
                <w:kern w:val="0"/>
                <w:szCs w:val="21"/>
              </w:rPr>
              <w:t>7.01</w:t>
            </w:r>
          </w:p>
        </w:tc>
      </w:tr>
      <w:tr w14:paraId="20163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restart"/>
            <w:vAlign w:val="center"/>
          </w:tcPr>
          <w:p w14:paraId="32F60179">
            <w:pPr>
              <w:widowControl/>
              <w:spacing w:line="320" w:lineRule="exact"/>
              <w:jc w:val="center"/>
              <w:rPr>
                <w:kern w:val="0"/>
                <w:szCs w:val="21"/>
              </w:rPr>
            </w:pPr>
            <w:r>
              <w:rPr>
                <w:kern w:val="0"/>
                <w:szCs w:val="21"/>
              </w:rPr>
              <w:t>固体废物</w:t>
            </w:r>
          </w:p>
        </w:tc>
        <w:tc>
          <w:tcPr>
            <w:tcW w:w="1248" w:type="pct"/>
            <w:vAlign w:val="center"/>
          </w:tcPr>
          <w:p w14:paraId="20B05D08">
            <w:pPr>
              <w:widowControl/>
              <w:spacing w:line="320" w:lineRule="exact"/>
              <w:jc w:val="center"/>
              <w:rPr>
                <w:kern w:val="0"/>
                <w:szCs w:val="21"/>
              </w:rPr>
            </w:pPr>
            <w:r>
              <w:rPr>
                <w:kern w:val="0"/>
                <w:szCs w:val="21"/>
              </w:rPr>
              <w:t>生活垃圾</w:t>
            </w:r>
          </w:p>
        </w:tc>
        <w:tc>
          <w:tcPr>
            <w:tcW w:w="1744" w:type="pct"/>
            <w:vAlign w:val="center"/>
          </w:tcPr>
          <w:p w14:paraId="41AB24B0">
            <w:pPr>
              <w:widowControl/>
              <w:spacing w:line="320" w:lineRule="exact"/>
              <w:jc w:val="center"/>
              <w:rPr>
                <w:kern w:val="0"/>
                <w:szCs w:val="21"/>
              </w:rPr>
            </w:pPr>
            <w:r>
              <w:rPr>
                <w:rFonts w:hint="eastAsia"/>
                <w:kern w:val="0"/>
                <w:szCs w:val="21"/>
              </w:rPr>
              <w:t>14600</w:t>
            </w:r>
          </w:p>
        </w:tc>
        <w:tc>
          <w:tcPr>
            <w:tcW w:w="1611" w:type="pct"/>
            <w:vAlign w:val="center"/>
          </w:tcPr>
          <w:p w14:paraId="6BE5A96C">
            <w:pPr>
              <w:widowControl/>
              <w:spacing w:line="320" w:lineRule="exact"/>
              <w:jc w:val="center"/>
              <w:rPr>
                <w:kern w:val="0"/>
                <w:szCs w:val="21"/>
              </w:rPr>
            </w:pPr>
            <w:r>
              <w:rPr>
                <w:rFonts w:hint="eastAsia"/>
                <w:kern w:val="0"/>
                <w:szCs w:val="21"/>
              </w:rPr>
              <w:t>29200</w:t>
            </w:r>
          </w:p>
        </w:tc>
      </w:tr>
      <w:tr w14:paraId="6E852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vAlign w:val="center"/>
          </w:tcPr>
          <w:p w14:paraId="273511A4">
            <w:pPr>
              <w:widowControl/>
              <w:spacing w:line="320" w:lineRule="exact"/>
              <w:jc w:val="center"/>
              <w:rPr>
                <w:kern w:val="0"/>
                <w:szCs w:val="21"/>
              </w:rPr>
            </w:pPr>
          </w:p>
        </w:tc>
        <w:tc>
          <w:tcPr>
            <w:tcW w:w="1248" w:type="pct"/>
            <w:vAlign w:val="center"/>
          </w:tcPr>
          <w:p w14:paraId="6A79FB53">
            <w:pPr>
              <w:widowControl/>
              <w:spacing w:line="320" w:lineRule="exact"/>
              <w:jc w:val="center"/>
              <w:rPr>
                <w:kern w:val="0"/>
                <w:szCs w:val="21"/>
              </w:rPr>
            </w:pPr>
            <w:r>
              <w:rPr>
                <w:kern w:val="0"/>
                <w:szCs w:val="21"/>
              </w:rPr>
              <w:t>一般工业固体废物</w:t>
            </w:r>
          </w:p>
        </w:tc>
        <w:tc>
          <w:tcPr>
            <w:tcW w:w="1744" w:type="pct"/>
            <w:shd w:val="clear" w:color="auto" w:fill="auto"/>
            <w:vAlign w:val="center"/>
          </w:tcPr>
          <w:p w14:paraId="00111F75">
            <w:pPr>
              <w:widowControl/>
              <w:spacing w:line="320" w:lineRule="exact"/>
              <w:jc w:val="center"/>
              <w:rPr>
                <w:kern w:val="0"/>
                <w:szCs w:val="21"/>
              </w:rPr>
            </w:pPr>
            <w:r>
              <w:rPr>
                <w:kern w:val="0"/>
                <w:szCs w:val="21"/>
              </w:rPr>
              <w:t>4389926.5</w:t>
            </w:r>
          </w:p>
        </w:tc>
        <w:tc>
          <w:tcPr>
            <w:tcW w:w="1611" w:type="pct"/>
            <w:shd w:val="clear" w:color="auto" w:fill="auto"/>
            <w:vAlign w:val="center"/>
          </w:tcPr>
          <w:p w14:paraId="1C84C17F">
            <w:pPr>
              <w:widowControl/>
              <w:spacing w:line="320" w:lineRule="exact"/>
              <w:jc w:val="center"/>
              <w:rPr>
                <w:kern w:val="0"/>
                <w:szCs w:val="21"/>
              </w:rPr>
            </w:pPr>
            <w:r>
              <w:rPr>
                <w:rFonts w:hint="eastAsia"/>
                <w:kern w:val="0"/>
                <w:szCs w:val="21"/>
              </w:rPr>
              <w:t xml:space="preserve">4893272.4 </w:t>
            </w:r>
          </w:p>
        </w:tc>
      </w:tr>
      <w:tr w14:paraId="623BC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5" w:type="pct"/>
            <w:vMerge w:val="continue"/>
            <w:vAlign w:val="center"/>
          </w:tcPr>
          <w:p w14:paraId="69D88FE9">
            <w:pPr>
              <w:widowControl/>
              <w:spacing w:line="320" w:lineRule="exact"/>
              <w:jc w:val="center"/>
              <w:rPr>
                <w:kern w:val="0"/>
                <w:szCs w:val="21"/>
              </w:rPr>
            </w:pPr>
          </w:p>
        </w:tc>
        <w:tc>
          <w:tcPr>
            <w:tcW w:w="1248" w:type="pct"/>
            <w:vAlign w:val="center"/>
          </w:tcPr>
          <w:p w14:paraId="2E61A4F7">
            <w:pPr>
              <w:widowControl/>
              <w:spacing w:line="320" w:lineRule="exact"/>
              <w:jc w:val="center"/>
              <w:rPr>
                <w:kern w:val="0"/>
                <w:szCs w:val="21"/>
              </w:rPr>
            </w:pPr>
            <w:r>
              <w:rPr>
                <w:kern w:val="0"/>
                <w:szCs w:val="21"/>
              </w:rPr>
              <w:t>危险废物</w:t>
            </w:r>
          </w:p>
        </w:tc>
        <w:tc>
          <w:tcPr>
            <w:tcW w:w="1744" w:type="pct"/>
            <w:vAlign w:val="center"/>
          </w:tcPr>
          <w:p w14:paraId="2D3C27A6">
            <w:pPr>
              <w:widowControl/>
              <w:spacing w:line="320" w:lineRule="exact"/>
              <w:jc w:val="center"/>
              <w:rPr>
                <w:kern w:val="0"/>
                <w:szCs w:val="21"/>
              </w:rPr>
            </w:pPr>
            <w:r>
              <w:rPr>
                <w:kern w:val="0"/>
                <w:szCs w:val="21"/>
              </w:rPr>
              <w:t>139.</w:t>
            </w:r>
            <w:r>
              <w:rPr>
                <w:rFonts w:hint="eastAsia"/>
                <w:kern w:val="0"/>
                <w:szCs w:val="21"/>
              </w:rPr>
              <w:t>5</w:t>
            </w:r>
          </w:p>
        </w:tc>
        <w:tc>
          <w:tcPr>
            <w:tcW w:w="1611" w:type="pct"/>
            <w:vAlign w:val="center"/>
          </w:tcPr>
          <w:p w14:paraId="604921F1">
            <w:pPr>
              <w:widowControl/>
              <w:spacing w:line="320" w:lineRule="exact"/>
              <w:jc w:val="center"/>
              <w:rPr>
                <w:kern w:val="0"/>
                <w:szCs w:val="21"/>
              </w:rPr>
            </w:pPr>
            <w:r>
              <w:rPr>
                <w:rFonts w:hint="eastAsia"/>
                <w:kern w:val="0"/>
                <w:szCs w:val="21"/>
              </w:rPr>
              <w:t>155.5</w:t>
            </w:r>
          </w:p>
        </w:tc>
      </w:tr>
    </w:tbl>
    <w:p w14:paraId="7B06522B">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48" w:name="_Toc206494976"/>
      <w:r>
        <w:rPr>
          <w:rFonts w:hint="eastAsia" w:eastAsiaTheme="minorEastAsia"/>
          <w:b/>
          <w:bCs/>
          <w:sz w:val="30"/>
          <w:szCs w:val="28"/>
        </w:rPr>
        <w:t>环境影响预测与评价</w:t>
      </w:r>
      <w:bookmarkEnd w:id="148"/>
    </w:p>
    <w:p w14:paraId="32EEECDB">
      <w:pPr>
        <w:keepNext/>
        <w:keepLines/>
        <w:widowControl/>
        <w:numPr>
          <w:ilvl w:val="2"/>
          <w:numId w:val="1"/>
        </w:numPr>
        <w:spacing w:before="120" w:after="120" w:line="360" w:lineRule="auto"/>
        <w:jc w:val="left"/>
        <w:outlineLvl w:val="2"/>
        <w:rPr>
          <w:rFonts w:eastAsiaTheme="minorEastAsia"/>
          <w:b/>
          <w:bCs/>
          <w:sz w:val="24"/>
        </w:rPr>
      </w:pPr>
      <w:bookmarkStart w:id="149" w:name="_Toc206494977"/>
      <w:r>
        <w:rPr>
          <w:rFonts w:hint="eastAsia" w:eastAsiaTheme="minorEastAsia"/>
          <w:b/>
          <w:bCs/>
          <w:sz w:val="24"/>
        </w:rPr>
        <w:t>环境空气预测与评价</w:t>
      </w:r>
      <w:bookmarkEnd w:id="149"/>
    </w:p>
    <w:p w14:paraId="0F63FD9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工艺废气的控制措施</w:t>
      </w:r>
    </w:p>
    <w:p w14:paraId="14EEA405">
      <w:pPr>
        <w:spacing w:line="360" w:lineRule="auto"/>
        <w:ind w:firstLine="480" w:firstLineChars="200"/>
        <w:rPr>
          <w:rFonts w:eastAsiaTheme="minorEastAsia"/>
          <w:sz w:val="24"/>
        </w:rPr>
      </w:pPr>
      <w:r>
        <w:rPr>
          <w:rFonts w:hint="eastAsia" w:eastAsiaTheme="minorEastAsia"/>
          <w:sz w:val="24"/>
        </w:rPr>
        <w:t>（1）总体控制措施</w:t>
      </w:r>
    </w:p>
    <w:p w14:paraId="275BEB42">
      <w:pPr>
        <w:spacing w:line="360" w:lineRule="auto"/>
        <w:ind w:firstLine="480" w:firstLineChars="200"/>
        <w:rPr>
          <w:rFonts w:eastAsiaTheme="minorEastAsia"/>
          <w:sz w:val="24"/>
        </w:rPr>
      </w:pPr>
      <w:r>
        <w:rPr>
          <w:rFonts w:hint="eastAsia" w:eastAsiaTheme="minorEastAsia"/>
          <w:sz w:val="24"/>
        </w:rPr>
        <w:t>园区除工艺特殊需要外，禁止建设燃煤锅炉。入区企业做好环境影响评价工作，采取合理有效的措施，加强园内企业工业粉尘和工艺废气污染治理，使大气污染物稳定达标排放；要求入区企业定期对废气排放浓度进行监测，保障各类污染物达标；改善能源结构，制定准入条件，严格限制进区企业类型；完善绿化措施，加强建筑施工和道路扬尘治理；推行清洁生产审核，实施大气污染物总量控制措施。各入区企业建设时应严格按照项目环境影响评价报告中的相关环保措施要求，环保设施同时施工、同时运行，保证各类污染物稳定达标排放，降低规划园区工业生产对区域环境空气质量及周边敏感点的影响。</w:t>
      </w:r>
    </w:p>
    <w:p w14:paraId="155D0678">
      <w:pPr>
        <w:spacing w:line="360" w:lineRule="auto"/>
        <w:ind w:firstLine="480" w:firstLineChars="200"/>
        <w:rPr>
          <w:rFonts w:eastAsiaTheme="minorEastAsia"/>
          <w:sz w:val="24"/>
        </w:rPr>
      </w:pPr>
      <w:r>
        <w:rPr>
          <w:rFonts w:hint="eastAsia" w:eastAsiaTheme="minorEastAsia"/>
          <w:sz w:val="24"/>
        </w:rPr>
        <w:t>各规划建设项目环评期间，应落实主要污染物总量管理指标。</w:t>
      </w:r>
    </w:p>
    <w:p w14:paraId="03E7EC18">
      <w:pPr>
        <w:spacing w:line="360" w:lineRule="auto"/>
        <w:ind w:firstLine="480" w:firstLineChars="200"/>
        <w:rPr>
          <w:rFonts w:eastAsiaTheme="minorEastAsia"/>
          <w:sz w:val="24"/>
        </w:rPr>
      </w:pPr>
      <w:r>
        <w:rPr>
          <w:rFonts w:hint="eastAsia" w:eastAsiaTheme="minorEastAsia"/>
          <w:sz w:val="24"/>
        </w:rPr>
        <w:t>考虑到规划区废气对周边距离较近村庄影响，建议入区项目需综合考虑废气等影响，加强选址论证，完善环保治理措施后方可入驻；要求入区企业优化设备和平面布置，最大限度减少对周边敏感点的影响。</w:t>
      </w:r>
    </w:p>
    <w:p w14:paraId="5D190C17">
      <w:pPr>
        <w:spacing w:line="360" w:lineRule="auto"/>
        <w:ind w:firstLine="480" w:firstLineChars="200"/>
        <w:rPr>
          <w:rFonts w:eastAsiaTheme="minorEastAsia"/>
          <w:sz w:val="24"/>
        </w:rPr>
      </w:pPr>
      <w:r>
        <w:rPr>
          <w:rFonts w:hint="eastAsia" w:eastAsiaTheme="minorEastAsia"/>
          <w:sz w:val="24"/>
        </w:rPr>
        <w:t>（2）无组织污染物控制措施</w:t>
      </w:r>
    </w:p>
    <w:p w14:paraId="262209BB">
      <w:pPr>
        <w:spacing w:line="360" w:lineRule="auto"/>
        <w:ind w:firstLine="480" w:firstLineChars="200"/>
        <w:rPr>
          <w:rFonts w:eastAsiaTheme="minorEastAsia"/>
          <w:sz w:val="24"/>
        </w:rPr>
      </w:pPr>
      <w:r>
        <w:rPr>
          <w:rFonts w:hint="eastAsia" w:eastAsiaTheme="minorEastAsia"/>
          <w:sz w:val="24"/>
        </w:rPr>
        <w:t>本次评价参照《排污许可证申请与核发技术规范 陶瓷砖瓦工业》(HJ954-2018)中表 32 建筑用石加工工业排污单位废气污染防治可行技术，颗粒物的可行技术为湿法作业或采用袋式除尘等技术。</w:t>
      </w:r>
    </w:p>
    <w:p w14:paraId="49CE50AC">
      <w:pPr>
        <w:spacing w:line="360" w:lineRule="auto"/>
        <w:ind w:firstLine="480" w:firstLineChars="200"/>
        <w:rPr>
          <w:rFonts w:eastAsiaTheme="minorEastAsia"/>
          <w:sz w:val="24"/>
        </w:rPr>
      </w:pPr>
      <w:r>
        <w:rPr>
          <w:rFonts w:hint="eastAsia" w:eastAsiaTheme="minorEastAsia"/>
          <w:sz w:val="24"/>
        </w:rPr>
        <w:t>根据《排污许可证申请与核发技术规范 陶瓷砖瓦工业》(HJ954-2018)中表 26 建筑用石加工工业排污单位无组织排放控制要求：</w:t>
      </w:r>
    </w:p>
    <w:p w14:paraId="15EEDFF1">
      <w:pPr>
        <w:spacing w:line="360" w:lineRule="auto"/>
        <w:ind w:firstLine="480" w:firstLineChars="200"/>
        <w:rPr>
          <w:rFonts w:eastAsiaTheme="minorEastAsia"/>
          <w:sz w:val="24"/>
        </w:rPr>
      </w:pPr>
      <w:r>
        <w:rPr>
          <w:rFonts w:hint="eastAsia" w:eastAsiaTheme="minorEastAsia"/>
          <w:sz w:val="24"/>
        </w:rPr>
        <w:t>A、石材加工。①露天作业过程中应采用湿法作业或其他抑尘措施。②生产车间外不应有可见粉尘外逸。③原料的粉碎、筛分、配料、混合搅拌等工序，应采用封闭式作业，并配备除尘设施。</w:t>
      </w:r>
    </w:p>
    <w:p w14:paraId="7C0C9150">
      <w:pPr>
        <w:spacing w:line="360" w:lineRule="auto"/>
        <w:ind w:firstLine="480" w:firstLineChars="200"/>
        <w:rPr>
          <w:rFonts w:eastAsiaTheme="minorEastAsia"/>
          <w:sz w:val="24"/>
        </w:rPr>
      </w:pPr>
      <w:r>
        <w:rPr>
          <w:rFonts w:hint="eastAsia" w:eastAsiaTheme="minorEastAsia"/>
          <w:sz w:val="24"/>
        </w:rPr>
        <w:t>B、堆场。料场设置防风抑尘网或采取覆盖等抑尘措施，防风抑尘网高度不低于堆存物料高度的1.1倍。</w:t>
      </w:r>
    </w:p>
    <w:p w14:paraId="2CCFEDFF">
      <w:pPr>
        <w:spacing w:line="360" w:lineRule="auto"/>
        <w:ind w:firstLine="480" w:firstLineChars="200"/>
        <w:rPr>
          <w:rFonts w:eastAsiaTheme="minorEastAsia"/>
          <w:sz w:val="24"/>
        </w:rPr>
      </w:pPr>
      <w:r>
        <w:rPr>
          <w:rFonts w:hint="eastAsia" w:eastAsiaTheme="minorEastAsia"/>
          <w:sz w:val="24"/>
        </w:rPr>
        <w:t>C、其他要求。厂区道路应硬化。道路采取清扫、洒水等措施，保持清洁。</w:t>
      </w:r>
    </w:p>
    <w:p w14:paraId="3CCC234E">
      <w:pPr>
        <w:spacing w:line="360" w:lineRule="auto"/>
        <w:ind w:firstLine="480" w:firstLineChars="200"/>
        <w:rPr>
          <w:rFonts w:eastAsiaTheme="minorEastAsia"/>
          <w:sz w:val="24"/>
        </w:rPr>
      </w:pPr>
      <w:r>
        <w:rPr>
          <w:rFonts w:hint="eastAsia" w:eastAsiaTheme="minorEastAsia"/>
          <w:sz w:val="24"/>
        </w:rPr>
        <w:t>规划园区企业大切粉尘、磨光粉尘、仿形粉尘、荔枝面加工粉尘、切边开槽粉尘等采取车间封闭管理、湿法加工作业等措施后在车间内无组织排放；喷砂面粉尘经喷砂机配备的自动分离和自带滤芯除尘系统处理后在车间内无组织排放；破碎、筛分粉尘经除尘器处理后排放；堆场扬尘采取合理布局堆料场、减少物料露天堆放、及时清理地面粉尘、建筑围挡、喷淋等措施后无组织排放；运输扬尘采取厂区内地面硬化、定期清扫、洒水降尘等措施后无组织排放。</w:t>
      </w:r>
    </w:p>
    <w:p w14:paraId="3066940E">
      <w:pPr>
        <w:spacing w:line="360" w:lineRule="auto"/>
        <w:ind w:firstLine="480" w:firstLineChars="200"/>
        <w:rPr>
          <w:rFonts w:eastAsiaTheme="minorEastAsia"/>
          <w:sz w:val="24"/>
        </w:rPr>
      </w:pPr>
      <w:r>
        <w:rPr>
          <w:rFonts w:hint="eastAsia" w:eastAsiaTheme="minorEastAsia"/>
          <w:sz w:val="24"/>
        </w:rPr>
        <w:t>综上所述，园区工艺废气污染治理设施采用《排污许可证申请与核发技术规范 陶瓷砖瓦工业》(HJ954-2018)中的可行性技术，具备符合规定的污染物处理能力。</w:t>
      </w:r>
    </w:p>
    <w:p w14:paraId="4E761D1E">
      <w:pPr>
        <w:spacing w:line="360" w:lineRule="auto"/>
        <w:ind w:firstLine="480" w:firstLineChars="200"/>
        <w:rPr>
          <w:rFonts w:eastAsiaTheme="minorEastAsia"/>
          <w:sz w:val="24"/>
        </w:rPr>
      </w:pPr>
      <w:r>
        <w:rPr>
          <w:rFonts w:hint="eastAsia" w:eastAsiaTheme="minorEastAsia"/>
          <w:sz w:val="24"/>
        </w:rPr>
        <w:t>规划园区各企业在严格落实各种污染防治措施后，区域空气环境质量会得到进一步的改善；同时</w:t>
      </w:r>
      <w:r>
        <w:rPr>
          <w:rFonts w:hint="eastAsia" w:eastAsiaTheme="minorEastAsia"/>
          <w:kern w:val="20"/>
          <w:sz w:val="24"/>
        </w:rPr>
        <w:t>根据《市人民政府关于印发随州市空气质量持续改善行动方案的通知》（随政发〔2024〕11号）要求，在全市开展产业结构转型升级行动等十大行动，随着上述措施的逐步推进和落实，规划所在区域空气将得到改善。</w:t>
      </w:r>
    </w:p>
    <w:p w14:paraId="0D5BB85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大气防护距离</w:t>
      </w:r>
    </w:p>
    <w:p w14:paraId="3D465694">
      <w:pPr>
        <w:spacing w:line="360" w:lineRule="auto"/>
        <w:ind w:firstLine="480" w:firstLineChars="200"/>
        <w:rPr>
          <w:rFonts w:eastAsiaTheme="minorEastAsia"/>
          <w:sz w:val="24"/>
        </w:rPr>
      </w:pPr>
      <w:r>
        <w:rPr>
          <w:rFonts w:hint="eastAsia" w:eastAsiaTheme="minorEastAsia"/>
          <w:sz w:val="24"/>
        </w:rPr>
        <w:t>规划园区各工业企业建设过程中应注意对周边居住区的防护。各入驻项目环评阶段，应严格按照相关要求对项目的大气环境防护距离进行计算，项目防护距离内不能存在居住区等环境敏感点。</w:t>
      </w:r>
    </w:p>
    <w:p w14:paraId="3E4732C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对周边敏感目标防护措施</w:t>
      </w:r>
    </w:p>
    <w:p w14:paraId="4BB3C205">
      <w:pPr>
        <w:spacing w:line="360" w:lineRule="auto"/>
        <w:ind w:firstLine="480" w:firstLineChars="200"/>
        <w:rPr>
          <w:rFonts w:eastAsiaTheme="minorEastAsia"/>
          <w:sz w:val="24"/>
        </w:rPr>
      </w:pPr>
      <w:r>
        <w:rPr>
          <w:rFonts w:hint="eastAsia" w:eastAsiaTheme="minorEastAsia"/>
          <w:sz w:val="24"/>
        </w:rPr>
        <w:t>规划要求园区各入驻项目应严格按要求设置大气环境防护距离，应保证项目防护距离范围内无敏感点分布。项目初步选址时，应参照防护距离的计算结果，论证选址的合理性，在不满足防护距离要求的情况下，应重新选址或调整项目平面布置，保证各污染单元与周围敏感点的防护距离满足要求。在满足防护距离的情况下，主要污染装置应尽量布设在远离敏感点的位置，靠近敏感点的位置可设置企业办公区和生活区，最大程度上降低工业生产对周边居住区的影响</w:t>
      </w:r>
    </w:p>
    <w:p w14:paraId="30860972">
      <w:pPr>
        <w:keepNext/>
        <w:keepLines/>
        <w:widowControl/>
        <w:numPr>
          <w:ilvl w:val="2"/>
          <w:numId w:val="1"/>
        </w:numPr>
        <w:spacing w:before="120" w:after="120" w:line="360" w:lineRule="auto"/>
        <w:jc w:val="left"/>
        <w:outlineLvl w:val="2"/>
        <w:rPr>
          <w:rFonts w:eastAsiaTheme="minorEastAsia"/>
          <w:b/>
          <w:bCs/>
          <w:sz w:val="24"/>
        </w:rPr>
      </w:pPr>
      <w:bookmarkStart w:id="150" w:name="_Toc206494978"/>
      <w:r>
        <w:rPr>
          <w:rFonts w:hint="eastAsia" w:eastAsiaTheme="minorEastAsia"/>
          <w:b/>
          <w:bCs/>
          <w:sz w:val="24"/>
        </w:rPr>
        <w:t>地表水环境影响分析</w:t>
      </w:r>
      <w:bookmarkEnd w:id="150"/>
    </w:p>
    <w:p w14:paraId="10244B75">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园区排水规划</w:t>
      </w:r>
    </w:p>
    <w:p w14:paraId="027CF231">
      <w:pPr>
        <w:spacing w:line="360" w:lineRule="auto"/>
        <w:ind w:firstLine="480" w:firstLineChars="200"/>
        <w:rPr>
          <w:rFonts w:eastAsiaTheme="minorEastAsia"/>
          <w:sz w:val="24"/>
        </w:rPr>
      </w:pPr>
      <w:r>
        <w:rPr>
          <w:rFonts w:hint="eastAsia" w:eastAsiaTheme="minorEastAsia"/>
          <w:sz w:val="24"/>
        </w:rPr>
        <w:t>规划园区污水处理及排水方案为：生产废水及初期雨水经企业自行处理后回用，不外排。生活污水经隔油池、化粪池处理满足</w:t>
      </w:r>
      <w:r>
        <w:rPr>
          <w:rFonts w:hint="eastAsia"/>
          <w:sz w:val="24"/>
          <w:szCs w:val="22"/>
        </w:rPr>
        <w:t>《污水综合排放标准》（GB8978-1996）三级标准及</w:t>
      </w:r>
      <w:r>
        <w:rPr>
          <w:rFonts w:hint="eastAsia"/>
          <w:sz w:val="24"/>
        </w:rPr>
        <w:t>污水处理厂进水水质标准要求后通过</w:t>
      </w:r>
      <w:r>
        <w:rPr>
          <w:rFonts w:hint="eastAsia" w:eastAsiaTheme="minorEastAsia"/>
          <w:sz w:val="24"/>
        </w:rPr>
        <w:t>市政污水管网排入各乡镇污水处理厂，</w:t>
      </w:r>
      <w:r>
        <w:rPr>
          <w:rFonts w:eastAsiaTheme="minorEastAsia"/>
          <w:sz w:val="24"/>
        </w:rPr>
        <w:t>污水处理厂出水满足《城镇污水处理厂污染物排放标准》（GB18918-2002）一级A标准后排入</w:t>
      </w:r>
      <w:r>
        <w:rPr>
          <w:rFonts w:hint="eastAsia" w:eastAsiaTheme="minorEastAsia"/>
          <w:sz w:val="24"/>
        </w:rPr>
        <w:t>周边地表水体。</w:t>
      </w:r>
    </w:p>
    <w:p w14:paraId="69BCE333">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废水入河总量分析</w:t>
      </w:r>
    </w:p>
    <w:p w14:paraId="710AD17F">
      <w:pPr>
        <w:spacing w:line="360" w:lineRule="auto"/>
        <w:ind w:firstLine="480" w:firstLineChars="200"/>
        <w:rPr>
          <w:rFonts w:eastAsiaTheme="minorEastAsia"/>
          <w:sz w:val="24"/>
        </w:rPr>
      </w:pPr>
      <w:r>
        <w:rPr>
          <w:rFonts w:hint="eastAsia" w:eastAsiaTheme="minorEastAsia"/>
          <w:sz w:val="24"/>
        </w:rPr>
        <w:t>本次废水排放总量核算按废水最终排入地表水体所需执行的《城镇污水处理厂污染物排放标准》（GB18918-2002）一级A标准值进行核算，即</w:t>
      </w:r>
      <w:r>
        <w:rPr>
          <w:rFonts w:eastAsiaTheme="minorEastAsia"/>
          <w:sz w:val="24"/>
        </w:rPr>
        <w:t>COD</w:t>
      </w:r>
      <w:r>
        <w:rPr>
          <w:rFonts w:hint="eastAsia" w:eastAsiaTheme="minorEastAsia"/>
          <w:sz w:val="24"/>
        </w:rPr>
        <w:t>浓度 50mg/L、氨氮浓度5mg/L。根据预测的废水排放量，园区重点水污染物排放总量情况见下表。</w:t>
      </w:r>
    </w:p>
    <w:p w14:paraId="60F6988A">
      <w:pPr>
        <w:spacing w:line="360" w:lineRule="auto"/>
        <w:ind w:firstLine="422"/>
        <w:jc w:val="center"/>
        <w:rPr>
          <w:b/>
          <w:szCs w:val="21"/>
        </w:rPr>
      </w:pPr>
      <w:r>
        <w:rPr>
          <w:rFonts w:hint="eastAsia"/>
          <w:b/>
          <w:szCs w:val="21"/>
        </w:rPr>
        <w:t>表5.2.2-1    园区重点水污染物排放总量</w:t>
      </w:r>
    </w:p>
    <w:tbl>
      <w:tblPr>
        <w:tblStyle w:val="88"/>
        <w:tblW w:w="507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150"/>
        <w:gridCol w:w="4508"/>
      </w:tblGrid>
      <w:tr w14:paraId="1EA81C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4" w:hRule="atLeast"/>
        </w:trPr>
        <w:tc>
          <w:tcPr>
            <w:tcW w:w="2396" w:type="pct"/>
            <w:shd w:val="clear" w:color="auto" w:fill="auto"/>
            <w:noWrap/>
            <w:vAlign w:val="center"/>
          </w:tcPr>
          <w:p w14:paraId="7FC509C0">
            <w:pPr>
              <w:spacing w:line="320" w:lineRule="exact"/>
              <w:jc w:val="center"/>
              <w:rPr>
                <w:kern w:val="0"/>
                <w:szCs w:val="21"/>
              </w:rPr>
            </w:pPr>
            <w:r>
              <w:rPr>
                <w:kern w:val="0"/>
                <w:szCs w:val="21"/>
              </w:rPr>
              <w:t>污染物</w:t>
            </w:r>
          </w:p>
        </w:tc>
        <w:tc>
          <w:tcPr>
            <w:tcW w:w="2603" w:type="pct"/>
            <w:shd w:val="clear" w:color="auto" w:fill="auto"/>
            <w:noWrap/>
            <w:vAlign w:val="center"/>
          </w:tcPr>
          <w:p w14:paraId="6BC5E44A">
            <w:pPr>
              <w:spacing w:line="320" w:lineRule="exact"/>
              <w:jc w:val="center"/>
              <w:rPr>
                <w:kern w:val="0"/>
                <w:szCs w:val="21"/>
              </w:rPr>
            </w:pPr>
            <w:r>
              <w:rPr>
                <w:kern w:val="0"/>
                <w:szCs w:val="21"/>
              </w:rPr>
              <w:t>远期</w:t>
            </w:r>
            <w:r>
              <w:rPr>
                <w:rFonts w:hint="eastAsia"/>
                <w:kern w:val="0"/>
                <w:szCs w:val="21"/>
              </w:rPr>
              <w:t>2035年</w:t>
            </w:r>
          </w:p>
        </w:tc>
      </w:tr>
      <w:tr w14:paraId="4A59D5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1" w:hRule="atLeast"/>
        </w:trPr>
        <w:tc>
          <w:tcPr>
            <w:tcW w:w="2396" w:type="pct"/>
            <w:shd w:val="clear" w:color="auto" w:fill="auto"/>
            <w:noWrap/>
            <w:vAlign w:val="center"/>
          </w:tcPr>
          <w:p w14:paraId="1CF12766">
            <w:pPr>
              <w:spacing w:line="320" w:lineRule="exact"/>
              <w:jc w:val="center"/>
              <w:rPr>
                <w:kern w:val="0"/>
                <w:szCs w:val="21"/>
              </w:rPr>
            </w:pPr>
            <w:r>
              <w:rPr>
                <w:kern w:val="0"/>
                <w:szCs w:val="21"/>
              </w:rPr>
              <w:t>COD（t/a）</w:t>
            </w:r>
          </w:p>
        </w:tc>
        <w:tc>
          <w:tcPr>
            <w:tcW w:w="2603" w:type="pct"/>
            <w:shd w:val="clear" w:color="auto" w:fill="auto"/>
            <w:noWrap/>
            <w:vAlign w:val="center"/>
          </w:tcPr>
          <w:p w14:paraId="152661F3">
            <w:pPr>
              <w:spacing w:line="320" w:lineRule="exact"/>
              <w:jc w:val="center"/>
              <w:rPr>
                <w:kern w:val="0"/>
                <w:szCs w:val="21"/>
              </w:rPr>
            </w:pPr>
            <w:r>
              <w:rPr>
                <w:rFonts w:hint="eastAsia"/>
                <w:kern w:val="0"/>
                <w:szCs w:val="21"/>
              </w:rPr>
              <w:t>70.08</w:t>
            </w:r>
          </w:p>
        </w:tc>
      </w:tr>
      <w:tr w14:paraId="415C6C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7" w:hRule="atLeast"/>
        </w:trPr>
        <w:tc>
          <w:tcPr>
            <w:tcW w:w="2396" w:type="pct"/>
            <w:shd w:val="clear" w:color="auto" w:fill="auto"/>
            <w:noWrap/>
            <w:vAlign w:val="center"/>
          </w:tcPr>
          <w:p w14:paraId="6AE06561">
            <w:pPr>
              <w:spacing w:line="320" w:lineRule="exact"/>
              <w:jc w:val="center"/>
              <w:rPr>
                <w:kern w:val="0"/>
                <w:szCs w:val="21"/>
              </w:rPr>
            </w:pPr>
            <w:r>
              <w:rPr>
                <w:kern w:val="0"/>
                <w:szCs w:val="21"/>
              </w:rPr>
              <w:t>NH</w:t>
            </w:r>
            <w:r>
              <w:rPr>
                <w:kern w:val="0"/>
                <w:szCs w:val="21"/>
                <w:vertAlign w:val="subscript"/>
              </w:rPr>
              <w:t>3</w:t>
            </w:r>
            <w:r>
              <w:rPr>
                <w:kern w:val="0"/>
                <w:szCs w:val="21"/>
              </w:rPr>
              <w:t>-N（t/a）</w:t>
            </w:r>
          </w:p>
        </w:tc>
        <w:tc>
          <w:tcPr>
            <w:tcW w:w="2603" w:type="pct"/>
            <w:shd w:val="clear" w:color="auto" w:fill="auto"/>
            <w:noWrap/>
            <w:vAlign w:val="center"/>
          </w:tcPr>
          <w:p w14:paraId="7586FFE0">
            <w:pPr>
              <w:spacing w:line="320" w:lineRule="exact"/>
              <w:jc w:val="center"/>
              <w:rPr>
                <w:kern w:val="0"/>
                <w:szCs w:val="21"/>
              </w:rPr>
            </w:pPr>
            <w:r>
              <w:rPr>
                <w:rFonts w:hint="eastAsia"/>
                <w:kern w:val="0"/>
                <w:szCs w:val="21"/>
              </w:rPr>
              <w:t>7.01</w:t>
            </w:r>
          </w:p>
        </w:tc>
      </w:tr>
    </w:tbl>
    <w:p w14:paraId="505472E2">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评价等级确定</w:t>
      </w:r>
    </w:p>
    <w:p w14:paraId="2A51AB1D">
      <w:pPr>
        <w:spacing w:line="360" w:lineRule="auto"/>
        <w:ind w:firstLine="480" w:firstLineChars="200"/>
        <w:rPr>
          <w:rFonts w:eastAsiaTheme="minorEastAsia"/>
          <w:sz w:val="24"/>
        </w:rPr>
      </w:pPr>
      <w:r>
        <w:rPr>
          <w:rFonts w:hint="eastAsia" w:eastAsiaTheme="minorEastAsia"/>
          <w:kern w:val="0"/>
          <w:sz w:val="24"/>
          <w:szCs w:val="20"/>
        </w:rPr>
        <w:t>根据《环境影响评价技术导则 地表水环境》（HJ2.3-2018）的规定，水污染型项目地表水环境影响评价等级按照影响类型、排放方式、排放量或影响情况、受纳水体环境质量现状、水环境保护目标等综合确定。具体判定原则见下表。</w:t>
      </w:r>
    </w:p>
    <w:p w14:paraId="10887289">
      <w:pPr>
        <w:spacing w:line="360" w:lineRule="auto"/>
        <w:jc w:val="center"/>
        <w:rPr>
          <w:rFonts w:eastAsiaTheme="minorEastAsia"/>
          <w:b/>
          <w:snapToGrid w:val="0"/>
          <w:kern w:val="18"/>
          <w:szCs w:val="21"/>
        </w:rPr>
      </w:pPr>
      <w:r>
        <w:rPr>
          <w:rFonts w:hint="eastAsia" w:eastAsiaTheme="minorEastAsia"/>
          <w:b/>
          <w:snapToGrid w:val="0"/>
          <w:kern w:val="18"/>
          <w:szCs w:val="21"/>
        </w:rPr>
        <w:t>表5.2.2-2</w:t>
      </w:r>
      <w:r>
        <w:rPr>
          <w:rFonts w:eastAsiaTheme="minorEastAsia"/>
          <w:b/>
          <w:snapToGrid w:val="0"/>
          <w:kern w:val="18"/>
          <w:szCs w:val="21"/>
        </w:rPr>
        <w:t xml:space="preserve">   </w:t>
      </w:r>
      <w:r>
        <w:rPr>
          <w:rFonts w:hint="eastAsia" w:eastAsiaTheme="minorEastAsia"/>
          <w:b/>
          <w:snapToGrid w:val="0"/>
          <w:kern w:val="18"/>
          <w:szCs w:val="21"/>
        </w:rPr>
        <w:t>水污染影响型建设项目评价等级判定</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98"/>
        <w:gridCol w:w="3203"/>
        <w:gridCol w:w="3727"/>
      </w:tblGrid>
      <w:tr w14:paraId="3C774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9" w:hRule="atLeast"/>
        </w:trPr>
        <w:tc>
          <w:tcPr>
            <w:tcW w:w="937" w:type="pct"/>
            <w:vMerge w:val="restart"/>
            <w:shd w:val="clear" w:color="auto" w:fill="auto"/>
            <w:vAlign w:val="center"/>
          </w:tcPr>
          <w:p w14:paraId="1F36A8B4">
            <w:pPr>
              <w:spacing w:line="320" w:lineRule="exact"/>
              <w:jc w:val="center"/>
              <w:rPr>
                <w:rFonts w:eastAsiaTheme="minorEastAsia"/>
                <w:szCs w:val="21"/>
              </w:rPr>
            </w:pPr>
            <w:r>
              <w:rPr>
                <w:rFonts w:hint="eastAsia" w:eastAsiaTheme="minorEastAsia"/>
                <w:szCs w:val="21"/>
              </w:rPr>
              <w:t>评价等级</w:t>
            </w:r>
          </w:p>
        </w:tc>
        <w:tc>
          <w:tcPr>
            <w:tcW w:w="4063" w:type="pct"/>
            <w:gridSpan w:val="2"/>
            <w:shd w:val="clear" w:color="auto" w:fill="auto"/>
            <w:vAlign w:val="center"/>
          </w:tcPr>
          <w:p w14:paraId="2B84732B">
            <w:pPr>
              <w:spacing w:line="320" w:lineRule="exact"/>
              <w:jc w:val="center"/>
              <w:rPr>
                <w:rFonts w:eastAsiaTheme="minorEastAsia"/>
                <w:szCs w:val="21"/>
              </w:rPr>
            </w:pPr>
            <w:r>
              <w:rPr>
                <w:rFonts w:hint="eastAsia" w:eastAsiaTheme="minorEastAsia"/>
                <w:szCs w:val="21"/>
              </w:rPr>
              <w:t>判定依据</w:t>
            </w:r>
          </w:p>
        </w:tc>
      </w:tr>
      <w:tr w14:paraId="3C1C0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37" w:type="pct"/>
            <w:vMerge w:val="continue"/>
            <w:shd w:val="clear" w:color="auto" w:fill="auto"/>
            <w:vAlign w:val="center"/>
          </w:tcPr>
          <w:p w14:paraId="2C58B87A">
            <w:pPr>
              <w:spacing w:line="320" w:lineRule="exact"/>
              <w:jc w:val="center"/>
              <w:rPr>
                <w:rFonts w:eastAsiaTheme="minorEastAsia"/>
                <w:szCs w:val="21"/>
              </w:rPr>
            </w:pPr>
          </w:p>
        </w:tc>
        <w:tc>
          <w:tcPr>
            <w:tcW w:w="1878" w:type="pct"/>
            <w:shd w:val="clear" w:color="auto" w:fill="auto"/>
            <w:vAlign w:val="center"/>
          </w:tcPr>
          <w:p w14:paraId="4BC2E9CE">
            <w:pPr>
              <w:spacing w:line="320" w:lineRule="exact"/>
              <w:jc w:val="center"/>
              <w:rPr>
                <w:rFonts w:eastAsiaTheme="minorEastAsia"/>
                <w:szCs w:val="21"/>
              </w:rPr>
            </w:pPr>
            <w:r>
              <w:rPr>
                <w:rFonts w:hint="eastAsia" w:eastAsiaTheme="minorEastAsia"/>
                <w:szCs w:val="21"/>
              </w:rPr>
              <w:t>排放方式</w:t>
            </w:r>
          </w:p>
        </w:tc>
        <w:tc>
          <w:tcPr>
            <w:tcW w:w="2185" w:type="pct"/>
            <w:shd w:val="clear" w:color="auto" w:fill="auto"/>
            <w:vAlign w:val="center"/>
          </w:tcPr>
          <w:p w14:paraId="784768DE">
            <w:pPr>
              <w:spacing w:line="320" w:lineRule="exact"/>
              <w:jc w:val="center"/>
              <w:rPr>
                <w:rFonts w:eastAsiaTheme="minorEastAsia"/>
                <w:szCs w:val="21"/>
              </w:rPr>
            </w:pPr>
            <w:r>
              <w:rPr>
                <w:rFonts w:hint="eastAsia" w:eastAsiaTheme="minorEastAsia"/>
                <w:szCs w:val="21"/>
              </w:rPr>
              <w:t>废水排放量Q</w:t>
            </w:r>
            <w:r>
              <w:rPr>
                <w:rFonts w:eastAsiaTheme="minorEastAsia"/>
                <w:szCs w:val="21"/>
              </w:rPr>
              <w:t>/</w:t>
            </w:r>
            <w:r>
              <w:rPr>
                <w:rFonts w:hint="eastAsia" w:eastAsiaTheme="minorEastAsia"/>
                <w:szCs w:val="21"/>
              </w:rPr>
              <w:t>（</w:t>
            </w:r>
            <w:r>
              <w:rPr>
                <w:rFonts w:eastAsiaTheme="minorEastAsia"/>
                <w:szCs w:val="21"/>
              </w:rPr>
              <w:t>m</w:t>
            </w:r>
            <w:r>
              <w:rPr>
                <w:rFonts w:eastAsiaTheme="minorEastAsia"/>
                <w:szCs w:val="21"/>
                <w:vertAlign w:val="superscript"/>
              </w:rPr>
              <w:t>3</w:t>
            </w:r>
            <w:r>
              <w:rPr>
                <w:rFonts w:eastAsiaTheme="minorEastAsia"/>
                <w:szCs w:val="21"/>
              </w:rPr>
              <w:t>/d</w:t>
            </w:r>
            <w:r>
              <w:rPr>
                <w:rFonts w:hint="eastAsia" w:eastAsiaTheme="minorEastAsia"/>
                <w:szCs w:val="21"/>
              </w:rPr>
              <w:t>）</w:t>
            </w:r>
          </w:p>
          <w:p w14:paraId="18C74B3D">
            <w:pPr>
              <w:spacing w:line="320" w:lineRule="exact"/>
              <w:jc w:val="center"/>
              <w:rPr>
                <w:rFonts w:eastAsiaTheme="minorEastAsia"/>
                <w:szCs w:val="21"/>
              </w:rPr>
            </w:pPr>
            <w:r>
              <w:rPr>
                <w:rFonts w:hint="eastAsia" w:eastAsiaTheme="minorEastAsia"/>
                <w:szCs w:val="21"/>
              </w:rPr>
              <w:t>水污染物当量数W</w:t>
            </w:r>
            <w:r>
              <w:rPr>
                <w:rFonts w:eastAsiaTheme="minorEastAsia"/>
                <w:szCs w:val="21"/>
              </w:rPr>
              <w:t>/</w:t>
            </w:r>
            <w:r>
              <w:rPr>
                <w:rFonts w:hint="eastAsia" w:eastAsiaTheme="minorEastAsia"/>
                <w:szCs w:val="21"/>
              </w:rPr>
              <w:t>（无量纲）</w:t>
            </w:r>
          </w:p>
        </w:tc>
      </w:tr>
      <w:tr w14:paraId="54720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37" w:type="pct"/>
            <w:shd w:val="clear" w:color="auto" w:fill="auto"/>
            <w:vAlign w:val="center"/>
          </w:tcPr>
          <w:p w14:paraId="7FD3ADDE">
            <w:pPr>
              <w:spacing w:line="320" w:lineRule="exact"/>
              <w:jc w:val="center"/>
              <w:rPr>
                <w:rFonts w:eastAsiaTheme="minorEastAsia"/>
                <w:szCs w:val="21"/>
              </w:rPr>
            </w:pPr>
            <w:r>
              <w:rPr>
                <w:rFonts w:hint="eastAsia" w:eastAsiaTheme="minorEastAsia"/>
                <w:szCs w:val="21"/>
              </w:rPr>
              <w:t>一级</w:t>
            </w:r>
          </w:p>
        </w:tc>
        <w:tc>
          <w:tcPr>
            <w:tcW w:w="1878" w:type="pct"/>
            <w:shd w:val="clear" w:color="auto" w:fill="auto"/>
            <w:vAlign w:val="center"/>
          </w:tcPr>
          <w:p w14:paraId="5947B9E7">
            <w:pPr>
              <w:spacing w:line="320" w:lineRule="exact"/>
              <w:jc w:val="center"/>
              <w:rPr>
                <w:rFonts w:eastAsiaTheme="minorEastAsia"/>
                <w:szCs w:val="21"/>
              </w:rPr>
            </w:pPr>
            <w:r>
              <w:rPr>
                <w:rFonts w:hint="eastAsia" w:eastAsiaTheme="minorEastAsia"/>
                <w:szCs w:val="21"/>
              </w:rPr>
              <w:t>直接排放</w:t>
            </w:r>
          </w:p>
        </w:tc>
        <w:tc>
          <w:tcPr>
            <w:tcW w:w="2185" w:type="pct"/>
            <w:shd w:val="clear" w:color="auto" w:fill="auto"/>
            <w:vAlign w:val="center"/>
          </w:tcPr>
          <w:p w14:paraId="3B680D69">
            <w:pPr>
              <w:spacing w:line="320" w:lineRule="exact"/>
              <w:jc w:val="center"/>
              <w:rPr>
                <w:rFonts w:eastAsiaTheme="minorEastAsia"/>
                <w:szCs w:val="21"/>
              </w:rPr>
            </w:pPr>
            <w:r>
              <w:rPr>
                <w:rFonts w:hint="eastAsia" w:eastAsiaTheme="minorEastAsia"/>
                <w:szCs w:val="21"/>
              </w:rPr>
              <w:t>Q</w:t>
            </w:r>
            <w:r>
              <w:rPr>
                <w:rFonts w:eastAsiaTheme="minorEastAsia"/>
                <w:szCs w:val="21"/>
              </w:rPr>
              <w:t>≥20000</w:t>
            </w:r>
            <w:r>
              <w:rPr>
                <w:rFonts w:hint="eastAsia" w:eastAsiaTheme="minorEastAsia"/>
                <w:szCs w:val="21"/>
              </w:rPr>
              <w:t>或W</w:t>
            </w:r>
            <w:r>
              <w:rPr>
                <w:rFonts w:eastAsiaTheme="minorEastAsia"/>
                <w:szCs w:val="21"/>
              </w:rPr>
              <w:t>≥600000</w:t>
            </w:r>
          </w:p>
        </w:tc>
      </w:tr>
      <w:tr w14:paraId="0CF3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37" w:type="pct"/>
            <w:shd w:val="clear" w:color="auto" w:fill="auto"/>
            <w:vAlign w:val="center"/>
          </w:tcPr>
          <w:p w14:paraId="12CF16ED">
            <w:pPr>
              <w:spacing w:line="320" w:lineRule="exact"/>
              <w:jc w:val="center"/>
              <w:rPr>
                <w:rFonts w:eastAsiaTheme="minorEastAsia"/>
                <w:szCs w:val="21"/>
              </w:rPr>
            </w:pPr>
            <w:r>
              <w:rPr>
                <w:rFonts w:hint="eastAsia" w:eastAsiaTheme="minorEastAsia"/>
                <w:szCs w:val="21"/>
              </w:rPr>
              <w:t>二级</w:t>
            </w:r>
          </w:p>
        </w:tc>
        <w:tc>
          <w:tcPr>
            <w:tcW w:w="1878" w:type="pct"/>
            <w:shd w:val="clear" w:color="auto" w:fill="auto"/>
            <w:vAlign w:val="center"/>
          </w:tcPr>
          <w:p w14:paraId="56169A95">
            <w:pPr>
              <w:spacing w:line="320" w:lineRule="exact"/>
              <w:jc w:val="center"/>
              <w:rPr>
                <w:rFonts w:eastAsiaTheme="minorEastAsia"/>
                <w:szCs w:val="21"/>
              </w:rPr>
            </w:pPr>
            <w:r>
              <w:rPr>
                <w:rFonts w:hint="eastAsia" w:eastAsiaTheme="minorEastAsia"/>
                <w:szCs w:val="21"/>
              </w:rPr>
              <w:t>直接排放</w:t>
            </w:r>
          </w:p>
        </w:tc>
        <w:tc>
          <w:tcPr>
            <w:tcW w:w="2185" w:type="pct"/>
            <w:shd w:val="clear" w:color="auto" w:fill="auto"/>
            <w:vAlign w:val="center"/>
          </w:tcPr>
          <w:p w14:paraId="65148012">
            <w:pPr>
              <w:spacing w:line="320" w:lineRule="exact"/>
              <w:jc w:val="center"/>
              <w:rPr>
                <w:rFonts w:eastAsiaTheme="minorEastAsia"/>
                <w:szCs w:val="21"/>
              </w:rPr>
            </w:pPr>
            <w:r>
              <w:rPr>
                <w:rFonts w:hint="eastAsia" w:eastAsiaTheme="minorEastAsia"/>
                <w:szCs w:val="21"/>
              </w:rPr>
              <w:t>其他</w:t>
            </w:r>
          </w:p>
        </w:tc>
      </w:tr>
      <w:tr w14:paraId="470D3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37" w:type="pct"/>
            <w:shd w:val="clear" w:color="auto" w:fill="auto"/>
            <w:vAlign w:val="center"/>
          </w:tcPr>
          <w:p w14:paraId="2B4D45E6">
            <w:pPr>
              <w:spacing w:line="320" w:lineRule="exact"/>
              <w:jc w:val="center"/>
              <w:rPr>
                <w:rFonts w:eastAsiaTheme="minorEastAsia"/>
                <w:szCs w:val="21"/>
              </w:rPr>
            </w:pPr>
            <w:r>
              <w:rPr>
                <w:rFonts w:hint="eastAsia" w:eastAsiaTheme="minorEastAsia"/>
                <w:szCs w:val="21"/>
              </w:rPr>
              <w:t>三级A</w:t>
            </w:r>
          </w:p>
        </w:tc>
        <w:tc>
          <w:tcPr>
            <w:tcW w:w="1878" w:type="pct"/>
            <w:shd w:val="clear" w:color="auto" w:fill="auto"/>
            <w:vAlign w:val="center"/>
          </w:tcPr>
          <w:p w14:paraId="78C4DF91">
            <w:pPr>
              <w:spacing w:line="320" w:lineRule="exact"/>
              <w:jc w:val="center"/>
              <w:rPr>
                <w:rFonts w:eastAsiaTheme="minorEastAsia"/>
                <w:szCs w:val="21"/>
              </w:rPr>
            </w:pPr>
            <w:r>
              <w:rPr>
                <w:rFonts w:hint="eastAsia" w:eastAsiaTheme="minorEastAsia"/>
                <w:szCs w:val="21"/>
              </w:rPr>
              <w:t>直接排放</w:t>
            </w:r>
          </w:p>
        </w:tc>
        <w:tc>
          <w:tcPr>
            <w:tcW w:w="2185" w:type="pct"/>
            <w:shd w:val="clear" w:color="auto" w:fill="auto"/>
            <w:vAlign w:val="center"/>
          </w:tcPr>
          <w:p w14:paraId="3B2ADD77">
            <w:pPr>
              <w:spacing w:line="320" w:lineRule="exact"/>
              <w:jc w:val="center"/>
              <w:rPr>
                <w:rFonts w:eastAsiaTheme="minorEastAsia"/>
                <w:szCs w:val="21"/>
              </w:rPr>
            </w:pPr>
            <w:r>
              <w:rPr>
                <w:rFonts w:eastAsiaTheme="minorEastAsia"/>
                <w:szCs w:val="21"/>
              </w:rPr>
              <w:t>Q&lt;200且W&lt;6000</w:t>
            </w:r>
          </w:p>
        </w:tc>
      </w:tr>
      <w:tr w14:paraId="04827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937" w:type="pct"/>
            <w:shd w:val="clear" w:color="auto" w:fill="auto"/>
            <w:vAlign w:val="center"/>
          </w:tcPr>
          <w:p w14:paraId="729F707A">
            <w:pPr>
              <w:spacing w:line="320" w:lineRule="exact"/>
              <w:jc w:val="center"/>
              <w:rPr>
                <w:rFonts w:eastAsiaTheme="minorEastAsia"/>
                <w:szCs w:val="21"/>
              </w:rPr>
            </w:pPr>
            <w:r>
              <w:rPr>
                <w:rFonts w:hint="eastAsia" w:eastAsiaTheme="minorEastAsia"/>
                <w:szCs w:val="21"/>
              </w:rPr>
              <w:t>三级B</w:t>
            </w:r>
          </w:p>
        </w:tc>
        <w:tc>
          <w:tcPr>
            <w:tcW w:w="1878" w:type="pct"/>
            <w:shd w:val="clear" w:color="auto" w:fill="auto"/>
            <w:vAlign w:val="center"/>
          </w:tcPr>
          <w:p w14:paraId="6AEE8141">
            <w:pPr>
              <w:spacing w:line="320" w:lineRule="exact"/>
              <w:jc w:val="center"/>
              <w:rPr>
                <w:rFonts w:eastAsiaTheme="minorEastAsia"/>
                <w:szCs w:val="21"/>
              </w:rPr>
            </w:pPr>
            <w:r>
              <w:rPr>
                <w:rFonts w:hint="eastAsia" w:eastAsiaTheme="minorEastAsia"/>
                <w:szCs w:val="21"/>
              </w:rPr>
              <w:t>间接排放</w:t>
            </w:r>
          </w:p>
        </w:tc>
        <w:tc>
          <w:tcPr>
            <w:tcW w:w="2185" w:type="pct"/>
            <w:shd w:val="clear" w:color="auto" w:fill="auto"/>
            <w:vAlign w:val="center"/>
          </w:tcPr>
          <w:p w14:paraId="4EF1B50F">
            <w:pPr>
              <w:spacing w:line="320" w:lineRule="exact"/>
              <w:jc w:val="center"/>
              <w:rPr>
                <w:rFonts w:eastAsiaTheme="minorEastAsia"/>
                <w:szCs w:val="21"/>
              </w:rPr>
            </w:pPr>
            <w:r>
              <w:rPr>
                <w:rFonts w:hint="eastAsia" w:eastAsiaTheme="minorEastAsia"/>
                <w:szCs w:val="21"/>
              </w:rPr>
              <w:t>-</w:t>
            </w:r>
            <w:r>
              <w:rPr>
                <w:rFonts w:eastAsiaTheme="minorEastAsia"/>
                <w:szCs w:val="21"/>
              </w:rPr>
              <w:t>-</w:t>
            </w:r>
          </w:p>
        </w:tc>
      </w:tr>
    </w:tbl>
    <w:p w14:paraId="11EF24FD">
      <w:pPr>
        <w:spacing w:line="360" w:lineRule="auto"/>
        <w:ind w:firstLine="480" w:firstLineChars="200"/>
        <w:rPr>
          <w:rFonts w:eastAsiaTheme="minorEastAsia"/>
          <w:sz w:val="24"/>
        </w:rPr>
      </w:pPr>
      <w:r>
        <w:rPr>
          <w:rFonts w:hint="eastAsia" w:eastAsiaTheme="minorEastAsia"/>
          <w:sz w:val="24"/>
        </w:rPr>
        <w:t>规划区采用雨污分流的排水体制。园区道路排水主要为雨水管道，雨水采用重力自流方式排出。生产废水经企业处理后回用不外排，生活污水经处理达标后排入各乡镇污水处理厂进行处理。</w:t>
      </w:r>
      <w:r>
        <w:rPr>
          <w:rFonts w:eastAsiaTheme="minorEastAsia"/>
          <w:sz w:val="24"/>
        </w:rPr>
        <w:t>根据《环境影响评价技术导则  地表水环境》（HJ2.3-2018），</w:t>
      </w:r>
      <w:r>
        <w:rPr>
          <w:rFonts w:hint="eastAsia" w:eastAsiaTheme="minorEastAsia"/>
          <w:sz w:val="24"/>
        </w:rPr>
        <w:t>园区</w:t>
      </w:r>
      <w:r>
        <w:rPr>
          <w:rFonts w:eastAsiaTheme="minorEastAsia"/>
          <w:sz w:val="24"/>
        </w:rPr>
        <w:t>排水为间接排放，评价等级为三级B。该评价等级分析污水处理厂接纳</w:t>
      </w:r>
      <w:r>
        <w:rPr>
          <w:rFonts w:hint="eastAsia" w:eastAsiaTheme="minorEastAsia"/>
          <w:sz w:val="24"/>
        </w:rPr>
        <w:t>园区</w:t>
      </w:r>
      <w:r>
        <w:rPr>
          <w:rFonts w:eastAsiaTheme="minorEastAsia"/>
          <w:sz w:val="24"/>
        </w:rPr>
        <w:t>废水的可行性。</w:t>
      </w:r>
    </w:p>
    <w:p w14:paraId="4308DA2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废水依托污水处理厂的可行性分析</w:t>
      </w:r>
    </w:p>
    <w:p w14:paraId="161B4EC3">
      <w:pPr>
        <w:spacing w:line="360" w:lineRule="auto"/>
        <w:ind w:firstLine="480" w:firstLineChars="200"/>
        <w:rPr>
          <w:rFonts w:eastAsiaTheme="minorEastAsia"/>
          <w:sz w:val="24"/>
        </w:rPr>
      </w:pPr>
      <w:r>
        <w:rPr>
          <w:rFonts w:hint="eastAsia" w:eastAsiaTheme="minorEastAsia"/>
          <w:sz w:val="24"/>
        </w:rPr>
        <w:t>现状吴山镇设有一座吴山镇污水处理厂。吴山镇污水处理厂位于</w:t>
      </w:r>
      <w:r>
        <w:rPr>
          <w:rFonts w:hint="eastAsia" w:eastAsiaTheme="minorEastAsia"/>
          <w:kern w:val="0"/>
          <w:sz w:val="24"/>
        </w:rPr>
        <w:t>随县吴山镇肖家湾居委会三组。吴山镇污水处理厂2020年设计规模1000m</w:t>
      </w:r>
      <w:r>
        <w:rPr>
          <w:rFonts w:eastAsiaTheme="minorEastAsia"/>
          <w:kern w:val="0"/>
          <w:sz w:val="24"/>
        </w:rPr>
        <w:t>³</w:t>
      </w:r>
      <w:r>
        <w:rPr>
          <w:rFonts w:hint="eastAsia" w:eastAsiaTheme="minorEastAsia"/>
          <w:kern w:val="0"/>
          <w:sz w:val="24"/>
        </w:rPr>
        <w:t>/d，远期（2030年）设计规模2000m</w:t>
      </w:r>
      <w:r>
        <w:rPr>
          <w:rFonts w:eastAsiaTheme="minorEastAsia"/>
          <w:kern w:val="0"/>
          <w:sz w:val="24"/>
        </w:rPr>
        <w:t>³</w:t>
      </w:r>
      <w:r>
        <w:rPr>
          <w:rFonts w:hint="eastAsia" w:eastAsiaTheme="minorEastAsia"/>
          <w:kern w:val="0"/>
          <w:sz w:val="24"/>
        </w:rPr>
        <w:t>/d。污水厂总占地面积6627m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1872A9DD">
      <w:pPr>
        <w:spacing w:line="360" w:lineRule="auto"/>
        <w:ind w:firstLine="480" w:firstLineChars="200"/>
        <w:rPr>
          <w:rFonts w:eastAsiaTheme="minorEastAsia"/>
          <w:kern w:val="0"/>
          <w:sz w:val="24"/>
        </w:rPr>
      </w:pPr>
      <w:r>
        <w:rPr>
          <w:rFonts w:hint="eastAsia" w:eastAsiaTheme="minorEastAsia"/>
          <w:sz w:val="24"/>
        </w:rPr>
        <w:t>现状万和镇设有一座万和镇污水处理厂。万和镇污水处理厂位于</w:t>
      </w:r>
      <w:r>
        <w:rPr>
          <w:rFonts w:hint="eastAsia" w:eastAsiaTheme="minorEastAsia"/>
          <w:kern w:val="0"/>
          <w:sz w:val="24"/>
        </w:rPr>
        <w:t>随州市随县万和镇走马岭四组。万和镇污水处理厂2020年设计规模1500m</w:t>
      </w:r>
      <w:r>
        <w:rPr>
          <w:rFonts w:eastAsiaTheme="minorEastAsia"/>
          <w:kern w:val="0"/>
          <w:sz w:val="24"/>
        </w:rPr>
        <w:t>³</w:t>
      </w:r>
      <w:r>
        <w:rPr>
          <w:rFonts w:hint="eastAsia" w:eastAsiaTheme="minorEastAsia"/>
          <w:kern w:val="0"/>
          <w:sz w:val="24"/>
        </w:rPr>
        <w:t>/d，远期（2030年）设计规模3000m</w:t>
      </w:r>
      <w:r>
        <w:rPr>
          <w:rFonts w:eastAsiaTheme="minorEastAsia"/>
          <w:kern w:val="0"/>
          <w:sz w:val="24"/>
        </w:rPr>
        <w:t>³</w:t>
      </w:r>
      <w:r>
        <w:rPr>
          <w:rFonts w:hint="eastAsia" w:eastAsiaTheme="minorEastAsia"/>
          <w:kern w:val="0"/>
          <w:sz w:val="24"/>
        </w:rPr>
        <w:t>/d。污水厂总占地面积6377m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32031C4C">
      <w:pPr>
        <w:spacing w:line="360" w:lineRule="auto"/>
        <w:ind w:firstLine="480" w:firstLineChars="200"/>
        <w:rPr>
          <w:rFonts w:eastAsiaTheme="minorEastAsia"/>
          <w:kern w:val="0"/>
          <w:sz w:val="24"/>
        </w:rPr>
      </w:pPr>
      <w:r>
        <w:rPr>
          <w:rFonts w:hint="eastAsia" w:eastAsiaTheme="minorEastAsia"/>
          <w:sz w:val="24"/>
        </w:rPr>
        <w:t>现状太白顶设有一座万和新城（太白顶景区）污水处理厂。万和新城（太白顶景区）污水处理厂位于</w:t>
      </w:r>
      <w:r>
        <w:rPr>
          <w:rFonts w:hint="eastAsia" w:eastAsiaTheme="minorEastAsia"/>
          <w:kern w:val="0"/>
          <w:sz w:val="24"/>
        </w:rPr>
        <w:t>随州市随县万和新城镇北部新城居委会四组。万和新城（太白顶景区）污水处理厂2020年设计规模600m</w:t>
      </w:r>
      <w:r>
        <w:rPr>
          <w:rFonts w:eastAsiaTheme="minorEastAsia"/>
          <w:kern w:val="0"/>
          <w:sz w:val="24"/>
        </w:rPr>
        <w:t>³</w:t>
      </w:r>
      <w:r>
        <w:rPr>
          <w:rFonts w:hint="eastAsia" w:eastAsiaTheme="minorEastAsia"/>
          <w:kern w:val="0"/>
          <w:sz w:val="24"/>
        </w:rPr>
        <w:t>/d，远期（2030年）设计规模1200m</w:t>
      </w:r>
      <w:r>
        <w:rPr>
          <w:rFonts w:eastAsiaTheme="minorEastAsia"/>
          <w:kern w:val="0"/>
          <w:sz w:val="24"/>
        </w:rPr>
        <w:t>³</w:t>
      </w:r>
      <w:r>
        <w:rPr>
          <w:rFonts w:hint="eastAsia" w:eastAsiaTheme="minorEastAsia"/>
          <w:kern w:val="0"/>
          <w:sz w:val="24"/>
        </w:rPr>
        <w:t>/d。污水厂总占地面积5104m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60D622A1">
      <w:pPr>
        <w:spacing w:line="360" w:lineRule="auto"/>
        <w:ind w:firstLine="480" w:firstLineChars="200"/>
        <w:rPr>
          <w:rFonts w:eastAsiaTheme="minorEastAsia"/>
          <w:kern w:val="0"/>
          <w:sz w:val="24"/>
        </w:rPr>
      </w:pPr>
      <w:r>
        <w:rPr>
          <w:rFonts w:hint="eastAsia" w:eastAsiaTheme="minorEastAsia"/>
          <w:sz w:val="24"/>
        </w:rPr>
        <w:t>现状草店镇设有一座草店镇污水处理厂。草店镇污水处理厂位于</w:t>
      </w:r>
      <w:r>
        <w:rPr>
          <w:rFonts w:hint="eastAsia" w:eastAsiaTheme="minorEastAsia"/>
          <w:kern w:val="0"/>
          <w:sz w:val="24"/>
        </w:rPr>
        <w:t>随州市随县草店镇镇区东北部游河下游北岸处，东经113.684732°，北纬32.197286°。草店镇污水处理厂2020年设计规模1000m</w:t>
      </w:r>
      <w:r>
        <w:rPr>
          <w:rFonts w:eastAsiaTheme="minorEastAsia"/>
          <w:kern w:val="0"/>
          <w:sz w:val="24"/>
        </w:rPr>
        <w:t>³</w:t>
      </w:r>
      <w:r>
        <w:rPr>
          <w:rFonts w:hint="eastAsia" w:eastAsiaTheme="minorEastAsia"/>
          <w:kern w:val="0"/>
          <w:sz w:val="24"/>
        </w:rPr>
        <w:t>/d，远期（2030年）设计规模2000m</w:t>
      </w:r>
      <w:r>
        <w:rPr>
          <w:rFonts w:eastAsiaTheme="minorEastAsia"/>
          <w:kern w:val="0"/>
          <w:sz w:val="24"/>
        </w:rPr>
        <w:t>³</w:t>
      </w:r>
      <w:r>
        <w:rPr>
          <w:rFonts w:hint="eastAsia" w:eastAsiaTheme="minorEastAsia"/>
          <w:kern w:val="0"/>
          <w:sz w:val="24"/>
        </w:rPr>
        <w:t>/d。污水厂总占地面积6627m</w:t>
      </w:r>
      <w:r>
        <w:rPr>
          <w:rFonts w:eastAsiaTheme="minorEastAsia"/>
          <w:kern w:val="0"/>
          <w:sz w:val="24"/>
        </w:rPr>
        <w:t>²</w:t>
      </w:r>
      <w:r>
        <w:rPr>
          <w:rFonts w:hint="eastAsia" w:eastAsiaTheme="minorEastAsia"/>
          <w:kern w:val="0"/>
          <w:sz w:val="24"/>
        </w:rPr>
        <w:t>。污水处理厂于2019年建成投入运行，污水处理厂出水执行《城镇污水处理厂污染物排放标准》(GB18918-2002）一级A排放标准。</w:t>
      </w:r>
    </w:p>
    <w:p w14:paraId="4DFBEAB2">
      <w:pPr>
        <w:spacing w:line="360" w:lineRule="auto"/>
        <w:ind w:firstLine="480" w:firstLineChars="200"/>
        <w:rPr>
          <w:rFonts w:eastAsiaTheme="minorEastAsia"/>
          <w:kern w:val="0"/>
          <w:sz w:val="24"/>
        </w:rPr>
      </w:pPr>
      <w:r>
        <w:rPr>
          <w:rFonts w:hint="eastAsia" w:eastAsiaTheme="minorEastAsia"/>
          <w:kern w:val="0"/>
          <w:sz w:val="24"/>
        </w:rPr>
        <w:t>上述吴山镇、万和镇、</w:t>
      </w:r>
      <w:r>
        <w:rPr>
          <w:rFonts w:hint="eastAsia" w:eastAsiaTheme="minorEastAsia"/>
          <w:sz w:val="24"/>
        </w:rPr>
        <w:t>新城及草店</w:t>
      </w:r>
      <w:r>
        <w:rPr>
          <w:rFonts w:hint="eastAsia" w:eastAsiaTheme="minorEastAsia"/>
          <w:kern w:val="0"/>
          <w:sz w:val="24"/>
        </w:rPr>
        <w:t>污水处理厂均取得了环评批复，并均于2020年完成了自主验收。污水处理厂采用均为“改良A2O工艺（缺氧+厌氧+接触氧化）”处理工艺，后续深度处理选用“平板沉淀池+滤布滤池工艺”，具体工艺如下图。</w:t>
      </w:r>
    </w:p>
    <w:p w14:paraId="7E619C0C">
      <w:pPr>
        <w:spacing w:line="360" w:lineRule="auto"/>
        <w:jc w:val="center"/>
        <w:rPr>
          <w:rFonts w:eastAsiaTheme="minorEastAsia"/>
          <w:sz w:val="24"/>
        </w:rPr>
      </w:pPr>
      <w:r>
        <w:rPr>
          <w:color w:val="FF0000"/>
        </w:rPr>
        <w:drawing>
          <wp:inline distT="0" distB="0" distL="0" distR="0">
            <wp:extent cx="5278120" cy="1958975"/>
            <wp:effectExtent l="0" t="0" r="0" b="3175"/>
            <wp:docPr id="333259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9102" name="图片 1"/>
                    <pic:cNvPicPr>
                      <a:picLocks noChangeAspect="1"/>
                    </pic:cNvPicPr>
                  </pic:nvPicPr>
                  <pic:blipFill>
                    <a:blip r:embed="rId24"/>
                    <a:stretch>
                      <a:fillRect/>
                    </a:stretch>
                  </pic:blipFill>
                  <pic:spPr>
                    <a:xfrm>
                      <a:off x="0" y="0"/>
                      <a:ext cx="5278120" cy="1958975"/>
                    </a:xfrm>
                    <a:prstGeom prst="rect">
                      <a:avLst/>
                    </a:prstGeom>
                  </pic:spPr>
                </pic:pic>
              </a:graphicData>
            </a:graphic>
          </wp:inline>
        </w:drawing>
      </w:r>
    </w:p>
    <w:p w14:paraId="244C56A3">
      <w:pPr>
        <w:widowControl/>
        <w:spacing w:line="360" w:lineRule="auto"/>
        <w:jc w:val="center"/>
        <w:rPr>
          <w:rFonts w:eastAsiaTheme="minorEastAsia"/>
          <w:b/>
          <w:snapToGrid w:val="0"/>
          <w:kern w:val="18"/>
          <w:szCs w:val="21"/>
        </w:rPr>
      </w:pPr>
      <w:r>
        <w:rPr>
          <w:rFonts w:eastAsiaTheme="minorEastAsia"/>
          <w:b/>
          <w:snapToGrid w:val="0"/>
          <w:kern w:val="18"/>
          <w:szCs w:val="21"/>
        </w:rPr>
        <w:t>图</w:t>
      </w:r>
      <w:r>
        <w:rPr>
          <w:rFonts w:hint="eastAsia" w:eastAsiaTheme="minorEastAsia"/>
          <w:b/>
          <w:snapToGrid w:val="0"/>
          <w:kern w:val="18"/>
          <w:szCs w:val="21"/>
        </w:rPr>
        <w:t>5.2.2</w:t>
      </w:r>
      <w:r>
        <w:rPr>
          <w:rFonts w:eastAsiaTheme="minorEastAsia"/>
          <w:b/>
          <w:snapToGrid w:val="0"/>
          <w:kern w:val="18"/>
          <w:szCs w:val="21"/>
        </w:rPr>
        <w:t>-</w:t>
      </w:r>
      <w:r>
        <w:rPr>
          <w:rFonts w:hint="eastAsia" w:eastAsiaTheme="minorEastAsia"/>
          <w:b/>
          <w:snapToGrid w:val="0"/>
          <w:kern w:val="18"/>
          <w:szCs w:val="21"/>
        </w:rPr>
        <w:t>1</w:t>
      </w:r>
      <w:r>
        <w:rPr>
          <w:rFonts w:eastAsiaTheme="minorEastAsia"/>
          <w:b/>
          <w:snapToGrid w:val="0"/>
          <w:kern w:val="18"/>
          <w:szCs w:val="21"/>
        </w:rPr>
        <w:t xml:space="preserve">  </w:t>
      </w:r>
      <w:r>
        <w:rPr>
          <w:rFonts w:hint="eastAsia" w:eastAsiaTheme="minorEastAsia"/>
          <w:b/>
          <w:snapToGrid w:val="0"/>
          <w:kern w:val="18"/>
          <w:szCs w:val="21"/>
        </w:rPr>
        <w:t>乡镇污水处理厂</w:t>
      </w:r>
      <w:r>
        <w:rPr>
          <w:rFonts w:eastAsiaTheme="minorEastAsia"/>
          <w:b/>
          <w:snapToGrid w:val="0"/>
          <w:kern w:val="18"/>
          <w:szCs w:val="21"/>
        </w:rPr>
        <w:t>工艺流程图</w:t>
      </w:r>
    </w:p>
    <w:p w14:paraId="1D1B3529">
      <w:pPr>
        <w:spacing w:line="348" w:lineRule="auto"/>
        <w:ind w:firstLine="480" w:firstLineChars="200"/>
        <w:rPr>
          <w:rFonts w:eastAsiaTheme="minorEastAsia"/>
          <w:kern w:val="0"/>
          <w:sz w:val="24"/>
        </w:rPr>
      </w:pPr>
      <w:r>
        <w:rPr>
          <w:rFonts w:hint="eastAsia" w:eastAsiaTheme="minorEastAsia"/>
          <w:kern w:val="0"/>
          <w:sz w:val="24"/>
        </w:rPr>
        <w:t>城镇污水首先通过粗格栅去除较大漂浮物后进入调节池，再由潜污泵提升进入调节池，调节池出水自流进入平流沉砂池，去除大颗粒无机物，而后进入 A2O工艺，完成生物氧化过程，达到分解有机物、除磷和脱氮的目的；然后混合液进入混凝池进行混凝沉淀处理，最后出水进入纤维转盘滤池深度处理，处理后经紫外消毒处理达标排放。</w:t>
      </w:r>
    </w:p>
    <w:p w14:paraId="46889F8D">
      <w:pPr>
        <w:spacing w:line="348" w:lineRule="auto"/>
        <w:ind w:firstLine="480" w:firstLineChars="200"/>
        <w:rPr>
          <w:rFonts w:eastAsiaTheme="minorEastAsia"/>
          <w:kern w:val="0"/>
          <w:sz w:val="24"/>
        </w:rPr>
      </w:pPr>
      <w:r>
        <w:rPr>
          <w:rFonts w:hint="eastAsia" w:eastAsiaTheme="minorEastAsia"/>
          <w:kern w:val="0"/>
          <w:sz w:val="24"/>
        </w:rPr>
        <w:t>乡镇污水处理厂的设计进水水质、出水水质详见下表。</w:t>
      </w:r>
    </w:p>
    <w:p w14:paraId="173F00E0">
      <w:pPr>
        <w:pStyle w:val="162"/>
        <w:ind w:firstLine="422" w:firstLineChars="200"/>
        <w:jc w:val="center"/>
        <w:rPr>
          <w:rFonts w:eastAsiaTheme="minorEastAsia"/>
          <w:b/>
          <w:sz w:val="21"/>
          <w:szCs w:val="21"/>
        </w:rPr>
      </w:pPr>
      <w:r>
        <w:rPr>
          <w:rFonts w:hint="eastAsia" w:eastAsiaTheme="minorEastAsia"/>
          <w:b/>
          <w:sz w:val="21"/>
          <w:szCs w:val="21"/>
        </w:rPr>
        <w:t>表5.2.2-3   各乡镇污水处理厂的设计进出水水质一览表   单位：mg/L</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796"/>
        <w:gridCol w:w="1162"/>
        <w:gridCol w:w="1162"/>
        <w:gridCol w:w="1162"/>
        <w:gridCol w:w="1162"/>
        <w:gridCol w:w="1162"/>
      </w:tblGrid>
      <w:tr w14:paraId="7329B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73D8569E">
            <w:pPr>
              <w:jc w:val="center"/>
              <w:rPr>
                <w:rFonts w:eastAsiaTheme="minorEastAsia"/>
                <w:i/>
                <w:szCs w:val="21"/>
              </w:rPr>
            </w:pPr>
            <w:r>
              <w:rPr>
                <w:rFonts w:eastAsiaTheme="minorEastAsia"/>
                <w:iCs/>
                <w:szCs w:val="21"/>
              </w:rPr>
              <w:t>污染物</w:t>
            </w:r>
          </w:p>
        </w:tc>
        <w:tc>
          <w:tcPr>
            <w:tcW w:w="1053" w:type="pct"/>
            <w:shd w:val="clear" w:color="auto" w:fill="auto"/>
            <w:vAlign w:val="center"/>
          </w:tcPr>
          <w:p w14:paraId="625E8B86">
            <w:pPr>
              <w:jc w:val="center"/>
              <w:rPr>
                <w:rFonts w:eastAsiaTheme="minorEastAsia"/>
                <w:i/>
                <w:szCs w:val="21"/>
              </w:rPr>
            </w:pPr>
            <w:r>
              <w:rPr>
                <w:rFonts w:eastAsiaTheme="minorEastAsia"/>
                <w:iCs/>
                <w:szCs w:val="21"/>
              </w:rPr>
              <w:t>COD</w:t>
            </w:r>
          </w:p>
        </w:tc>
        <w:tc>
          <w:tcPr>
            <w:tcW w:w="681" w:type="pct"/>
            <w:shd w:val="clear" w:color="auto" w:fill="auto"/>
            <w:vAlign w:val="center"/>
          </w:tcPr>
          <w:p w14:paraId="6462E827">
            <w:pPr>
              <w:jc w:val="center"/>
              <w:rPr>
                <w:rFonts w:eastAsiaTheme="minorEastAsia"/>
                <w:iCs/>
                <w:szCs w:val="21"/>
              </w:rPr>
            </w:pPr>
            <w:r>
              <w:rPr>
                <w:rFonts w:eastAsiaTheme="minorEastAsia"/>
                <w:iCs/>
                <w:szCs w:val="21"/>
              </w:rPr>
              <w:t>BOD</w:t>
            </w:r>
            <w:r>
              <w:rPr>
                <w:rFonts w:eastAsiaTheme="minorEastAsia"/>
                <w:iCs/>
                <w:szCs w:val="21"/>
                <w:vertAlign w:val="subscript"/>
              </w:rPr>
              <w:t>5</w:t>
            </w:r>
          </w:p>
        </w:tc>
        <w:tc>
          <w:tcPr>
            <w:tcW w:w="681" w:type="pct"/>
            <w:shd w:val="clear" w:color="auto" w:fill="auto"/>
            <w:vAlign w:val="center"/>
          </w:tcPr>
          <w:p w14:paraId="5C4315A1">
            <w:pPr>
              <w:jc w:val="center"/>
              <w:rPr>
                <w:rFonts w:eastAsiaTheme="minorEastAsia"/>
                <w:i/>
                <w:szCs w:val="21"/>
              </w:rPr>
            </w:pPr>
            <w:r>
              <w:rPr>
                <w:rFonts w:eastAsiaTheme="minorEastAsia"/>
                <w:iCs/>
                <w:szCs w:val="21"/>
              </w:rPr>
              <w:t>SS</w:t>
            </w:r>
          </w:p>
        </w:tc>
        <w:tc>
          <w:tcPr>
            <w:tcW w:w="681" w:type="pct"/>
            <w:shd w:val="clear" w:color="auto" w:fill="auto"/>
            <w:vAlign w:val="center"/>
          </w:tcPr>
          <w:p w14:paraId="61BDFC62">
            <w:pPr>
              <w:jc w:val="center"/>
              <w:rPr>
                <w:rFonts w:eastAsiaTheme="minorEastAsia"/>
                <w:szCs w:val="21"/>
              </w:rPr>
            </w:pPr>
            <w:r>
              <w:rPr>
                <w:rFonts w:hint="eastAsia" w:eastAsiaTheme="minorEastAsia"/>
                <w:szCs w:val="21"/>
              </w:rPr>
              <w:t>氨氮</w:t>
            </w:r>
          </w:p>
        </w:tc>
        <w:tc>
          <w:tcPr>
            <w:tcW w:w="681" w:type="pct"/>
            <w:shd w:val="clear" w:color="auto" w:fill="auto"/>
            <w:vAlign w:val="center"/>
          </w:tcPr>
          <w:p w14:paraId="4B09E02E">
            <w:pPr>
              <w:jc w:val="center"/>
              <w:rPr>
                <w:rFonts w:eastAsiaTheme="minorEastAsia"/>
                <w:szCs w:val="21"/>
              </w:rPr>
            </w:pPr>
            <w:r>
              <w:rPr>
                <w:rFonts w:eastAsiaTheme="minorEastAsia"/>
                <w:szCs w:val="21"/>
              </w:rPr>
              <w:t>TN</w:t>
            </w:r>
          </w:p>
        </w:tc>
        <w:tc>
          <w:tcPr>
            <w:tcW w:w="681" w:type="pct"/>
            <w:shd w:val="clear" w:color="auto" w:fill="auto"/>
            <w:vAlign w:val="center"/>
          </w:tcPr>
          <w:p w14:paraId="6A6A63B7">
            <w:pPr>
              <w:jc w:val="center"/>
              <w:rPr>
                <w:rFonts w:eastAsiaTheme="minorEastAsia"/>
                <w:szCs w:val="21"/>
              </w:rPr>
            </w:pPr>
            <w:r>
              <w:rPr>
                <w:rFonts w:eastAsiaTheme="minorEastAsia"/>
                <w:szCs w:val="21"/>
              </w:rPr>
              <w:t>TP</w:t>
            </w:r>
          </w:p>
        </w:tc>
      </w:tr>
      <w:tr w14:paraId="0BB2D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1ACE75B3">
            <w:pPr>
              <w:jc w:val="center"/>
              <w:rPr>
                <w:rFonts w:eastAsiaTheme="minorEastAsia"/>
                <w:szCs w:val="21"/>
              </w:rPr>
            </w:pPr>
            <w:r>
              <w:rPr>
                <w:rFonts w:eastAsiaTheme="minorEastAsia"/>
                <w:szCs w:val="21"/>
              </w:rPr>
              <w:t>进水</w:t>
            </w:r>
          </w:p>
        </w:tc>
        <w:tc>
          <w:tcPr>
            <w:tcW w:w="1053" w:type="pct"/>
            <w:shd w:val="clear" w:color="auto" w:fill="auto"/>
            <w:vAlign w:val="center"/>
          </w:tcPr>
          <w:p w14:paraId="6273C41E">
            <w:pPr>
              <w:jc w:val="center"/>
              <w:rPr>
                <w:rFonts w:eastAsiaTheme="minorEastAsia"/>
                <w:szCs w:val="21"/>
              </w:rPr>
            </w:pPr>
            <w:r>
              <w:rPr>
                <w:rFonts w:hint="eastAsia" w:eastAsiaTheme="minorEastAsia"/>
                <w:szCs w:val="21"/>
              </w:rPr>
              <w:t>220</w:t>
            </w:r>
          </w:p>
        </w:tc>
        <w:tc>
          <w:tcPr>
            <w:tcW w:w="681" w:type="pct"/>
            <w:shd w:val="clear" w:color="auto" w:fill="auto"/>
            <w:vAlign w:val="center"/>
          </w:tcPr>
          <w:p w14:paraId="37897312">
            <w:pPr>
              <w:jc w:val="center"/>
              <w:rPr>
                <w:rFonts w:eastAsiaTheme="minorEastAsia"/>
                <w:szCs w:val="21"/>
              </w:rPr>
            </w:pPr>
            <w:r>
              <w:rPr>
                <w:rFonts w:hint="eastAsia" w:eastAsiaTheme="minorEastAsia"/>
                <w:szCs w:val="21"/>
              </w:rPr>
              <w:t>110</w:t>
            </w:r>
          </w:p>
        </w:tc>
        <w:tc>
          <w:tcPr>
            <w:tcW w:w="681" w:type="pct"/>
            <w:shd w:val="clear" w:color="auto" w:fill="auto"/>
            <w:vAlign w:val="center"/>
          </w:tcPr>
          <w:p w14:paraId="7ABAA070">
            <w:pPr>
              <w:jc w:val="center"/>
              <w:rPr>
                <w:rFonts w:eastAsiaTheme="minorEastAsia"/>
                <w:szCs w:val="21"/>
              </w:rPr>
            </w:pPr>
            <w:r>
              <w:rPr>
                <w:rFonts w:hint="eastAsia" w:eastAsiaTheme="minorEastAsia"/>
                <w:szCs w:val="21"/>
              </w:rPr>
              <w:t>180</w:t>
            </w:r>
          </w:p>
        </w:tc>
        <w:tc>
          <w:tcPr>
            <w:tcW w:w="681" w:type="pct"/>
            <w:shd w:val="clear" w:color="auto" w:fill="auto"/>
            <w:vAlign w:val="center"/>
          </w:tcPr>
          <w:p w14:paraId="47B2C5FA">
            <w:pPr>
              <w:jc w:val="center"/>
              <w:rPr>
                <w:rFonts w:eastAsiaTheme="minorEastAsia"/>
                <w:szCs w:val="21"/>
              </w:rPr>
            </w:pPr>
            <w:r>
              <w:rPr>
                <w:rFonts w:hint="eastAsia" w:eastAsiaTheme="minorEastAsia"/>
                <w:szCs w:val="21"/>
              </w:rPr>
              <w:t>28</w:t>
            </w:r>
          </w:p>
        </w:tc>
        <w:tc>
          <w:tcPr>
            <w:tcW w:w="681" w:type="pct"/>
            <w:shd w:val="clear" w:color="auto" w:fill="auto"/>
            <w:vAlign w:val="center"/>
          </w:tcPr>
          <w:p w14:paraId="2D2C2F68">
            <w:pPr>
              <w:jc w:val="center"/>
              <w:rPr>
                <w:rFonts w:eastAsiaTheme="minorEastAsia"/>
                <w:szCs w:val="21"/>
              </w:rPr>
            </w:pPr>
            <w:r>
              <w:rPr>
                <w:rFonts w:hint="eastAsia" w:eastAsiaTheme="minorEastAsia"/>
                <w:szCs w:val="21"/>
              </w:rPr>
              <w:t>35</w:t>
            </w:r>
          </w:p>
        </w:tc>
        <w:tc>
          <w:tcPr>
            <w:tcW w:w="681" w:type="pct"/>
            <w:shd w:val="clear" w:color="auto" w:fill="auto"/>
            <w:vAlign w:val="center"/>
          </w:tcPr>
          <w:p w14:paraId="0C658BF5">
            <w:pPr>
              <w:jc w:val="center"/>
              <w:rPr>
                <w:rFonts w:eastAsiaTheme="minorEastAsia"/>
                <w:szCs w:val="21"/>
              </w:rPr>
            </w:pPr>
            <w:r>
              <w:rPr>
                <w:rFonts w:hint="eastAsia" w:eastAsiaTheme="minorEastAsia"/>
                <w:szCs w:val="21"/>
              </w:rPr>
              <w:t>3.0</w:t>
            </w:r>
          </w:p>
        </w:tc>
      </w:tr>
      <w:tr w14:paraId="318D8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39" w:type="pct"/>
            <w:shd w:val="clear" w:color="auto" w:fill="auto"/>
            <w:vAlign w:val="center"/>
          </w:tcPr>
          <w:p w14:paraId="04C1A046">
            <w:pPr>
              <w:jc w:val="center"/>
              <w:rPr>
                <w:rFonts w:eastAsiaTheme="minorEastAsia"/>
                <w:szCs w:val="21"/>
              </w:rPr>
            </w:pPr>
            <w:r>
              <w:rPr>
                <w:rFonts w:eastAsiaTheme="minorEastAsia"/>
                <w:szCs w:val="21"/>
              </w:rPr>
              <w:t>出水</w:t>
            </w:r>
          </w:p>
        </w:tc>
        <w:tc>
          <w:tcPr>
            <w:tcW w:w="1053" w:type="pct"/>
            <w:shd w:val="clear" w:color="auto" w:fill="auto"/>
            <w:vAlign w:val="center"/>
          </w:tcPr>
          <w:p w14:paraId="3D5CF870">
            <w:pPr>
              <w:jc w:val="center"/>
              <w:rPr>
                <w:rFonts w:eastAsiaTheme="minorEastAsia"/>
                <w:szCs w:val="21"/>
              </w:rPr>
            </w:pPr>
            <w:r>
              <w:rPr>
                <w:rFonts w:hint="eastAsia" w:eastAsiaTheme="minorEastAsia"/>
                <w:szCs w:val="21"/>
              </w:rPr>
              <w:t>50</w:t>
            </w:r>
          </w:p>
        </w:tc>
        <w:tc>
          <w:tcPr>
            <w:tcW w:w="681" w:type="pct"/>
            <w:shd w:val="clear" w:color="auto" w:fill="auto"/>
            <w:vAlign w:val="center"/>
          </w:tcPr>
          <w:p w14:paraId="6525BBE7">
            <w:pPr>
              <w:jc w:val="center"/>
              <w:rPr>
                <w:rFonts w:eastAsiaTheme="minorEastAsia"/>
                <w:szCs w:val="21"/>
              </w:rPr>
            </w:pPr>
            <w:r>
              <w:rPr>
                <w:rFonts w:hint="eastAsia" w:eastAsiaTheme="minorEastAsia"/>
                <w:szCs w:val="21"/>
              </w:rPr>
              <w:t>10</w:t>
            </w:r>
          </w:p>
        </w:tc>
        <w:tc>
          <w:tcPr>
            <w:tcW w:w="681" w:type="pct"/>
            <w:shd w:val="clear" w:color="auto" w:fill="auto"/>
            <w:vAlign w:val="center"/>
          </w:tcPr>
          <w:p w14:paraId="7D25ACC8">
            <w:pPr>
              <w:jc w:val="center"/>
              <w:rPr>
                <w:rFonts w:eastAsiaTheme="minorEastAsia"/>
                <w:szCs w:val="21"/>
              </w:rPr>
            </w:pPr>
            <w:r>
              <w:rPr>
                <w:rFonts w:hint="eastAsia" w:eastAsiaTheme="minorEastAsia"/>
                <w:szCs w:val="21"/>
              </w:rPr>
              <w:t>10</w:t>
            </w:r>
          </w:p>
        </w:tc>
        <w:tc>
          <w:tcPr>
            <w:tcW w:w="681" w:type="pct"/>
            <w:shd w:val="clear" w:color="auto" w:fill="auto"/>
            <w:vAlign w:val="center"/>
          </w:tcPr>
          <w:p w14:paraId="1A0B4EF2">
            <w:pPr>
              <w:jc w:val="center"/>
              <w:rPr>
                <w:rFonts w:eastAsiaTheme="minorEastAsia"/>
                <w:szCs w:val="21"/>
              </w:rPr>
            </w:pPr>
            <w:r>
              <w:rPr>
                <w:rFonts w:hint="eastAsia" w:eastAsiaTheme="minorEastAsia"/>
                <w:szCs w:val="21"/>
              </w:rPr>
              <w:t>5（8）</w:t>
            </w:r>
          </w:p>
        </w:tc>
        <w:tc>
          <w:tcPr>
            <w:tcW w:w="681" w:type="pct"/>
            <w:shd w:val="clear" w:color="auto" w:fill="auto"/>
            <w:vAlign w:val="center"/>
          </w:tcPr>
          <w:p w14:paraId="36B552DA">
            <w:pPr>
              <w:jc w:val="center"/>
              <w:rPr>
                <w:rFonts w:eastAsiaTheme="minorEastAsia"/>
                <w:szCs w:val="21"/>
              </w:rPr>
            </w:pPr>
            <w:r>
              <w:rPr>
                <w:rFonts w:hint="eastAsia" w:eastAsiaTheme="minorEastAsia"/>
                <w:szCs w:val="21"/>
              </w:rPr>
              <w:t>15</w:t>
            </w:r>
          </w:p>
        </w:tc>
        <w:tc>
          <w:tcPr>
            <w:tcW w:w="681" w:type="pct"/>
            <w:shd w:val="clear" w:color="auto" w:fill="auto"/>
            <w:vAlign w:val="center"/>
          </w:tcPr>
          <w:p w14:paraId="38ECB7A4">
            <w:pPr>
              <w:jc w:val="center"/>
              <w:rPr>
                <w:rFonts w:eastAsiaTheme="minorEastAsia"/>
                <w:szCs w:val="21"/>
              </w:rPr>
            </w:pPr>
            <w:r>
              <w:rPr>
                <w:rFonts w:hint="eastAsia" w:eastAsiaTheme="minorEastAsia"/>
                <w:szCs w:val="21"/>
              </w:rPr>
              <w:t>0.5</w:t>
            </w:r>
          </w:p>
        </w:tc>
      </w:tr>
    </w:tbl>
    <w:p w14:paraId="2A0BC3C6">
      <w:pPr>
        <w:spacing w:line="348" w:lineRule="auto"/>
        <w:ind w:firstLine="480" w:firstLineChars="200"/>
        <w:rPr>
          <w:rFonts w:eastAsiaTheme="minorEastAsia"/>
          <w:kern w:val="0"/>
          <w:sz w:val="24"/>
        </w:rPr>
      </w:pPr>
      <w:r>
        <w:rPr>
          <w:rFonts w:hint="eastAsia" w:eastAsiaTheme="minorEastAsia"/>
          <w:kern w:val="0"/>
          <w:sz w:val="24"/>
        </w:rPr>
        <w:t>处理后尾水排放执行《城镇污水处理厂污染物排放标准》(GB18918-2002）一级A排放标准，出水直接排放至周边地表水体。</w:t>
      </w:r>
    </w:p>
    <w:p w14:paraId="4AED55C0">
      <w:pPr>
        <w:spacing w:line="348" w:lineRule="auto"/>
        <w:ind w:firstLine="480" w:firstLineChars="200"/>
        <w:rPr>
          <w:rFonts w:eastAsiaTheme="minorEastAsia"/>
          <w:kern w:val="0"/>
          <w:sz w:val="24"/>
        </w:rPr>
      </w:pPr>
      <w:r>
        <w:rPr>
          <w:rFonts w:hint="eastAsia" w:eastAsiaTheme="minorEastAsia"/>
          <w:kern w:val="0"/>
          <w:sz w:val="24"/>
        </w:rPr>
        <w:t>园区规划排水体制为雨污分流，园区规划管网将生活污水纳入乡镇污水处理厂范围内，根据园区管网规划，污水管网沿厂内道路铺设，并与规划市政污水管网对接，园区生活污水纳入乡镇污水处理厂可行。</w:t>
      </w:r>
    </w:p>
    <w:p w14:paraId="33D36C02">
      <w:pPr>
        <w:spacing w:line="348" w:lineRule="auto"/>
        <w:ind w:firstLine="480" w:firstLineChars="200"/>
        <w:rPr>
          <w:rFonts w:eastAsiaTheme="minorEastAsia"/>
          <w:kern w:val="0"/>
          <w:sz w:val="24"/>
        </w:rPr>
      </w:pPr>
      <w:r>
        <w:rPr>
          <w:rFonts w:eastAsiaTheme="minorEastAsia"/>
          <w:kern w:val="0"/>
          <w:sz w:val="24"/>
        </w:rPr>
        <w:t>根据污水处理厂进水标准和</w:t>
      </w:r>
      <w:r>
        <w:rPr>
          <w:rFonts w:hint="eastAsia" w:eastAsiaTheme="minorEastAsia"/>
          <w:kern w:val="0"/>
          <w:sz w:val="24"/>
        </w:rPr>
        <w:t>园区污水处理排放浓度可知，园区</w:t>
      </w:r>
      <w:r>
        <w:rPr>
          <w:rFonts w:eastAsiaTheme="minorEastAsia"/>
          <w:kern w:val="0"/>
          <w:sz w:val="24"/>
        </w:rPr>
        <w:t>生活废水可以达到生活污水处理厂进水标准，</w:t>
      </w:r>
      <w:r>
        <w:rPr>
          <w:rFonts w:hint="eastAsia" w:eastAsiaTheme="minorEastAsia"/>
          <w:kern w:val="0"/>
          <w:sz w:val="24"/>
        </w:rPr>
        <w:t>园区</w:t>
      </w:r>
      <w:r>
        <w:rPr>
          <w:rFonts w:hint="eastAsia" w:eastAsiaTheme="minorEastAsia"/>
          <w:sz w:val="24"/>
        </w:rPr>
        <w:t>远期</w:t>
      </w:r>
      <w:r>
        <w:rPr>
          <w:rFonts w:eastAsiaTheme="minorEastAsia"/>
          <w:kern w:val="0"/>
          <w:sz w:val="24"/>
        </w:rPr>
        <w:t>生活废水量为</w:t>
      </w:r>
      <w:r>
        <w:rPr>
          <w:rFonts w:hint="eastAsia" w:eastAsiaTheme="minorEastAsia"/>
          <w:sz w:val="24"/>
        </w:rPr>
        <w:t>3840m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根据各乡镇污水处理厂远期规划情况，远期吴山镇、万和镇、</w:t>
      </w:r>
      <w:r>
        <w:rPr>
          <w:rFonts w:hint="eastAsia" w:eastAsiaTheme="minorEastAsia"/>
          <w:sz w:val="24"/>
        </w:rPr>
        <w:t>新城及草店</w:t>
      </w:r>
      <w:r>
        <w:rPr>
          <w:rFonts w:hint="eastAsia" w:eastAsiaTheme="minorEastAsia"/>
          <w:kern w:val="0"/>
          <w:sz w:val="24"/>
        </w:rPr>
        <w:t>污水处理厂规划规模为</w:t>
      </w:r>
      <w:r>
        <w:rPr>
          <w:rFonts w:hint="eastAsia" w:eastAsiaTheme="minorEastAsia"/>
          <w:sz w:val="24"/>
        </w:rPr>
        <w:t>8200m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远期</w:t>
      </w:r>
      <w:r>
        <w:rPr>
          <w:rFonts w:eastAsiaTheme="minorEastAsia"/>
          <w:kern w:val="0"/>
          <w:sz w:val="24"/>
        </w:rPr>
        <w:t>废水量约占污水处理厂</w:t>
      </w:r>
      <w:r>
        <w:rPr>
          <w:rFonts w:hint="eastAsia" w:eastAsiaTheme="minorEastAsia"/>
          <w:kern w:val="0"/>
          <w:sz w:val="24"/>
        </w:rPr>
        <w:t>远期</w:t>
      </w:r>
      <w:r>
        <w:rPr>
          <w:rFonts w:eastAsiaTheme="minorEastAsia"/>
          <w:kern w:val="0"/>
          <w:sz w:val="24"/>
        </w:rPr>
        <w:t>规模的</w:t>
      </w:r>
      <w:r>
        <w:rPr>
          <w:rFonts w:hint="eastAsia" w:eastAsiaTheme="minorEastAsia"/>
          <w:kern w:val="0"/>
          <w:sz w:val="24"/>
        </w:rPr>
        <w:t>46.8</w:t>
      </w:r>
      <w:r>
        <w:rPr>
          <w:rFonts w:eastAsiaTheme="minorEastAsia"/>
          <w:kern w:val="0"/>
          <w:sz w:val="24"/>
        </w:rPr>
        <w:t>%</w:t>
      </w:r>
      <w:r>
        <w:rPr>
          <w:rFonts w:hint="eastAsia" w:eastAsiaTheme="minorEastAsia"/>
          <w:kern w:val="0"/>
          <w:sz w:val="24"/>
        </w:rPr>
        <w:t>。</w:t>
      </w:r>
      <w:r>
        <w:rPr>
          <w:rFonts w:eastAsiaTheme="minorEastAsia"/>
          <w:kern w:val="0"/>
          <w:sz w:val="24"/>
        </w:rPr>
        <w:t>因此，</w:t>
      </w:r>
      <w:r>
        <w:rPr>
          <w:rFonts w:hint="eastAsia" w:eastAsiaTheme="minorEastAsia"/>
          <w:sz w:val="24"/>
        </w:rPr>
        <w:t>排水量在远期规划乡镇污水处理厂处理能力范围内，但由于排水量占污水厂处理规模的比例较大，评价建议加快建设污水处理厂扩容工程，以确保规划园区生活污水能全部纳入污水处理厂进一步处理。在此基础上，园区生活污水纳入污水处理厂可行。</w:t>
      </w:r>
    </w:p>
    <w:p w14:paraId="28B7F800">
      <w:pPr>
        <w:spacing w:line="348" w:lineRule="auto"/>
        <w:ind w:firstLine="480" w:firstLineChars="200"/>
        <w:rPr>
          <w:rFonts w:eastAsiaTheme="minorEastAsia"/>
          <w:kern w:val="0"/>
          <w:sz w:val="24"/>
        </w:rPr>
      </w:pPr>
      <w:r>
        <w:rPr>
          <w:rFonts w:eastAsiaTheme="minorEastAsia"/>
          <w:kern w:val="0"/>
          <w:sz w:val="24"/>
        </w:rPr>
        <w:t>总体而言，</w:t>
      </w:r>
      <w:r>
        <w:rPr>
          <w:rFonts w:hint="eastAsia" w:eastAsiaTheme="minorEastAsia"/>
          <w:kern w:val="0"/>
          <w:sz w:val="24"/>
        </w:rPr>
        <w:t>园区</w:t>
      </w:r>
      <w:r>
        <w:rPr>
          <w:rFonts w:eastAsiaTheme="minorEastAsia"/>
          <w:kern w:val="0"/>
          <w:sz w:val="24"/>
        </w:rPr>
        <w:t>废水可通过</w:t>
      </w:r>
      <w:r>
        <w:rPr>
          <w:rFonts w:hint="eastAsia" w:eastAsiaTheme="minorEastAsia"/>
          <w:kern w:val="0"/>
          <w:sz w:val="24"/>
        </w:rPr>
        <w:t>规划</w:t>
      </w:r>
      <w:r>
        <w:rPr>
          <w:rFonts w:eastAsiaTheme="minorEastAsia"/>
          <w:kern w:val="0"/>
          <w:sz w:val="24"/>
        </w:rPr>
        <w:t>市政管网排入污水处理厂</w:t>
      </w:r>
      <w:r>
        <w:rPr>
          <w:rFonts w:hint="eastAsia" w:eastAsiaTheme="minorEastAsia"/>
          <w:kern w:val="0"/>
          <w:sz w:val="24"/>
        </w:rPr>
        <w:t>，园区</w:t>
      </w:r>
      <w:r>
        <w:rPr>
          <w:rFonts w:eastAsiaTheme="minorEastAsia"/>
          <w:kern w:val="0"/>
          <w:sz w:val="24"/>
        </w:rPr>
        <w:t>废水经处理后，排放浓度能够满足污水处理厂的接管标准</w:t>
      </w:r>
      <w:r>
        <w:rPr>
          <w:rFonts w:hint="eastAsia" w:eastAsiaTheme="minorEastAsia"/>
          <w:kern w:val="0"/>
          <w:sz w:val="24"/>
        </w:rPr>
        <w:t>，</w:t>
      </w:r>
      <w:r>
        <w:rPr>
          <w:rFonts w:eastAsiaTheme="minorEastAsia"/>
          <w:kern w:val="0"/>
          <w:sz w:val="24"/>
        </w:rPr>
        <w:t>且</w:t>
      </w:r>
      <w:r>
        <w:rPr>
          <w:rFonts w:hint="eastAsia" w:eastAsiaTheme="minorEastAsia"/>
          <w:kern w:val="0"/>
          <w:sz w:val="24"/>
        </w:rPr>
        <w:t>远期扩容后各乡镇</w:t>
      </w:r>
      <w:r>
        <w:rPr>
          <w:rFonts w:eastAsiaTheme="minorEastAsia"/>
          <w:kern w:val="0"/>
          <w:sz w:val="24"/>
        </w:rPr>
        <w:t>污水处理厂能够处理</w:t>
      </w:r>
      <w:r>
        <w:rPr>
          <w:rFonts w:hint="eastAsia" w:eastAsiaTheme="minorEastAsia"/>
          <w:kern w:val="0"/>
          <w:sz w:val="24"/>
        </w:rPr>
        <w:t>园区</w:t>
      </w:r>
      <w:r>
        <w:rPr>
          <w:rFonts w:eastAsiaTheme="minorEastAsia"/>
          <w:kern w:val="0"/>
          <w:sz w:val="24"/>
        </w:rPr>
        <w:t>生活废水</w:t>
      </w:r>
      <w:r>
        <w:rPr>
          <w:rFonts w:hint="eastAsia" w:eastAsiaTheme="minorEastAsia"/>
          <w:kern w:val="0"/>
          <w:sz w:val="24"/>
        </w:rPr>
        <w:t>。因此，园区生活污水依托乡镇污水处理厂处理可行。</w:t>
      </w:r>
    </w:p>
    <w:p w14:paraId="0803294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措施建议</w:t>
      </w:r>
    </w:p>
    <w:p w14:paraId="75A43CBD">
      <w:pPr>
        <w:spacing w:line="360" w:lineRule="auto"/>
        <w:ind w:firstLine="480" w:firstLineChars="200"/>
        <w:rPr>
          <w:rFonts w:eastAsiaTheme="minorEastAsia"/>
          <w:sz w:val="24"/>
        </w:rPr>
      </w:pPr>
      <w:r>
        <w:rPr>
          <w:rFonts w:hint="eastAsia" w:eastAsiaTheme="minorEastAsia"/>
          <w:kern w:val="0"/>
          <w:sz w:val="24"/>
        </w:rPr>
        <w:t>（1）规划园区各污水管网建成完善前，区内企业生活污水应自行处理后用于农田施肥或委托卫生部门清运处理，不得直接对周边地表水体排放。</w:t>
      </w:r>
    </w:p>
    <w:p w14:paraId="00CDD62B">
      <w:pPr>
        <w:spacing w:line="360" w:lineRule="auto"/>
        <w:ind w:firstLine="480" w:firstLineChars="200"/>
        <w:rPr>
          <w:rFonts w:eastAsiaTheme="minorEastAsia"/>
          <w:sz w:val="24"/>
        </w:rPr>
      </w:pPr>
      <w:r>
        <w:rPr>
          <w:rFonts w:hint="eastAsia" w:eastAsiaTheme="minorEastAsia"/>
          <w:sz w:val="24"/>
        </w:rPr>
        <w:t>（2）严格执行“雨污分流”排水体制，规划实施过程中落实好配套污水市政管网的建设，将区内企业生活废水集中收集处理，达到区内生活废水集中处置率100%。</w:t>
      </w:r>
    </w:p>
    <w:p w14:paraId="5232C152">
      <w:pPr>
        <w:spacing w:line="360" w:lineRule="auto"/>
        <w:ind w:firstLine="480" w:firstLineChars="200"/>
        <w:rPr>
          <w:rFonts w:eastAsiaTheme="minorEastAsia"/>
          <w:sz w:val="24"/>
        </w:rPr>
      </w:pPr>
      <w:r>
        <w:rPr>
          <w:rFonts w:hint="eastAsia" w:eastAsiaTheme="minorEastAsia"/>
          <w:sz w:val="24"/>
        </w:rPr>
        <w:t>（3）加强对区内企业外排废水的管理，严禁将生活垃圾和固体废物倒入河内污染地表水体；督促区内企业建设必要的废水预处理设施，确保企业外排废水达到污水处理厂进水水质标准。各涉水企业确保污水处理设施稳定运行，设置缓冲应急池，确保事故状态下超标废水不外排。</w:t>
      </w:r>
    </w:p>
    <w:p w14:paraId="3306E629">
      <w:pPr>
        <w:spacing w:line="360" w:lineRule="auto"/>
        <w:ind w:firstLine="480" w:firstLineChars="200"/>
        <w:rPr>
          <w:rFonts w:eastAsiaTheme="minorEastAsia"/>
          <w:sz w:val="24"/>
        </w:rPr>
      </w:pPr>
      <w:r>
        <w:rPr>
          <w:rFonts w:hint="eastAsia" w:eastAsiaTheme="minorEastAsia"/>
          <w:sz w:val="24"/>
        </w:rPr>
        <w:t>（4）为进一步减少污水处理厂废水排放对区域水环境的影响，应大力推广工业节水新技术，从源头上减少废水产生量，同时完善中水回用管线系统，拓展中水回用途径和回用量，减少废水最终排放量。</w:t>
      </w:r>
    </w:p>
    <w:p w14:paraId="33D6CA4E">
      <w:pPr>
        <w:keepNext/>
        <w:keepLines/>
        <w:widowControl/>
        <w:numPr>
          <w:ilvl w:val="2"/>
          <w:numId w:val="1"/>
        </w:numPr>
        <w:spacing w:before="120" w:after="120" w:line="360" w:lineRule="auto"/>
        <w:jc w:val="left"/>
        <w:outlineLvl w:val="2"/>
        <w:rPr>
          <w:rFonts w:eastAsiaTheme="minorEastAsia"/>
          <w:b/>
          <w:bCs/>
          <w:sz w:val="24"/>
        </w:rPr>
      </w:pPr>
      <w:bookmarkStart w:id="151" w:name="_Toc206494979"/>
      <w:r>
        <w:rPr>
          <w:rFonts w:hint="eastAsia" w:eastAsiaTheme="minorEastAsia"/>
          <w:b/>
          <w:bCs/>
          <w:sz w:val="24"/>
        </w:rPr>
        <w:t>声环境影响分析</w:t>
      </w:r>
      <w:bookmarkEnd w:id="151"/>
    </w:p>
    <w:p w14:paraId="276557E4">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声环境评价等级确定</w:t>
      </w:r>
    </w:p>
    <w:p w14:paraId="09F35B63">
      <w:pPr>
        <w:spacing w:line="360" w:lineRule="auto"/>
        <w:ind w:firstLine="480" w:firstLineChars="200"/>
        <w:rPr>
          <w:rFonts w:eastAsiaTheme="minorEastAsia"/>
          <w:sz w:val="24"/>
        </w:rPr>
      </w:pPr>
      <w:r>
        <w:rPr>
          <w:rFonts w:hint="eastAsia" w:eastAsiaTheme="minorEastAsia"/>
          <w:sz w:val="24"/>
        </w:rPr>
        <w:t>根据石材产业园总体发展规划的用地类型，规划区内包括《声环境质量标准》中划定的2类、3类、4类标准区域，项目属于区域性开发，建成后主要噪声源为工业噪声、社会生活及交通噪声，区外主要的保护目标为规划产业园周边村庄等敏感点，考虑后期对周边声环境的影响，参照《环境影响评价技术导则 声环境》（HJ2.4-2021）相关规定，确定噪声影响评价为二级评价。由于噪声源位置的不确定性，本次对噪声环境影响进行分析，并提出相应的控制措施。</w:t>
      </w:r>
    </w:p>
    <w:p w14:paraId="4256300F">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声环境影响预测与分析</w:t>
      </w:r>
    </w:p>
    <w:p w14:paraId="1A1A281D">
      <w:pPr>
        <w:spacing w:line="360" w:lineRule="auto"/>
        <w:ind w:firstLine="480" w:firstLineChars="200"/>
        <w:rPr>
          <w:rFonts w:eastAsiaTheme="minorEastAsia"/>
          <w:sz w:val="24"/>
        </w:rPr>
      </w:pPr>
      <w:r>
        <w:rPr>
          <w:rFonts w:hint="eastAsia" w:eastAsiaTheme="minorEastAsia"/>
          <w:sz w:val="24"/>
        </w:rPr>
        <w:t>（1）规划布局防范措施</w:t>
      </w:r>
    </w:p>
    <w:p w14:paraId="2E589442">
      <w:pPr>
        <w:spacing w:line="360" w:lineRule="auto"/>
        <w:ind w:firstLine="480" w:firstLineChars="200"/>
        <w:rPr>
          <w:rFonts w:eastAsiaTheme="minorEastAsia"/>
          <w:sz w:val="24"/>
        </w:rPr>
      </w:pPr>
      <w:r>
        <w:rPr>
          <w:rFonts w:hint="eastAsia" w:eastAsiaTheme="minorEastAsia"/>
          <w:sz w:val="24"/>
        </w:rPr>
        <w:t>根据规划园区范围和地理位置，声环境的主要敏感点为规划区内外的居民点。规划区主要的噪声源为各工业企业生产噪声。各入驻企业要注重噪声控制，做好噪声防护，将高噪声设备尽量远离敏感点，减少对敏感点的影响。</w:t>
      </w:r>
    </w:p>
    <w:p w14:paraId="1FD04438">
      <w:pPr>
        <w:spacing w:line="360" w:lineRule="auto"/>
        <w:ind w:firstLine="480" w:firstLineChars="200"/>
        <w:rPr>
          <w:rFonts w:eastAsiaTheme="minorEastAsia"/>
          <w:sz w:val="24"/>
        </w:rPr>
      </w:pPr>
      <w:r>
        <w:rPr>
          <w:rFonts w:hint="eastAsia" w:eastAsiaTheme="minorEastAsia"/>
          <w:sz w:val="24"/>
        </w:rPr>
        <w:t>（2）交通噪声环境影响分析</w:t>
      </w:r>
    </w:p>
    <w:p w14:paraId="0F843AEE">
      <w:pPr>
        <w:spacing w:line="360" w:lineRule="auto"/>
        <w:ind w:firstLine="480" w:firstLineChars="200"/>
        <w:rPr>
          <w:rFonts w:eastAsiaTheme="minorEastAsia"/>
          <w:sz w:val="24"/>
        </w:rPr>
      </w:pPr>
      <w:r>
        <w:rPr>
          <w:rFonts w:hint="eastAsia" w:eastAsiaTheme="minorEastAsia"/>
          <w:sz w:val="24"/>
        </w:rPr>
        <w:t>1）交通噪声对园区影响分析</w:t>
      </w:r>
    </w:p>
    <w:p w14:paraId="28671D12">
      <w:pPr>
        <w:spacing w:line="360" w:lineRule="auto"/>
        <w:ind w:firstLine="480" w:firstLineChars="200"/>
        <w:rPr>
          <w:rFonts w:eastAsiaTheme="minorEastAsia"/>
          <w:sz w:val="24"/>
        </w:rPr>
      </w:pPr>
      <w:r>
        <w:rPr>
          <w:rFonts w:hint="eastAsia" w:eastAsiaTheme="minorEastAsia"/>
          <w:sz w:val="24"/>
        </w:rPr>
        <w:t>规划区内交通噪声主要为主干道、次干道行驶的机动车辆产生，机动车行驶过程中的噪声级一般在70～90dB（A），随着规划区车流量增加，交通噪声源也将有所增加。</w:t>
      </w:r>
    </w:p>
    <w:p w14:paraId="7B717AEF">
      <w:pPr>
        <w:spacing w:line="360" w:lineRule="auto"/>
        <w:ind w:firstLine="480" w:firstLineChars="200"/>
        <w:rPr>
          <w:rFonts w:eastAsiaTheme="minorEastAsia"/>
          <w:sz w:val="24"/>
        </w:rPr>
      </w:pPr>
      <w:r>
        <w:rPr>
          <w:rFonts w:hint="eastAsia" w:eastAsiaTheme="minorEastAsia"/>
          <w:sz w:val="24"/>
        </w:rPr>
        <w:t>规划区建设过程中，严格按照相关规划要求，在主要道路两侧建设10～15m的立体防护绿化带，这样就可有效降低交通噪声影响。</w:t>
      </w:r>
    </w:p>
    <w:p w14:paraId="0E5B7C64">
      <w:pPr>
        <w:spacing w:line="360" w:lineRule="auto"/>
        <w:ind w:firstLine="480" w:firstLineChars="200"/>
        <w:rPr>
          <w:rFonts w:eastAsiaTheme="minorEastAsia"/>
          <w:sz w:val="24"/>
        </w:rPr>
      </w:pPr>
      <w:r>
        <w:rPr>
          <w:rFonts w:hint="eastAsia" w:eastAsiaTheme="minorEastAsia"/>
          <w:sz w:val="24"/>
        </w:rPr>
        <w:t>2）交通噪声对区外声环境的影响</w:t>
      </w:r>
    </w:p>
    <w:p w14:paraId="43FAAF46">
      <w:pPr>
        <w:spacing w:line="360" w:lineRule="auto"/>
        <w:ind w:firstLine="480" w:firstLineChars="200"/>
        <w:rPr>
          <w:rFonts w:eastAsiaTheme="minorEastAsia"/>
          <w:sz w:val="24"/>
        </w:rPr>
      </w:pPr>
      <w:r>
        <w:rPr>
          <w:rFonts w:hint="eastAsia" w:eastAsiaTheme="minorEastAsia"/>
          <w:sz w:val="24"/>
        </w:rPr>
        <w:t>规划区的开发建设引起的交通噪声对区外声环境的影响主要是运输车流量增加，对道路沿线敏感点的影响。可采取以下措施控制交通噪声的影响：</w:t>
      </w:r>
    </w:p>
    <w:p w14:paraId="61C82FE9">
      <w:pPr>
        <w:spacing w:line="360" w:lineRule="auto"/>
        <w:ind w:firstLine="480" w:firstLineChars="200"/>
        <w:rPr>
          <w:rFonts w:eastAsiaTheme="minorEastAsia"/>
          <w:sz w:val="24"/>
        </w:rPr>
      </w:pPr>
      <w:r>
        <w:rPr>
          <w:rFonts w:hint="eastAsia" w:eastAsiaTheme="minorEastAsia"/>
          <w:sz w:val="24"/>
        </w:rPr>
        <w:t>①尽量选择昼间运输，避免夜间运输对途经敏感点的影响。</w:t>
      </w:r>
    </w:p>
    <w:p w14:paraId="68860E31">
      <w:pPr>
        <w:spacing w:line="360" w:lineRule="auto"/>
        <w:ind w:firstLine="480" w:firstLineChars="200"/>
        <w:rPr>
          <w:rFonts w:eastAsiaTheme="minorEastAsia"/>
          <w:sz w:val="24"/>
        </w:rPr>
      </w:pPr>
      <w:r>
        <w:rPr>
          <w:rFonts w:hint="eastAsia" w:eastAsiaTheme="minorEastAsia"/>
          <w:sz w:val="24"/>
        </w:rPr>
        <w:t>②运输路线选择交通主干道，尽量避开村庄、学校等敏感点。当运输车辆不可避免的经过敏感区域时，应降低车速并禁止鸣笛，减轻对敏感点的影响。</w:t>
      </w:r>
    </w:p>
    <w:p w14:paraId="45CFA6ED">
      <w:pPr>
        <w:spacing w:line="360" w:lineRule="auto"/>
        <w:ind w:firstLine="480" w:firstLineChars="200"/>
        <w:rPr>
          <w:rFonts w:eastAsiaTheme="minorEastAsia"/>
          <w:sz w:val="24"/>
        </w:rPr>
      </w:pPr>
      <w:r>
        <w:rPr>
          <w:rFonts w:hint="eastAsia" w:eastAsiaTheme="minorEastAsia"/>
          <w:sz w:val="24"/>
        </w:rPr>
        <w:t>（3）工业噪声环境影响分析</w:t>
      </w:r>
    </w:p>
    <w:p w14:paraId="38B16383">
      <w:pPr>
        <w:spacing w:line="360" w:lineRule="auto"/>
        <w:ind w:firstLine="480" w:firstLineChars="200"/>
        <w:rPr>
          <w:rFonts w:eastAsiaTheme="minorEastAsia"/>
          <w:sz w:val="24"/>
        </w:rPr>
      </w:pPr>
      <w:r>
        <w:rPr>
          <w:rFonts w:hint="eastAsia" w:eastAsiaTheme="minorEastAsia"/>
          <w:sz w:val="24"/>
        </w:rPr>
        <w:t>工业噪声源主要为生产设备噪声，噪声级多在75～105dB（A），主要集中分布在企业生产区。规划区内工业区集中布置，鼓励企业选用生产设备时优先选用先进的低噪声设备，对室内噪声源采取设备间隔声措施，对少量室外噪声源采用加吸声罩加阻尼防震减震基础的措施，工业企业与办公区之间设置绿化隔离带，同时，相关部门加强监管，对区内企业，特别是区内与区外敏感点距离较近的企业，应建立例行监测制度，定期监测其厂界噪声达标情况，对出现超标的企业限期整改。通过落实以上措施，规划区内工业噪声会得到有效抑制，预计规划的工业区噪声能够满足《声环境质量标准》（GB3096-2008）3类标准的要求。</w:t>
      </w:r>
    </w:p>
    <w:p w14:paraId="3F73BE50">
      <w:pPr>
        <w:spacing w:line="360" w:lineRule="auto"/>
        <w:ind w:firstLine="480" w:firstLineChars="200"/>
        <w:rPr>
          <w:rFonts w:eastAsiaTheme="minorEastAsia"/>
          <w:sz w:val="24"/>
        </w:rPr>
      </w:pPr>
      <w:r>
        <w:rPr>
          <w:rFonts w:hint="eastAsia" w:eastAsiaTheme="minorEastAsia"/>
          <w:sz w:val="24"/>
        </w:rPr>
        <w:t>（4）社会生活环境影响分析</w:t>
      </w:r>
    </w:p>
    <w:p w14:paraId="02310B7E">
      <w:pPr>
        <w:spacing w:line="360" w:lineRule="auto"/>
        <w:ind w:firstLine="480" w:firstLineChars="200"/>
        <w:rPr>
          <w:rFonts w:eastAsiaTheme="minorEastAsia"/>
          <w:sz w:val="24"/>
        </w:rPr>
      </w:pPr>
      <w:r>
        <w:rPr>
          <w:rFonts w:hint="eastAsia" w:eastAsiaTheme="minorEastAsia"/>
          <w:sz w:val="24"/>
        </w:rPr>
        <w:t>规划区内生活噪声主要为职工生活噪声，源强在75～90dB（A），随着项目辖区内人口密度的增加，生活噪声源也将比现状有所增多。</w:t>
      </w:r>
    </w:p>
    <w:p w14:paraId="6449B66B">
      <w:pPr>
        <w:spacing w:line="360" w:lineRule="auto"/>
        <w:ind w:firstLine="480" w:firstLineChars="200"/>
        <w:rPr>
          <w:rFonts w:eastAsiaTheme="minorEastAsia"/>
          <w:sz w:val="24"/>
        </w:rPr>
      </w:pPr>
      <w:r>
        <w:rPr>
          <w:rFonts w:hint="eastAsia" w:eastAsiaTheme="minorEastAsia"/>
          <w:sz w:val="24"/>
        </w:rPr>
        <w:t>公共管理及公共服务设施用地附近的社会噪声源点多面广，管理难度大，对此应充分发挥居委会、物业管理部门和城建监察部门的作用，建立定期检查制度，控制流动马路摊点，禁止无证叫卖等。通过加强管理，社会生活噪声对区域声环境质量影响较小。</w:t>
      </w:r>
    </w:p>
    <w:p w14:paraId="5AE266E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声环境现状调查</w:t>
      </w:r>
    </w:p>
    <w:p w14:paraId="4500E087">
      <w:pPr>
        <w:spacing w:line="360" w:lineRule="auto"/>
        <w:ind w:firstLine="480" w:firstLineChars="200"/>
        <w:rPr>
          <w:rFonts w:eastAsiaTheme="minorEastAsia"/>
          <w:sz w:val="24"/>
        </w:rPr>
      </w:pPr>
      <w:r>
        <w:rPr>
          <w:rFonts w:hint="eastAsia" w:eastAsiaTheme="minorEastAsia"/>
          <w:sz w:val="24"/>
        </w:rPr>
        <w:t>现状监测期间，园区内</w:t>
      </w:r>
      <w:r>
        <w:rPr>
          <w:rFonts w:eastAsiaTheme="minorEastAsia"/>
          <w:sz w:val="24"/>
        </w:rPr>
        <w:t>企业边界外昼、夜间噪声均满足《声环境质量标准》</w:t>
      </w:r>
      <w:r>
        <w:rPr>
          <w:rFonts w:eastAsiaTheme="minorEastAsia"/>
          <w:kern w:val="20"/>
          <w:sz w:val="24"/>
        </w:rPr>
        <w:t>（GB3096-2008）3类标准要求，</w:t>
      </w:r>
      <w:r>
        <w:rPr>
          <w:rFonts w:hint="eastAsia" w:eastAsiaTheme="minorEastAsia"/>
          <w:kern w:val="20"/>
          <w:sz w:val="24"/>
        </w:rPr>
        <w:t>主</w:t>
      </w:r>
      <w:r>
        <w:rPr>
          <w:rFonts w:eastAsiaTheme="minorEastAsia"/>
          <w:kern w:val="20"/>
          <w:sz w:val="24"/>
        </w:rPr>
        <w:t>干路边界</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4a</w:t>
      </w:r>
      <w:r>
        <w:rPr>
          <w:rFonts w:eastAsiaTheme="minorEastAsia"/>
          <w:kern w:val="20"/>
          <w:sz w:val="24"/>
        </w:rPr>
        <w:t>类标准要求，其他居民点及空地</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2</w:t>
      </w:r>
      <w:r>
        <w:rPr>
          <w:rFonts w:eastAsiaTheme="minorEastAsia"/>
          <w:kern w:val="20"/>
          <w:sz w:val="24"/>
        </w:rPr>
        <w:t>类标准要求。</w:t>
      </w:r>
    </w:p>
    <w:p w14:paraId="6BCCA213">
      <w:pPr>
        <w:keepNext/>
        <w:keepLines/>
        <w:widowControl/>
        <w:numPr>
          <w:ilvl w:val="2"/>
          <w:numId w:val="1"/>
        </w:numPr>
        <w:spacing w:before="120" w:after="120" w:line="360" w:lineRule="auto"/>
        <w:jc w:val="left"/>
        <w:outlineLvl w:val="2"/>
        <w:rPr>
          <w:rFonts w:eastAsiaTheme="minorEastAsia"/>
          <w:b/>
          <w:bCs/>
          <w:sz w:val="24"/>
        </w:rPr>
      </w:pPr>
      <w:bookmarkStart w:id="152" w:name="_Toc206494980"/>
      <w:r>
        <w:rPr>
          <w:rFonts w:hint="eastAsia" w:eastAsiaTheme="minorEastAsia"/>
          <w:b/>
          <w:bCs/>
          <w:sz w:val="24"/>
        </w:rPr>
        <w:t>固体废物环境影响分析</w:t>
      </w:r>
      <w:bookmarkEnd w:id="152"/>
    </w:p>
    <w:p w14:paraId="3A75F11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固体废物来源、种类和产生量</w:t>
      </w:r>
    </w:p>
    <w:p w14:paraId="63E3E35B">
      <w:pPr>
        <w:spacing w:line="360" w:lineRule="auto"/>
        <w:ind w:firstLine="480" w:firstLineChars="200"/>
        <w:rPr>
          <w:rFonts w:eastAsiaTheme="minorEastAsia"/>
          <w:sz w:val="24"/>
        </w:rPr>
      </w:pPr>
      <w:r>
        <w:rPr>
          <w:rFonts w:hint="eastAsia" w:eastAsiaTheme="minorEastAsia"/>
          <w:sz w:val="24"/>
        </w:rPr>
        <w:t>规划园区所产生的固体废物主要包括：生活垃圾、一般工业固废和危险废物等。</w:t>
      </w:r>
    </w:p>
    <w:p w14:paraId="3A29C74D">
      <w:pPr>
        <w:spacing w:line="360" w:lineRule="auto"/>
        <w:ind w:firstLine="480" w:firstLineChars="200"/>
        <w:rPr>
          <w:rFonts w:eastAsiaTheme="minorEastAsia"/>
          <w:sz w:val="24"/>
        </w:rPr>
      </w:pPr>
      <w:r>
        <w:rPr>
          <w:rFonts w:hint="eastAsia" w:eastAsiaTheme="minorEastAsia"/>
          <w:sz w:val="24"/>
        </w:rPr>
        <w:t>（1）生活垃圾</w:t>
      </w:r>
    </w:p>
    <w:p w14:paraId="3994DCDF">
      <w:pPr>
        <w:spacing w:line="360" w:lineRule="auto"/>
        <w:ind w:firstLine="480" w:firstLineChars="200"/>
        <w:rPr>
          <w:rFonts w:eastAsiaTheme="minorEastAsia"/>
          <w:sz w:val="24"/>
        </w:rPr>
      </w:pPr>
      <w:r>
        <w:rPr>
          <w:rFonts w:hint="eastAsia" w:eastAsiaTheme="minorEastAsia"/>
          <w:sz w:val="24"/>
        </w:rPr>
        <w:t>生活垃圾组成以有机成份为主，可分为干垃圾和湿垃圾。干垃圾产生于办公等处，如废弃纸张等；湿垃圾主要为残羹剩饭等。近期2025年生活垃圾产生量为14600t/a，远期2035年生活垃圾产生量为29200t/a，生活垃圾由环卫部门统一收集进行无害化处理。</w:t>
      </w:r>
    </w:p>
    <w:p w14:paraId="7F265E5C">
      <w:pPr>
        <w:spacing w:line="360" w:lineRule="auto"/>
        <w:ind w:firstLine="480" w:firstLineChars="200"/>
        <w:rPr>
          <w:rFonts w:eastAsiaTheme="minorEastAsia"/>
          <w:sz w:val="24"/>
        </w:rPr>
      </w:pPr>
      <w:r>
        <w:rPr>
          <w:rFonts w:hint="eastAsia" w:eastAsiaTheme="minorEastAsia"/>
          <w:sz w:val="24"/>
        </w:rPr>
        <w:t>（2）一般工业固废和危险废物</w:t>
      </w:r>
    </w:p>
    <w:p w14:paraId="4457629C">
      <w:pPr>
        <w:spacing w:line="360" w:lineRule="auto"/>
        <w:ind w:firstLine="480" w:firstLineChars="200"/>
        <w:rPr>
          <w:rFonts w:eastAsiaTheme="minorEastAsia"/>
          <w:sz w:val="24"/>
        </w:rPr>
      </w:pPr>
      <w:r>
        <w:rPr>
          <w:rFonts w:hint="eastAsia" w:eastAsiaTheme="minorEastAsia"/>
          <w:sz w:val="24"/>
        </w:rPr>
        <w:t>工业固体废物的产生量取决于生产规模、产品品种等众多因素。根据类比现状石材企业，一般工业固体废物主要为废边角料、废钢砂及废滤芯、不合格品、底泥、除尘灰等，近期2025年产生量为439.0万t/a，远期2035年产生量为489.3万t/a，均分类收集后外售综合利用；危险废物主要为废润滑油，近期2025年产生量为139.5t/a，远期2035年产生量为155.5t/a，收集后暂存危险废物暂存间交有资质的单位处置。</w:t>
      </w:r>
    </w:p>
    <w:p w14:paraId="221D1D1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固体废物危害分析</w:t>
      </w:r>
    </w:p>
    <w:p w14:paraId="5928BBDE">
      <w:pPr>
        <w:spacing w:line="360" w:lineRule="auto"/>
        <w:ind w:firstLine="480" w:firstLineChars="200"/>
        <w:rPr>
          <w:rFonts w:eastAsiaTheme="minorEastAsia"/>
          <w:sz w:val="24"/>
        </w:rPr>
      </w:pPr>
      <w:r>
        <w:rPr>
          <w:rFonts w:hint="eastAsia" w:eastAsiaTheme="minorEastAsia"/>
          <w:sz w:val="24"/>
        </w:rPr>
        <w:t>规划园区固体废物对环境造成的污染是多方面的多环境要素的。若无较合理及完善的处理处置方案，将会产生如下不良影响。</w:t>
      </w:r>
    </w:p>
    <w:p w14:paraId="190AD65A">
      <w:pPr>
        <w:spacing w:line="360" w:lineRule="auto"/>
        <w:ind w:firstLine="480" w:firstLineChars="200"/>
        <w:rPr>
          <w:rFonts w:eastAsiaTheme="minorEastAsia"/>
          <w:sz w:val="24"/>
        </w:rPr>
      </w:pPr>
      <w:r>
        <w:rPr>
          <w:rFonts w:hint="eastAsia" w:eastAsiaTheme="minorEastAsia"/>
          <w:sz w:val="24"/>
        </w:rPr>
        <w:t>（1）污染土壤</w:t>
      </w:r>
    </w:p>
    <w:p w14:paraId="6154A398">
      <w:pPr>
        <w:spacing w:line="360" w:lineRule="auto"/>
        <w:ind w:firstLine="480" w:firstLineChars="200"/>
        <w:rPr>
          <w:rFonts w:eastAsiaTheme="minorEastAsia"/>
          <w:sz w:val="24"/>
        </w:rPr>
      </w:pPr>
      <w:r>
        <w:rPr>
          <w:rFonts w:hint="eastAsia" w:eastAsiaTheme="minorEastAsia"/>
          <w:sz w:val="24"/>
        </w:rPr>
        <w:t>废物堆放或者没有适当的防治措施的垃圾处理，其中的有害组分很容易经过风化、地表径流的侵蚀，产生高温和有毒液体渗入土壤，杀死土壤中的微生物，破坏微生物与周围环境构成系统的平衡。</w:t>
      </w:r>
    </w:p>
    <w:p w14:paraId="2B08B658">
      <w:pPr>
        <w:spacing w:line="360" w:lineRule="auto"/>
        <w:ind w:firstLine="480" w:firstLineChars="200"/>
        <w:rPr>
          <w:rFonts w:eastAsiaTheme="minorEastAsia"/>
          <w:sz w:val="24"/>
        </w:rPr>
      </w:pPr>
      <w:r>
        <w:rPr>
          <w:rFonts w:hint="eastAsia" w:eastAsiaTheme="minorEastAsia"/>
          <w:sz w:val="24"/>
        </w:rPr>
        <w:t>（2）污染水体</w:t>
      </w:r>
    </w:p>
    <w:p w14:paraId="58D1FFBD">
      <w:pPr>
        <w:spacing w:line="360" w:lineRule="auto"/>
        <w:ind w:firstLine="480" w:firstLineChars="200"/>
        <w:rPr>
          <w:rFonts w:eastAsiaTheme="minorEastAsia"/>
          <w:sz w:val="24"/>
        </w:rPr>
      </w:pPr>
      <w:r>
        <w:rPr>
          <w:rFonts w:hint="eastAsia" w:eastAsiaTheme="minorEastAsia"/>
          <w:sz w:val="24"/>
        </w:rPr>
        <w:t>固体废物随天然降水和地表径流流入周围水体，或随风飘落入水体使地面水体受到污染；随沥渗水进入土壤则污染地下水，直接排入水体则会减少水体面积，妨害水生生物的生存和水资源的利用。</w:t>
      </w:r>
    </w:p>
    <w:p w14:paraId="45827F3C">
      <w:pPr>
        <w:spacing w:line="360" w:lineRule="auto"/>
        <w:ind w:firstLine="480" w:firstLineChars="200"/>
        <w:rPr>
          <w:rFonts w:eastAsiaTheme="minorEastAsia"/>
          <w:sz w:val="24"/>
        </w:rPr>
      </w:pPr>
      <w:r>
        <w:rPr>
          <w:rFonts w:hint="eastAsia" w:eastAsiaTheme="minorEastAsia"/>
          <w:sz w:val="24"/>
        </w:rPr>
        <w:t>（3）污染大气</w:t>
      </w:r>
    </w:p>
    <w:p w14:paraId="52693600">
      <w:pPr>
        <w:spacing w:line="360" w:lineRule="auto"/>
        <w:ind w:firstLine="480" w:firstLineChars="200"/>
        <w:rPr>
          <w:rFonts w:eastAsiaTheme="minorEastAsia"/>
          <w:sz w:val="24"/>
        </w:rPr>
      </w:pPr>
      <w:r>
        <w:rPr>
          <w:rFonts w:hint="eastAsia" w:eastAsiaTheme="minorEastAsia"/>
          <w:sz w:val="24"/>
        </w:rPr>
        <w:t>固体废物一般通过如下途径污染大气：以细粒状存在的废渣和垃圾在大风吹动下随风飘逸扩散到很远的地方;运输过程产生的有害气体和粉尘；一些有机固体废物在适宜的温度和湿度条件下被微生物分解，释放出有害气体；固体废物在处理时散发毒气和臭味等。同时，危险废物含有有毒有害成分，不加处理会对自然水体、大气环境和人体健康产生较严重危害。</w:t>
      </w:r>
    </w:p>
    <w:p w14:paraId="612E03E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固体废物影响分析</w:t>
      </w:r>
    </w:p>
    <w:p w14:paraId="5B02E68D">
      <w:pPr>
        <w:spacing w:line="360" w:lineRule="auto"/>
        <w:ind w:firstLine="480" w:firstLineChars="200"/>
        <w:rPr>
          <w:rFonts w:eastAsiaTheme="minorEastAsia"/>
          <w:sz w:val="24"/>
        </w:rPr>
      </w:pPr>
      <w:r>
        <w:rPr>
          <w:rFonts w:hint="eastAsia" w:eastAsiaTheme="minorEastAsia"/>
          <w:sz w:val="24"/>
        </w:rPr>
        <w:t>固体废物若不加处理会产生环境污染，危害人体健康，因此，须对固废采取有效的防治措施，减轻或消除环境污染，保护人体健康。</w:t>
      </w:r>
    </w:p>
    <w:p w14:paraId="3BA38743">
      <w:pPr>
        <w:spacing w:line="360" w:lineRule="auto"/>
        <w:ind w:firstLine="480" w:firstLineChars="200"/>
        <w:rPr>
          <w:rFonts w:eastAsiaTheme="minorEastAsia"/>
          <w:sz w:val="24"/>
        </w:rPr>
      </w:pPr>
      <w:r>
        <w:rPr>
          <w:rFonts w:hint="eastAsia" w:eastAsiaTheme="minorEastAsia"/>
          <w:sz w:val="24"/>
        </w:rPr>
        <w:t>规划区统一建立固废收集系统、运输系统、处理系统。对于园区所设置的固废暂存间和危废暂存间，一般工业固体废物暂存过程应满足相应防渗漏、防雨淋、防扬尘等环境保护要求，危险废物必须按照《危险废物贮存污染控制标准》(GB18597-2023)有关规范进行建设和维护使用。</w:t>
      </w:r>
    </w:p>
    <w:p w14:paraId="6E8F06B0">
      <w:pPr>
        <w:spacing w:line="360" w:lineRule="auto"/>
        <w:ind w:firstLine="480" w:firstLineChars="200"/>
        <w:rPr>
          <w:rFonts w:eastAsiaTheme="minorEastAsia"/>
          <w:sz w:val="24"/>
        </w:rPr>
      </w:pPr>
      <w:r>
        <w:rPr>
          <w:rFonts w:hint="eastAsia" w:eastAsiaTheme="minorEastAsia"/>
          <w:sz w:val="24"/>
        </w:rPr>
        <w:t>固体废物的堆放处理不是长远之计，资源化是控制固体废物污染的有效措施，以资源化为目标开展固体废物的无害化、减量化成为指是固体废物处理处置的基本思想。</w:t>
      </w:r>
    </w:p>
    <w:p w14:paraId="45B8452D">
      <w:pPr>
        <w:spacing w:line="360" w:lineRule="auto"/>
        <w:ind w:firstLine="480" w:firstLineChars="200"/>
        <w:rPr>
          <w:rFonts w:eastAsiaTheme="minorEastAsia"/>
          <w:sz w:val="24"/>
        </w:rPr>
      </w:pPr>
      <w:r>
        <w:rPr>
          <w:rFonts w:hint="eastAsia" w:eastAsiaTheme="minorEastAsia"/>
          <w:sz w:val="24"/>
        </w:rPr>
        <w:t>在此基础上，本规划区对于固体废物的处理处置主要体现的是管理的功能，使固体废物得到妥善处理处置，以免对环境造成影响。具体措施如下：</w:t>
      </w:r>
    </w:p>
    <w:p w14:paraId="1CE923F7">
      <w:pPr>
        <w:spacing w:line="360" w:lineRule="auto"/>
        <w:ind w:firstLine="480" w:firstLineChars="200"/>
        <w:rPr>
          <w:rFonts w:eastAsiaTheme="minorEastAsia"/>
          <w:sz w:val="24"/>
        </w:rPr>
      </w:pPr>
      <w:r>
        <w:rPr>
          <w:rFonts w:hint="eastAsia" w:eastAsiaTheme="minorEastAsia"/>
          <w:sz w:val="24"/>
        </w:rPr>
        <w:t>a.生活垃圾由环卫部门统一收集进行无害化处理；</w:t>
      </w:r>
    </w:p>
    <w:p w14:paraId="2F8F3FB6">
      <w:pPr>
        <w:spacing w:line="360" w:lineRule="auto"/>
        <w:ind w:firstLine="480" w:firstLineChars="200"/>
        <w:rPr>
          <w:rFonts w:eastAsiaTheme="minorEastAsia"/>
          <w:sz w:val="24"/>
        </w:rPr>
      </w:pPr>
      <w:r>
        <w:rPr>
          <w:rFonts w:hint="eastAsia" w:eastAsiaTheme="minorEastAsia"/>
          <w:sz w:val="24"/>
        </w:rPr>
        <w:t>b.产业园内的一般性工业固废废物，首先进行回收利用，对不能回收利用的固体废物统一收集，外委综合利用或委托一般工业固体处置单位统一处置；</w:t>
      </w:r>
    </w:p>
    <w:p w14:paraId="3AD9AFD3">
      <w:pPr>
        <w:spacing w:line="360" w:lineRule="auto"/>
        <w:ind w:firstLine="480" w:firstLineChars="200"/>
        <w:rPr>
          <w:rFonts w:eastAsiaTheme="minorEastAsia"/>
          <w:sz w:val="24"/>
        </w:rPr>
      </w:pPr>
      <w:r>
        <w:rPr>
          <w:rFonts w:hint="eastAsia" w:eastAsiaTheme="minorEastAsia"/>
          <w:sz w:val="24"/>
        </w:rPr>
        <w:t>c.产业园内的危险废物，严格按照《国家危险废物管理名录》，委托有危险废物经营许可证单位进行收运和处置。</w:t>
      </w:r>
    </w:p>
    <w:p w14:paraId="3FFFEB5C">
      <w:pPr>
        <w:spacing w:line="360" w:lineRule="auto"/>
        <w:ind w:firstLine="480" w:firstLineChars="200"/>
        <w:rPr>
          <w:rFonts w:eastAsiaTheme="minorEastAsia"/>
          <w:sz w:val="24"/>
        </w:rPr>
      </w:pPr>
      <w:r>
        <w:rPr>
          <w:rFonts w:hint="eastAsia" w:eastAsiaTheme="minorEastAsia"/>
          <w:sz w:val="24"/>
        </w:rPr>
        <w:t>经过对各种固体废物采取有效防治措施和管理措施，做好安全防护工作，能有效降低固体废物对周边环境带来不利影响。</w:t>
      </w:r>
    </w:p>
    <w:p w14:paraId="37B71609">
      <w:pPr>
        <w:keepNext/>
        <w:keepLines/>
        <w:widowControl/>
        <w:numPr>
          <w:ilvl w:val="2"/>
          <w:numId w:val="1"/>
        </w:numPr>
        <w:spacing w:before="120" w:after="120" w:line="360" w:lineRule="auto"/>
        <w:jc w:val="left"/>
        <w:outlineLvl w:val="2"/>
        <w:rPr>
          <w:rFonts w:eastAsiaTheme="minorEastAsia"/>
          <w:b/>
          <w:bCs/>
          <w:sz w:val="24"/>
        </w:rPr>
      </w:pPr>
      <w:bookmarkStart w:id="153" w:name="_Toc206494981"/>
      <w:r>
        <w:rPr>
          <w:rFonts w:hint="eastAsia" w:eastAsiaTheme="minorEastAsia"/>
          <w:b/>
          <w:bCs/>
          <w:sz w:val="24"/>
        </w:rPr>
        <w:t>地下水环境影响分析</w:t>
      </w:r>
      <w:bookmarkEnd w:id="153"/>
    </w:p>
    <w:p w14:paraId="13C9869D">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区域水文地质条件分析</w:t>
      </w:r>
    </w:p>
    <w:p w14:paraId="61444941">
      <w:pPr>
        <w:spacing w:line="360" w:lineRule="auto"/>
        <w:ind w:firstLine="480" w:firstLineChars="200"/>
        <w:rPr>
          <w:rFonts w:eastAsiaTheme="minorEastAsia"/>
          <w:kern w:val="20"/>
          <w:sz w:val="24"/>
        </w:rPr>
      </w:pPr>
      <w:r>
        <w:rPr>
          <w:rFonts w:hint="eastAsia" w:eastAsiaTheme="minorEastAsia"/>
          <w:kern w:val="20"/>
          <w:sz w:val="24"/>
        </w:rPr>
        <w:t>（1）</w:t>
      </w:r>
      <w:r>
        <w:rPr>
          <w:rFonts w:eastAsiaTheme="minorEastAsia"/>
          <w:kern w:val="20"/>
          <w:sz w:val="24"/>
        </w:rPr>
        <w:t>工程</w:t>
      </w:r>
      <w:r>
        <w:rPr>
          <w:rFonts w:hint="eastAsia" w:eastAsiaTheme="minorEastAsia"/>
          <w:kern w:val="20"/>
          <w:sz w:val="24"/>
        </w:rPr>
        <w:t>地质</w:t>
      </w:r>
      <w:r>
        <w:rPr>
          <w:rFonts w:eastAsiaTheme="minorEastAsia"/>
          <w:kern w:val="20"/>
          <w:sz w:val="24"/>
        </w:rPr>
        <w:t>条件</w:t>
      </w:r>
    </w:p>
    <w:p w14:paraId="17E704E6">
      <w:pPr>
        <w:spacing w:line="360" w:lineRule="auto"/>
        <w:ind w:firstLine="480" w:firstLineChars="200"/>
        <w:rPr>
          <w:rFonts w:eastAsiaTheme="minorEastAsia"/>
          <w:sz w:val="24"/>
        </w:rPr>
      </w:pPr>
      <w:r>
        <w:rPr>
          <w:rFonts w:hint="eastAsia" w:eastAsiaTheme="minorEastAsia"/>
          <w:sz w:val="24"/>
        </w:rPr>
        <w:t>1）岩土体类型</w:t>
      </w:r>
    </w:p>
    <w:p w14:paraId="29B66635">
      <w:pPr>
        <w:spacing w:line="360" w:lineRule="auto"/>
        <w:ind w:firstLine="480" w:firstLineChars="200"/>
        <w:rPr>
          <w:rFonts w:eastAsiaTheme="minorEastAsia"/>
          <w:sz w:val="24"/>
        </w:rPr>
      </w:pPr>
      <w:r>
        <w:rPr>
          <w:rFonts w:hint="eastAsia" w:eastAsiaTheme="minorEastAsia"/>
          <w:sz w:val="24"/>
        </w:rPr>
        <w:t>根据岩性、岩石力学指标和岩石质量指标等主要因素，主要分为松散松软土石岩组、层状坚硬岩组、层状中硬岩组和碎裂坚硬岩组四个岩组，其中松散松软土石岩组主要为第四系残坡积粘性土质层、人工堆积层等构成；层状坚硬岩组为白云钠长片岩、绿泥绿帘钠长片岩、含白云钠长片岩和绿帘钠长片岩等；层状中硬岩组为白云钠长片岩夹阳起白云片岩，钠长绿帘绿泥片岩等；碎裂坚硬岩组为蚀变岩类。</w:t>
      </w:r>
    </w:p>
    <w:p w14:paraId="489CCE9D">
      <w:pPr>
        <w:spacing w:line="360" w:lineRule="auto"/>
        <w:ind w:firstLine="480" w:firstLineChars="200"/>
        <w:rPr>
          <w:rFonts w:eastAsiaTheme="minorEastAsia"/>
          <w:sz w:val="24"/>
        </w:rPr>
      </w:pPr>
      <w:r>
        <w:rPr>
          <w:rFonts w:hint="eastAsia" w:eastAsiaTheme="minorEastAsia"/>
          <w:sz w:val="24"/>
        </w:rPr>
        <w:t>2）岩土体工程地质特征</w:t>
      </w:r>
    </w:p>
    <w:p w14:paraId="0EA3724F">
      <w:pPr>
        <w:spacing w:line="360" w:lineRule="auto"/>
        <w:ind w:firstLine="480" w:firstLineChars="200"/>
        <w:rPr>
          <w:rFonts w:eastAsiaTheme="minorEastAsia"/>
          <w:sz w:val="24"/>
        </w:rPr>
      </w:pPr>
      <w:r>
        <w:rPr>
          <w:rFonts w:hint="eastAsia" w:eastAsiaTheme="minorEastAsia"/>
          <w:sz w:val="24"/>
        </w:rPr>
        <w:t>①松散土体</w:t>
      </w:r>
    </w:p>
    <w:p w14:paraId="7399AED6">
      <w:pPr>
        <w:spacing w:line="360" w:lineRule="auto"/>
        <w:ind w:firstLine="480" w:firstLineChars="200"/>
        <w:rPr>
          <w:rFonts w:eastAsiaTheme="minorEastAsia"/>
          <w:sz w:val="24"/>
        </w:rPr>
      </w:pPr>
      <w:r>
        <w:rPr>
          <w:rFonts w:hint="eastAsia" w:eastAsiaTheme="minorEastAsia"/>
          <w:sz w:val="24"/>
        </w:rPr>
        <w:t>上更新世河流冲积层（Qpal）及少量残坡积，岩性主要为粘土、粉质粘土、含碎石粉质粘土、碎石土等，一般呈，硬-可塑状，饱水后软塑状。主要分布在山间洼地，缓倾角的斜坡地带也有分布，厚度不均，土体松散，评估区位置力学强度低。</w:t>
      </w:r>
    </w:p>
    <w:p w14:paraId="4965DDEC">
      <w:pPr>
        <w:spacing w:line="360" w:lineRule="auto"/>
        <w:ind w:firstLine="480" w:firstLineChars="200"/>
        <w:rPr>
          <w:rFonts w:eastAsiaTheme="minorEastAsia"/>
          <w:sz w:val="24"/>
        </w:rPr>
      </w:pPr>
      <w:r>
        <w:rPr>
          <w:rFonts w:hint="eastAsia" w:eastAsiaTheme="minorEastAsia"/>
          <w:sz w:val="24"/>
        </w:rPr>
        <w:t>②松软土体</w:t>
      </w:r>
    </w:p>
    <w:p w14:paraId="3DB5CFD8">
      <w:pPr>
        <w:spacing w:line="360" w:lineRule="auto"/>
        <w:ind w:firstLine="480" w:firstLineChars="200"/>
        <w:rPr>
          <w:rFonts w:eastAsiaTheme="minorEastAsia"/>
          <w:sz w:val="24"/>
        </w:rPr>
      </w:pPr>
      <w:r>
        <w:rPr>
          <w:rFonts w:hint="eastAsia" w:eastAsiaTheme="minorEastAsia"/>
          <w:sz w:val="24"/>
        </w:rPr>
        <w:t>由冲洪积形成的淤泥质粘土、淤泥质粉质粘土夹碎石，多分布于原冲沟及水塘中，多呈灰、灰黑，以粘粒为主，粉粒次之，含少量腐殖质及碎砖石，有臭味，软—可塑状态，强度较低，压缩性高，厚度 0～5.0m，是一种主要的不良工程土体，作为建筑物地基易导致建筑物因不均匀沉降变形而被破坏。</w:t>
      </w:r>
    </w:p>
    <w:p w14:paraId="6D8F866B">
      <w:pPr>
        <w:spacing w:line="360" w:lineRule="auto"/>
        <w:ind w:firstLine="480" w:firstLineChars="200"/>
        <w:rPr>
          <w:rFonts w:eastAsiaTheme="minorEastAsia"/>
          <w:sz w:val="24"/>
        </w:rPr>
      </w:pPr>
      <w:r>
        <w:rPr>
          <w:rFonts w:hint="eastAsia" w:eastAsiaTheme="minorEastAsia"/>
          <w:sz w:val="24"/>
        </w:rPr>
        <w:t>③薄—中厚层较坚硬—较软弱碎屑岩工程地质岩组</w:t>
      </w:r>
    </w:p>
    <w:p w14:paraId="34D54924">
      <w:pPr>
        <w:spacing w:line="360" w:lineRule="auto"/>
        <w:ind w:firstLine="480" w:firstLineChars="200"/>
        <w:rPr>
          <w:rFonts w:eastAsiaTheme="minorEastAsia"/>
          <w:sz w:val="24"/>
        </w:rPr>
      </w:pPr>
      <w:r>
        <w:rPr>
          <w:rFonts w:hint="eastAsia" w:eastAsiaTheme="minorEastAsia"/>
          <w:sz w:val="24"/>
        </w:rPr>
        <w:t>震旦系下统陡山沱组（Z</w:t>
      </w:r>
      <w:r>
        <w:rPr>
          <w:rFonts w:hint="eastAsia" w:eastAsiaTheme="minorEastAsia"/>
          <w:sz w:val="24"/>
          <w:vertAlign w:val="subscript"/>
        </w:rPr>
        <w:t>1</w:t>
      </w:r>
      <w:r>
        <w:rPr>
          <w:rFonts w:hint="eastAsia" w:eastAsiaTheme="minorEastAsia"/>
          <w:sz w:val="24"/>
        </w:rPr>
        <w:t>d）、南华系武当岩群（Nh</w:t>
      </w:r>
      <w:r>
        <w:rPr>
          <w:rFonts w:hint="eastAsia" w:eastAsiaTheme="minorEastAsia"/>
          <w:sz w:val="24"/>
          <w:vertAlign w:val="subscript"/>
        </w:rPr>
        <w:t>1</w:t>
      </w:r>
      <w:r>
        <w:rPr>
          <w:rFonts w:hint="eastAsia" w:eastAsiaTheme="minorEastAsia"/>
          <w:sz w:val="24"/>
        </w:rPr>
        <w:t>w）和南华系耀岭河组（Nh</w:t>
      </w:r>
      <w:r>
        <w:rPr>
          <w:rFonts w:hint="eastAsia" w:eastAsiaTheme="minorEastAsia"/>
          <w:sz w:val="24"/>
          <w:vertAlign w:val="subscript"/>
        </w:rPr>
        <w:t>2</w:t>
      </w:r>
      <w:r>
        <w:rPr>
          <w:rFonts w:hint="eastAsia" w:eastAsiaTheme="minorEastAsia"/>
          <w:sz w:val="24"/>
        </w:rPr>
        <w:t>y）等地层分布于评估区大部分地区，岩性为钠长阳起片岩、绿帘阳起片岩、绿帘石岩、白云石英片岩等；具薄－中厚层状结构，钙质或泥质胶结，岩性较致密，较坚硬—较软弱，抗风化能力较弱，风化裂隙发育，力学强度较低。</w:t>
      </w:r>
    </w:p>
    <w:p w14:paraId="2006FE87">
      <w:pPr>
        <w:spacing w:line="360" w:lineRule="auto"/>
        <w:ind w:firstLine="480" w:firstLineChars="200"/>
        <w:rPr>
          <w:rFonts w:eastAsiaTheme="minorEastAsia"/>
          <w:kern w:val="20"/>
          <w:sz w:val="24"/>
        </w:rPr>
      </w:pPr>
      <w:r>
        <w:rPr>
          <w:rFonts w:hint="eastAsia" w:eastAsiaTheme="minorEastAsia"/>
          <w:kern w:val="20"/>
          <w:sz w:val="24"/>
        </w:rPr>
        <w:t>（2）水文地质条件</w:t>
      </w:r>
    </w:p>
    <w:p w14:paraId="5C05AF88">
      <w:pPr>
        <w:spacing w:line="360" w:lineRule="auto"/>
        <w:ind w:firstLine="480" w:firstLineChars="200"/>
        <w:rPr>
          <w:rFonts w:eastAsiaTheme="minorEastAsia"/>
          <w:sz w:val="24"/>
        </w:rPr>
      </w:pPr>
      <w:r>
        <w:rPr>
          <w:rFonts w:hint="eastAsia" w:eastAsiaTheme="minorEastAsia"/>
          <w:sz w:val="24"/>
        </w:rPr>
        <w:t>评估区位于鄂北中低山区，区域上地表水多为间歇性小河，较大河流为㵐水河，流量</w:t>
      </w:r>
      <w:r>
        <w:rPr>
          <w:rFonts w:eastAsiaTheme="minorEastAsia"/>
          <w:sz w:val="24"/>
        </w:rPr>
        <w:t>0.0012</w:t>
      </w:r>
      <w:r>
        <w:rPr>
          <w:rFonts w:hint="eastAsia" w:eastAsiaTheme="minorEastAsia"/>
          <w:sz w:val="24"/>
        </w:rPr>
        <w:t>～</w:t>
      </w:r>
      <w:r>
        <w:rPr>
          <w:rFonts w:eastAsiaTheme="minorEastAsia"/>
          <w:sz w:val="24"/>
        </w:rPr>
        <w:t>11.5m³</w:t>
      </w:r>
      <w:r>
        <w:rPr>
          <w:rFonts w:hint="eastAsia" w:eastAsiaTheme="minorEastAsia"/>
          <w:sz w:val="24"/>
        </w:rPr>
        <w:t>/s，洪水期最大流量约为5～100m</w:t>
      </w:r>
      <w:r>
        <w:rPr>
          <w:rFonts w:eastAsiaTheme="minorEastAsia"/>
          <w:sz w:val="24"/>
        </w:rPr>
        <w:t>³</w:t>
      </w:r>
      <w:r>
        <w:rPr>
          <w:rFonts w:hint="eastAsia" w:eastAsiaTheme="minorEastAsia"/>
          <w:sz w:val="24"/>
        </w:rPr>
        <w:t>/s，区内主要有冲洪积孔隙含水层，厚度一般约为0～5m，为砂砾石层，水井涌水量为0.012～0.3L/s。</w:t>
      </w:r>
    </w:p>
    <w:p w14:paraId="0813A05A">
      <w:pPr>
        <w:spacing w:line="360" w:lineRule="auto"/>
        <w:ind w:firstLine="480" w:firstLineChars="200"/>
        <w:rPr>
          <w:rFonts w:eastAsiaTheme="minorEastAsia"/>
          <w:sz w:val="24"/>
        </w:rPr>
      </w:pPr>
      <w:r>
        <w:rPr>
          <w:rFonts w:hint="eastAsia" w:eastAsiaTheme="minorEastAsia"/>
          <w:sz w:val="24"/>
        </w:rPr>
        <w:t>评估区含水层和隔水层分述如下：</w:t>
      </w:r>
    </w:p>
    <w:p w14:paraId="26CAA0D5">
      <w:pPr>
        <w:spacing w:line="360" w:lineRule="auto"/>
        <w:ind w:firstLine="480" w:firstLineChars="200"/>
        <w:rPr>
          <w:rFonts w:eastAsiaTheme="minorEastAsia"/>
          <w:sz w:val="24"/>
        </w:rPr>
      </w:pPr>
      <w:r>
        <w:rPr>
          <w:rFonts w:hint="eastAsia" w:eastAsiaTheme="minorEastAsia"/>
          <w:sz w:val="24"/>
        </w:rPr>
        <w:t>①第四系冲积孔隙含水层</w:t>
      </w:r>
    </w:p>
    <w:p w14:paraId="131B8E11">
      <w:pPr>
        <w:spacing w:line="360" w:lineRule="auto"/>
        <w:ind w:firstLine="480" w:firstLineChars="200"/>
        <w:rPr>
          <w:rFonts w:eastAsiaTheme="minorEastAsia"/>
          <w:sz w:val="24"/>
        </w:rPr>
      </w:pPr>
      <w:r>
        <w:rPr>
          <w:rFonts w:hint="eastAsia" w:eastAsiaTheme="minorEastAsia"/>
          <w:sz w:val="24"/>
        </w:rPr>
        <w:t>该区在评估区内分布广，占比极大，含水层组主要由全新统的冲积砂、砂砾石、卵石组成。地下水主要接受大气降水补给；地下水水位、水量受季节性影响变化大，水质较好。地下水径流方向多垂直或斜交河流流向，以散状流形式向河中排泄。</w:t>
      </w:r>
    </w:p>
    <w:p w14:paraId="1F0B9074">
      <w:pPr>
        <w:spacing w:line="360" w:lineRule="auto"/>
        <w:ind w:firstLine="480" w:firstLineChars="200"/>
        <w:rPr>
          <w:rFonts w:eastAsiaTheme="minorEastAsia"/>
          <w:sz w:val="24"/>
        </w:rPr>
      </w:pPr>
      <w:r>
        <w:rPr>
          <w:rFonts w:hint="eastAsia" w:eastAsiaTheme="minorEastAsia"/>
          <w:sz w:val="24"/>
        </w:rPr>
        <w:t>②基岩风化裂隙含水层</w:t>
      </w:r>
    </w:p>
    <w:p w14:paraId="05B71013">
      <w:pPr>
        <w:spacing w:line="360" w:lineRule="auto"/>
        <w:ind w:firstLine="480" w:firstLineChars="200"/>
        <w:rPr>
          <w:rFonts w:eastAsiaTheme="minorEastAsia"/>
          <w:sz w:val="24"/>
        </w:rPr>
      </w:pPr>
      <w:r>
        <w:rPr>
          <w:rFonts w:hint="eastAsia" w:eastAsiaTheme="minorEastAsia"/>
          <w:sz w:val="24"/>
        </w:rPr>
        <w:t>分布于评估区东部一带，占比极小，由白垩系暗棕红色砂砾岩、砾岩夹含砾砂岩等组成。</w:t>
      </w:r>
    </w:p>
    <w:p w14:paraId="15FE9AD6">
      <w:pPr>
        <w:spacing w:line="360" w:lineRule="auto"/>
        <w:ind w:firstLine="480" w:firstLineChars="200"/>
        <w:rPr>
          <w:rFonts w:eastAsiaTheme="minorEastAsia"/>
          <w:sz w:val="24"/>
        </w:rPr>
      </w:pPr>
      <w:r>
        <w:rPr>
          <w:rFonts w:hint="eastAsia" w:eastAsiaTheme="minorEastAsia"/>
          <w:sz w:val="24"/>
        </w:rPr>
        <w:t>③基岩相对隔水层</w:t>
      </w:r>
    </w:p>
    <w:p w14:paraId="68FDBE89">
      <w:pPr>
        <w:spacing w:line="360" w:lineRule="auto"/>
        <w:ind w:firstLine="480" w:firstLineChars="200"/>
        <w:rPr>
          <w:rFonts w:eastAsiaTheme="minorEastAsia"/>
          <w:sz w:val="24"/>
        </w:rPr>
      </w:pPr>
      <w:r>
        <w:rPr>
          <w:rFonts w:hint="eastAsia" w:eastAsiaTheme="minorEastAsia"/>
          <w:sz w:val="24"/>
        </w:rPr>
        <w:t>评估区内相对隔水层主要为钠长阳起片岩、绿帘阳起片岩、绿帘石岩、白云石英片岩、板岩等，新鲜基岩致密完整，节理裂隙发育较差，粉质粘土结构较为密实，孔隙度小，起相对隔水作用。</w:t>
      </w:r>
    </w:p>
    <w:p w14:paraId="1A241F55">
      <w:pPr>
        <w:spacing w:line="360" w:lineRule="auto"/>
        <w:ind w:firstLine="480" w:firstLineChars="200"/>
        <w:rPr>
          <w:rFonts w:eastAsiaTheme="minorEastAsia"/>
          <w:kern w:val="20"/>
          <w:sz w:val="24"/>
        </w:rPr>
      </w:pPr>
      <w:r>
        <w:rPr>
          <w:rFonts w:hint="eastAsia" w:eastAsiaTheme="minorEastAsia"/>
          <w:kern w:val="20"/>
          <w:sz w:val="24"/>
        </w:rPr>
        <w:t>（3）地下水的补给、径流、排泄条件</w:t>
      </w:r>
    </w:p>
    <w:p w14:paraId="486F3993">
      <w:pPr>
        <w:spacing w:line="360" w:lineRule="auto"/>
        <w:ind w:firstLine="480" w:firstLineChars="200"/>
        <w:rPr>
          <w:rFonts w:eastAsiaTheme="minorEastAsia"/>
          <w:sz w:val="24"/>
        </w:rPr>
      </w:pPr>
      <w:r>
        <w:rPr>
          <w:rFonts w:hint="eastAsia" w:eastAsiaTheme="minorEastAsia"/>
          <w:sz w:val="24"/>
        </w:rPr>
        <w:t>区内第四系冲积孔隙含水层中地下水主要受大气降水补给，一部分向下游迳流排泄地表水，另一部分补给基岩裂隙水。基岩裂隙水主要受大气降水和少量地表水、孔隙水补给，地下水位、水质、水量均随大气降水变化而变化；由于评估区内冲积层孔隙及基岩风化裂隙较为发育，大气降水及地表水经地表入渗补给后形成地下水。地下水径流方向主要受地形、构造、岩性控制，地下水流向与地形变化基本一致，地表分水岭即为地下水分水岭。地下水的排泄方式主要以迳流形式向沟谷或地形低洼的地表水体（系）排泄。地下水动态受气候、水文、地质和人类活动等因素的影响。</w:t>
      </w:r>
    </w:p>
    <w:p w14:paraId="226CB7C2">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地下水影响分析</w:t>
      </w:r>
    </w:p>
    <w:p w14:paraId="2CF76E8F">
      <w:pPr>
        <w:spacing w:line="360" w:lineRule="auto"/>
        <w:ind w:firstLine="480" w:firstLineChars="200"/>
        <w:rPr>
          <w:rFonts w:eastAsiaTheme="minorEastAsia"/>
          <w:sz w:val="24"/>
        </w:rPr>
      </w:pPr>
      <w:r>
        <w:rPr>
          <w:rFonts w:hint="eastAsia" w:eastAsiaTheme="minorEastAsia"/>
          <w:sz w:val="24"/>
        </w:rPr>
        <w:t>园区供水、排水方式规划全部采用市政给水、排水管网，尽可能减少开采地下水，同时也无注入地下水，不会引起地下水流场或地下水位变化，因此不会导致因水位的变化而产生的环境水文地质问题。</w:t>
      </w:r>
    </w:p>
    <w:p w14:paraId="46905354">
      <w:pPr>
        <w:spacing w:line="360" w:lineRule="auto"/>
        <w:ind w:firstLine="480" w:firstLineChars="200"/>
        <w:rPr>
          <w:rFonts w:eastAsiaTheme="minorEastAsia"/>
          <w:sz w:val="24"/>
        </w:rPr>
      </w:pPr>
      <w:r>
        <w:rPr>
          <w:rFonts w:hint="eastAsia" w:eastAsiaTheme="minorEastAsia"/>
          <w:sz w:val="24"/>
        </w:rPr>
        <w:t>规划建设的环卫设施工程如公厕、污水处理设施等是基础设施中典型的地下水污染源。如其防渗措施建设不规范，一旦发生渗漏，污水将通过包气带进入地下水含水层，对地下水环境造成影响。因此，在规划基础设施建设及运营阶段，应严格做好各类设施的地下水防渗设计，建设地面防渗体系应满足《建筑地面设计规范》(GB50037-2013)的规定；对垃圾渗滤液及污泥要妥善收集、存放、处理，防止其对地下水环境产生影响。</w:t>
      </w:r>
    </w:p>
    <w:p w14:paraId="7073FEF9">
      <w:pPr>
        <w:spacing w:line="360" w:lineRule="auto"/>
        <w:ind w:firstLine="480" w:firstLineChars="200"/>
        <w:rPr>
          <w:rFonts w:eastAsiaTheme="minorEastAsia"/>
          <w:sz w:val="24"/>
        </w:rPr>
      </w:pPr>
      <w:r>
        <w:rPr>
          <w:rFonts w:hint="eastAsia" w:eastAsiaTheme="minorEastAsia"/>
          <w:sz w:val="24"/>
        </w:rPr>
        <w:t>规划实施后环卫、污水处理等基础设施建设将对废水产生量有一定的削减作用，因此，对区域地下水的不利影响有一定的削减作用。规划各基础设施在严格落实各种防渗、防护措施的基础上，周边地下水环境影响不会超过现有水平。</w:t>
      </w:r>
    </w:p>
    <w:p w14:paraId="687BA404">
      <w:pPr>
        <w:spacing w:line="360" w:lineRule="auto"/>
        <w:ind w:firstLine="480" w:firstLineChars="200"/>
        <w:rPr>
          <w:rFonts w:eastAsiaTheme="minorEastAsia"/>
          <w:sz w:val="24"/>
        </w:rPr>
      </w:pPr>
      <w:r>
        <w:rPr>
          <w:rFonts w:hint="eastAsia" w:eastAsiaTheme="minorEastAsia"/>
          <w:sz w:val="24"/>
        </w:rPr>
        <w:t>根据规划，规划区计划引入的石材加工产业、绿色循环产业对地下水环境影响均较小。规划区将优先引进轻污染企业，严格控制高耗能、高污染型企业入园，且园区内无大面积危险废液或固体废物储存区域，初期雨水污染物相对简单。</w:t>
      </w:r>
    </w:p>
    <w:p w14:paraId="28CAD384">
      <w:pPr>
        <w:spacing w:line="360" w:lineRule="auto"/>
        <w:ind w:firstLine="480" w:firstLineChars="200"/>
        <w:rPr>
          <w:rFonts w:eastAsiaTheme="minorEastAsia"/>
          <w:sz w:val="24"/>
        </w:rPr>
      </w:pPr>
      <w:r>
        <w:rPr>
          <w:rFonts w:hint="eastAsia" w:eastAsiaTheme="minorEastAsia"/>
          <w:sz w:val="24"/>
        </w:rPr>
        <w:t>总体来说，规划区项目在严格执行环保措施后，造成的地下水污染影响较小，不会影响到评价范围内居民用水安全，对地下水质的环境影响可以接受。</w:t>
      </w:r>
    </w:p>
    <w:p w14:paraId="195DADA6">
      <w:pPr>
        <w:keepNext/>
        <w:keepLines/>
        <w:widowControl/>
        <w:numPr>
          <w:ilvl w:val="2"/>
          <w:numId w:val="1"/>
        </w:numPr>
        <w:spacing w:before="120" w:after="120" w:line="360" w:lineRule="auto"/>
        <w:jc w:val="left"/>
        <w:outlineLvl w:val="2"/>
        <w:rPr>
          <w:rFonts w:eastAsiaTheme="minorEastAsia"/>
          <w:b/>
          <w:bCs/>
          <w:sz w:val="24"/>
        </w:rPr>
      </w:pPr>
      <w:bookmarkStart w:id="154" w:name="_Toc206494982"/>
      <w:r>
        <w:rPr>
          <w:rFonts w:hint="eastAsia" w:eastAsiaTheme="minorEastAsia"/>
          <w:b/>
          <w:bCs/>
          <w:sz w:val="24"/>
        </w:rPr>
        <w:t>土壤环境影响分析</w:t>
      </w:r>
      <w:bookmarkEnd w:id="154"/>
    </w:p>
    <w:p w14:paraId="1E436F79">
      <w:pPr>
        <w:spacing w:line="360" w:lineRule="auto"/>
        <w:ind w:firstLine="480" w:firstLineChars="200"/>
        <w:rPr>
          <w:rFonts w:eastAsiaTheme="minorEastAsia"/>
          <w:sz w:val="24"/>
        </w:rPr>
      </w:pPr>
      <w:r>
        <w:rPr>
          <w:rFonts w:hint="eastAsia" w:eastAsiaTheme="minorEastAsia"/>
          <w:sz w:val="24"/>
        </w:rPr>
        <w:t>园区建设过程中，新上项目的占地以及场地平整、基坑开挖、道路修筑、场站建设等施工活动，对土壤环境造成区域性破坏和干扰，改变了土壤的结构，破坏了地表结层，降低土壤养分，从而影响植物的正常生长。施工机械碾压、人员践踏、表土开挖与堆放等，会造成一定区域内水土流失量的增加。因此，项目建设时要尽量缩小施工作业范围，减少人为干扰，施工结束后应及时清理现场，恢复植被。</w:t>
      </w:r>
    </w:p>
    <w:p w14:paraId="266FB798">
      <w:pPr>
        <w:spacing w:line="360" w:lineRule="auto"/>
        <w:ind w:firstLine="480" w:firstLineChars="200"/>
        <w:rPr>
          <w:rFonts w:eastAsiaTheme="minorEastAsia"/>
          <w:sz w:val="24"/>
        </w:rPr>
      </w:pPr>
      <w:r>
        <w:rPr>
          <w:rFonts w:hint="eastAsia" w:eastAsiaTheme="minorEastAsia"/>
          <w:sz w:val="24"/>
        </w:rPr>
        <w:t>施工过程中，各种机械设备和车辆排放的废气、丟弃的固体废物、施工机械和车辆的清洗废水、施工人员的生活污水等，若排放或处置不当，也将对土壤环境产生不良影响。</w:t>
      </w:r>
    </w:p>
    <w:p w14:paraId="342584E5">
      <w:pPr>
        <w:spacing w:line="360" w:lineRule="auto"/>
        <w:ind w:firstLine="480" w:firstLineChars="200"/>
        <w:rPr>
          <w:rFonts w:eastAsiaTheme="minorEastAsia"/>
          <w:sz w:val="24"/>
        </w:rPr>
      </w:pPr>
      <w:r>
        <w:rPr>
          <w:rFonts w:hint="eastAsia" w:eastAsiaTheme="minorEastAsia"/>
          <w:sz w:val="24"/>
        </w:rPr>
        <w:t>规划项目实施产生的固体废物，如临时存贮不当，在雨水淋溶、冲刷的作用下形成的地表径流，会对周围的土壤造成污染。通过严格的管理，及时进行综合利用或采取合理的处置措施，在当地气候干燥、降雨量极少的气候条件下，营运期存贮的固体废物不会对周围土壤环境产生严重影响。</w:t>
      </w:r>
    </w:p>
    <w:p w14:paraId="0E7CB8E3">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土壤污染源</w:t>
      </w:r>
    </w:p>
    <w:p w14:paraId="5BD49A7E">
      <w:pPr>
        <w:spacing w:line="360" w:lineRule="auto"/>
        <w:ind w:firstLine="480" w:firstLineChars="200"/>
        <w:rPr>
          <w:rFonts w:eastAsiaTheme="minorEastAsia"/>
          <w:sz w:val="24"/>
        </w:rPr>
      </w:pPr>
      <w:r>
        <w:rPr>
          <w:rFonts w:hint="eastAsia" w:eastAsiaTheme="minorEastAsia"/>
          <w:sz w:val="24"/>
        </w:rPr>
        <w:t>土壤污染是指人类活动所产生的物质(污染物)，通过多种途径进入土壤，其数量和速度超过了土壤的容纳能力和净化速度的现象。土壤污染是土壤的性质、组成和形状等发生变化，使污染物的积累过程逐渐占据优势，破坏了土壤的自然动态平衡，从而导致土壤自然正常功能失调，土壤质量恶化，影响作物的生长发育，以致造成产量和质量的下降，并可通过食物链引起对生物和人类的直接危害。</w:t>
      </w:r>
    </w:p>
    <w:p w14:paraId="6C7BD2FA">
      <w:pPr>
        <w:spacing w:line="360" w:lineRule="auto"/>
        <w:ind w:firstLine="480" w:firstLineChars="200"/>
        <w:rPr>
          <w:rFonts w:eastAsiaTheme="minorEastAsia"/>
          <w:sz w:val="24"/>
        </w:rPr>
      </w:pPr>
      <w:r>
        <w:rPr>
          <w:rFonts w:hint="eastAsia" w:eastAsiaTheme="minorEastAsia"/>
          <w:sz w:val="24"/>
        </w:rPr>
        <w:t>本规划实施后，工业用地建设将会给产业园土地带来工业污染风险。入驻园区的石材加工企业排放的污染物如生产、储运、使用等过程中的危险化学品、污泥渣等危险废物，若处理不当或发生事故时，将会给局部土壤环境带来一定影响。</w:t>
      </w:r>
    </w:p>
    <w:p w14:paraId="6DDA2B38">
      <w:pPr>
        <w:spacing w:line="360" w:lineRule="auto"/>
        <w:ind w:firstLine="480" w:firstLineChars="200"/>
        <w:rPr>
          <w:rFonts w:eastAsiaTheme="minorEastAsia"/>
          <w:sz w:val="24"/>
        </w:rPr>
      </w:pPr>
      <w:r>
        <w:rPr>
          <w:rFonts w:hint="eastAsia" w:eastAsiaTheme="minorEastAsia"/>
          <w:sz w:val="24"/>
        </w:rPr>
        <w:t>根据规划，石材加工企业的生产主要涉及石材及矿物油的使用，原材料对土壤环境影响主要表现在油类物质跑冒滴漏对土壤的影响，同时加工过程产生的废气、废水等污染物对土壤环境产生一定影响。污染物质主要集中在土壤表层，主要类型有以下三种：</w:t>
      </w:r>
    </w:p>
    <w:p w14:paraId="5DD1A574">
      <w:pPr>
        <w:spacing w:line="360" w:lineRule="auto"/>
        <w:ind w:firstLine="480" w:firstLineChars="200"/>
        <w:rPr>
          <w:rFonts w:eastAsiaTheme="minorEastAsia"/>
          <w:sz w:val="24"/>
        </w:rPr>
      </w:pPr>
      <w:r>
        <w:rPr>
          <w:rFonts w:hint="eastAsia" w:eastAsiaTheme="minorEastAsia"/>
          <w:sz w:val="24"/>
        </w:rPr>
        <w:t>大气污染型：污染物质来源于被污染的大气，污染物质主要集中在土壤表层，其主要污染物是大气中的粉尘，废气中的污染物主要通过降水、扩散和重力作用降落至地面，渗透进入土壤，进而污染土壤环境。</w:t>
      </w:r>
    </w:p>
    <w:p w14:paraId="08603151">
      <w:pPr>
        <w:spacing w:line="360" w:lineRule="auto"/>
        <w:ind w:firstLine="480" w:firstLineChars="200"/>
        <w:rPr>
          <w:rFonts w:eastAsiaTheme="minorEastAsia"/>
          <w:sz w:val="24"/>
        </w:rPr>
      </w:pPr>
      <w:r>
        <w:rPr>
          <w:rFonts w:hint="eastAsia" w:eastAsiaTheme="minorEastAsia"/>
          <w:sz w:val="24"/>
        </w:rPr>
        <w:t>水污染型：区内企业污水池中的废水风险情况下下渗至土壤，进而污染土壤环境。废水和生活污水不能做到达到达标排放或事故状态下未经处理直接排放，或发生泄漏，致使土壤受到酸碱物质、无机盐等的污染。</w:t>
      </w:r>
    </w:p>
    <w:p w14:paraId="27518CEA">
      <w:pPr>
        <w:spacing w:line="360" w:lineRule="auto"/>
        <w:ind w:firstLine="480" w:firstLineChars="200"/>
        <w:rPr>
          <w:rFonts w:eastAsiaTheme="minorEastAsia"/>
          <w:sz w:val="24"/>
        </w:rPr>
      </w:pPr>
      <w:r>
        <w:rPr>
          <w:rFonts w:hint="eastAsia" w:eastAsiaTheme="minorEastAsia"/>
          <w:sz w:val="24"/>
        </w:rPr>
        <w:t>固体废物污染型：入园企业油类物质暂存区、企业污水预处理站污泥、危险废物废油等在运输、贮存和堆放过程中通过扩散、降水淋洗等直接或间接地影响土壤。</w:t>
      </w:r>
    </w:p>
    <w:p w14:paraId="2DF4E98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土壤环境影响分析</w:t>
      </w:r>
    </w:p>
    <w:p w14:paraId="4935864F">
      <w:pPr>
        <w:spacing w:line="360" w:lineRule="auto"/>
        <w:ind w:firstLine="480" w:firstLineChars="200"/>
        <w:rPr>
          <w:rFonts w:eastAsiaTheme="minorEastAsia"/>
          <w:sz w:val="24"/>
        </w:rPr>
      </w:pPr>
      <w:r>
        <w:rPr>
          <w:rFonts w:hint="eastAsia" w:eastAsiaTheme="minorEastAsia"/>
          <w:sz w:val="24"/>
        </w:rPr>
        <w:t>（1）废气沉降对土壤的累积影响分析</w:t>
      </w:r>
    </w:p>
    <w:p w14:paraId="6C7BCC33">
      <w:pPr>
        <w:spacing w:line="360" w:lineRule="auto"/>
        <w:ind w:firstLine="480" w:firstLineChars="200"/>
        <w:rPr>
          <w:rFonts w:eastAsiaTheme="minorEastAsia"/>
          <w:sz w:val="24"/>
        </w:rPr>
      </w:pPr>
      <w:r>
        <w:rPr>
          <w:rFonts w:hint="eastAsia" w:eastAsiaTheme="minorEastAsia"/>
          <w:sz w:val="24"/>
        </w:rPr>
        <w:t>规划区域内废气排放的主要污染物为粉尘，粉尘主要来源于石料加工过程中的石粉，因此废气沉降对附近土壤的影响较小。</w:t>
      </w:r>
    </w:p>
    <w:p w14:paraId="360F1AE7">
      <w:pPr>
        <w:spacing w:line="360" w:lineRule="auto"/>
        <w:ind w:firstLine="480" w:firstLineChars="200"/>
        <w:rPr>
          <w:rFonts w:eastAsiaTheme="minorEastAsia"/>
          <w:sz w:val="24"/>
        </w:rPr>
      </w:pPr>
      <w:r>
        <w:rPr>
          <w:rFonts w:hint="eastAsia" w:eastAsiaTheme="minorEastAsia"/>
          <w:sz w:val="24"/>
        </w:rPr>
        <w:t>（2）污染物泄漏风险对土壤的影响分析</w:t>
      </w:r>
    </w:p>
    <w:p w14:paraId="6C656CBD">
      <w:pPr>
        <w:spacing w:line="360" w:lineRule="auto"/>
        <w:ind w:firstLine="480" w:firstLineChars="200"/>
        <w:rPr>
          <w:rFonts w:eastAsiaTheme="minorEastAsia"/>
          <w:sz w:val="24"/>
        </w:rPr>
      </w:pPr>
      <w:r>
        <w:rPr>
          <w:rFonts w:hint="eastAsia" w:eastAsiaTheme="minorEastAsia"/>
          <w:sz w:val="24"/>
        </w:rPr>
        <w:t>规划区域企业的工业废水需经过自行处理后回用于生产。若风险状况下污水池发生泄漏后，废水下渗进入土壤。另外，入园企业油类物质暂存区、企业污水预处理站污泥、危险废物废油等在运输、贮存和堆放过程中通过扩散、降水淋洗等直接或间接地影响土壤。</w:t>
      </w:r>
    </w:p>
    <w:p w14:paraId="6BDA9629">
      <w:pPr>
        <w:spacing w:line="360" w:lineRule="auto"/>
        <w:ind w:firstLine="480" w:firstLineChars="200"/>
        <w:rPr>
          <w:rFonts w:eastAsiaTheme="minorEastAsia"/>
          <w:sz w:val="24"/>
        </w:rPr>
      </w:pPr>
      <w:r>
        <w:rPr>
          <w:rFonts w:hint="eastAsia" w:eastAsiaTheme="minorEastAsia"/>
          <w:sz w:val="24"/>
        </w:rPr>
        <w:t>由于园区目前已有企业建成运行，根据土壤现状调查结果可知，园区内建设用地土壤环境质量均满足</w:t>
      </w:r>
      <w:r>
        <w:rPr>
          <w:rFonts w:eastAsiaTheme="minorEastAsia"/>
          <w:kern w:val="20"/>
          <w:sz w:val="24"/>
        </w:rPr>
        <w:t>《土壤环境质量 建设用地土壤污染风险管控标准》（GB36600-2018）第二类筛选值标准，</w:t>
      </w:r>
      <w:r>
        <w:rPr>
          <w:rFonts w:hint="eastAsia" w:eastAsiaTheme="minorEastAsia"/>
          <w:kern w:val="20"/>
          <w:sz w:val="24"/>
        </w:rPr>
        <w:t>农用地土壤环境质量满足《土壤环境质量  农用地土壤污染风险管控标准》（GB15618-2018）中风险筛选值。因此，根据企业实际运行情况可知，石材加工过程中污染物泄露风险较小，不会导致园区土壤环境质量超标</w:t>
      </w:r>
      <w:r>
        <w:rPr>
          <w:rFonts w:hint="eastAsia" w:eastAsiaTheme="minorEastAsia"/>
          <w:sz w:val="24"/>
        </w:rPr>
        <w:t>。因此可认为园区的建设不会对土壤造成明显不利影响。</w:t>
      </w:r>
    </w:p>
    <w:p w14:paraId="1BD1EAD1">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土壤污染风险预防措施</w:t>
      </w:r>
    </w:p>
    <w:p w14:paraId="6315411D">
      <w:pPr>
        <w:spacing w:line="360" w:lineRule="auto"/>
        <w:ind w:firstLine="480" w:firstLineChars="200"/>
        <w:rPr>
          <w:rFonts w:eastAsiaTheme="minorEastAsia"/>
          <w:sz w:val="24"/>
        </w:rPr>
      </w:pPr>
      <w:r>
        <w:rPr>
          <w:rFonts w:hint="eastAsia" w:eastAsiaTheme="minorEastAsia"/>
          <w:sz w:val="24"/>
        </w:rPr>
        <w:t>入驻园区的企业产生污染的装置区均会采用水泥材料铺设，污水处理设施应设置应急系统；引入的企业内部也将建设事故水池以及初期雨水集中池，公用道路地面进行硬化处理。生产装置不会与土壤表层直接接触，化学品装置区外部应设置围堰及雨水收集系统，即使油类物质泄漏或污染物浓度较大的厂区初期雨水都会经雨水收集系统进入企业内部的污水处理站，亦不会通过地表径流形式污染周边土壤环境。废矿物质油等危险性废物送至有资质的单位统一处理，不在规划区域内长时间堆存，且危险废物临时堆放场地均应按有关要求做好防渗、防漏、防散发等措施，不会与土壤表层直接接触。经上述分析，在规划区域生产过程中的污染防治手段得当、可靠的情况下，对土壤环境影响较小。</w:t>
      </w:r>
    </w:p>
    <w:p w14:paraId="1FB16AE6">
      <w:pPr>
        <w:keepNext/>
        <w:keepLines/>
        <w:widowControl/>
        <w:numPr>
          <w:ilvl w:val="2"/>
          <w:numId w:val="1"/>
        </w:numPr>
        <w:spacing w:before="120" w:after="120" w:line="360" w:lineRule="auto"/>
        <w:jc w:val="left"/>
        <w:outlineLvl w:val="2"/>
        <w:rPr>
          <w:rFonts w:eastAsiaTheme="minorEastAsia"/>
          <w:b/>
          <w:bCs/>
          <w:sz w:val="24"/>
        </w:rPr>
      </w:pPr>
      <w:bookmarkStart w:id="155" w:name="_Toc206494983"/>
      <w:r>
        <w:rPr>
          <w:rFonts w:hint="eastAsia" w:eastAsiaTheme="minorEastAsia"/>
          <w:b/>
          <w:bCs/>
          <w:sz w:val="24"/>
        </w:rPr>
        <w:t>生态环境影响分析</w:t>
      </w:r>
      <w:bookmarkEnd w:id="155"/>
    </w:p>
    <w:p w14:paraId="5579B16A">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对陆生生态环境的影响</w:t>
      </w:r>
    </w:p>
    <w:p w14:paraId="1C063E42">
      <w:pPr>
        <w:spacing w:line="360" w:lineRule="auto"/>
        <w:ind w:firstLine="480" w:firstLineChars="200"/>
        <w:rPr>
          <w:rFonts w:eastAsiaTheme="minorEastAsia"/>
          <w:sz w:val="24"/>
        </w:rPr>
      </w:pPr>
      <w:r>
        <w:rPr>
          <w:rFonts w:hint="eastAsia" w:eastAsiaTheme="minorEastAsia"/>
          <w:sz w:val="24"/>
        </w:rPr>
        <w:t>（1）对陆生植物的影响</w:t>
      </w:r>
    </w:p>
    <w:p w14:paraId="38FD28A7">
      <w:pPr>
        <w:spacing w:line="360" w:lineRule="auto"/>
        <w:ind w:firstLine="480" w:firstLineChars="200"/>
        <w:rPr>
          <w:rFonts w:eastAsiaTheme="minorEastAsia"/>
          <w:sz w:val="24"/>
        </w:rPr>
      </w:pPr>
      <w:r>
        <w:rPr>
          <w:rFonts w:hint="eastAsia" w:eastAsiaTheme="minorEastAsia"/>
          <w:sz w:val="24"/>
        </w:rPr>
        <w:t>规划区域随着项目的入驻，项目工程建设对陆生植物的影响主要表现在：永久占地减少了区域植被数量；施工临时道路、施工营地等临时占地将造成地表植被的破坏，施工后期恢复需要一定的时间。</w:t>
      </w:r>
    </w:p>
    <w:p w14:paraId="5F62DFDF">
      <w:pPr>
        <w:spacing w:line="360" w:lineRule="auto"/>
        <w:ind w:firstLine="480" w:firstLineChars="200"/>
        <w:rPr>
          <w:rFonts w:eastAsiaTheme="minorEastAsia"/>
          <w:sz w:val="24"/>
        </w:rPr>
      </w:pPr>
      <w:r>
        <w:rPr>
          <w:rFonts w:hint="eastAsia" w:eastAsiaTheme="minorEastAsia"/>
          <w:sz w:val="24"/>
        </w:rPr>
        <w:t>规划区域分布有农林用地及村庄建设用地，属于农业生态系统。农业生态用地以种植业为主体。林地生态系统主要分布在缓坡，道路、各支沟两侧及村落附近，主要为灌草丛类，结构较为单一。区域内没有发现国家级重点保护野生植物分布，园区的建设不会对国家级重点保护野生植物产生影响。区域内项目工程在竣工后应通过植物措施，在厂区、厂前区、边坡地段等进行绿化，这样使植被能得到一定程度的恢复，同时也起到保护边坡稳定性、减轻水土流失、净化空气和美化环境等作用，使其对植物生境的影响降到最小程度。</w:t>
      </w:r>
    </w:p>
    <w:p w14:paraId="165F029E">
      <w:pPr>
        <w:spacing w:line="360" w:lineRule="auto"/>
        <w:ind w:firstLine="480" w:firstLineChars="200"/>
        <w:rPr>
          <w:rFonts w:eastAsiaTheme="minorEastAsia"/>
          <w:sz w:val="24"/>
        </w:rPr>
      </w:pPr>
      <w:r>
        <w:rPr>
          <w:rFonts w:hint="eastAsia" w:eastAsiaTheme="minorEastAsia"/>
          <w:sz w:val="24"/>
        </w:rPr>
        <w:t>园区建成后势必会对周边的大气、水体和土壤造成不同程度的污染，通过根系吸收及叶片吸附作用会对项目周边区域的植被造成影响，进而危害人类和其它动物的健康。因此应严格控制大气污染物排放和风险事故水体泄漏，避免恶化区域环境质量。</w:t>
      </w:r>
    </w:p>
    <w:p w14:paraId="3438685B">
      <w:pPr>
        <w:spacing w:line="360" w:lineRule="auto"/>
        <w:ind w:firstLine="480" w:firstLineChars="200"/>
        <w:rPr>
          <w:rFonts w:eastAsiaTheme="minorEastAsia"/>
          <w:sz w:val="24"/>
        </w:rPr>
      </w:pPr>
      <w:r>
        <w:rPr>
          <w:rFonts w:hint="eastAsia" w:eastAsiaTheme="minorEastAsia"/>
          <w:sz w:val="24"/>
        </w:rPr>
        <w:t>园区建成后，由于外来人口及原料、产品运输等原因，可能造成外来物种的入侵，这些入侵种由于被改变了物种的生存环境和食物链，在缺乏天敌制约的情况下泛滥成灾，对当地脆弱的生态环境造成巨大影响。对外来物种的入侵不应轻视，应遵循“防”“治”结合的态度，一方面加强员工的预防意识，加强对外来物种的监督监控；另一方面及时发现并在入侵初期被彻底根治。</w:t>
      </w:r>
    </w:p>
    <w:p w14:paraId="13256C6D">
      <w:pPr>
        <w:spacing w:line="360" w:lineRule="auto"/>
        <w:ind w:firstLine="480" w:firstLineChars="200"/>
        <w:rPr>
          <w:rFonts w:eastAsiaTheme="minorEastAsia"/>
          <w:sz w:val="24"/>
        </w:rPr>
      </w:pPr>
      <w:r>
        <w:rPr>
          <w:rFonts w:hint="eastAsia" w:eastAsiaTheme="minorEastAsia"/>
          <w:sz w:val="24"/>
        </w:rPr>
        <w:t>（2）对陆生动物的影响</w:t>
      </w:r>
    </w:p>
    <w:p w14:paraId="364E06FE">
      <w:pPr>
        <w:spacing w:line="360" w:lineRule="auto"/>
        <w:ind w:firstLine="480" w:firstLineChars="200"/>
        <w:rPr>
          <w:rFonts w:eastAsiaTheme="minorEastAsia"/>
          <w:sz w:val="24"/>
        </w:rPr>
      </w:pPr>
      <w:r>
        <w:rPr>
          <w:rFonts w:hint="eastAsia" w:eastAsiaTheme="minorEastAsia"/>
          <w:sz w:val="24"/>
        </w:rPr>
        <w:t>规划园区陆生生态系统结构简单，陆生动物种类主要是以农田、人工次生林、村落为主要生境的刺猬、野兔、鼠类、蛇类、蛙类、中华大蟾蜍等小型野生动物。</w:t>
      </w:r>
    </w:p>
    <w:p w14:paraId="3601310C">
      <w:pPr>
        <w:spacing w:line="360" w:lineRule="auto"/>
        <w:ind w:firstLine="480" w:firstLineChars="200"/>
        <w:rPr>
          <w:rFonts w:eastAsiaTheme="minorEastAsia"/>
          <w:sz w:val="24"/>
        </w:rPr>
      </w:pPr>
      <w:r>
        <w:rPr>
          <w:rFonts w:hint="eastAsia" w:eastAsiaTheme="minorEastAsia"/>
          <w:sz w:val="24"/>
        </w:rPr>
        <w:t>园区生态评价范围内无国家级重点保护野生动物分布，区域的野生动物资源多为广布种(包括爬行类，鸟类等)，区域沿路人工生态廊道的形成，使得人工次生林和灌草丛面积将增加，对区域陆生植物种多样性的影响不明显。但小型野生动物以农耕地作为生境，其生态过程迁徙、觅食与求偶等将受到影响，农田的逐渐消失导致小型野生动物的数量将大为减少。</w:t>
      </w:r>
    </w:p>
    <w:p w14:paraId="221180B0">
      <w:pPr>
        <w:spacing w:line="360" w:lineRule="auto"/>
        <w:ind w:firstLine="480" w:firstLineChars="200"/>
        <w:rPr>
          <w:rFonts w:eastAsiaTheme="minorEastAsia"/>
          <w:sz w:val="24"/>
        </w:rPr>
      </w:pPr>
      <w:r>
        <w:rPr>
          <w:rFonts w:hint="eastAsia" w:eastAsiaTheme="minorEastAsia"/>
          <w:sz w:val="24"/>
        </w:rPr>
        <w:t>区域实施对区域内周边野生动物的影响，主要体现在施工噪声影响以及动物生存环境(包括大气、水、土壤等)的污染等方面。《中华人民共和国野生动物保护法》中第二章，第十一条规定各级野生动物行政主管部门应当监视、监测环境对野生动物的影响。由于环境影响对野生动物造成危害时，野生动物行政主管部门应当会同有关部门进行调查处理。因此一方面应严格控制项目污染物排放，并通过行政主管部门加强环境监管，保护野生动物赖以生存的自然环境；另一方面应加强野生动物保护宣传教育，提高群众的保护意识。</w:t>
      </w:r>
    </w:p>
    <w:p w14:paraId="61A4CD89">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对农业生产的影响</w:t>
      </w:r>
    </w:p>
    <w:p w14:paraId="04B8005F">
      <w:pPr>
        <w:spacing w:line="360" w:lineRule="auto"/>
        <w:ind w:firstLine="480" w:firstLineChars="200"/>
        <w:rPr>
          <w:rFonts w:eastAsiaTheme="minorEastAsia"/>
          <w:sz w:val="24"/>
        </w:rPr>
      </w:pPr>
      <w:r>
        <w:rPr>
          <w:rFonts w:hint="eastAsia" w:eastAsiaTheme="minorEastAsia"/>
          <w:sz w:val="24"/>
        </w:rPr>
        <w:t>园区现状农林用地总用地面积为1054.74公顷，规划实施后，农林用地面积减少这部分用地由农业生产变为工业生产，造成一定的农业生产损失。</w:t>
      </w:r>
    </w:p>
    <w:p w14:paraId="33047F5B">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生态系统影响分析</w:t>
      </w:r>
    </w:p>
    <w:p w14:paraId="3D7F0F5F">
      <w:pPr>
        <w:spacing w:line="360" w:lineRule="auto"/>
        <w:ind w:firstLine="480" w:firstLineChars="200"/>
        <w:rPr>
          <w:rFonts w:eastAsiaTheme="minorEastAsia"/>
          <w:sz w:val="24"/>
        </w:rPr>
      </w:pPr>
      <w:r>
        <w:rPr>
          <w:rFonts w:hint="eastAsia" w:eastAsiaTheme="minorEastAsia"/>
          <w:sz w:val="24"/>
        </w:rPr>
        <w:t>规划区的开发活动将导致生态系统发生变化，由开发前的部分自然生态系统转变为工业基地生态系统相结合的模式，生态系统在组成、结构和功能上均发生了变化。生态系统的变化主要体现在以下几个方面：</w:t>
      </w:r>
    </w:p>
    <w:p w14:paraId="51E02EAA">
      <w:pPr>
        <w:spacing w:line="360" w:lineRule="auto"/>
        <w:ind w:firstLine="480" w:firstLineChars="200"/>
        <w:rPr>
          <w:rFonts w:eastAsiaTheme="minorEastAsia"/>
          <w:sz w:val="24"/>
        </w:rPr>
      </w:pPr>
      <w:r>
        <w:rPr>
          <w:rFonts w:hint="eastAsia" w:eastAsiaTheme="minorEastAsia"/>
          <w:sz w:val="24"/>
        </w:rPr>
        <w:t>（1）生态系统功能影响</w:t>
      </w:r>
    </w:p>
    <w:p w14:paraId="22842D06">
      <w:pPr>
        <w:spacing w:line="360" w:lineRule="auto"/>
        <w:ind w:firstLine="480" w:firstLineChars="200"/>
        <w:rPr>
          <w:rFonts w:eastAsiaTheme="minorEastAsia"/>
          <w:sz w:val="24"/>
        </w:rPr>
      </w:pPr>
      <w:r>
        <w:rPr>
          <w:rFonts w:hint="eastAsia" w:eastAsiaTheme="minorEastAsia"/>
          <w:sz w:val="24"/>
        </w:rPr>
        <w:t>陆地生态系统的基础是植被，植被是地面上绿色植物的总称，它具有水土保持、涵养水源、光合作用、吸收废气，吸水滤水、消减噪声、增湿降温、栖息生物等生态功能。规划区的建设将使开发用地上的自然生态系统消失，开发用地内植被覆盖率将显著减少，生态功能消弱了。为了使建设前后的生态功能不因规划区的后续开发建设出现较大幅度的下降，应遵循生态规律进行园林绿化建设，基地园林绿化建设可全部或部分补偿消弱的生态功能和生态效应，可维护区域生态环境功能的平衡。</w:t>
      </w:r>
    </w:p>
    <w:p w14:paraId="225F68AD">
      <w:pPr>
        <w:spacing w:line="360" w:lineRule="auto"/>
        <w:ind w:firstLine="480" w:firstLineChars="200"/>
        <w:rPr>
          <w:rFonts w:eastAsiaTheme="minorEastAsia"/>
          <w:sz w:val="24"/>
        </w:rPr>
      </w:pPr>
      <w:r>
        <w:rPr>
          <w:rFonts w:hint="eastAsia" w:eastAsiaTheme="minorEastAsia"/>
          <w:sz w:val="24"/>
        </w:rPr>
        <w:t>（2）生态效应的影响</w:t>
      </w:r>
    </w:p>
    <w:p w14:paraId="3A1A063D">
      <w:pPr>
        <w:spacing w:line="360" w:lineRule="auto"/>
        <w:ind w:firstLine="480" w:firstLineChars="200"/>
        <w:rPr>
          <w:rFonts w:eastAsiaTheme="minorEastAsia"/>
          <w:sz w:val="24"/>
        </w:rPr>
      </w:pPr>
      <w:r>
        <w:rPr>
          <w:rFonts w:hint="eastAsia" w:eastAsiaTheme="minorEastAsia"/>
          <w:sz w:val="24"/>
        </w:rPr>
        <w:t>目前规划区未开发的地块绝大部分为自然人工生态系统，生态系统的物流能量流总体上处于较低的水平，整个生态系统排放到外环境的污染物较少。规划实施后，将以工业生产为中心，物流、能量流和信息流较原有生态系统大大加强，但同时排放到外环境的污染物也相对较原有生态系统多。</w:t>
      </w:r>
    </w:p>
    <w:p w14:paraId="0E334A9E">
      <w:pPr>
        <w:spacing w:line="360" w:lineRule="auto"/>
        <w:ind w:firstLine="480" w:firstLineChars="200"/>
        <w:rPr>
          <w:rFonts w:eastAsiaTheme="minorEastAsia"/>
          <w:sz w:val="24"/>
        </w:rPr>
      </w:pPr>
      <w:r>
        <w:rPr>
          <w:rFonts w:hint="eastAsia" w:eastAsiaTheme="minorEastAsia"/>
          <w:sz w:val="24"/>
        </w:rPr>
        <w:t>规划产业园建设后将转变为工业规划区建设用地，地表将大部分转变为水泥混凝土地，同时种植人工园林绿化植物，其主要生态功能是为工业生产服务，规划区区域内部水、热气候的调节功能将有一定程度的减弱。由于产业园建设生产防护绿地、公共设施隔离绿地和道路绿地以及各式园林绿地，这些绿地、水域均具有较强的水、热气候的调节功能，可一定程度上维护规划区所在区域的生态效应。</w:t>
      </w:r>
    </w:p>
    <w:p w14:paraId="0317F4B9">
      <w:pPr>
        <w:spacing w:line="360" w:lineRule="auto"/>
        <w:ind w:firstLine="480" w:firstLineChars="200"/>
        <w:rPr>
          <w:rFonts w:eastAsiaTheme="minorEastAsia"/>
          <w:sz w:val="24"/>
        </w:rPr>
      </w:pPr>
      <w:r>
        <w:rPr>
          <w:rFonts w:hint="eastAsia" w:eastAsiaTheme="minorEastAsia"/>
          <w:sz w:val="24"/>
        </w:rPr>
        <w:t>为了进一步提高规划区生态效应，建议在产业园园林绿化规划时尽可能加大高大乔木的配置比例，从而提高整个规划区的生态效应水平维护所在区域的生态平衡。</w:t>
      </w:r>
    </w:p>
    <w:p w14:paraId="2D2851A4">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56" w:name="_Toc206494984"/>
      <w:r>
        <w:rPr>
          <w:rFonts w:hint="eastAsia" w:eastAsiaTheme="minorEastAsia"/>
          <w:b/>
          <w:bCs/>
          <w:sz w:val="30"/>
          <w:szCs w:val="28"/>
        </w:rPr>
        <w:t>环境风险分析</w:t>
      </w:r>
      <w:bookmarkEnd w:id="156"/>
    </w:p>
    <w:p w14:paraId="06D4EC19">
      <w:pPr>
        <w:spacing w:line="360" w:lineRule="auto"/>
        <w:ind w:firstLine="480" w:firstLineChars="200"/>
        <w:rPr>
          <w:rFonts w:eastAsiaTheme="minorEastAsia"/>
          <w:sz w:val="24"/>
        </w:rPr>
      </w:pPr>
      <w:r>
        <w:rPr>
          <w:rFonts w:hint="eastAsia" w:eastAsiaTheme="minorEastAsia"/>
          <w:sz w:val="24"/>
        </w:rPr>
        <w:t>本次评价遵照《关于进一步加强环境影响评价管理防范环境风险的通知》(环发[2012]77号)和《关于切实加强风险防范严格环境影响评价管理的通知》(环发[2012]98 号)精神，以《建设项目环境风险评价技术导则》(HJ169-2018)为指导，通过对园区规划进行风险识别和风险事故情形分析，并进行风险预测与评价，提出减缓风险的措施和建议，为环境管理提供资料和依据，达到降低危险、减少危害的目的。</w:t>
      </w:r>
    </w:p>
    <w:p w14:paraId="4ECFFA4C">
      <w:pPr>
        <w:keepNext/>
        <w:keepLines/>
        <w:widowControl/>
        <w:numPr>
          <w:ilvl w:val="2"/>
          <w:numId w:val="1"/>
        </w:numPr>
        <w:spacing w:before="120" w:after="120" w:line="360" w:lineRule="auto"/>
        <w:jc w:val="left"/>
        <w:outlineLvl w:val="2"/>
        <w:rPr>
          <w:rFonts w:eastAsiaTheme="minorEastAsia"/>
          <w:b/>
          <w:bCs/>
          <w:sz w:val="24"/>
        </w:rPr>
      </w:pPr>
      <w:bookmarkStart w:id="157" w:name="_Toc206494985"/>
      <w:r>
        <w:rPr>
          <w:rFonts w:hint="eastAsia" w:eastAsiaTheme="minorEastAsia"/>
          <w:b/>
          <w:bCs/>
          <w:sz w:val="24"/>
        </w:rPr>
        <w:t>风险类别分析</w:t>
      </w:r>
      <w:bookmarkEnd w:id="157"/>
    </w:p>
    <w:p w14:paraId="7EC68E50">
      <w:pPr>
        <w:spacing w:line="360" w:lineRule="auto"/>
        <w:ind w:firstLine="480" w:firstLineChars="200"/>
        <w:rPr>
          <w:rFonts w:eastAsiaTheme="minorEastAsia"/>
          <w:sz w:val="24"/>
        </w:rPr>
      </w:pPr>
      <w:r>
        <w:rPr>
          <w:rFonts w:hint="eastAsia" w:eastAsiaTheme="minorEastAsia"/>
          <w:sz w:val="24"/>
        </w:rPr>
        <w:t>评价区域工业产业以矿山开采、石材加工、资源循环利用为主。风险识别主要根据规划区的企业和规划产业定位中普遍使用的风险物质进行分析识别。</w:t>
      </w:r>
    </w:p>
    <w:p w14:paraId="65AD19F1">
      <w:pPr>
        <w:spacing w:line="360" w:lineRule="auto"/>
        <w:ind w:firstLine="480" w:firstLineChars="200"/>
        <w:rPr>
          <w:sz w:val="24"/>
        </w:rPr>
      </w:pPr>
      <w:r>
        <w:rPr>
          <w:rFonts w:hint="eastAsia" w:eastAsiaTheme="minorEastAsia"/>
          <w:sz w:val="24"/>
        </w:rPr>
        <w:t>本次评价对规划区内</w:t>
      </w:r>
      <w:r>
        <w:rPr>
          <w:rFonts w:hint="eastAsia" w:eastAsiaTheme="minorEastAsia"/>
          <w:sz w:val="24"/>
          <w:lang w:eastAsia="zh-CN"/>
        </w:rPr>
        <w:t>涉及</w:t>
      </w:r>
      <w:r>
        <w:rPr>
          <w:rFonts w:hint="eastAsia" w:eastAsiaTheme="minorEastAsia"/>
          <w:sz w:val="24"/>
        </w:rPr>
        <w:t>易燃易爆、有毒有害物质的企业进行了分类整理，并根据《建设项目环境风险评价技术导则》（HJ169-2018）对区内企业使用的危化品进行筛选。评价区产业可能涉及的重点风险物质主要为液化石油气、润滑油、柴油、炸药等油类物质，其中采矿作业涉及的炸药一般</w:t>
      </w:r>
      <w:r>
        <w:rPr>
          <w:rFonts w:hint="eastAsia"/>
          <w:sz w:val="24"/>
        </w:rPr>
        <w:t>本身不设炸药库，爆破由民爆公司负责。</w:t>
      </w:r>
    </w:p>
    <w:p w14:paraId="4AEDBB77">
      <w:pPr>
        <w:spacing w:line="360" w:lineRule="auto"/>
        <w:ind w:firstLine="480" w:firstLineChars="200"/>
        <w:rPr>
          <w:rFonts w:eastAsiaTheme="minorEastAsia"/>
          <w:sz w:val="24"/>
        </w:rPr>
      </w:pPr>
      <w:r>
        <w:rPr>
          <w:rFonts w:hint="eastAsia" w:eastAsiaTheme="minorEastAsia"/>
          <w:sz w:val="24"/>
        </w:rPr>
        <w:t>（1）液化石油气(LPG)</w:t>
      </w:r>
    </w:p>
    <w:p w14:paraId="52E35BF8">
      <w:pPr>
        <w:spacing w:line="360" w:lineRule="auto"/>
        <w:ind w:firstLine="480" w:firstLineChars="200"/>
        <w:rPr>
          <w:rFonts w:eastAsiaTheme="minorEastAsia"/>
          <w:sz w:val="24"/>
        </w:rPr>
      </w:pPr>
      <w:r>
        <w:rPr>
          <w:rFonts w:hint="eastAsia" w:eastAsiaTheme="minorEastAsia"/>
          <w:sz w:val="24"/>
        </w:rPr>
        <w:t>液化石油气(LPG)指常温下加压（约1兆帕左右）而液化的石油气，主要成分是碳三及碳四烃类。液化石油气来自炼厂气、湿性天然气或油田伴生气。由天然气和伴生气中得到的液化石油气主要成分是丙烷、丁烷和少量戊烷。而由炼厂气中得到的液化石油气除含烷烃外还含有烯烃。液化石油气的用途是燃料和石油化工原料。液化石油气是一种易燃危险品，在空气中极易挥发，达到一定浓度时，遇明火即爆炸。液化石油气(LPG)为轻质石油产品，易燃、易爆，在常温下为气体。由于液化石油气几乎不含有不可燃烧成分，发热量高，燃烧充分，无粉尘灰渣，所以，液化石油气是一种清洁能源，使用液化石油气能减少空气污染，保护环境；液化气燃烧时释放的热量是常用燃气中最高的，其热值为11000-12000千卡/千克，是普通煤气的6倍，比天然气也高。因此液化气常被用于炊事燃料，车用燃料，此外在以加热为目的的企业生产、加工环节中也有很广泛的用途。丙烷的沸点是-42.1℃，因此是特别有用的轻便燃料。这就意味着即使温度很低，丙烷从高压容器释放后，也能立刻汽化。因此它是清洁燃料，不需要许多设备使其汽化并与空气混合。丁烷的沸点约为-0.522℃，温度很低时不会汽化。因此丁烷的用途有限，需与丙烷混和使用，而非单独使用。</w:t>
      </w:r>
    </w:p>
    <w:p w14:paraId="4C5C4566">
      <w:pPr>
        <w:spacing w:line="360" w:lineRule="auto"/>
        <w:ind w:firstLine="480" w:firstLineChars="200"/>
        <w:rPr>
          <w:rFonts w:eastAsiaTheme="minorEastAsia"/>
          <w:sz w:val="24"/>
        </w:rPr>
      </w:pPr>
      <w:r>
        <w:rPr>
          <w:rFonts w:hint="eastAsia" w:eastAsiaTheme="minorEastAsia"/>
          <w:sz w:val="24"/>
        </w:rPr>
        <w:t>（2）润滑油</w:t>
      </w:r>
    </w:p>
    <w:p w14:paraId="4D4CDCDF">
      <w:pPr>
        <w:spacing w:line="360" w:lineRule="auto"/>
        <w:ind w:firstLine="480" w:firstLineChars="200"/>
        <w:rPr>
          <w:rFonts w:eastAsiaTheme="minorEastAsia"/>
          <w:sz w:val="24"/>
        </w:rPr>
      </w:pPr>
      <w:r>
        <w:rPr>
          <w:rFonts w:hint="eastAsia" w:eastAsiaTheme="minorEastAsia"/>
          <w:sz w:val="24"/>
        </w:rPr>
        <w:t>油状液体，淡黄色至褐色，无气味或略带异味。密度约为0.91×10³（kg/m³），能对发动机起到润滑减磨、辅助冷却降温、密封防漏、防锈防蚀、减震缓冲等作用。不溶于水。闪点76℃，遇明火高热可燃。急性吸入，可出现乏力、头晕、头疼、恶心，严重者可引起油脂性肺炎。被誉为汽车的“血液”。润滑油由基础油和添加剂两部分组成。基础油是润滑油的主要成分，决定着润滑油的基本性质，添加剂则可弥补和改善基础油性能方面的不足，赋予某些新的性能，是润滑油的重要组成部分。</w:t>
      </w:r>
    </w:p>
    <w:p w14:paraId="70040380">
      <w:pPr>
        <w:spacing w:line="360" w:lineRule="auto"/>
        <w:ind w:firstLine="480" w:firstLineChars="200"/>
        <w:rPr>
          <w:rFonts w:eastAsiaTheme="minorEastAsia"/>
          <w:sz w:val="24"/>
        </w:rPr>
      </w:pPr>
      <w:r>
        <w:rPr>
          <w:rFonts w:hint="eastAsia" w:eastAsiaTheme="minorEastAsia"/>
          <w:sz w:val="24"/>
        </w:rPr>
        <w:t>（3）柴油</w:t>
      </w:r>
    </w:p>
    <w:p w14:paraId="5EE97B28">
      <w:pPr>
        <w:spacing w:line="360" w:lineRule="auto"/>
        <w:ind w:firstLine="480" w:firstLineChars="200"/>
        <w:rPr>
          <w:rFonts w:eastAsiaTheme="minorEastAsia"/>
          <w:sz w:val="24"/>
        </w:rPr>
      </w:pPr>
      <w:r>
        <w:rPr>
          <w:rFonts w:hint="eastAsia" w:eastAsiaTheme="minorEastAsia"/>
          <w:sz w:val="24"/>
        </w:rPr>
        <w:t>柴油是轻质石油产品，复杂烃类(碳原子数约10～22)混合物。为柴油机燃料。主要由原油蒸馏、催化裂化、热裂化、加氢裂化、石油焦化等过程生产的柴油馏分调配而成；也可由页岩油加工和煤液化制取。分为轻柴油（沸点范围约180～370℃）和重柴油（沸点范围约350～410℃）两大类。</w:t>
      </w:r>
    </w:p>
    <w:p w14:paraId="3CA50250">
      <w:pPr>
        <w:spacing w:line="360" w:lineRule="auto"/>
        <w:ind w:firstLine="480" w:firstLineChars="200"/>
        <w:rPr>
          <w:rFonts w:eastAsiaTheme="minorEastAsia"/>
          <w:sz w:val="24"/>
        </w:rPr>
      </w:pPr>
      <w:r>
        <w:rPr>
          <w:rFonts w:hint="eastAsia" w:eastAsiaTheme="minorEastAsia"/>
          <w:sz w:val="24"/>
        </w:rPr>
        <w:t>对人体侵入途径主要为皮肤吸收为主、呼吸道吸入。柴油的毒性类似于煤油，但由于添加剂（如硫化酯类）的影响，毒性可能比煤油略大。主要有麻醉和刺激作用。毒性健康影响：柴油为高沸点成份，故使用时由于蒸汽所致的毒性机会较小。柴油的雾滴吸入后可致吸入性肺炎。皮肤接触柴油可致接触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3.4-苯并芘。</w:t>
      </w:r>
    </w:p>
    <w:p w14:paraId="2CE7A448">
      <w:pPr>
        <w:spacing w:line="360" w:lineRule="auto"/>
        <w:ind w:firstLine="480" w:firstLineChars="200"/>
        <w:rPr>
          <w:rFonts w:eastAsiaTheme="minorEastAsia"/>
          <w:sz w:val="24"/>
        </w:rPr>
      </w:pPr>
      <w:r>
        <w:rPr>
          <w:rFonts w:hint="eastAsia" w:eastAsiaTheme="minorEastAsia"/>
          <w:sz w:val="24"/>
        </w:rPr>
        <w:t>（4）炸药</w:t>
      </w:r>
    </w:p>
    <w:p w14:paraId="46BA97C1">
      <w:pPr>
        <w:spacing w:line="360" w:lineRule="auto"/>
        <w:ind w:firstLine="480" w:firstLineChars="200"/>
        <w:rPr>
          <w:rFonts w:eastAsiaTheme="minorEastAsia"/>
          <w:sz w:val="24"/>
        </w:rPr>
      </w:pPr>
      <w:r>
        <w:rPr>
          <w:rFonts w:hint="eastAsia" w:eastAsiaTheme="minorEastAsia"/>
          <w:sz w:val="24"/>
        </w:rPr>
        <w:t>炸药的主要原料是硝酸铵，硝酸铵的理化性质和危害特性如下：</w:t>
      </w:r>
    </w:p>
    <w:p w14:paraId="4774CFC2">
      <w:pPr>
        <w:spacing w:line="360" w:lineRule="auto"/>
        <w:ind w:firstLine="480" w:firstLineChars="200"/>
        <w:rPr>
          <w:rFonts w:eastAsiaTheme="minorEastAsia"/>
          <w:sz w:val="24"/>
        </w:rPr>
      </w:pPr>
      <w:r>
        <w:rPr>
          <w:rFonts w:hint="eastAsia" w:eastAsiaTheme="minorEastAsia"/>
          <w:sz w:val="24"/>
        </w:rPr>
        <w:t>分子式：NH</w:t>
      </w:r>
      <w:r>
        <w:rPr>
          <w:rFonts w:hint="eastAsia" w:eastAsiaTheme="minorEastAsia"/>
          <w:sz w:val="24"/>
          <w:vertAlign w:val="subscript"/>
        </w:rPr>
        <w:t>4</w:t>
      </w:r>
      <w:r>
        <w:rPr>
          <w:rFonts w:hint="eastAsia" w:eastAsiaTheme="minorEastAsia"/>
          <w:sz w:val="24"/>
        </w:rPr>
        <w:t>NO</w:t>
      </w:r>
      <w:r>
        <w:rPr>
          <w:rFonts w:hint="eastAsia" w:eastAsiaTheme="minorEastAsia"/>
          <w:sz w:val="24"/>
          <w:vertAlign w:val="subscript"/>
        </w:rPr>
        <w:t>3</w:t>
      </w:r>
    </w:p>
    <w:p w14:paraId="6628F3F8">
      <w:pPr>
        <w:spacing w:line="360" w:lineRule="auto"/>
        <w:ind w:firstLine="480" w:firstLineChars="200"/>
        <w:rPr>
          <w:rFonts w:eastAsiaTheme="minorEastAsia"/>
          <w:sz w:val="24"/>
        </w:rPr>
      </w:pPr>
      <w:r>
        <w:rPr>
          <w:rFonts w:hint="eastAsia" w:eastAsiaTheme="minorEastAsia"/>
          <w:sz w:val="24"/>
        </w:rPr>
        <w:t>理化性质：无色无臭的透明结晶或呈白色的小颗粒，有潮解性，相对密度（水为1）1.72，熔点 169.6℃，易溶于水、乙醇、丙酮、氨水，不溶于乙醚。</w:t>
      </w:r>
    </w:p>
    <w:p w14:paraId="26C7DD73">
      <w:pPr>
        <w:spacing w:line="360" w:lineRule="auto"/>
        <w:ind w:firstLine="480" w:firstLineChars="200"/>
        <w:rPr>
          <w:rFonts w:eastAsiaTheme="minorEastAsia"/>
          <w:sz w:val="24"/>
        </w:rPr>
      </w:pPr>
      <w:r>
        <w:rPr>
          <w:rFonts w:hint="eastAsia" w:eastAsiaTheme="minorEastAsia"/>
          <w:sz w:val="24"/>
        </w:rPr>
        <w:t>危险特性：强氧化剂。遇可燃物着火时，能助长火势。与可燃物粉末混合能发生激烈反应而爆炸。受强烈震动也会起爆。急剧加热时可发生爆炸。与还原剂、有机物、易燃物如硫、磷或金属粉末等混合可形成爆炸性混合物。有害燃烧产物为氮氧化物。</w:t>
      </w:r>
    </w:p>
    <w:p w14:paraId="5D3F6F7D">
      <w:pPr>
        <w:spacing w:line="360" w:lineRule="auto"/>
        <w:ind w:firstLine="480" w:firstLineChars="200"/>
        <w:rPr>
          <w:rFonts w:eastAsiaTheme="minorEastAsia"/>
          <w:sz w:val="24"/>
        </w:rPr>
      </w:pPr>
      <w:r>
        <w:rPr>
          <w:rFonts w:hint="eastAsia" w:eastAsiaTheme="minorEastAsia"/>
          <w:sz w:val="24"/>
        </w:rPr>
        <w:t>规划区域企业的风险识别情况见下表所示。</w:t>
      </w:r>
    </w:p>
    <w:p w14:paraId="5A34A6E7">
      <w:pPr>
        <w:spacing w:line="360" w:lineRule="auto"/>
        <w:ind w:firstLine="422" w:firstLineChars="200"/>
        <w:jc w:val="center"/>
        <w:rPr>
          <w:b/>
          <w:szCs w:val="21"/>
        </w:rPr>
      </w:pPr>
      <w:r>
        <w:rPr>
          <w:rFonts w:hint="eastAsia"/>
          <w:b/>
          <w:szCs w:val="21"/>
        </w:rPr>
        <w:t>表5.3.1-1    规划区域企业的风险识别情况表</w:t>
      </w:r>
    </w:p>
    <w:tbl>
      <w:tblPr>
        <w:tblStyle w:val="8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1986"/>
        <w:gridCol w:w="853"/>
        <w:gridCol w:w="704"/>
        <w:gridCol w:w="993"/>
        <w:gridCol w:w="708"/>
        <w:gridCol w:w="2183"/>
      </w:tblGrid>
      <w:tr w14:paraId="6D7FC9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45" w:type="pct"/>
            <w:shd w:val="clear" w:color="auto" w:fill="auto"/>
            <w:noWrap/>
            <w:vAlign w:val="center"/>
          </w:tcPr>
          <w:p w14:paraId="350A38ED">
            <w:pPr>
              <w:spacing w:line="320" w:lineRule="exact"/>
              <w:jc w:val="center"/>
              <w:rPr>
                <w:kern w:val="0"/>
                <w:szCs w:val="21"/>
              </w:rPr>
            </w:pPr>
            <w:r>
              <w:rPr>
                <w:kern w:val="0"/>
                <w:szCs w:val="21"/>
              </w:rPr>
              <w:t>事故类型</w:t>
            </w:r>
          </w:p>
        </w:tc>
        <w:tc>
          <w:tcPr>
            <w:tcW w:w="1163" w:type="pct"/>
            <w:tcBorders>
              <w:right w:val="single" w:color="auto" w:sz="4" w:space="0"/>
            </w:tcBorders>
            <w:shd w:val="clear" w:color="auto" w:fill="auto"/>
            <w:noWrap/>
            <w:vAlign w:val="center"/>
          </w:tcPr>
          <w:p w14:paraId="790CAA8B">
            <w:pPr>
              <w:spacing w:line="320" w:lineRule="exact"/>
              <w:jc w:val="center"/>
              <w:rPr>
                <w:kern w:val="0"/>
                <w:szCs w:val="21"/>
              </w:rPr>
            </w:pPr>
            <w:r>
              <w:rPr>
                <w:kern w:val="0"/>
                <w:szCs w:val="21"/>
              </w:rPr>
              <w:t>环境风险描述</w:t>
            </w:r>
          </w:p>
        </w:tc>
        <w:tc>
          <w:tcPr>
            <w:tcW w:w="500" w:type="pct"/>
            <w:tcBorders>
              <w:left w:val="single" w:color="auto" w:sz="4" w:space="0"/>
              <w:right w:val="single" w:color="auto" w:sz="4" w:space="0"/>
            </w:tcBorders>
            <w:shd w:val="clear" w:color="auto" w:fill="auto"/>
            <w:vAlign w:val="center"/>
          </w:tcPr>
          <w:p w14:paraId="78AD7716">
            <w:pPr>
              <w:spacing w:line="320" w:lineRule="exact"/>
              <w:jc w:val="center"/>
              <w:rPr>
                <w:kern w:val="0"/>
                <w:szCs w:val="21"/>
              </w:rPr>
            </w:pPr>
            <w:r>
              <w:rPr>
                <w:kern w:val="0"/>
                <w:szCs w:val="21"/>
              </w:rPr>
              <w:t>污染物</w:t>
            </w:r>
          </w:p>
        </w:tc>
        <w:tc>
          <w:tcPr>
            <w:tcW w:w="413" w:type="pct"/>
            <w:tcBorders>
              <w:left w:val="single" w:color="auto" w:sz="4" w:space="0"/>
              <w:right w:val="single" w:color="auto" w:sz="4" w:space="0"/>
            </w:tcBorders>
            <w:shd w:val="clear" w:color="auto" w:fill="auto"/>
            <w:vAlign w:val="center"/>
          </w:tcPr>
          <w:p w14:paraId="04B4B00E">
            <w:pPr>
              <w:spacing w:line="320" w:lineRule="exact"/>
              <w:jc w:val="center"/>
              <w:rPr>
                <w:kern w:val="0"/>
                <w:szCs w:val="21"/>
              </w:rPr>
            </w:pPr>
            <w:r>
              <w:rPr>
                <w:kern w:val="0"/>
                <w:szCs w:val="21"/>
              </w:rPr>
              <w:t>风险类别</w:t>
            </w:r>
          </w:p>
        </w:tc>
        <w:tc>
          <w:tcPr>
            <w:tcW w:w="582" w:type="pct"/>
            <w:tcBorders>
              <w:left w:val="single" w:color="auto" w:sz="4" w:space="0"/>
            </w:tcBorders>
            <w:shd w:val="clear" w:color="auto" w:fill="auto"/>
            <w:vAlign w:val="center"/>
          </w:tcPr>
          <w:p w14:paraId="0F376BBA">
            <w:pPr>
              <w:spacing w:line="320" w:lineRule="exact"/>
              <w:jc w:val="center"/>
              <w:rPr>
                <w:kern w:val="0"/>
                <w:szCs w:val="21"/>
              </w:rPr>
            </w:pPr>
            <w:r>
              <w:rPr>
                <w:kern w:val="0"/>
                <w:szCs w:val="21"/>
              </w:rPr>
              <w:t>环境影响途径及后果</w:t>
            </w:r>
          </w:p>
        </w:tc>
        <w:tc>
          <w:tcPr>
            <w:tcW w:w="415" w:type="pct"/>
            <w:tcBorders>
              <w:right w:val="single" w:color="auto" w:sz="4" w:space="0"/>
            </w:tcBorders>
            <w:shd w:val="clear" w:color="auto" w:fill="auto"/>
            <w:noWrap/>
            <w:vAlign w:val="center"/>
          </w:tcPr>
          <w:p w14:paraId="436B3CAB">
            <w:pPr>
              <w:spacing w:line="320" w:lineRule="exact"/>
              <w:jc w:val="center"/>
              <w:rPr>
                <w:kern w:val="0"/>
                <w:szCs w:val="21"/>
              </w:rPr>
            </w:pPr>
            <w:r>
              <w:rPr>
                <w:kern w:val="0"/>
                <w:szCs w:val="21"/>
              </w:rPr>
              <w:t>危险单元</w:t>
            </w:r>
          </w:p>
        </w:tc>
        <w:tc>
          <w:tcPr>
            <w:tcW w:w="1279" w:type="pct"/>
            <w:tcBorders>
              <w:left w:val="single" w:color="auto" w:sz="4" w:space="0"/>
            </w:tcBorders>
            <w:shd w:val="clear" w:color="auto" w:fill="auto"/>
            <w:vAlign w:val="center"/>
          </w:tcPr>
          <w:p w14:paraId="54317B42">
            <w:pPr>
              <w:spacing w:line="320" w:lineRule="exact"/>
              <w:jc w:val="center"/>
              <w:rPr>
                <w:kern w:val="0"/>
                <w:szCs w:val="21"/>
              </w:rPr>
            </w:pPr>
            <w:r>
              <w:rPr>
                <w:kern w:val="0"/>
                <w:szCs w:val="21"/>
              </w:rPr>
              <w:t>风险防范措施</w:t>
            </w:r>
          </w:p>
        </w:tc>
      </w:tr>
      <w:tr w14:paraId="4259F5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45" w:type="pct"/>
            <w:shd w:val="clear" w:color="auto" w:fill="auto"/>
            <w:noWrap/>
            <w:vAlign w:val="center"/>
          </w:tcPr>
          <w:p w14:paraId="0695811A">
            <w:pPr>
              <w:spacing w:line="320" w:lineRule="exact"/>
              <w:jc w:val="center"/>
              <w:rPr>
                <w:kern w:val="0"/>
                <w:szCs w:val="21"/>
              </w:rPr>
            </w:pPr>
            <w:r>
              <w:rPr>
                <w:kern w:val="0"/>
                <w:szCs w:val="21"/>
              </w:rPr>
              <w:t>危险化学品泄露</w:t>
            </w:r>
          </w:p>
        </w:tc>
        <w:tc>
          <w:tcPr>
            <w:tcW w:w="1163" w:type="pct"/>
            <w:tcBorders>
              <w:right w:val="single" w:color="auto" w:sz="4" w:space="0"/>
            </w:tcBorders>
            <w:shd w:val="clear" w:color="auto" w:fill="auto"/>
            <w:noWrap/>
            <w:vAlign w:val="center"/>
          </w:tcPr>
          <w:p w14:paraId="531B1A53">
            <w:pPr>
              <w:spacing w:line="320" w:lineRule="exact"/>
              <w:jc w:val="center"/>
              <w:rPr>
                <w:kern w:val="0"/>
                <w:szCs w:val="21"/>
              </w:rPr>
            </w:pPr>
            <w:r>
              <w:rPr>
                <w:rFonts w:hint="eastAsia"/>
                <w:kern w:val="0"/>
                <w:szCs w:val="21"/>
              </w:rPr>
              <w:t>包装材料或柴油储罐等破裂或操作失误引发液态物料泄漏事故，若不及时处理会引发水体、大气污染事故，易燃/可燃物质遇明火、高热会引发火灾事故</w:t>
            </w:r>
          </w:p>
        </w:tc>
        <w:tc>
          <w:tcPr>
            <w:tcW w:w="500" w:type="pct"/>
            <w:tcBorders>
              <w:left w:val="single" w:color="auto" w:sz="4" w:space="0"/>
              <w:right w:val="single" w:color="auto" w:sz="4" w:space="0"/>
            </w:tcBorders>
            <w:shd w:val="clear" w:color="auto" w:fill="auto"/>
            <w:vAlign w:val="center"/>
          </w:tcPr>
          <w:p w14:paraId="677DB4AB">
            <w:pPr>
              <w:spacing w:line="320" w:lineRule="exact"/>
              <w:jc w:val="center"/>
              <w:rPr>
                <w:kern w:val="0"/>
                <w:szCs w:val="21"/>
              </w:rPr>
            </w:pPr>
            <w:r>
              <w:rPr>
                <w:rFonts w:hint="eastAsia"/>
                <w:kern w:val="0"/>
                <w:szCs w:val="21"/>
              </w:rPr>
              <w:t>液化石油气、柴油、炸药</w:t>
            </w:r>
          </w:p>
        </w:tc>
        <w:tc>
          <w:tcPr>
            <w:tcW w:w="413" w:type="pct"/>
            <w:tcBorders>
              <w:left w:val="single" w:color="auto" w:sz="4" w:space="0"/>
              <w:right w:val="single" w:color="auto" w:sz="4" w:space="0"/>
            </w:tcBorders>
            <w:shd w:val="clear" w:color="auto" w:fill="auto"/>
            <w:vAlign w:val="center"/>
          </w:tcPr>
          <w:p w14:paraId="0F412003">
            <w:pPr>
              <w:spacing w:line="320" w:lineRule="exact"/>
              <w:jc w:val="center"/>
              <w:rPr>
                <w:kern w:val="0"/>
                <w:szCs w:val="21"/>
              </w:rPr>
            </w:pPr>
            <w:r>
              <w:rPr>
                <w:rFonts w:hint="eastAsia"/>
                <w:kern w:val="0"/>
                <w:szCs w:val="21"/>
              </w:rPr>
              <w:t>大气环境、水环境</w:t>
            </w:r>
          </w:p>
        </w:tc>
        <w:tc>
          <w:tcPr>
            <w:tcW w:w="582" w:type="pct"/>
            <w:tcBorders>
              <w:left w:val="single" w:color="auto" w:sz="4" w:space="0"/>
            </w:tcBorders>
            <w:shd w:val="clear" w:color="auto" w:fill="auto"/>
            <w:vAlign w:val="center"/>
          </w:tcPr>
          <w:p w14:paraId="04D1AC41">
            <w:pPr>
              <w:spacing w:line="320" w:lineRule="exact"/>
              <w:jc w:val="center"/>
              <w:rPr>
                <w:kern w:val="0"/>
                <w:szCs w:val="21"/>
              </w:rPr>
            </w:pPr>
            <w:r>
              <w:rPr>
                <w:rFonts w:hint="eastAsia"/>
                <w:kern w:val="0"/>
                <w:szCs w:val="21"/>
              </w:rPr>
              <w:t>污染大气、地表水</w:t>
            </w:r>
          </w:p>
        </w:tc>
        <w:tc>
          <w:tcPr>
            <w:tcW w:w="415" w:type="pct"/>
            <w:tcBorders>
              <w:right w:val="single" w:color="auto" w:sz="4" w:space="0"/>
            </w:tcBorders>
            <w:shd w:val="clear" w:color="auto" w:fill="auto"/>
            <w:noWrap/>
            <w:vAlign w:val="center"/>
          </w:tcPr>
          <w:p w14:paraId="304DA1A4">
            <w:pPr>
              <w:spacing w:line="320" w:lineRule="exact"/>
              <w:jc w:val="center"/>
              <w:rPr>
                <w:kern w:val="0"/>
                <w:szCs w:val="21"/>
              </w:rPr>
            </w:pPr>
            <w:r>
              <w:rPr>
                <w:rFonts w:hint="eastAsia"/>
                <w:kern w:val="0"/>
                <w:szCs w:val="21"/>
              </w:rPr>
              <w:t>生产车间</w:t>
            </w:r>
          </w:p>
        </w:tc>
        <w:tc>
          <w:tcPr>
            <w:tcW w:w="1279" w:type="pct"/>
            <w:tcBorders>
              <w:left w:val="single" w:color="auto" w:sz="4" w:space="0"/>
            </w:tcBorders>
            <w:shd w:val="clear" w:color="auto" w:fill="auto"/>
            <w:vAlign w:val="center"/>
          </w:tcPr>
          <w:p w14:paraId="4502D75A">
            <w:pPr>
              <w:spacing w:line="320" w:lineRule="exact"/>
              <w:jc w:val="center"/>
              <w:rPr>
                <w:kern w:val="0"/>
                <w:szCs w:val="21"/>
              </w:rPr>
            </w:pPr>
            <w:r>
              <w:rPr>
                <w:rFonts w:hint="eastAsia"/>
                <w:kern w:val="0"/>
                <w:szCs w:val="21"/>
              </w:rPr>
              <w:t>地面做硬化、防渗处 理；防明火、高热，规范操作流程、避免误操作危险废物泄漏</w:t>
            </w:r>
          </w:p>
        </w:tc>
      </w:tr>
      <w:tr w14:paraId="59D7A3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45" w:type="pct"/>
            <w:shd w:val="clear" w:color="auto" w:fill="auto"/>
            <w:noWrap/>
            <w:vAlign w:val="center"/>
          </w:tcPr>
          <w:p w14:paraId="7F4CCE3C">
            <w:pPr>
              <w:wordWrap w:val="0"/>
              <w:adjustRightInd w:val="0"/>
              <w:snapToGrid w:val="0"/>
              <w:jc w:val="center"/>
              <w:rPr>
                <w:szCs w:val="21"/>
              </w:rPr>
            </w:pPr>
            <w:r>
              <w:rPr>
                <w:rFonts w:hint="eastAsia"/>
                <w:szCs w:val="21"/>
              </w:rPr>
              <w:t>爆破作业（不涉及贮存）</w:t>
            </w:r>
          </w:p>
        </w:tc>
        <w:tc>
          <w:tcPr>
            <w:tcW w:w="1163" w:type="pct"/>
            <w:tcBorders>
              <w:right w:val="single" w:color="auto" w:sz="4" w:space="0"/>
            </w:tcBorders>
            <w:shd w:val="clear" w:color="auto" w:fill="auto"/>
            <w:noWrap/>
            <w:vAlign w:val="center"/>
          </w:tcPr>
          <w:p w14:paraId="43BB9CBC">
            <w:pPr>
              <w:wordWrap w:val="0"/>
              <w:adjustRightInd w:val="0"/>
              <w:snapToGrid w:val="0"/>
              <w:jc w:val="center"/>
              <w:rPr>
                <w:szCs w:val="21"/>
              </w:rPr>
            </w:pPr>
            <w:r>
              <w:rPr>
                <w:rFonts w:hint="eastAsia"/>
                <w:szCs w:val="21"/>
              </w:rPr>
              <w:t>因人为原因或者雷击等自然灾害引起的炸药爆炸将对周边环境质量产生一定影响</w:t>
            </w:r>
          </w:p>
        </w:tc>
        <w:tc>
          <w:tcPr>
            <w:tcW w:w="500" w:type="pct"/>
            <w:tcBorders>
              <w:left w:val="single" w:color="auto" w:sz="4" w:space="0"/>
              <w:right w:val="single" w:color="auto" w:sz="4" w:space="0"/>
            </w:tcBorders>
            <w:shd w:val="clear" w:color="auto" w:fill="auto"/>
            <w:vAlign w:val="center"/>
          </w:tcPr>
          <w:p w14:paraId="40014D7D">
            <w:pPr>
              <w:wordWrap w:val="0"/>
              <w:adjustRightInd w:val="0"/>
              <w:snapToGrid w:val="0"/>
              <w:jc w:val="center"/>
              <w:rPr>
                <w:szCs w:val="21"/>
              </w:rPr>
            </w:pPr>
            <w:r>
              <w:rPr>
                <w:rFonts w:hint="eastAsia"/>
                <w:szCs w:val="21"/>
              </w:rPr>
              <w:t>炸药</w:t>
            </w:r>
          </w:p>
        </w:tc>
        <w:tc>
          <w:tcPr>
            <w:tcW w:w="413" w:type="pct"/>
            <w:tcBorders>
              <w:left w:val="single" w:color="auto" w:sz="4" w:space="0"/>
              <w:right w:val="single" w:color="auto" w:sz="4" w:space="0"/>
            </w:tcBorders>
            <w:shd w:val="clear" w:color="auto" w:fill="auto"/>
            <w:vAlign w:val="center"/>
          </w:tcPr>
          <w:p w14:paraId="71441459">
            <w:pPr>
              <w:spacing w:line="320" w:lineRule="exact"/>
              <w:jc w:val="center"/>
              <w:rPr>
                <w:kern w:val="0"/>
                <w:szCs w:val="21"/>
              </w:rPr>
            </w:pPr>
            <w:r>
              <w:rPr>
                <w:rFonts w:hint="eastAsia"/>
                <w:kern w:val="0"/>
                <w:szCs w:val="21"/>
              </w:rPr>
              <w:t>大气环境</w:t>
            </w:r>
          </w:p>
        </w:tc>
        <w:tc>
          <w:tcPr>
            <w:tcW w:w="582" w:type="pct"/>
            <w:tcBorders>
              <w:left w:val="single" w:color="auto" w:sz="4" w:space="0"/>
            </w:tcBorders>
            <w:shd w:val="clear" w:color="auto" w:fill="auto"/>
            <w:vAlign w:val="center"/>
          </w:tcPr>
          <w:p w14:paraId="55AD4316">
            <w:pPr>
              <w:spacing w:line="320" w:lineRule="exact"/>
              <w:jc w:val="center"/>
              <w:rPr>
                <w:kern w:val="0"/>
                <w:szCs w:val="21"/>
              </w:rPr>
            </w:pPr>
            <w:r>
              <w:rPr>
                <w:rFonts w:hint="eastAsia"/>
                <w:kern w:val="0"/>
                <w:szCs w:val="21"/>
              </w:rPr>
              <w:t>通过燃烧烟气扩散，对周围大气环境造成短时污染</w:t>
            </w:r>
          </w:p>
        </w:tc>
        <w:tc>
          <w:tcPr>
            <w:tcW w:w="415" w:type="pct"/>
            <w:tcBorders>
              <w:right w:val="single" w:color="auto" w:sz="4" w:space="0"/>
            </w:tcBorders>
            <w:shd w:val="clear" w:color="auto" w:fill="auto"/>
            <w:noWrap/>
            <w:vAlign w:val="center"/>
          </w:tcPr>
          <w:p w14:paraId="1E5FEB73">
            <w:pPr>
              <w:spacing w:line="320" w:lineRule="exact"/>
              <w:jc w:val="center"/>
              <w:rPr>
                <w:kern w:val="0"/>
                <w:szCs w:val="21"/>
              </w:rPr>
            </w:pPr>
            <w:r>
              <w:rPr>
                <w:rFonts w:hint="eastAsia"/>
                <w:kern w:val="0"/>
                <w:szCs w:val="21"/>
              </w:rPr>
              <w:t>采矿爆破区</w:t>
            </w:r>
          </w:p>
        </w:tc>
        <w:tc>
          <w:tcPr>
            <w:tcW w:w="1279" w:type="pct"/>
            <w:tcBorders>
              <w:left w:val="single" w:color="auto" w:sz="4" w:space="0"/>
            </w:tcBorders>
            <w:shd w:val="clear" w:color="auto" w:fill="auto"/>
            <w:vAlign w:val="center"/>
          </w:tcPr>
          <w:p w14:paraId="39CE7FCC">
            <w:pPr>
              <w:spacing w:line="320" w:lineRule="exact"/>
              <w:jc w:val="center"/>
              <w:rPr>
                <w:kern w:val="0"/>
                <w:szCs w:val="21"/>
              </w:rPr>
            </w:pPr>
            <w:r>
              <w:rPr>
                <w:rFonts w:hint="eastAsia"/>
                <w:kern w:val="0"/>
                <w:szCs w:val="21"/>
              </w:rPr>
              <w:t>严格落实爆破作业许可、安全评估与监理，规范药械管理、人员操作及现场警戒，强化爆破后检查与应急准备，全面管控爆炸、飞石、冲击波等风险</w:t>
            </w:r>
          </w:p>
        </w:tc>
      </w:tr>
      <w:tr w14:paraId="606329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45" w:type="pct"/>
            <w:shd w:val="clear" w:color="auto" w:fill="auto"/>
            <w:noWrap/>
            <w:vAlign w:val="center"/>
          </w:tcPr>
          <w:p w14:paraId="50BEFCC5">
            <w:pPr>
              <w:spacing w:line="320" w:lineRule="exact"/>
              <w:jc w:val="center"/>
              <w:rPr>
                <w:kern w:val="0"/>
                <w:szCs w:val="21"/>
              </w:rPr>
            </w:pPr>
            <w:r>
              <w:rPr>
                <w:kern w:val="0"/>
                <w:szCs w:val="21"/>
              </w:rPr>
              <w:t>危险废物泄露</w:t>
            </w:r>
          </w:p>
        </w:tc>
        <w:tc>
          <w:tcPr>
            <w:tcW w:w="1163" w:type="pct"/>
            <w:tcBorders>
              <w:right w:val="single" w:color="auto" w:sz="4" w:space="0"/>
            </w:tcBorders>
            <w:shd w:val="clear" w:color="auto" w:fill="auto"/>
            <w:noWrap/>
            <w:vAlign w:val="center"/>
          </w:tcPr>
          <w:p w14:paraId="628BE1EA">
            <w:pPr>
              <w:spacing w:line="320" w:lineRule="exact"/>
              <w:jc w:val="center"/>
              <w:rPr>
                <w:kern w:val="0"/>
                <w:szCs w:val="21"/>
              </w:rPr>
            </w:pPr>
            <w:r>
              <w:rPr>
                <w:rFonts w:hint="eastAsia"/>
                <w:kern w:val="0"/>
                <w:szCs w:val="21"/>
              </w:rPr>
              <w:t>大气环境、地表水环境、地下水环境</w:t>
            </w:r>
          </w:p>
        </w:tc>
        <w:tc>
          <w:tcPr>
            <w:tcW w:w="500" w:type="pct"/>
            <w:tcBorders>
              <w:left w:val="single" w:color="auto" w:sz="4" w:space="0"/>
              <w:right w:val="single" w:color="auto" w:sz="4" w:space="0"/>
            </w:tcBorders>
            <w:shd w:val="clear" w:color="auto" w:fill="auto"/>
            <w:vAlign w:val="center"/>
          </w:tcPr>
          <w:p w14:paraId="30D5A76D">
            <w:pPr>
              <w:spacing w:line="320" w:lineRule="exact"/>
              <w:jc w:val="center"/>
              <w:rPr>
                <w:kern w:val="0"/>
                <w:szCs w:val="21"/>
              </w:rPr>
            </w:pPr>
            <w:r>
              <w:rPr>
                <w:rFonts w:hint="eastAsia"/>
                <w:kern w:val="0"/>
                <w:szCs w:val="21"/>
              </w:rPr>
              <w:t>废润滑油</w:t>
            </w:r>
          </w:p>
        </w:tc>
        <w:tc>
          <w:tcPr>
            <w:tcW w:w="413" w:type="pct"/>
            <w:tcBorders>
              <w:left w:val="single" w:color="auto" w:sz="4" w:space="0"/>
              <w:right w:val="single" w:color="auto" w:sz="4" w:space="0"/>
            </w:tcBorders>
            <w:shd w:val="clear" w:color="auto" w:fill="auto"/>
            <w:vAlign w:val="center"/>
          </w:tcPr>
          <w:p w14:paraId="33EA2B5D">
            <w:pPr>
              <w:spacing w:line="320" w:lineRule="exact"/>
              <w:jc w:val="center"/>
              <w:rPr>
                <w:kern w:val="0"/>
                <w:szCs w:val="21"/>
              </w:rPr>
            </w:pPr>
            <w:r>
              <w:rPr>
                <w:rFonts w:hint="eastAsia"/>
                <w:kern w:val="0"/>
                <w:szCs w:val="21"/>
              </w:rPr>
              <w:t>水环境</w:t>
            </w:r>
          </w:p>
        </w:tc>
        <w:tc>
          <w:tcPr>
            <w:tcW w:w="582" w:type="pct"/>
            <w:tcBorders>
              <w:left w:val="single" w:color="auto" w:sz="4" w:space="0"/>
            </w:tcBorders>
            <w:shd w:val="clear" w:color="auto" w:fill="auto"/>
            <w:vAlign w:val="center"/>
          </w:tcPr>
          <w:p w14:paraId="2B7AE4DA">
            <w:pPr>
              <w:spacing w:line="320" w:lineRule="exact"/>
              <w:jc w:val="center"/>
              <w:rPr>
                <w:kern w:val="0"/>
                <w:szCs w:val="21"/>
              </w:rPr>
            </w:pPr>
            <w:r>
              <w:rPr>
                <w:rFonts w:hint="eastAsia"/>
                <w:kern w:val="0"/>
                <w:szCs w:val="21"/>
              </w:rPr>
              <w:t>污染大气、地表水、地下水</w:t>
            </w:r>
          </w:p>
        </w:tc>
        <w:tc>
          <w:tcPr>
            <w:tcW w:w="415" w:type="pct"/>
            <w:tcBorders>
              <w:right w:val="single" w:color="auto" w:sz="4" w:space="0"/>
            </w:tcBorders>
            <w:shd w:val="clear" w:color="auto" w:fill="auto"/>
            <w:noWrap/>
            <w:vAlign w:val="center"/>
          </w:tcPr>
          <w:p w14:paraId="5B7CD791">
            <w:pPr>
              <w:spacing w:line="320" w:lineRule="exact"/>
              <w:jc w:val="center"/>
              <w:rPr>
                <w:kern w:val="0"/>
                <w:szCs w:val="21"/>
              </w:rPr>
            </w:pPr>
            <w:r>
              <w:rPr>
                <w:rFonts w:hint="eastAsia"/>
                <w:kern w:val="0"/>
                <w:szCs w:val="21"/>
              </w:rPr>
              <w:t>危废暂存间</w:t>
            </w:r>
          </w:p>
        </w:tc>
        <w:tc>
          <w:tcPr>
            <w:tcW w:w="1279" w:type="pct"/>
            <w:tcBorders>
              <w:left w:val="single" w:color="auto" w:sz="4" w:space="0"/>
            </w:tcBorders>
            <w:shd w:val="clear" w:color="auto" w:fill="auto"/>
            <w:vAlign w:val="center"/>
          </w:tcPr>
          <w:p w14:paraId="53B3A2EB">
            <w:pPr>
              <w:spacing w:line="320" w:lineRule="exact"/>
              <w:jc w:val="center"/>
              <w:rPr>
                <w:kern w:val="0"/>
                <w:szCs w:val="21"/>
              </w:rPr>
            </w:pPr>
            <w:r>
              <w:rPr>
                <w:rFonts w:hint="eastAsia"/>
                <w:kern w:val="0"/>
                <w:szCs w:val="21"/>
              </w:rPr>
              <w:t>危险废物暂存间设置漫坡，做好防渗措施</w:t>
            </w:r>
          </w:p>
        </w:tc>
      </w:tr>
      <w:tr w14:paraId="7FBB58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45" w:type="pct"/>
            <w:shd w:val="clear" w:color="auto" w:fill="auto"/>
            <w:noWrap/>
            <w:vAlign w:val="center"/>
          </w:tcPr>
          <w:p w14:paraId="294EA7AD">
            <w:pPr>
              <w:spacing w:line="320" w:lineRule="exact"/>
              <w:jc w:val="center"/>
              <w:rPr>
                <w:kern w:val="0"/>
                <w:szCs w:val="21"/>
              </w:rPr>
            </w:pPr>
            <w:r>
              <w:rPr>
                <w:kern w:val="0"/>
                <w:szCs w:val="21"/>
              </w:rPr>
              <w:t>火灾、爆炸伴生污染</w:t>
            </w:r>
          </w:p>
        </w:tc>
        <w:tc>
          <w:tcPr>
            <w:tcW w:w="1163" w:type="pct"/>
            <w:tcBorders>
              <w:right w:val="single" w:color="auto" w:sz="4" w:space="0"/>
            </w:tcBorders>
            <w:shd w:val="clear" w:color="auto" w:fill="auto"/>
            <w:noWrap/>
            <w:vAlign w:val="center"/>
          </w:tcPr>
          <w:p w14:paraId="5AE657F4">
            <w:pPr>
              <w:spacing w:line="320" w:lineRule="exact"/>
              <w:jc w:val="center"/>
              <w:rPr>
                <w:kern w:val="0"/>
                <w:szCs w:val="21"/>
              </w:rPr>
            </w:pPr>
            <w:r>
              <w:rPr>
                <w:rFonts w:hint="eastAsia"/>
                <w:kern w:val="0"/>
                <w:szCs w:val="21"/>
              </w:rPr>
              <w:t>燃烧烟尘及污染物污染周围大气环境</w:t>
            </w:r>
          </w:p>
        </w:tc>
        <w:tc>
          <w:tcPr>
            <w:tcW w:w="500" w:type="pct"/>
            <w:tcBorders>
              <w:left w:val="single" w:color="auto" w:sz="4" w:space="0"/>
              <w:right w:val="single" w:color="auto" w:sz="4" w:space="0"/>
            </w:tcBorders>
            <w:shd w:val="clear" w:color="auto" w:fill="auto"/>
            <w:vAlign w:val="center"/>
          </w:tcPr>
          <w:p w14:paraId="43C0AECD">
            <w:pPr>
              <w:spacing w:line="320" w:lineRule="exact"/>
              <w:jc w:val="center"/>
              <w:rPr>
                <w:kern w:val="0"/>
                <w:szCs w:val="21"/>
              </w:rPr>
            </w:pPr>
            <w:r>
              <w:rPr>
                <w:rFonts w:hint="eastAsia"/>
                <w:kern w:val="0"/>
                <w:szCs w:val="21"/>
              </w:rPr>
              <w:t>CO</w:t>
            </w:r>
          </w:p>
        </w:tc>
        <w:tc>
          <w:tcPr>
            <w:tcW w:w="413" w:type="pct"/>
            <w:tcBorders>
              <w:left w:val="single" w:color="auto" w:sz="4" w:space="0"/>
              <w:right w:val="single" w:color="auto" w:sz="4" w:space="0"/>
            </w:tcBorders>
            <w:shd w:val="clear" w:color="auto" w:fill="auto"/>
            <w:vAlign w:val="center"/>
          </w:tcPr>
          <w:p w14:paraId="51BE0CFB">
            <w:pPr>
              <w:spacing w:line="320" w:lineRule="exact"/>
              <w:jc w:val="center"/>
              <w:rPr>
                <w:kern w:val="0"/>
                <w:szCs w:val="21"/>
              </w:rPr>
            </w:pPr>
            <w:r>
              <w:rPr>
                <w:rFonts w:hint="eastAsia"/>
                <w:kern w:val="0"/>
                <w:szCs w:val="21"/>
              </w:rPr>
              <w:t>大气环境</w:t>
            </w:r>
          </w:p>
        </w:tc>
        <w:tc>
          <w:tcPr>
            <w:tcW w:w="582" w:type="pct"/>
            <w:tcBorders>
              <w:left w:val="single" w:color="auto" w:sz="4" w:space="0"/>
            </w:tcBorders>
            <w:shd w:val="clear" w:color="auto" w:fill="auto"/>
            <w:vAlign w:val="center"/>
          </w:tcPr>
          <w:p w14:paraId="1C98997A">
            <w:pPr>
              <w:spacing w:line="320" w:lineRule="exact"/>
              <w:jc w:val="center"/>
              <w:rPr>
                <w:kern w:val="0"/>
                <w:szCs w:val="21"/>
              </w:rPr>
            </w:pPr>
            <w:r>
              <w:rPr>
                <w:rFonts w:hint="eastAsia"/>
                <w:kern w:val="0"/>
                <w:szCs w:val="21"/>
              </w:rPr>
              <w:t>通过燃烧烟气扩散，对周围大气环境造成短时污染</w:t>
            </w:r>
          </w:p>
        </w:tc>
        <w:tc>
          <w:tcPr>
            <w:tcW w:w="415" w:type="pct"/>
            <w:tcBorders>
              <w:right w:val="single" w:color="auto" w:sz="4" w:space="0"/>
            </w:tcBorders>
            <w:shd w:val="clear" w:color="auto" w:fill="auto"/>
            <w:noWrap/>
            <w:vAlign w:val="center"/>
          </w:tcPr>
          <w:p w14:paraId="112DC9B8">
            <w:pPr>
              <w:spacing w:line="320" w:lineRule="exact"/>
              <w:jc w:val="center"/>
              <w:rPr>
                <w:kern w:val="0"/>
                <w:szCs w:val="21"/>
              </w:rPr>
            </w:pPr>
            <w:r>
              <w:rPr>
                <w:rFonts w:hint="eastAsia"/>
                <w:kern w:val="0"/>
                <w:szCs w:val="21"/>
              </w:rPr>
              <w:t>车间</w:t>
            </w:r>
          </w:p>
        </w:tc>
        <w:tc>
          <w:tcPr>
            <w:tcW w:w="1279" w:type="pct"/>
            <w:tcBorders>
              <w:left w:val="single" w:color="auto" w:sz="4" w:space="0"/>
            </w:tcBorders>
            <w:shd w:val="clear" w:color="auto" w:fill="auto"/>
            <w:vAlign w:val="center"/>
          </w:tcPr>
          <w:p w14:paraId="53A0834C">
            <w:pPr>
              <w:spacing w:line="320" w:lineRule="exact"/>
              <w:jc w:val="center"/>
              <w:rPr>
                <w:kern w:val="0"/>
                <w:szCs w:val="21"/>
              </w:rPr>
            </w:pPr>
            <w:r>
              <w:rPr>
                <w:rFonts w:hint="eastAsia"/>
                <w:kern w:val="0"/>
                <w:szCs w:val="21"/>
              </w:rPr>
              <w:t>落实防止火灾措施，在雨水管网的厂区出口处设置一个闸门，发生事故时及时关闭闸门，防止泄露液体和消防废水流出车间，将其可能产生的环境影响控制在车间之内</w:t>
            </w:r>
          </w:p>
        </w:tc>
      </w:tr>
    </w:tbl>
    <w:p w14:paraId="6AC4F773">
      <w:pPr>
        <w:keepNext/>
        <w:keepLines/>
        <w:widowControl/>
        <w:numPr>
          <w:ilvl w:val="2"/>
          <w:numId w:val="1"/>
        </w:numPr>
        <w:spacing w:before="120" w:after="120" w:line="360" w:lineRule="auto"/>
        <w:jc w:val="left"/>
        <w:outlineLvl w:val="2"/>
        <w:rPr>
          <w:rFonts w:eastAsiaTheme="minorEastAsia"/>
          <w:b/>
          <w:bCs/>
          <w:sz w:val="24"/>
        </w:rPr>
      </w:pPr>
      <w:bookmarkStart w:id="158" w:name="_Toc206494986"/>
      <w:r>
        <w:rPr>
          <w:rFonts w:hint="eastAsia" w:eastAsiaTheme="minorEastAsia"/>
          <w:b/>
          <w:bCs/>
          <w:sz w:val="24"/>
        </w:rPr>
        <w:t>风险评价等级与评价范围确定</w:t>
      </w:r>
      <w:bookmarkEnd w:id="158"/>
    </w:p>
    <w:p w14:paraId="4CDA1D85">
      <w:pPr>
        <w:spacing w:line="360" w:lineRule="auto"/>
        <w:ind w:firstLine="480" w:firstLineChars="200"/>
        <w:rPr>
          <w:rFonts w:eastAsiaTheme="minorEastAsia"/>
          <w:sz w:val="24"/>
        </w:rPr>
      </w:pPr>
      <w:r>
        <w:rPr>
          <w:rFonts w:hint="eastAsia" w:eastAsiaTheme="minorEastAsia"/>
          <w:sz w:val="24"/>
        </w:rPr>
        <w:t>根据《建设项目环境风险评价技术导则》（HJ169-2018），通过危险物质在线量、行业和生产工艺确定危险物质及工艺系统危险性分级，规划产业园主导产业为矿山开采、石材加工、资源循环利用。</w:t>
      </w:r>
    </w:p>
    <w:p w14:paraId="1FDD1965">
      <w:pPr>
        <w:spacing w:line="360" w:lineRule="auto"/>
        <w:ind w:firstLine="480" w:firstLineChars="200"/>
        <w:rPr>
          <w:rFonts w:eastAsiaTheme="minorEastAsia"/>
          <w:sz w:val="24"/>
        </w:rPr>
      </w:pPr>
      <w:r>
        <w:rPr>
          <w:rFonts w:hint="eastAsia" w:eastAsiaTheme="minorEastAsia"/>
          <w:sz w:val="24"/>
        </w:rPr>
        <w:t>规划区域生产过程不涉及危险工艺。根据统计，规划区域涉及的危险物质主要为润滑油、液化石油气、炸药及柴油，使用和储存量均较小，区内无比值Q＞1的高风险企业。因此环境风险评价等级为简单分析。</w:t>
      </w:r>
    </w:p>
    <w:p w14:paraId="4CEF7604">
      <w:pPr>
        <w:keepNext/>
        <w:keepLines/>
        <w:widowControl/>
        <w:numPr>
          <w:ilvl w:val="2"/>
          <w:numId w:val="1"/>
        </w:numPr>
        <w:spacing w:before="120" w:after="120" w:line="360" w:lineRule="auto"/>
        <w:jc w:val="left"/>
        <w:outlineLvl w:val="2"/>
        <w:rPr>
          <w:rFonts w:eastAsiaTheme="minorEastAsia"/>
          <w:b/>
          <w:bCs/>
          <w:sz w:val="24"/>
        </w:rPr>
      </w:pPr>
      <w:bookmarkStart w:id="159" w:name="_Toc206494987"/>
      <w:r>
        <w:rPr>
          <w:rFonts w:hint="eastAsia" w:eastAsiaTheme="minorEastAsia"/>
          <w:b/>
          <w:bCs/>
          <w:sz w:val="24"/>
        </w:rPr>
        <w:t>典型环境风险影响分析</w:t>
      </w:r>
      <w:bookmarkEnd w:id="159"/>
    </w:p>
    <w:p w14:paraId="294C6D2A">
      <w:pPr>
        <w:spacing w:line="360" w:lineRule="auto"/>
        <w:ind w:firstLine="480" w:firstLineChars="200"/>
        <w:rPr>
          <w:rFonts w:eastAsiaTheme="minorEastAsia"/>
          <w:sz w:val="24"/>
        </w:rPr>
      </w:pPr>
      <w:r>
        <w:rPr>
          <w:rFonts w:hint="eastAsia" w:eastAsiaTheme="minorEastAsia"/>
          <w:sz w:val="24"/>
        </w:rPr>
        <w:t>（1）危险物质泄露及火灾爆炸事故影响分析</w:t>
      </w:r>
    </w:p>
    <w:p w14:paraId="04D3F3CE">
      <w:pPr>
        <w:spacing w:line="360" w:lineRule="auto"/>
        <w:ind w:firstLine="480" w:firstLineChars="200"/>
        <w:rPr>
          <w:rFonts w:eastAsiaTheme="minorEastAsia"/>
          <w:sz w:val="24"/>
        </w:rPr>
      </w:pPr>
      <w:r>
        <w:rPr>
          <w:rFonts w:hint="eastAsia" w:eastAsiaTheme="minorEastAsia"/>
          <w:sz w:val="24"/>
        </w:rPr>
        <w:t>规划园区企业存在物料泄漏和火灾爆炸事故风险。其中，由于风险物质均采用桶装或罐装，泄漏量较少，危废储存量不多、泄漏量有限，均容易被控制在厂区内，基本不会向外扩散，因此石材加工企业主要环境风险为火灾爆炸次生/衍生污染事故，主要会造成地表水环境污染和大气环境污染。</w:t>
      </w:r>
    </w:p>
    <w:p w14:paraId="193BAB48">
      <w:pPr>
        <w:spacing w:line="360" w:lineRule="auto"/>
        <w:ind w:firstLine="480" w:firstLineChars="200"/>
        <w:rPr>
          <w:rFonts w:eastAsiaTheme="minorEastAsia"/>
          <w:sz w:val="24"/>
        </w:rPr>
      </w:pPr>
      <w:r>
        <w:rPr>
          <w:rFonts w:hint="eastAsia" w:eastAsiaTheme="minorEastAsia"/>
          <w:sz w:val="24"/>
        </w:rPr>
        <w:t>企业所用液化石油气为可燃物质。火灾事故是一种常见灾害，处理过程中引发的伴生/次生污染主要包括燃烧时产生的烟气（是物质燃烧反应过程中分解生成的气态、液态、固态物质与空气的混合物）、扑灭火灾产生的消防水。次生污染物若不能得到及时有效地收集和处置将会对周围环境再次造成不同程度的污染。而火灾事故发生时，由于火势较猛，会产生大量的烟气，主要有毒有害污染物为CO、烟尘等，受气象等条件影响，会不同程度扩散，对周围环境及人群健康产生不同程度的危害。火灾热辐射影响主要在生产区，而仓库火灾燃烧过程中同时会伴生大量的烟尘、CO、挥发性有机物等污染物，将对周围环境产生影响。由于仓库发生火灾后，可燃物的急剧燃烧导致供氧量不足，属于典型的不完全燃烧，因此燃烧过程中产生的CO量很大，且CO毒性较大，危害较大，易造成人员中毒等影响。</w:t>
      </w:r>
    </w:p>
    <w:p w14:paraId="3B221492">
      <w:pPr>
        <w:spacing w:line="360" w:lineRule="auto"/>
        <w:ind w:firstLine="480" w:firstLineChars="200"/>
        <w:rPr>
          <w:rFonts w:eastAsiaTheme="minorEastAsia"/>
          <w:sz w:val="24"/>
        </w:rPr>
      </w:pPr>
      <w:r>
        <w:rPr>
          <w:rFonts w:hint="eastAsia" w:eastAsiaTheme="minorEastAsia"/>
          <w:sz w:val="24"/>
        </w:rPr>
        <w:t>企业在柴油储罐发生泄漏时，泄漏的柴油会被截流在围堰内。事故排除后，应将泄漏的柴油转移至备用罐内，同时清理残留的柴油，降低火灾风险。由于柴油泄漏和蒸发量不大，挥发的柴油在经扩散后，对周边环境影响不大。</w:t>
      </w:r>
    </w:p>
    <w:p w14:paraId="65D1E03E">
      <w:pPr>
        <w:spacing w:line="360" w:lineRule="auto"/>
        <w:ind w:firstLine="480" w:firstLineChars="200"/>
        <w:rPr>
          <w:rFonts w:eastAsiaTheme="minorEastAsia"/>
          <w:sz w:val="24"/>
        </w:rPr>
      </w:pPr>
      <w:r>
        <w:rPr>
          <w:rFonts w:hint="eastAsia" w:eastAsiaTheme="minorEastAsia"/>
          <w:sz w:val="24"/>
        </w:rPr>
        <w:t>（2）水环境影响分析</w:t>
      </w:r>
    </w:p>
    <w:p w14:paraId="6D9C8D53">
      <w:pPr>
        <w:spacing w:line="360" w:lineRule="auto"/>
        <w:ind w:firstLine="480" w:firstLineChars="200"/>
        <w:rPr>
          <w:rFonts w:eastAsiaTheme="minorEastAsia"/>
          <w:sz w:val="24"/>
        </w:rPr>
      </w:pPr>
      <w:r>
        <w:rPr>
          <w:rFonts w:hint="eastAsia" w:eastAsiaTheme="minorEastAsia"/>
          <w:sz w:val="24"/>
        </w:rPr>
        <w:t>柴油储罐区设置围堰，若发生泄漏事件，应将泄漏的液体控制在围堰内，然后用专用液泵将其泵入备用储存设施中，因此，项目柴油储罐区对周围水环境影响不大。</w:t>
      </w:r>
    </w:p>
    <w:p w14:paraId="7FDDB91B">
      <w:pPr>
        <w:spacing w:line="360" w:lineRule="auto"/>
        <w:ind w:firstLine="480" w:firstLineChars="200"/>
        <w:rPr>
          <w:sz w:val="24"/>
        </w:rPr>
      </w:pPr>
      <w:r>
        <w:rPr>
          <w:rFonts w:hint="eastAsia"/>
          <w:sz w:val="24"/>
        </w:rPr>
        <w:t>（3）爆炸事故环境风险</w:t>
      </w:r>
    </w:p>
    <w:p w14:paraId="39268623">
      <w:pPr>
        <w:spacing w:line="360" w:lineRule="auto"/>
        <w:ind w:firstLine="480" w:firstLineChars="200"/>
        <w:rPr>
          <w:rFonts w:eastAsiaTheme="minorEastAsia"/>
          <w:sz w:val="24"/>
        </w:rPr>
      </w:pPr>
      <w:r>
        <w:rPr>
          <w:rFonts w:hint="eastAsia" w:eastAsiaTheme="minorEastAsia"/>
          <w:sz w:val="24"/>
        </w:rPr>
        <w:t>矿区采矿爆破过程中虽不设炸药库，但爆破作业仍是今后采矿生产过程中重要作业环节。在进行爆破作业时，若因操作不当或储存发生意外情况，有可能发生下列风险事故：</w:t>
      </w:r>
    </w:p>
    <w:p w14:paraId="1DDA98E9">
      <w:pPr>
        <w:spacing w:line="360" w:lineRule="auto"/>
        <w:ind w:firstLine="480" w:firstLineChars="200"/>
        <w:rPr>
          <w:rFonts w:eastAsiaTheme="minorEastAsia"/>
          <w:sz w:val="24"/>
        </w:rPr>
      </w:pPr>
      <w:r>
        <w:rPr>
          <w:rFonts w:hint="eastAsia" w:eastAsiaTheme="minorEastAsia"/>
          <w:sz w:val="24"/>
        </w:rPr>
        <w:t>1）爆破引起的碎石飞散，可能会对现场工作人员造成伤亡事故。</w:t>
      </w:r>
    </w:p>
    <w:p w14:paraId="37DC9C9C">
      <w:pPr>
        <w:spacing w:line="360" w:lineRule="auto"/>
        <w:ind w:firstLine="480" w:firstLineChars="200"/>
        <w:rPr>
          <w:rFonts w:eastAsiaTheme="minorEastAsia"/>
          <w:sz w:val="24"/>
        </w:rPr>
      </w:pPr>
      <w:r>
        <w:rPr>
          <w:rFonts w:hint="eastAsia" w:eastAsiaTheme="minorEastAsia"/>
          <w:sz w:val="24"/>
        </w:rPr>
        <w:t>2）爆破产生的震动波可能对边坡、底板和建筑物造成破坏，当岩土体为断裂构造切割的场合下或岩土体垂直节理发育时，爆破振动促使斜坡岩土体结构进一步破坏，抗剪切强度降低而引发坠石、崩塌、滑坡等事故。</w:t>
      </w:r>
    </w:p>
    <w:p w14:paraId="0F17B35B">
      <w:pPr>
        <w:spacing w:line="360" w:lineRule="auto"/>
        <w:ind w:firstLine="480" w:firstLineChars="200"/>
        <w:rPr>
          <w:rFonts w:eastAsiaTheme="minorEastAsia"/>
          <w:sz w:val="24"/>
        </w:rPr>
      </w:pPr>
      <w:r>
        <w:rPr>
          <w:rFonts w:hint="eastAsia" w:eastAsiaTheme="minorEastAsia"/>
          <w:sz w:val="24"/>
        </w:rPr>
        <w:t>3）爆破材料缺陷或起爆方式不正确或炸药装填方法、爆破网络连接有误，造成早爆、迟爆、盲炮。</w:t>
      </w:r>
    </w:p>
    <w:p w14:paraId="7C0593A9">
      <w:pPr>
        <w:spacing w:line="360" w:lineRule="auto"/>
        <w:ind w:firstLine="480" w:firstLineChars="200"/>
        <w:rPr>
          <w:rFonts w:eastAsiaTheme="minorEastAsia"/>
          <w:sz w:val="24"/>
        </w:rPr>
      </w:pPr>
      <w:r>
        <w:rPr>
          <w:rFonts w:hint="eastAsia" w:eastAsiaTheme="minorEastAsia"/>
          <w:sz w:val="24"/>
        </w:rPr>
        <w:t>4）火雷管点炮时，导火线过短或一次点炮数过多，人来不及撤离工作面就发生了爆炸；炮孔中温度过高引起炸药白爆。</w:t>
      </w:r>
    </w:p>
    <w:p w14:paraId="345B66A3">
      <w:pPr>
        <w:spacing w:line="360" w:lineRule="auto"/>
        <w:ind w:firstLine="480" w:firstLineChars="200"/>
        <w:rPr>
          <w:rFonts w:eastAsiaTheme="minorEastAsia"/>
          <w:sz w:val="24"/>
        </w:rPr>
      </w:pPr>
      <w:r>
        <w:rPr>
          <w:rFonts w:hint="eastAsia" w:eastAsiaTheme="minorEastAsia"/>
          <w:sz w:val="24"/>
        </w:rPr>
        <w:t>5）爆炸引发火灾等次生事故发生。</w:t>
      </w:r>
    </w:p>
    <w:p w14:paraId="3326014E">
      <w:pPr>
        <w:spacing w:line="360" w:lineRule="auto"/>
        <w:ind w:firstLine="480" w:firstLineChars="200"/>
        <w:rPr>
          <w:rFonts w:eastAsiaTheme="minorEastAsia"/>
          <w:sz w:val="24"/>
        </w:rPr>
      </w:pPr>
      <w:r>
        <w:rPr>
          <w:rFonts w:hint="eastAsia" w:eastAsiaTheme="minorEastAsia"/>
          <w:sz w:val="24"/>
        </w:rPr>
        <w:t>（4）炸药及爆破器材的运输风险分析</w:t>
      </w:r>
    </w:p>
    <w:p w14:paraId="246E6AC1">
      <w:pPr>
        <w:spacing w:line="360" w:lineRule="auto"/>
        <w:ind w:firstLine="480" w:firstLineChars="200"/>
        <w:rPr>
          <w:rFonts w:eastAsiaTheme="minorEastAsia"/>
          <w:sz w:val="24"/>
        </w:rPr>
      </w:pPr>
      <w:r>
        <w:rPr>
          <w:rFonts w:hint="eastAsia" w:eastAsiaTheme="minorEastAsia"/>
          <w:sz w:val="24"/>
        </w:rPr>
        <w:t>炸药及爆破器材的运输过程是采矿工程运行期存在的另一重大危险因素。运输炸药及爆破器材的车辆是一流动风险源，若因管理防范不善而发生事故，如运输时发生的撞车、碰撞及坠落等，会造成燃烧或爆炸等事故，对周边人群生命安全和财产安全带来极大危害。因此，企业必须高度重视对运输炸药及爆破器材的车辆的管理，制定严格的安全运输制度，加强对运输司机及相关人员的培训和考核，配备相关应急救护设备并制定应急预案，以降低风险事故发生的机率，减轻可能的不利影响程度。项目所需炸药、雷管由民爆公司专职人员运输至本矿区，其运输安全由民爆公司负责，但建设单位应要求爆破公司加强运输管理，并做好衔接管理工作。</w:t>
      </w:r>
    </w:p>
    <w:p w14:paraId="66C227D8">
      <w:pPr>
        <w:keepNext/>
        <w:keepLines/>
        <w:widowControl/>
        <w:numPr>
          <w:ilvl w:val="2"/>
          <w:numId w:val="1"/>
        </w:numPr>
        <w:spacing w:before="120" w:after="120" w:line="360" w:lineRule="auto"/>
        <w:jc w:val="left"/>
        <w:outlineLvl w:val="2"/>
        <w:rPr>
          <w:rFonts w:eastAsiaTheme="minorEastAsia"/>
          <w:b/>
          <w:bCs/>
          <w:sz w:val="24"/>
        </w:rPr>
      </w:pPr>
      <w:bookmarkStart w:id="160" w:name="_Toc206494988"/>
      <w:r>
        <w:rPr>
          <w:rFonts w:hint="eastAsia" w:eastAsiaTheme="minorEastAsia"/>
          <w:b/>
          <w:bCs/>
          <w:sz w:val="24"/>
        </w:rPr>
        <w:t>环境风险管理措施</w:t>
      </w:r>
      <w:bookmarkEnd w:id="160"/>
    </w:p>
    <w:p w14:paraId="251CF75F">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合理规划风险源</w:t>
      </w:r>
    </w:p>
    <w:p w14:paraId="54EA7334">
      <w:pPr>
        <w:spacing w:line="360" w:lineRule="auto"/>
        <w:ind w:firstLine="480" w:firstLineChars="200"/>
        <w:rPr>
          <w:rFonts w:eastAsiaTheme="minorEastAsia"/>
          <w:sz w:val="24"/>
        </w:rPr>
      </w:pPr>
      <w:r>
        <w:rPr>
          <w:rFonts w:hint="eastAsia" w:eastAsiaTheme="minorEastAsia"/>
          <w:sz w:val="24"/>
        </w:rPr>
        <w:t>（1）合理规划项目布局</w:t>
      </w:r>
    </w:p>
    <w:p w14:paraId="6D15919C">
      <w:pPr>
        <w:spacing w:line="360" w:lineRule="auto"/>
        <w:ind w:firstLine="480" w:firstLineChars="200"/>
        <w:rPr>
          <w:rFonts w:eastAsiaTheme="minorEastAsia"/>
          <w:sz w:val="24"/>
        </w:rPr>
      </w:pPr>
      <w:r>
        <w:rPr>
          <w:rFonts w:hint="eastAsia" w:eastAsiaTheme="minorEastAsia"/>
          <w:sz w:val="24"/>
        </w:rPr>
        <w:t>对规划区域确定的发展企业进行合理布局。涉及风险物质等项目应至少与公建区保持在相应工业企业卫生防护距离以上的安全范围内。</w:t>
      </w:r>
    </w:p>
    <w:p w14:paraId="3B6E0B5B">
      <w:pPr>
        <w:spacing w:line="360" w:lineRule="auto"/>
        <w:ind w:firstLine="480" w:firstLineChars="200"/>
        <w:rPr>
          <w:rFonts w:eastAsiaTheme="minorEastAsia"/>
          <w:sz w:val="24"/>
        </w:rPr>
      </w:pPr>
      <w:r>
        <w:rPr>
          <w:rFonts w:hint="eastAsia" w:eastAsiaTheme="minorEastAsia"/>
          <w:sz w:val="24"/>
        </w:rPr>
        <w:t>（2）合理规划企业生产设施布局</w:t>
      </w:r>
    </w:p>
    <w:p w14:paraId="06D9918D">
      <w:pPr>
        <w:spacing w:line="360" w:lineRule="auto"/>
        <w:ind w:firstLine="480" w:firstLineChars="200"/>
        <w:rPr>
          <w:rFonts w:eastAsiaTheme="minorEastAsia"/>
          <w:sz w:val="24"/>
        </w:rPr>
      </w:pPr>
      <w:r>
        <w:rPr>
          <w:rFonts w:hint="eastAsia" w:eastAsiaTheme="minorEastAsia"/>
          <w:sz w:val="24"/>
        </w:rPr>
        <w:t>规划区各企业的危险性生产设施、贮存设施总平面布置、防火间距应符合《建筑设计防火规范》(GB50016-2006)有关规定。各类化学品存储区与其它设施的距离应满足防火间距要求。</w:t>
      </w:r>
    </w:p>
    <w:p w14:paraId="399CC907">
      <w:pPr>
        <w:spacing w:line="360" w:lineRule="auto"/>
        <w:ind w:firstLine="480" w:firstLineChars="200"/>
        <w:rPr>
          <w:rFonts w:eastAsiaTheme="minorEastAsia"/>
          <w:sz w:val="24"/>
        </w:rPr>
      </w:pPr>
      <w:r>
        <w:rPr>
          <w:rFonts w:hint="eastAsia" w:eastAsiaTheme="minorEastAsia"/>
          <w:sz w:val="24"/>
        </w:rPr>
        <w:t>（3）合理规划危险物质运输路线</w:t>
      </w:r>
    </w:p>
    <w:p w14:paraId="787D9757">
      <w:pPr>
        <w:spacing w:line="360" w:lineRule="auto"/>
        <w:ind w:firstLine="480" w:firstLineChars="200"/>
        <w:rPr>
          <w:rFonts w:eastAsiaTheme="minorEastAsia"/>
          <w:sz w:val="24"/>
        </w:rPr>
      </w:pPr>
      <w:r>
        <w:rPr>
          <w:rFonts w:hint="eastAsia" w:eastAsiaTheme="minorEastAsia"/>
          <w:sz w:val="24"/>
        </w:rPr>
        <w:t>为最大限度降低危险物质运输对公建区的影响，根据园区内及周边的交通路线，合理规划危险物质运输路线，对各类危险物质运输规定运输时间。</w:t>
      </w:r>
    </w:p>
    <w:p w14:paraId="3BFC128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加强风险源管理</w:t>
      </w:r>
    </w:p>
    <w:p w14:paraId="25EEBA17">
      <w:pPr>
        <w:spacing w:line="360" w:lineRule="auto"/>
        <w:ind w:firstLine="480" w:firstLineChars="200"/>
        <w:rPr>
          <w:rFonts w:eastAsiaTheme="minorEastAsia"/>
          <w:sz w:val="24"/>
        </w:rPr>
      </w:pPr>
      <w:r>
        <w:rPr>
          <w:rFonts w:hint="eastAsia" w:eastAsiaTheme="minorEastAsia"/>
          <w:sz w:val="24"/>
        </w:rPr>
        <w:t>（1）建立园区危险性物质动态管理信息库</w:t>
      </w:r>
    </w:p>
    <w:p w14:paraId="7561A718">
      <w:pPr>
        <w:spacing w:line="360" w:lineRule="auto"/>
        <w:ind w:firstLine="480" w:firstLineChars="200"/>
        <w:rPr>
          <w:rFonts w:eastAsiaTheme="minorEastAsia"/>
          <w:sz w:val="24"/>
        </w:rPr>
      </w:pPr>
      <w:r>
        <w:rPr>
          <w:rFonts w:hint="eastAsia" w:eastAsiaTheme="minorEastAsia"/>
          <w:sz w:val="24"/>
        </w:rPr>
        <w:t>建立园区危险性物质动态管理信息库，对园区危险物质分成易燃易爆类、有毒有害类和兼具易燃易爆有毒有害类三类，分类管理。按各类危险物质危险级别及使用量，建立园区重点监控管理的危险物质管理程序，加强对这些物质的贮量、加工量、流向进行严格监控。</w:t>
      </w:r>
    </w:p>
    <w:p w14:paraId="0EF14CB1">
      <w:pPr>
        <w:spacing w:line="360" w:lineRule="auto"/>
        <w:ind w:firstLine="480" w:firstLineChars="200"/>
        <w:rPr>
          <w:rFonts w:eastAsiaTheme="minorEastAsia"/>
          <w:sz w:val="24"/>
        </w:rPr>
      </w:pPr>
      <w:r>
        <w:rPr>
          <w:rFonts w:hint="eastAsia" w:eastAsiaTheme="minorEastAsia"/>
          <w:sz w:val="24"/>
        </w:rPr>
        <w:t>（2）建立园区重点风险源动态管理信息库</w:t>
      </w:r>
    </w:p>
    <w:p w14:paraId="0B5A6A25">
      <w:pPr>
        <w:spacing w:line="360" w:lineRule="auto"/>
        <w:ind w:firstLine="480" w:firstLineChars="200"/>
        <w:rPr>
          <w:rFonts w:eastAsiaTheme="minorEastAsia"/>
          <w:sz w:val="24"/>
        </w:rPr>
      </w:pPr>
      <w:r>
        <w:rPr>
          <w:rFonts w:hint="eastAsia" w:eastAsiaTheme="minorEastAsia"/>
          <w:sz w:val="24"/>
        </w:rPr>
        <w:t>建立园区重点风险源动态管理信息库，按生产设施涉及的危险物质危险性级别及生产设施规模，将潜在环境风险危害大的生产设施列为重点监控管理对象。根据入区企业规模及企业生产情况，定期更新重点监控对象；在危险性物质储存聚集区域，安装毒性或易燃易爆气体自动在线浓度检测仪，及时发现事故隐患；同时作业人员应随时用便携式泄漏感应器对园区内危险性物质进行检测。</w:t>
      </w:r>
    </w:p>
    <w:p w14:paraId="0984F81B">
      <w:pPr>
        <w:spacing w:line="360" w:lineRule="auto"/>
        <w:ind w:firstLine="480" w:firstLineChars="200"/>
        <w:rPr>
          <w:rFonts w:eastAsiaTheme="minorEastAsia"/>
          <w:sz w:val="24"/>
        </w:rPr>
      </w:pPr>
      <w:r>
        <w:rPr>
          <w:rFonts w:hint="eastAsia" w:eastAsiaTheme="minorEastAsia"/>
          <w:sz w:val="24"/>
        </w:rPr>
        <w:t>（3）建立园区环境风险救援力量管理信息库</w:t>
      </w:r>
    </w:p>
    <w:p w14:paraId="6024264A">
      <w:pPr>
        <w:spacing w:line="360" w:lineRule="auto"/>
        <w:ind w:firstLine="480" w:firstLineChars="200"/>
        <w:rPr>
          <w:rFonts w:eastAsiaTheme="minorEastAsia"/>
          <w:sz w:val="24"/>
        </w:rPr>
      </w:pPr>
      <w:r>
        <w:rPr>
          <w:rFonts w:hint="eastAsia" w:eastAsiaTheme="minorEastAsia"/>
          <w:sz w:val="24"/>
        </w:rPr>
        <w:t>建立园区内外环境风险救援力量管理库，以及区内各企业救援力量(包括各企业应急救援物资和设备名称、数量、型号大小、存放地点、负责人及调动方式)信息库，以便发生环境风险事故时查询。</w:t>
      </w:r>
    </w:p>
    <w:p w14:paraId="78883EB2">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建立风险监测与监控体系</w:t>
      </w:r>
    </w:p>
    <w:p w14:paraId="46F1F384">
      <w:pPr>
        <w:spacing w:line="360" w:lineRule="auto"/>
        <w:ind w:firstLine="480" w:firstLineChars="200"/>
        <w:rPr>
          <w:rFonts w:eastAsiaTheme="minorEastAsia"/>
          <w:sz w:val="24"/>
        </w:rPr>
      </w:pPr>
      <w:r>
        <w:rPr>
          <w:rFonts w:hint="eastAsia" w:eastAsiaTheme="minorEastAsia"/>
          <w:sz w:val="24"/>
        </w:rPr>
        <w:t>建立园区及各企业风险监测系统，在发生轻微事故(即污染事故发生在某装置的一部分，通过控制，不会影响到装置以外)和一般事故(污染事故持续发展影响到整个装置，但通过控制，不会影响到厂区以外)时，及时启动厂内应急监测预案，建立应急监测小组，对事故现场及周边区域实施应急监测；当发生严重事故(重大的爆炸和泄漏，使周围居民受到明显影响，并直接导致外环境排放浓度超标)时，风险事故监测系统要依赖周边环境监测站，厂内应急监测小组要配合监测机构实施应急环境监测，为应急救援指挥部门判断事态发展和指挥救援提供依据。</w:t>
      </w:r>
    </w:p>
    <w:p w14:paraId="5BB78EDB">
      <w:pPr>
        <w:keepNext/>
        <w:keepLines/>
        <w:widowControl/>
        <w:numPr>
          <w:ilvl w:val="2"/>
          <w:numId w:val="1"/>
        </w:numPr>
        <w:spacing w:before="120" w:after="120" w:line="360" w:lineRule="auto"/>
        <w:jc w:val="left"/>
        <w:outlineLvl w:val="2"/>
        <w:rPr>
          <w:rFonts w:eastAsiaTheme="minorEastAsia"/>
          <w:b/>
          <w:bCs/>
          <w:sz w:val="24"/>
        </w:rPr>
      </w:pPr>
      <w:bookmarkStart w:id="161" w:name="_Toc206494989"/>
      <w:r>
        <w:rPr>
          <w:rFonts w:hint="eastAsia" w:eastAsiaTheme="minorEastAsia"/>
          <w:b/>
          <w:bCs/>
          <w:sz w:val="24"/>
        </w:rPr>
        <w:t>环境风险防范措施</w:t>
      </w:r>
      <w:bookmarkEnd w:id="161"/>
    </w:p>
    <w:p w14:paraId="1E68A16E">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环境风险管理体系</w:t>
      </w:r>
    </w:p>
    <w:p w14:paraId="6548AA3B">
      <w:pPr>
        <w:spacing w:line="360" w:lineRule="auto"/>
        <w:ind w:firstLine="480" w:firstLineChars="200"/>
        <w:rPr>
          <w:rFonts w:eastAsiaTheme="minorEastAsia"/>
          <w:sz w:val="24"/>
        </w:rPr>
      </w:pPr>
      <w:r>
        <w:rPr>
          <w:rFonts w:hint="eastAsia" w:eastAsiaTheme="minorEastAsia"/>
          <w:sz w:val="24"/>
        </w:rPr>
        <w:t>鉴于园区环境管理是区域管理行为，涉及的面广、人多，为确保能有效的防止或减小区域的环境风险，规划园区应建立完善的三级环境风险管理体系。建议依托石材产业园办公室设立应急委员会，由随县和石材办相关部门组成，制定应急预案，并将领导小组负责人及联系方式以张贴方式或网络方式对外公示，一旦出现环境风险事故，便于第一时间联系到应急指挥部门，及时组织风险防范和救援工作。园区三级防控体系见下表。</w:t>
      </w:r>
    </w:p>
    <w:p w14:paraId="394A697B">
      <w:pPr>
        <w:spacing w:line="360" w:lineRule="auto"/>
        <w:ind w:firstLine="422"/>
        <w:jc w:val="center"/>
        <w:rPr>
          <w:b/>
          <w:szCs w:val="21"/>
        </w:rPr>
      </w:pPr>
      <w:r>
        <w:rPr>
          <w:rFonts w:hint="eastAsia"/>
          <w:b/>
          <w:szCs w:val="21"/>
        </w:rPr>
        <w:t>表5.3.5-1    园区三级防控体系</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6"/>
        <w:gridCol w:w="2570"/>
        <w:gridCol w:w="3860"/>
        <w:gridCol w:w="1332"/>
      </w:tblGrid>
      <w:tr w14:paraId="687AD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449" w:type="pct"/>
            <w:vAlign w:val="center"/>
          </w:tcPr>
          <w:p w14:paraId="575A56A6">
            <w:pPr>
              <w:spacing w:line="320" w:lineRule="exact"/>
              <w:jc w:val="center"/>
              <w:rPr>
                <w:kern w:val="0"/>
                <w:szCs w:val="21"/>
              </w:rPr>
            </w:pPr>
            <w:r>
              <w:rPr>
                <w:rFonts w:hint="eastAsia"/>
                <w:kern w:val="0"/>
                <w:szCs w:val="21"/>
              </w:rPr>
              <w:t>级别</w:t>
            </w:r>
          </w:p>
        </w:tc>
        <w:tc>
          <w:tcPr>
            <w:tcW w:w="1507" w:type="pct"/>
            <w:vAlign w:val="center"/>
          </w:tcPr>
          <w:p w14:paraId="627745A5">
            <w:pPr>
              <w:spacing w:line="320" w:lineRule="exact"/>
              <w:jc w:val="center"/>
              <w:rPr>
                <w:kern w:val="0"/>
                <w:szCs w:val="21"/>
              </w:rPr>
            </w:pPr>
            <w:r>
              <w:rPr>
                <w:rFonts w:hint="eastAsia"/>
                <w:kern w:val="0"/>
                <w:szCs w:val="21"/>
              </w:rPr>
              <w:t>防控体系</w:t>
            </w:r>
          </w:p>
        </w:tc>
        <w:tc>
          <w:tcPr>
            <w:tcW w:w="2263" w:type="pct"/>
            <w:tcBorders>
              <w:right w:val="single" w:color="auto" w:sz="4" w:space="0"/>
            </w:tcBorders>
            <w:vAlign w:val="center"/>
          </w:tcPr>
          <w:p w14:paraId="24CEA2DA">
            <w:pPr>
              <w:spacing w:line="320" w:lineRule="exact"/>
              <w:jc w:val="center"/>
              <w:rPr>
                <w:kern w:val="0"/>
                <w:szCs w:val="21"/>
              </w:rPr>
            </w:pPr>
            <w:r>
              <w:rPr>
                <w:rFonts w:hint="eastAsia"/>
                <w:kern w:val="0"/>
                <w:szCs w:val="21"/>
              </w:rPr>
              <w:t xml:space="preserve">设施分类与名称 </w:t>
            </w:r>
          </w:p>
        </w:tc>
        <w:tc>
          <w:tcPr>
            <w:tcW w:w="781" w:type="pct"/>
            <w:tcBorders>
              <w:left w:val="single" w:color="auto" w:sz="4" w:space="0"/>
            </w:tcBorders>
            <w:vAlign w:val="center"/>
          </w:tcPr>
          <w:p w14:paraId="6DECE70F">
            <w:pPr>
              <w:spacing w:line="320" w:lineRule="exact"/>
              <w:jc w:val="center"/>
              <w:rPr>
                <w:kern w:val="0"/>
                <w:szCs w:val="21"/>
              </w:rPr>
            </w:pPr>
            <w:r>
              <w:rPr>
                <w:rFonts w:hint="eastAsia"/>
                <w:kern w:val="0"/>
                <w:szCs w:val="21"/>
              </w:rPr>
              <w:t>责任主体</w:t>
            </w:r>
          </w:p>
        </w:tc>
      </w:tr>
      <w:tr w14:paraId="547AF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449" w:type="pct"/>
            <w:vAlign w:val="center"/>
          </w:tcPr>
          <w:p w14:paraId="38D68E1B">
            <w:pPr>
              <w:spacing w:line="320" w:lineRule="exact"/>
              <w:jc w:val="center"/>
              <w:rPr>
                <w:kern w:val="0"/>
                <w:szCs w:val="21"/>
              </w:rPr>
            </w:pPr>
            <w:r>
              <w:rPr>
                <w:kern w:val="0"/>
                <w:szCs w:val="21"/>
              </w:rPr>
              <w:t>企业级</w:t>
            </w:r>
          </w:p>
        </w:tc>
        <w:tc>
          <w:tcPr>
            <w:tcW w:w="1507" w:type="pct"/>
            <w:vAlign w:val="center"/>
          </w:tcPr>
          <w:p w14:paraId="6DEB416D">
            <w:pPr>
              <w:spacing w:line="320" w:lineRule="exact"/>
              <w:jc w:val="center"/>
              <w:rPr>
                <w:kern w:val="0"/>
                <w:szCs w:val="21"/>
              </w:rPr>
            </w:pPr>
            <w:r>
              <w:rPr>
                <w:rFonts w:hint="eastAsia"/>
                <w:kern w:val="0"/>
                <w:szCs w:val="21"/>
              </w:rPr>
              <w:t>企业内部防控体系</w:t>
            </w:r>
          </w:p>
        </w:tc>
        <w:tc>
          <w:tcPr>
            <w:tcW w:w="2263" w:type="pct"/>
            <w:tcBorders>
              <w:right w:val="single" w:color="auto" w:sz="4" w:space="0"/>
            </w:tcBorders>
            <w:vAlign w:val="center"/>
          </w:tcPr>
          <w:p w14:paraId="4840DFB2">
            <w:pPr>
              <w:spacing w:line="320" w:lineRule="exact"/>
              <w:jc w:val="center"/>
              <w:rPr>
                <w:kern w:val="0"/>
                <w:szCs w:val="21"/>
              </w:rPr>
            </w:pPr>
            <w:r>
              <w:rPr>
                <w:rFonts w:hint="eastAsia"/>
                <w:kern w:val="0"/>
                <w:szCs w:val="21"/>
              </w:rPr>
              <w:t>围堰、缓冲池、应急池等</w:t>
            </w:r>
          </w:p>
        </w:tc>
        <w:tc>
          <w:tcPr>
            <w:tcW w:w="781" w:type="pct"/>
            <w:tcBorders>
              <w:left w:val="single" w:color="auto" w:sz="4" w:space="0"/>
            </w:tcBorders>
            <w:vAlign w:val="center"/>
          </w:tcPr>
          <w:p w14:paraId="3CAC357D">
            <w:pPr>
              <w:spacing w:line="320" w:lineRule="exact"/>
              <w:jc w:val="center"/>
              <w:rPr>
                <w:kern w:val="0"/>
                <w:szCs w:val="21"/>
              </w:rPr>
            </w:pPr>
            <w:r>
              <w:rPr>
                <w:rFonts w:hint="eastAsia"/>
                <w:kern w:val="0"/>
                <w:szCs w:val="21"/>
              </w:rPr>
              <w:t>各企业</w:t>
            </w:r>
          </w:p>
        </w:tc>
      </w:tr>
      <w:tr w14:paraId="031A9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449" w:type="pct"/>
            <w:vMerge w:val="restart"/>
            <w:vAlign w:val="center"/>
          </w:tcPr>
          <w:p w14:paraId="23AEC902">
            <w:pPr>
              <w:spacing w:line="320" w:lineRule="exact"/>
              <w:jc w:val="center"/>
              <w:rPr>
                <w:kern w:val="0"/>
                <w:szCs w:val="21"/>
              </w:rPr>
            </w:pPr>
            <w:r>
              <w:rPr>
                <w:rFonts w:hint="eastAsia"/>
                <w:kern w:val="0"/>
                <w:szCs w:val="21"/>
              </w:rPr>
              <w:t>公共级</w:t>
            </w:r>
          </w:p>
        </w:tc>
        <w:tc>
          <w:tcPr>
            <w:tcW w:w="1507" w:type="pct"/>
            <w:vAlign w:val="center"/>
          </w:tcPr>
          <w:p w14:paraId="2802C80B">
            <w:pPr>
              <w:spacing w:line="320" w:lineRule="exact"/>
              <w:jc w:val="center"/>
              <w:rPr>
                <w:kern w:val="0"/>
                <w:szCs w:val="21"/>
              </w:rPr>
            </w:pPr>
            <w:r>
              <w:rPr>
                <w:rFonts w:hint="eastAsia"/>
                <w:kern w:val="0"/>
                <w:szCs w:val="21"/>
              </w:rPr>
              <w:t>园区公共防控体系</w:t>
            </w:r>
          </w:p>
        </w:tc>
        <w:tc>
          <w:tcPr>
            <w:tcW w:w="2263" w:type="pct"/>
            <w:tcBorders>
              <w:right w:val="single" w:color="auto" w:sz="4" w:space="0"/>
            </w:tcBorders>
            <w:vAlign w:val="center"/>
          </w:tcPr>
          <w:p w14:paraId="0CC99255">
            <w:pPr>
              <w:spacing w:line="320" w:lineRule="exact"/>
              <w:jc w:val="center"/>
              <w:rPr>
                <w:kern w:val="0"/>
                <w:szCs w:val="21"/>
              </w:rPr>
            </w:pPr>
            <w:r>
              <w:rPr>
                <w:rFonts w:hint="eastAsia"/>
                <w:kern w:val="0"/>
                <w:szCs w:val="21"/>
              </w:rPr>
              <w:t>公共应急池，雨污收集系统，污水处理厂等，危化品信息库、风险源数据库等</w:t>
            </w:r>
          </w:p>
        </w:tc>
        <w:tc>
          <w:tcPr>
            <w:tcW w:w="781" w:type="pct"/>
            <w:tcBorders>
              <w:left w:val="single" w:color="auto" w:sz="4" w:space="0"/>
            </w:tcBorders>
            <w:vAlign w:val="center"/>
          </w:tcPr>
          <w:p w14:paraId="18EEC621">
            <w:pPr>
              <w:spacing w:line="320" w:lineRule="exact"/>
              <w:jc w:val="center"/>
              <w:rPr>
                <w:kern w:val="0"/>
                <w:szCs w:val="21"/>
              </w:rPr>
            </w:pPr>
            <w:r>
              <w:rPr>
                <w:rFonts w:hint="eastAsia"/>
                <w:kern w:val="0"/>
                <w:szCs w:val="21"/>
              </w:rPr>
              <w:t>园区管理部门</w:t>
            </w:r>
          </w:p>
        </w:tc>
      </w:tr>
      <w:tr w14:paraId="1CA20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449" w:type="pct"/>
            <w:vMerge w:val="continue"/>
            <w:vAlign w:val="center"/>
          </w:tcPr>
          <w:p w14:paraId="1CF57CB0">
            <w:pPr>
              <w:spacing w:line="320" w:lineRule="exact"/>
              <w:jc w:val="center"/>
              <w:rPr>
                <w:kern w:val="0"/>
                <w:szCs w:val="21"/>
              </w:rPr>
            </w:pPr>
          </w:p>
        </w:tc>
        <w:tc>
          <w:tcPr>
            <w:tcW w:w="1507" w:type="pct"/>
            <w:vAlign w:val="center"/>
          </w:tcPr>
          <w:p w14:paraId="4373FA7B">
            <w:pPr>
              <w:spacing w:line="320" w:lineRule="exact"/>
              <w:jc w:val="center"/>
              <w:rPr>
                <w:kern w:val="0"/>
                <w:szCs w:val="21"/>
              </w:rPr>
            </w:pPr>
            <w:r>
              <w:rPr>
                <w:rFonts w:hint="eastAsia"/>
                <w:kern w:val="0"/>
                <w:szCs w:val="21"/>
              </w:rPr>
              <w:t>园区防控体系</w:t>
            </w:r>
          </w:p>
        </w:tc>
        <w:tc>
          <w:tcPr>
            <w:tcW w:w="2263" w:type="pct"/>
            <w:tcBorders>
              <w:right w:val="single" w:color="auto" w:sz="4" w:space="0"/>
            </w:tcBorders>
            <w:vAlign w:val="center"/>
          </w:tcPr>
          <w:p w14:paraId="174F0643">
            <w:pPr>
              <w:spacing w:line="320" w:lineRule="exact"/>
              <w:jc w:val="center"/>
              <w:rPr>
                <w:kern w:val="0"/>
                <w:szCs w:val="21"/>
              </w:rPr>
            </w:pPr>
            <w:r>
              <w:rPr>
                <w:rFonts w:hint="eastAsia"/>
                <w:kern w:val="0"/>
                <w:szCs w:val="21"/>
              </w:rPr>
              <w:t>应急中心，消防船，下游闸坝，危化品信息库、风险源数据库等</w:t>
            </w:r>
          </w:p>
        </w:tc>
        <w:tc>
          <w:tcPr>
            <w:tcW w:w="781" w:type="pct"/>
            <w:tcBorders>
              <w:left w:val="single" w:color="auto" w:sz="4" w:space="0"/>
            </w:tcBorders>
            <w:vAlign w:val="center"/>
          </w:tcPr>
          <w:p w14:paraId="23993466">
            <w:pPr>
              <w:spacing w:line="320" w:lineRule="exact"/>
              <w:jc w:val="center"/>
              <w:rPr>
                <w:kern w:val="0"/>
                <w:szCs w:val="21"/>
              </w:rPr>
            </w:pPr>
            <w:r>
              <w:rPr>
                <w:rFonts w:hint="eastAsia"/>
                <w:kern w:val="0"/>
                <w:szCs w:val="21"/>
              </w:rPr>
              <w:t>县级环境应急机构</w:t>
            </w:r>
          </w:p>
        </w:tc>
      </w:tr>
    </w:tbl>
    <w:p w14:paraId="57211399">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环境风险管理模式</w:t>
      </w:r>
    </w:p>
    <w:p w14:paraId="3A02EB08">
      <w:pPr>
        <w:spacing w:line="360" w:lineRule="auto"/>
        <w:ind w:firstLine="480" w:firstLineChars="200"/>
        <w:rPr>
          <w:rFonts w:eastAsiaTheme="minorEastAsia"/>
          <w:sz w:val="24"/>
        </w:rPr>
      </w:pPr>
      <w:r>
        <w:rPr>
          <w:rFonts w:hint="eastAsia" w:eastAsiaTheme="minorEastAsia"/>
          <w:sz w:val="24"/>
        </w:rPr>
        <w:t>建立园区环境风险管理可以帮助园区环境管理满足有关环境法规的要求，减少环境责任事故的发生，提高园区环境管理水平；能够改善园区形象及规划区与周边区域的关系，吸引投资；可以有效地减少污染、节约资源，减少环境责任事故和各项环境费用(投资、运行费、赔款费、排污费)；有利于园区环境与经济的协调和持续发展。</w:t>
      </w:r>
    </w:p>
    <w:p w14:paraId="1BD03B50">
      <w:pPr>
        <w:spacing w:line="360" w:lineRule="auto"/>
        <w:ind w:firstLine="480" w:firstLineChars="200"/>
        <w:rPr>
          <w:rFonts w:eastAsiaTheme="minorEastAsia"/>
          <w:sz w:val="24"/>
        </w:rPr>
      </w:pPr>
      <w:r>
        <w:rPr>
          <w:rFonts w:hint="eastAsia" w:eastAsiaTheme="minorEastAsia"/>
          <w:sz w:val="24"/>
        </w:rPr>
        <w:t>借鉴园区环境风险管理的经验，园区环境风险管理模式可分五个基本步骤实施：确立风险背景、识别风险、风险评估(分析风险和衡量风险)、处理风险。环境风险管理程序流程见下图。</w:t>
      </w:r>
    </w:p>
    <w:p w14:paraId="328DA1DC">
      <w:pPr>
        <w:spacing w:line="360" w:lineRule="auto"/>
        <w:ind w:firstLine="420"/>
        <w:jc w:val="center"/>
        <w:rPr>
          <w:sz w:val="24"/>
        </w:rPr>
      </w:pPr>
      <w:r>
        <w:drawing>
          <wp:inline distT="0" distB="0" distL="0" distR="0">
            <wp:extent cx="3697605" cy="21545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97605" cy="2154555"/>
                    </a:xfrm>
                    <a:prstGeom prst="rect">
                      <a:avLst/>
                    </a:prstGeom>
                    <a:noFill/>
                    <a:ln>
                      <a:noFill/>
                    </a:ln>
                  </pic:spPr>
                </pic:pic>
              </a:graphicData>
            </a:graphic>
          </wp:inline>
        </w:drawing>
      </w:r>
    </w:p>
    <w:p w14:paraId="25B72122">
      <w:pPr>
        <w:spacing w:line="360" w:lineRule="auto"/>
        <w:ind w:firstLine="422"/>
        <w:jc w:val="center"/>
        <w:rPr>
          <w:b/>
          <w:szCs w:val="21"/>
        </w:rPr>
      </w:pPr>
      <w:r>
        <w:rPr>
          <w:rFonts w:hint="eastAsia"/>
          <w:b/>
          <w:szCs w:val="21"/>
        </w:rPr>
        <w:t>图5.3.5-1    环境风险管理程序流程图</w:t>
      </w:r>
    </w:p>
    <w:p w14:paraId="0B84E4E3">
      <w:pPr>
        <w:spacing w:line="360" w:lineRule="auto"/>
        <w:ind w:firstLine="480" w:firstLineChars="200"/>
        <w:rPr>
          <w:rFonts w:eastAsiaTheme="minorEastAsia"/>
          <w:sz w:val="24"/>
        </w:rPr>
      </w:pPr>
      <w:r>
        <w:rPr>
          <w:rFonts w:hint="eastAsia" w:eastAsiaTheme="minorEastAsia"/>
          <w:sz w:val="24"/>
        </w:rPr>
        <w:t>（1）确立风险背景</w:t>
      </w:r>
    </w:p>
    <w:p w14:paraId="5639AA38">
      <w:pPr>
        <w:spacing w:line="360" w:lineRule="auto"/>
        <w:ind w:firstLine="480" w:firstLineChars="200"/>
        <w:rPr>
          <w:rFonts w:eastAsiaTheme="minorEastAsia"/>
          <w:sz w:val="24"/>
        </w:rPr>
      </w:pPr>
      <w:r>
        <w:rPr>
          <w:rFonts w:hint="eastAsia" w:eastAsiaTheme="minorEastAsia"/>
          <w:sz w:val="24"/>
        </w:rPr>
        <w:t>确立风险背景是了解园区风险管理背景的第一步，主要内容包括：考查外在因素，如国家和区域法律、政治和经济环境等；考查内在因素，如园区的目标和文化，影响园区风险管理的方式、标准、成本和效益分析等；熟悉风险管理与园区面临的机会和威胁之间的联系。这些内容应通过环境风险管理方针和计划明确下来。</w:t>
      </w:r>
    </w:p>
    <w:p w14:paraId="78C32499">
      <w:pPr>
        <w:spacing w:line="360" w:lineRule="auto"/>
        <w:ind w:firstLine="480" w:firstLineChars="200"/>
        <w:rPr>
          <w:rFonts w:eastAsiaTheme="minorEastAsia"/>
          <w:sz w:val="24"/>
        </w:rPr>
      </w:pPr>
      <w:r>
        <w:rPr>
          <w:rFonts w:hint="eastAsia" w:eastAsiaTheme="minorEastAsia"/>
          <w:sz w:val="24"/>
        </w:rPr>
        <w:t>（2）识别风险</w:t>
      </w:r>
    </w:p>
    <w:p w14:paraId="6DB22D59">
      <w:pPr>
        <w:spacing w:line="360" w:lineRule="auto"/>
        <w:ind w:firstLine="480" w:firstLineChars="200"/>
        <w:rPr>
          <w:rFonts w:eastAsiaTheme="minorEastAsia"/>
          <w:sz w:val="24"/>
        </w:rPr>
      </w:pPr>
      <w:r>
        <w:rPr>
          <w:rFonts w:hint="eastAsia" w:eastAsiaTheme="minorEastAsia"/>
          <w:sz w:val="24"/>
        </w:rPr>
        <w:t>识别风险是风险管理的第二步，包括识别分析风险的种类、产生机制和原因，主要考虑①园区活动或过程；②介质及影响，如向大气排放；向水体排放；固废管理；土地污染；噪声污染；能源与资源的消耗；③对相关法律法规的符合情况；④现存的风险控制手段和水平。这些主要通过园区环境调查和环境风险源调查来实现。</w:t>
      </w:r>
    </w:p>
    <w:p w14:paraId="07E65274">
      <w:pPr>
        <w:spacing w:line="360" w:lineRule="auto"/>
        <w:ind w:firstLine="480" w:firstLineChars="200"/>
        <w:rPr>
          <w:rFonts w:eastAsiaTheme="minorEastAsia"/>
          <w:sz w:val="24"/>
        </w:rPr>
      </w:pPr>
      <w:r>
        <w:rPr>
          <w:rFonts w:hint="eastAsia" w:eastAsiaTheme="minorEastAsia"/>
          <w:sz w:val="24"/>
        </w:rPr>
        <w:t>（3）风险评估</w:t>
      </w:r>
    </w:p>
    <w:p w14:paraId="391816B0">
      <w:pPr>
        <w:spacing w:line="360" w:lineRule="auto"/>
        <w:ind w:firstLine="480" w:firstLineChars="200"/>
        <w:rPr>
          <w:rFonts w:eastAsiaTheme="minorEastAsia"/>
          <w:sz w:val="24"/>
        </w:rPr>
      </w:pPr>
      <w:r>
        <w:rPr>
          <w:rFonts w:hint="eastAsia" w:eastAsiaTheme="minorEastAsia"/>
          <w:sz w:val="24"/>
        </w:rPr>
        <w:t>风险评估分为风险分析和风险衡量两个阶段，即客观分析风险大小和较主观地衡量风险的可接受程度，并按优先次序排列，以便合理使用资源。目前环境风险评估缺乏系统、有效的评价方法学，评价方法处于初级阶段，在方法、技术和程序上都没有突破，基本上是定性的方法。鉴于已有报道的区域环境风险评价模式，本报告建议园区采用已使用过的方法，如园区常规风险评价中生态与环境功能影响评价可借用环境质量指数法或污染物指数评价法，公众健康风险评价可采用公众健康风险评价模式等。评估前，应根据评估方法的应用条件、适用的对象进行选择或采用不同的方法进行组合应用。</w:t>
      </w:r>
    </w:p>
    <w:p w14:paraId="74C28EB0">
      <w:pPr>
        <w:spacing w:line="360" w:lineRule="auto"/>
        <w:ind w:firstLine="480" w:firstLineChars="200"/>
        <w:rPr>
          <w:rFonts w:eastAsiaTheme="minorEastAsia"/>
          <w:sz w:val="24"/>
        </w:rPr>
      </w:pPr>
      <w:r>
        <w:rPr>
          <w:rFonts w:hint="eastAsia" w:eastAsiaTheme="minorEastAsia"/>
          <w:sz w:val="24"/>
        </w:rPr>
        <w:t>（4）风险处理</w:t>
      </w:r>
    </w:p>
    <w:p w14:paraId="0BE4937E">
      <w:pPr>
        <w:spacing w:line="360" w:lineRule="auto"/>
        <w:ind w:firstLine="480" w:firstLineChars="200"/>
        <w:rPr>
          <w:rFonts w:eastAsiaTheme="minorEastAsia"/>
          <w:sz w:val="24"/>
        </w:rPr>
      </w:pPr>
      <w:r>
        <w:rPr>
          <w:rFonts w:hint="eastAsia" w:eastAsiaTheme="minorEastAsia"/>
          <w:sz w:val="24"/>
        </w:rPr>
        <w:t>风险处理包括风险回避、减少风险、转移风险和自担风险四个策略。</w:t>
      </w:r>
    </w:p>
    <w:p w14:paraId="555DED7B">
      <w:pPr>
        <w:spacing w:line="360" w:lineRule="auto"/>
        <w:ind w:firstLine="480" w:firstLineChars="200"/>
        <w:rPr>
          <w:rFonts w:eastAsiaTheme="minorEastAsia"/>
          <w:sz w:val="24"/>
        </w:rPr>
      </w:pPr>
      <w:r>
        <w:rPr>
          <w:rFonts w:hint="eastAsia" w:eastAsiaTheme="minorEastAsia"/>
          <w:sz w:val="24"/>
        </w:rPr>
        <w:t>①避免风险：如关闭园区内造成环境风险的来源。</w:t>
      </w:r>
    </w:p>
    <w:p w14:paraId="4CC4088C">
      <w:pPr>
        <w:spacing w:line="360" w:lineRule="auto"/>
        <w:ind w:firstLine="480" w:firstLineChars="200"/>
        <w:rPr>
          <w:rFonts w:eastAsiaTheme="minorEastAsia"/>
          <w:sz w:val="24"/>
        </w:rPr>
      </w:pPr>
      <w:r>
        <w:rPr>
          <w:rFonts w:hint="eastAsia" w:eastAsiaTheme="minorEastAsia"/>
          <w:sz w:val="24"/>
        </w:rPr>
        <w:t>②减轻风险：如采用较好的零部件、改进生产维护、加强培训来降低设备故障和人为失误频率。</w:t>
      </w:r>
    </w:p>
    <w:p w14:paraId="0A7EA0BF">
      <w:pPr>
        <w:spacing w:line="360" w:lineRule="auto"/>
        <w:ind w:firstLine="480" w:firstLineChars="200"/>
        <w:rPr>
          <w:rFonts w:eastAsiaTheme="minorEastAsia"/>
          <w:sz w:val="24"/>
        </w:rPr>
      </w:pPr>
      <w:r>
        <w:rPr>
          <w:rFonts w:hint="eastAsia" w:eastAsiaTheme="minorEastAsia"/>
          <w:sz w:val="24"/>
        </w:rPr>
        <w:t>③抑制风险：如突发性环境污染事故一旦发生，应立即切断污染源，隔离污染区，防治污染扩散。</w:t>
      </w:r>
    </w:p>
    <w:p w14:paraId="2D17F4D5">
      <w:pPr>
        <w:spacing w:line="360" w:lineRule="auto"/>
        <w:ind w:firstLine="480" w:firstLineChars="200"/>
        <w:rPr>
          <w:rFonts w:eastAsiaTheme="minorEastAsia"/>
          <w:sz w:val="24"/>
        </w:rPr>
      </w:pPr>
      <w:r>
        <w:rPr>
          <w:rFonts w:hint="eastAsia" w:eastAsiaTheme="minorEastAsia"/>
          <w:sz w:val="24"/>
        </w:rPr>
        <w:t>④转移风险：如通过迁移厂址或迁出居民的方法使环境风险发生转移；通过制定合理的保险费率，对环境风险进行投保，由保险公司承担环境风险的经济损失。</w:t>
      </w:r>
    </w:p>
    <w:p w14:paraId="707297AC">
      <w:pPr>
        <w:spacing w:line="360" w:lineRule="auto"/>
        <w:ind w:firstLine="480" w:firstLineChars="200"/>
        <w:rPr>
          <w:rFonts w:eastAsiaTheme="minorEastAsia"/>
          <w:sz w:val="24"/>
        </w:rPr>
      </w:pPr>
      <w:r>
        <w:rPr>
          <w:rFonts w:hint="eastAsia" w:eastAsiaTheme="minorEastAsia"/>
          <w:sz w:val="24"/>
        </w:rPr>
        <w:t>此外，规划区出现环境风险事故后，应执行处置突发环境事故应急预案中规定的预警与应急响应。</w:t>
      </w:r>
    </w:p>
    <w:p w14:paraId="7DE80D9F">
      <w:pPr>
        <w:spacing w:line="360" w:lineRule="auto"/>
        <w:ind w:firstLine="480" w:firstLineChars="200"/>
        <w:rPr>
          <w:rFonts w:eastAsiaTheme="minorEastAsia"/>
          <w:sz w:val="24"/>
        </w:rPr>
      </w:pPr>
      <w:r>
        <w:rPr>
          <w:rFonts w:hint="eastAsia" w:eastAsiaTheme="minorEastAsia"/>
          <w:sz w:val="24"/>
        </w:rPr>
        <w:t>（5）检查及测评</w:t>
      </w:r>
    </w:p>
    <w:p w14:paraId="34C12864">
      <w:pPr>
        <w:spacing w:line="360" w:lineRule="auto"/>
        <w:ind w:firstLine="480" w:firstLineChars="200"/>
        <w:rPr>
          <w:rFonts w:eastAsiaTheme="minorEastAsia"/>
          <w:sz w:val="24"/>
        </w:rPr>
      </w:pPr>
      <w:r>
        <w:rPr>
          <w:rFonts w:hint="eastAsia" w:eastAsiaTheme="minorEastAsia"/>
          <w:sz w:val="24"/>
        </w:rPr>
        <w:t>检查和测评是对园区环境风险管理体系的运行状况进行监督检查，以便及时发现问题并采取措施予以纠正，是建立园区环境风险管理体系自律机制的关键。</w:t>
      </w:r>
    </w:p>
    <w:p w14:paraId="7291B25F">
      <w:pPr>
        <w:spacing w:line="360" w:lineRule="auto"/>
        <w:ind w:firstLine="480" w:firstLineChars="200"/>
        <w:rPr>
          <w:rFonts w:eastAsiaTheme="minorEastAsia"/>
          <w:sz w:val="24"/>
        </w:rPr>
      </w:pPr>
      <w:r>
        <w:rPr>
          <w:rFonts w:hint="eastAsia" w:eastAsiaTheme="minorEastAsia"/>
          <w:sz w:val="24"/>
        </w:rPr>
        <w:t>（6）记录文书</w:t>
      </w:r>
    </w:p>
    <w:p w14:paraId="130DEB6B">
      <w:pPr>
        <w:spacing w:line="360" w:lineRule="auto"/>
        <w:ind w:firstLine="480" w:firstLineChars="200"/>
        <w:rPr>
          <w:rFonts w:eastAsiaTheme="minorEastAsia"/>
          <w:sz w:val="24"/>
        </w:rPr>
      </w:pPr>
      <w:r>
        <w:rPr>
          <w:rFonts w:hint="eastAsia" w:eastAsiaTheme="minorEastAsia"/>
          <w:sz w:val="24"/>
        </w:rPr>
        <w:t>将园区风险评估和管理的过程清楚地记录在案，包括所有的前提假设、数据来源、计算方法等。</w:t>
      </w:r>
    </w:p>
    <w:p w14:paraId="665A78D7">
      <w:pPr>
        <w:keepNext/>
        <w:keepLines/>
        <w:widowControl/>
        <w:numPr>
          <w:ilvl w:val="2"/>
          <w:numId w:val="1"/>
        </w:numPr>
        <w:spacing w:before="120" w:after="120" w:line="360" w:lineRule="auto"/>
        <w:jc w:val="left"/>
        <w:outlineLvl w:val="2"/>
        <w:rPr>
          <w:rFonts w:eastAsiaTheme="minorEastAsia"/>
          <w:b/>
          <w:bCs/>
          <w:sz w:val="24"/>
        </w:rPr>
      </w:pPr>
      <w:bookmarkStart w:id="162" w:name="_Toc206494990"/>
      <w:r>
        <w:rPr>
          <w:rFonts w:hint="eastAsia" w:eastAsiaTheme="minorEastAsia"/>
          <w:b/>
          <w:bCs/>
          <w:sz w:val="24"/>
        </w:rPr>
        <w:t>风险防范应急预案</w:t>
      </w:r>
      <w:bookmarkEnd w:id="162"/>
    </w:p>
    <w:p w14:paraId="7BC7FE4C">
      <w:pPr>
        <w:spacing w:line="360" w:lineRule="auto"/>
        <w:ind w:firstLine="480" w:firstLineChars="200"/>
        <w:rPr>
          <w:sz w:val="24"/>
        </w:rPr>
      </w:pPr>
      <w:r>
        <w:rPr>
          <w:rFonts w:hint="eastAsia"/>
          <w:sz w:val="24"/>
        </w:rPr>
        <w:t>事故应急救援预案又称事故应急计划，是事故预防系统的重要组成部分。应急预案的总目标是控制紧急事件的发展并尽可能消除，将事故对人、财产和环境的损失和影响减小到最低限度。统计表明：有效的应急系统可将事故损失降低到无应急系统的6%。根据可能的事故后果的影响范围、地点及应急方式，在建立事故应急救援体系时，可将事故应急预案分成3种级别。</w:t>
      </w:r>
    </w:p>
    <w:p w14:paraId="333F9FAC">
      <w:pPr>
        <w:spacing w:line="360" w:lineRule="auto"/>
        <w:ind w:firstLine="480" w:firstLineChars="200"/>
        <w:rPr>
          <w:sz w:val="24"/>
        </w:rPr>
      </w:pPr>
      <w:r>
        <w:rPr>
          <w:rFonts w:hint="eastAsia"/>
          <w:sz w:val="24"/>
        </w:rPr>
        <w:t>（1）I级(企业级)：</w:t>
      </w:r>
    </w:p>
    <w:p w14:paraId="2AC0C76B">
      <w:pPr>
        <w:spacing w:line="360" w:lineRule="auto"/>
        <w:ind w:firstLine="480" w:firstLineChars="200"/>
        <w:rPr>
          <w:sz w:val="24"/>
        </w:rPr>
      </w:pPr>
      <w:r>
        <w:rPr>
          <w:rFonts w:hint="eastAsia"/>
          <w:sz w:val="24"/>
        </w:rPr>
        <w:t>事故的有害影响局限在一个单位的界区之内，并且可被现场的操作者遏制和控制在该园区内。这类事故可能需要投入整个单位的力最来控制，但其影响预期不会扩大到公共区。</w:t>
      </w:r>
    </w:p>
    <w:p w14:paraId="50DA93E2">
      <w:pPr>
        <w:spacing w:line="360" w:lineRule="auto"/>
        <w:ind w:firstLine="480" w:firstLineChars="200"/>
        <w:rPr>
          <w:sz w:val="24"/>
        </w:rPr>
      </w:pPr>
      <w:r>
        <w:rPr>
          <w:rFonts w:hint="eastAsia"/>
          <w:sz w:val="24"/>
        </w:rPr>
        <w:t>（2）Ⅱ级(园区级)：</w:t>
      </w:r>
    </w:p>
    <w:p w14:paraId="0C8279B2">
      <w:pPr>
        <w:spacing w:line="360" w:lineRule="auto"/>
        <w:ind w:firstLine="480" w:firstLineChars="200"/>
        <w:rPr>
          <w:sz w:val="24"/>
        </w:rPr>
      </w:pPr>
      <w:r>
        <w:rPr>
          <w:rFonts w:hint="eastAsia"/>
          <w:sz w:val="24"/>
        </w:rPr>
        <w:t>所涉及的事故及其影响可扩大到公共区，但可被园区的力量，加上所涉及的工厂的力量所控制。</w:t>
      </w:r>
    </w:p>
    <w:p w14:paraId="02BB0D29">
      <w:pPr>
        <w:spacing w:line="360" w:lineRule="auto"/>
        <w:ind w:firstLine="480" w:firstLineChars="200"/>
        <w:rPr>
          <w:sz w:val="24"/>
        </w:rPr>
      </w:pPr>
      <w:r>
        <w:rPr>
          <w:rFonts w:hint="eastAsia"/>
          <w:sz w:val="24"/>
        </w:rPr>
        <w:t>（3）Ⅲ级(地区级)：</w:t>
      </w:r>
    </w:p>
    <w:p w14:paraId="239F2783">
      <w:pPr>
        <w:spacing w:line="360" w:lineRule="auto"/>
        <w:ind w:firstLine="480" w:firstLineChars="200"/>
        <w:rPr>
          <w:sz w:val="24"/>
        </w:rPr>
      </w:pPr>
      <w:r>
        <w:rPr>
          <w:rFonts w:hint="eastAsia"/>
          <w:sz w:val="24"/>
        </w:rPr>
        <w:t>事故影响范围大，后果严重，或是发生在县级管辖区边界上的事故，应急救援需动用地区的力量。</w:t>
      </w:r>
    </w:p>
    <w:p w14:paraId="26DF115D">
      <w:pPr>
        <w:spacing w:line="360" w:lineRule="auto"/>
        <w:ind w:firstLine="480" w:firstLineChars="200"/>
        <w:rPr>
          <w:sz w:val="24"/>
        </w:rPr>
      </w:pPr>
      <w:r>
        <w:rPr>
          <w:rFonts w:hint="eastAsia"/>
          <w:sz w:val="24"/>
        </w:rPr>
        <w:t>园区需建立三级应急救援体系，包括装置、园区和社会三级体系。</w:t>
      </w:r>
    </w:p>
    <w:p w14:paraId="4DA2A1EC">
      <w:pPr>
        <w:spacing w:line="360" w:lineRule="auto"/>
        <w:ind w:firstLine="480" w:firstLineChars="200"/>
        <w:rPr>
          <w:sz w:val="24"/>
        </w:rPr>
      </w:pPr>
      <w:r>
        <w:rPr>
          <w:rFonts w:hint="eastAsia"/>
          <w:sz w:val="24"/>
        </w:rPr>
        <w:t>园区及社会应急系统分为三级联动：包括装置级、园区级、社会级。三级应急系统其主要关系、辖管范围和联动关系见下表。</w:t>
      </w:r>
    </w:p>
    <w:p w14:paraId="305FDD4E">
      <w:pPr>
        <w:spacing w:line="360" w:lineRule="auto"/>
        <w:ind w:firstLine="422"/>
        <w:jc w:val="center"/>
        <w:rPr>
          <w:b/>
          <w:szCs w:val="21"/>
        </w:rPr>
      </w:pPr>
      <w:r>
        <w:rPr>
          <w:rFonts w:hint="eastAsia"/>
          <w:b/>
          <w:szCs w:val="21"/>
        </w:rPr>
        <w:t>表5.3.6-1   三级应急系统关 系、辖管内容和联动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2410"/>
        <w:gridCol w:w="1844"/>
        <w:gridCol w:w="2323"/>
      </w:tblGrid>
      <w:tr w14:paraId="77B4B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144" w:type="pct"/>
            <w:vAlign w:val="center"/>
          </w:tcPr>
          <w:p w14:paraId="0C55F5BC">
            <w:pPr>
              <w:spacing w:line="320" w:lineRule="exact"/>
              <w:jc w:val="center"/>
              <w:rPr>
                <w:kern w:val="0"/>
                <w:szCs w:val="21"/>
              </w:rPr>
            </w:pPr>
            <w:r>
              <w:rPr>
                <w:kern w:val="0"/>
                <w:szCs w:val="21"/>
              </w:rPr>
              <w:t>应急系统</w:t>
            </w:r>
          </w:p>
        </w:tc>
        <w:tc>
          <w:tcPr>
            <w:tcW w:w="1413" w:type="pct"/>
            <w:vAlign w:val="center"/>
          </w:tcPr>
          <w:p w14:paraId="141739E7">
            <w:pPr>
              <w:spacing w:line="320" w:lineRule="exact"/>
              <w:jc w:val="center"/>
              <w:rPr>
                <w:kern w:val="0"/>
                <w:szCs w:val="21"/>
              </w:rPr>
            </w:pPr>
            <w:r>
              <w:rPr>
                <w:kern w:val="0"/>
                <w:szCs w:val="21"/>
              </w:rPr>
              <w:t>级别启动</w:t>
            </w:r>
          </w:p>
        </w:tc>
        <w:tc>
          <w:tcPr>
            <w:tcW w:w="1081" w:type="pct"/>
            <w:tcBorders>
              <w:right w:val="single" w:color="auto" w:sz="4" w:space="0"/>
            </w:tcBorders>
            <w:vAlign w:val="center"/>
          </w:tcPr>
          <w:p w14:paraId="5095B9C8">
            <w:pPr>
              <w:spacing w:line="320" w:lineRule="exact"/>
              <w:jc w:val="center"/>
              <w:rPr>
                <w:kern w:val="0"/>
                <w:szCs w:val="21"/>
              </w:rPr>
            </w:pPr>
            <w:r>
              <w:rPr>
                <w:kern w:val="0"/>
                <w:szCs w:val="21"/>
              </w:rPr>
              <w:t>管辖范围</w:t>
            </w:r>
          </w:p>
        </w:tc>
        <w:tc>
          <w:tcPr>
            <w:tcW w:w="1362" w:type="pct"/>
            <w:tcBorders>
              <w:left w:val="single" w:color="auto" w:sz="4" w:space="0"/>
            </w:tcBorders>
            <w:vAlign w:val="center"/>
          </w:tcPr>
          <w:p w14:paraId="5656FA87">
            <w:pPr>
              <w:spacing w:line="320" w:lineRule="exact"/>
              <w:jc w:val="center"/>
              <w:rPr>
                <w:kern w:val="0"/>
                <w:szCs w:val="21"/>
              </w:rPr>
            </w:pPr>
            <w:r>
              <w:rPr>
                <w:kern w:val="0"/>
                <w:szCs w:val="21"/>
              </w:rPr>
              <w:t>启动</w:t>
            </w:r>
            <w:r>
              <w:rPr>
                <w:rFonts w:hint="eastAsia"/>
                <w:kern w:val="0"/>
                <w:szCs w:val="21"/>
              </w:rPr>
              <w:t>-联动关系</w:t>
            </w:r>
          </w:p>
        </w:tc>
      </w:tr>
      <w:tr w14:paraId="528A7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144" w:type="pct"/>
            <w:vAlign w:val="center"/>
          </w:tcPr>
          <w:p w14:paraId="6748E691">
            <w:pPr>
              <w:spacing w:line="320" w:lineRule="exact"/>
              <w:jc w:val="center"/>
              <w:rPr>
                <w:kern w:val="0"/>
                <w:szCs w:val="21"/>
              </w:rPr>
            </w:pPr>
            <w:r>
              <w:rPr>
                <w:kern w:val="0"/>
                <w:szCs w:val="21"/>
              </w:rPr>
              <w:t>企业级</w:t>
            </w:r>
          </w:p>
        </w:tc>
        <w:tc>
          <w:tcPr>
            <w:tcW w:w="1413" w:type="pct"/>
            <w:vAlign w:val="center"/>
          </w:tcPr>
          <w:p w14:paraId="3AD50DE0">
            <w:pPr>
              <w:spacing w:line="320" w:lineRule="exact"/>
              <w:jc w:val="center"/>
              <w:rPr>
                <w:kern w:val="0"/>
                <w:szCs w:val="21"/>
              </w:rPr>
            </w:pPr>
            <w:r>
              <w:rPr>
                <w:kern w:val="0"/>
                <w:szCs w:val="21"/>
              </w:rPr>
              <w:t>一</w:t>
            </w:r>
          </w:p>
        </w:tc>
        <w:tc>
          <w:tcPr>
            <w:tcW w:w="1081" w:type="pct"/>
            <w:tcBorders>
              <w:right w:val="single" w:color="auto" w:sz="4" w:space="0"/>
            </w:tcBorders>
            <w:vAlign w:val="center"/>
          </w:tcPr>
          <w:p w14:paraId="68A34C72">
            <w:pPr>
              <w:spacing w:line="320" w:lineRule="exact"/>
              <w:jc w:val="center"/>
              <w:rPr>
                <w:kern w:val="0"/>
                <w:szCs w:val="21"/>
              </w:rPr>
            </w:pPr>
            <w:r>
              <w:rPr>
                <w:rFonts w:hint="eastAsia"/>
                <w:kern w:val="0"/>
                <w:szCs w:val="21"/>
              </w:rPr>
              <w:t>装置区</w:t>
            </w:r>
          </w:p>
        </w:tc>
        <w:tc>
          <w:tcPr>
            <w:tcW w:w="1362" w:type="pct"/>
            <w:tcBorders>
              <w:left w:val="single" w:color="auto" w:sz="4" w:space="0"/>
            </w:tcBorders>
            <w:vAlign w:val="center"/>
          </w:tcPr>
          <w:p w14:paraId="03EF0D43">
            <w:pPr>
              <w:spacing w:line="320" w:lineRule="exact"/>
              <w:jc w:val="center"/>
              <w:rPr>
                <w:kern w:val="0"/>
                <w:szCs w:val="21"/>
              </w:rPr>
            </w:pPr>
            <w:r>
              <w:rPr>
                <w:kern w:val="0"/>
                <w:szCs w:val="21"/>
              </w:rPr>
              <w:t>一</w:t>
            </w:r>
          </w:p>
        </w:tc>
      </w:tr>
      <w:tr w14:paraId="0C3AF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1144" w:type="pct"/>
            <w:vAlign w:val="center"/>
          </w:tcPr>
          <w:p w14:paraId="639EDDF9">
            <w:pPr>
              <w:spacing w:line="320" w:lineRule="exact"/>
              <w:jc w:val="center"/>
              <w:rPr>
                <w:kern w:val="0"/>
                <w:szCs w:val="21"/>
              </w:rPr>
            </w:pPr>
            <w:r>
              <w:rPr>
                <w:rFonts w:hint="eastAsia"/>
                <w:kern w:val="0"/>
                <w:szCs w:val="21"/>
              </w:rPr>
              <w:t>园区</w:t>
            </w:r>
            <w:r>
              <w:rPr>
                <w:kern w:val="0"/>
                <w:szCs w:val="21"/>
              </w:rPr>
              <w:t>级</w:t>
            </w:r>
          </w:p>
        </w:tc>
        <w:tc>
          <w:tcPr>
            <w:tcW w:w="1413" w:type="pct"/>
            <w:vAlign w:val="center"/>
          </w:tcPr>
          <w:p w14:paraId="6D0024B4">
            <w:pPr>
              <w:spacing w:line="320" w:lineRule="exact"/>
              <w:jc w:val="center"/>
              <w:rPr>
                <w:kern w:val="0"/>
                <w:szCs w:val="21"/>
              </w:rPr>
            </w:pPr>
            <w:r>
              <w:rPr>
                <w:kern w:val="0"/>
                <w:szCs w:val="21"/>
              </w:rPr>
              <w:t>二</w:t>
            </w:r>
          </w:p>
        </w:tc>
        <w:tc>
          <w:tcPr>
            <w:tcW w:w="1081" w:type="pct"/>
            <w:tcBorders>
              <w:right w:val="single" w:color="auto" w:sz="4" w:space="0"/>
            </w:tcBorders>
            <w:vAlign w:val="center"/>
          </w:tcPr>
          <w:p w14:paraId="5ACAB187">
            <w:pPr>
              <w:spacing w:line="320" w:lineRule="exact"/>
              <w:jc w:val="center"/>
              <w:rPr>
                <w:kern w:val="0"/>
                <w:szCs w:val="21"/>
              </w:rPr>
            </w:pPr>
            <w:r>
              <w:rPr>
                <w:rFonts w:hint="eastAsia"/>
                <w:kern w:val="0"/>
                <w:szCs w:val="21"/>
              </w:rPr>
              <w:t>园区内</w:t>
            </w:r>
          </w:p>
        </w:tc>
        <w:tc>
          <w:tcPr>
            <w:tcW w:w="1362" w:type="pct"/>
            <w:tcBorders>
              <w:left w:val="single" w:color="auto" w:sz="4" w:space="0"/>
            </w:tcBorders>
            <w:vAlign w:val="center"/>
          </w:tcPr>
          <w:p w14:paraId="64DCC330">
            <w:pPr>
              <w:spacing w:line="320" w:lineRule="exact"/>
              <w:jc w:val="center"/>
              <w:rPr>
                <w:kern w:val="0"/>
                <w:szCs w:val="21"/>
              </w:rPr>
            </w:pPr>
            <w:r>
              <w:rPr>
                <w:kern w:val="0"/>
                <w:szCs w:val="21"/>
              </w:rPr>
              <w:t>一→二</w:t>
            </w:r>
          </w:p>
        </w:tc>
      </w:tr>
      <w:tr w14:paraId="624AE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1144" w:type="pct"/>
            <w:vAlign w:val="center"/>
          </w:tcPr>
          <w:p w14:paraId="7A314E3E">
            <w:pPr>
              <w:spacing w:line="320" w:lineRule="exact"/>
              <w:jc w:val="center"/>
              <w:rPr>
                <w:kern w:val="0"/>
                <w:szCs w:val="21"/>
              </w:rPr>
            </w:pPr>
            <w:r>
              <w:rPr>
                <w:kern w:val="0"/>
                <w:szCs w:val="21"/>
              </w:rPr>
              <w:t>地区级</w:t>
            </w:r>
          </w:p>
        </w:tc>
        <w:tc>
          <w:tcPr>
            <w:tcW w:w="1413" w:type="pct"/>
            <w:vAlign w:val="center"/>
          </w:tcPr>
          <w:p w14:paraId="1B776D56">
            <w:pPr>
              <w:spacing w:line="320" w:lineRule="exact"/>
              <w:jc w:val="center"/>
              <w:rPr>
                <w:kern w:val="0"/>
                <w:szCs w:val="21"/>
              </w:rPr>
            </w:pPr>
            <w:r>
              <w:rPr>
                <w:kern w:val="0"/>
                <w:szCs w:val="21"/>
              </w:rPr>
              <w:t>三</w:t>
            </w:r>
          </w:p>
        </w:tc>
        <w:tc>
          <w:tcPr>
            <w:tcW w:w="1081" w:type="pct"/>
            <w:tcBorders>
              <w:right w:val="single" w:color="auto" w:sz="4" w:space="0"/>
            </w:tcBorders>
            <w:vAlign w:val="center"/>
          </w:tcPr>
          <w:p w14:paraId="1A89D1CF">
            <w:pPr>
              <w:spacing w:line="320" w:lineRule="exact"/>
              <w:jc w:val="center"/>
              <w:rPr>
                <w:kern w:val="0"/>
                <w:szCs w:val="21"/>
              </w:rPr>
            </w:pPr>
            <w:r>
              <w:rPr>
                <w:kern w:val="0"/>
                <w:szCs w:val="21"/>
              </w:rPr>
              <w:t>周边区域</w:t>
            </w:r>
          </w:p>
        </w:tc>
        <w:tc>
          <w:tcPr>
            <w:tcW w:w="1362" w:type="pct"/>
            <w:tcBorders>
              <w:left w:val="single" w:color="auto" w:sz="4" w:space="0"/>
            </w:tcBorders>
            <w:vAlign w:val="center"/>
          </w:tcPr>
          <w:p w14:paraId="1037634A">
            <w:pPr>
              <w:spacing w:line="320" w:lineRule="exact"/>
              <w:jc w:val="center"/>
              <w:rPr>
                <w:kern w:val="0"/>
                <w:szCs w:val="21"/>
              </w:rPr>
            </w:pPr>
            <w:r>
              <w:rPr>
                <w:kern w:val="0"/>
                <w:szCs w:val="21"/>
              </w:rPr>
              <w:t>二→三</w:t>
            </w:r>
          </w:p>
        </w:tc>
      </w:tr>
    </w:tbl>
    <w:p w14:paraId="00B88002">
      <w:pPr>
        <w:spacing w:line="360" w:lineRule="auto"/>
        <w:ind w:firstLine="480" w:firstLineChars="200"/>
        <w:rPr>
          <w:sz w:val="24"/>
        </w:rPr>
      </w:pPr>
      <w:r>
        <w:rPr>
          <w:rFonts w:hint="eastAsia"/>
          <w:sz w:val="24"/>
        </w:rPr>
        <w:t>入园项目设计、建造和运行要科学规划、合理布置、严格执行防火安全设计规范，保证工程质量，严格安全生产制度，严格日常管理，提高操作人员素质和水平，以减少事故的发生。一旦发生事故，则要根据具体情况采取应急措施，切断泄漏源、火源，防止事故扩大，同时采取遏制泄漏物进入环境的紧急措施，控制和减少事故造成的环境危害。因此应按相关规定制订拟建项目风险防范应急预案，以应对突发事件，将损失和危害降到最低点。</w:t>
      </w:r>
    </w:p>
    <w:p w14:paraId="634052A9">
      <w:pPr>
        <w:spacing w:line="360" w:lineRule="auto"/>
        <w:ind w:firstLine="480" w:firstLineChars="200"/>
        <w:rPr>
          <w:sz w:val="24"/>
        </w:rPr>
      </w:pPr>
      <w:r>
        <w:rPr>
          <w:rFonts w:hint="eastAsia"/>
          <w:sz w:val="24"/>
        </w:rPr>
        <w:t>应急预案应包括内容见下表。</w:t>
      </w:r>
    </w:p>
    <w:p w14:paraId="7D09FDFF">
      <w:pPr>
        <w:spacing w:line="360" w:lineRule="auto"/>
        <w:ind w:firstLine="422"/>
        <w:jc w:val="center"/>
        <w:rPr>
          <w:b/>
          <w:szCs w:val="21"/>
        </w:rPr>
      </w:pPr>
      <w:r>
        <w:rPr>
          <w:rFonts w:hint="eastAsia"/>
          <w:b/>
          <w:szCs w:val="21"/>
        </w:rPr>
        <w:t>表5.3.6-2       应急预案内容</w:t>
      </w:r>
    </w:p>
    <w:tbl>
      <w:tblPr>
        <w:tblStyle w:val="8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7"/>
        <w:gridCol w:w="1559"/>
        <w:gridCol w:w="4540"/>
        <w:gridCol w:w="1612"/>
      </w:tblGrid>
      <w:tr w14:paraId="4A1A2B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4D8AD3EA">
            <w:pPr>
              <w:spacing w:line="320" w:lineRule="exact"/>
              <w:jc w:val="center"/>
              <w:rPr>
                <w:kern w:val="0"/>
                <w:szCs w:val="21"/>
              </w:rPr>
            </w:pPr>
            <w:r>
              <w:rPr>
                <w:rFonts w:hint="eastAsia"/>
                <w:kern w:val="0"/>
                <w:szCs w:val="21"/>
              </w:rPr>
              <w:t>序号</w:t>
            </w:r>
          </w:p>
        </w:tc>
        <w:tc>
          <w:tcPr>
            <w:tcW w:w="914" w:type="pct"/>
            <w:shd w:val="clear" w:color="auto" w:fill="auto"/>
            <w:vAlign w:val="center"/>
          </w:tcPr>
          <w:p w14:paraId="549CDFF2">
            <w:pPr>
              <w:spacing w:line="320" w:lineRule="exact"/>
              <w:jc w:val="center"/>
              <w:rPr>
                <w:kern w:val="0"/>
                <w:szCs w:val="21"/>
              </w:rPr>
            </w:pPr>
            <w:r>
              <w:rPr>
                <w:rFonts w:hint="eastAsia"/>
                <w:kern w:val="0"/>
                <w:szCs w:val="21"/>
              </w:rPr>
              <w:t>项目</w:t>
            </w:r>
          </w:p>
        </w:tc>
        <w:tc>
          <w:tcPr>
            <w:tcW w:w="2662" w:type="pct"/>
            <w:shd w:val="clear" w:color="auto" w:fill="auto"/>
            <w:vAlign w:val="center"/>
          </w:tcPr>
          <w:p w14:paraId="0E0F0AC4">
            <w:pPr>
              <w:spacing w:line="320" w:lineRule="exact"/>
              <w:jc w:val="center"/>
              <w:rPr>
                <w:kern w:val="0"/>
                <w:szCs w:val="21"/>
              </w:rPr>
            </w:pPr>
            <w:r>
              <w:rPr>
                <w:rFonts w:hint="eastAsia"/>
                <w:kern w:val="0"/>
                <w:szCs w:val="21"/>
              </w:rPr>
              <w:t>内容及要求</w:t>
            </w:r>
          </w:p>
        </w:tc>
        <w:tc>
          <w:tcPr>
            <w:tcW w:w="945" w:type="pct"/>
            <w:shd w:val="clear" w:color="auto" w:fill="auto"/>
            <w:vAlign w:val="center"/>
          </w:tcPr>
          <w:p w14:paraId="02FA3B73">
            <w:pPr>
              <w:spacing w:line="320" w:lineRule="exact"/>
              <w:jc w:val="center"/>
              <w:rPr>
                <w:kern w:val="0"/>
                <w:szCs w:val="21"/>
              </w:rPr>
            </w:pPr>
            <w:r>
              <w:rPr>
                <w:rFonts w:hint="eastAsia"/>
                <w:kern w:val="0"/>
                <w:szCs w:val="21"/>
              </w:rPr>
              <w:t xml:space="preserve">执行部门 </w:t>
            </w:r>
          </w:p>
        </w:tc>
      </w:tr>
      <w:tr w14:paraId="28D8D3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0F552C1A">
            <w:pPr>
              <w:spacing w:line="320" w:lineRule="exact"/>
              <w:jc w:val="center"/>
              <w:rPr>
                <w:kern w:val="0"/>
                <w:szCs w:val="21"/>
              </w:rPr>
            </w:pPr>
            <w:r>
              <w:rPr>
                <w:rFonts w:hint="eastAsia"/>
                <w:kern w:val="0"/>
                <w:szCs w:val="21"/>
              </w:rPr>
              <w:t>1</w:t>
            </w:r>
          </w:p>
        </w:tc>
        <w:tc>
          <w:tcPr>
            <w:tcW w:w="914" w:type="pct"/>
            <w:shd w:val="clear" w:color="auto" w:fill="auto"/>
            <w:vAlign w:val="center"/>
          </w:tcPr>
          <w:p w14:paraId="731532C0">
            <w:pPr>
              <w:spacing w:line="320" w:lineRule="exact"/>
              <w:jc w:val="center"/>
              <w:rPr>
                <w:kern w:val="0"/>
                <w:szCs w:val="21"/>
              </w:rPr>
            </w:pPr>
            <w:r>
              <w:rPr>
                <w:rFonts w:hint="eastAsia"/>
                <w:kern w:val="0"/>
                <w:szCs w:val="21"/>
              </w:rPr>
              <w:t xml:space="preserve">总则 </w:t>
            </w:r>
          </w:p>
        </w:tc>
        <w:tc>
          <w:tcPr>
            <w:tcW w:w="2662" w:type="pct"/>
            <w:shd w:val="clear" w:color="auto" w:fill="auto"/>
            <w:vAlign w:val="center"/>
          </w:tcPr>
          <w:p w14:paraId="6BF44EC5">
            <w:pPr>
              <w:spacing w:line="320" w:lineRule="exact"/>
              <w:jc w:val="center"/>
              <w:rPr>
                <w:kern w:val="0"/>
                <w:szCs w:val="21"/>
              </w:rPr>
            </w:pPr>
            <w:r>
              <w:rPr>
                <w:rFonts w:hint="eastAsia"/>
                <w:kern w:val="0"/>
                <w:szCs w:val="21"/>
              </w:rPr>
              <w:t>-</w:t>
            </w:r>
          </w:p>
        </w:tc>
        <w:tc>
          <w:tcPr>
            <w:tcW w:w="945" w:type="pct"/>
            <w:shd w:val="clear" w:color="auto" w:fill="auto"/>
            <w:vAlign w:val="center"/>
          </w:tcPr>
          <w:p w14:paraId="44BB95C8">
            <w:pPr>
              <w:spacing w:line="320" w:lineRule="exact"/>
              <w:jc w:val="center"/>
              <w:rPr>
                <w:kern w:val="0"/>
                <w:szCs w:val="21"/>
              </w:rPr>
            </w:pPr>
            <w:r>
              <w:rPr>
                <w:rFonts w:hint="eastAsia"/>
                <w:kern w:val="0"/>
                <w:szCs w:val="21"/>
              </w:rPr>
              <w:t>办公室、安全部</w:t>
            </w:r>
          </w:p>
        </w:tc>
      </w:tr>
      <w:tr w14:paraId="4E1B7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7BFCF702">
            <w:pPr>
              <w:spacing w:line="320" w:lineRule="exact"/>
              <w:jc w:val="center"/>
              <w:rPr>
                <w:kern w:val="0"/>
                <w:szCs w:val="21"/>
              </w:rPr>
            </w:pPr>
            <w:r>
              <w:rPr>
                <w:rFonts w:hint="eastAsia"/>
                <w:kern w:val="0"/>
                <w:szCs w:val="21"/>
              </w:rPr>
              <w:t>2</w:t>
            </w:r>
          </w:p>
        </w:tc>
        <w:tc>
          <w:tcPr>
            <w:tcW w:w="914" w:type="pct"/>
            <w:shd w:val="clear" w:color="auto" w:fill="auto"/>
            <w:vAlign w:val="center"/>
          </w:tcPr>
          <w:p w14:paraId="26BD566C">
            <w:pPr>
              <w:spacing w:line="320" w:lineRule="exact"/>
              <w:jc w:val="center"/>
              <w:rPr>
                <w:kern w:val="0"/>
                <w:szCs w:val="21"/>
              </w:rPr>
            </w:pPr>
            <w:r>
              <w:rPr>
                <w:rFonts w:hint="eastAsia"/>
                <w:kern w:val="0"/>
                <w:szCs w:val="21"/>
              </w:rPr>
              <w:t>危险源概况</w:t>
            </w:r>
          </w:p>
        </w:tc>
        <w:tc>
          <w:tcPr>
            <w:tcW w:w="2662" w:type="pct"/>
            <w:shd w:val="clear" w:color="auto" w:fill="auto"/>
            <w:vAlign w:val="center"/>
          </w:tcPr>
          <w:p w14:paraId="0F734644">
            <w:pPr>
              <w:spacing w:line="320" w:lineRule="exact"/>
              <w:jc w:val="center"/>
              <w:rPr>
                <w:kern w:val="0"/>
                <w:szCs w:val="21"/>
              </w:rPr>
            </w:pPr>
            <w:r>
              <w:rPr>
                <w:rFonts w:hint="eastAsia"/>
                <w:kern w:val="0"/>
                <w:szCs w:val="21"/>
              </w:rPr>
              <w:t>详诉危险源类型、数量及分布</w:t>
            </w:r>
          </w:p>
        </w:tc>
        <w:tc>
          <w:tcPr>
            <w:tcW w:w="945" w:type="pct"/>
            <w:shd w:val="clear" w:color="auto" w:fill="auto"/>
            <w:vAlign w:val="center"/>
          </w:tcPr>
          <w:p w14:paraId="0E28F1C8">
            <w:pPr>
              <w:spacing w:line="320" w:lineRule="exact"/>
              <w:jc w:val="center"/>
              <w:rPr>
                <w:kern w:val="0"/>
                <w:szCs w:val="21"/>
              </w:rPr>
            </w:pPr>
            <w:r>
              <w:rPr>
                <w:rFonts w:hint="eastAsia"/>
                <w:kern w:val="0"/>
                <w:szCs w:val="21"/>
              </w:rPr>
              <w:t>公司安全部</w:t>
            </w:r>
          </w:p>
        </w:tc>
      </w:tr>
      <w:tr w14:paraId="69A482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4AA8CF52">
            <w:pPr>
              <w:spacing w:line="320" w:lineRule="exact"/>
              <w:jc w:val="center"/>
              <w:rPr>
                <w:kern w:val="0"/>
                <w:szCs w:val="21"/>
              </w:rPr>
            </w:pPr>
            <w:r>
              <w:rPr>
                <w:rFonts w:hint="eastAsia"/>
                <w:kern w:val="0"/>
                <w:szCs w:val="21"/>
              </w:rPr>
              <w:t>3</w:t>
            </w:r>
          </w:p>
        </w:tc>
        <w:tc>
          <w:tcPr>
            <w:tcW w:w="914" w:type="pct"/>
            <w:shd w:val="clear" w:color="auto" w:fill="auto"/>
            <w:vAlign w:val="center"/>
          </w:tcPr>
          <w:p w14:paraId="5E71A739">
            <w:pPr>
              <w:spacing w:line="320" w:lineRule="exact"/>
              <w:jc w:val="center"/>
              <w:rPr>
                <w:kern w:val="0"/>
                <w:szCs w:val="21"/>
              </w:rPr>
            </w:pPr>
            <w:r>
              <w:rPr>
                <w:rFonts w:hint="eastAsia"/>
                <w:kern w:val="0"/>
                <w:szCs w:val="21"/>
              </w:rPr>
              <w:t>应急计划区</w:t>
            </w:r>
          </w:p>
        </w:tc>
        <w:tc>
          <w:tcPr>
            <w:tcW w:w="2662" w:type="pct"/>
            <w:shd w:val="clear" w:color="auto" w:fill="auto"/>
            <w:vAlign w:val="center"/>
          </w:tcPr>
          <w:p w14:paraId="0894FF2B">
            <w:pPr>
              <w:spacing w:line="320" w:lineRule="exact"/>
              <w:jc w:val="center"/>
              <w:rPr>
                <w:kern w:val="0"/>
                <w:szCs w:val="21"/>
              </w:rPr>
            </w:pPr>
            <w:r>
              <w:rPr>
                <w:rFonts w:hint="eastAsia"/>
                <w:kern w:val="0"/>
                <w:szCs w:val="21"/>
              </w:rPr>
              <w:t>装置区、危化品储存区、邻区</w:t>
            </w:r>
          </w:p>
        </w:tc>
        <w:tc>
          <w:tcPr>
            <w:tcW w:w="945" w:type="pct"/>
            <w:shd w:val="clear" w:color="auto" w:fill="auto"/>
            <w:vAlign w:val="center"/>
          </w:tcPr>
          <w:p w14:paraId="13E0F061">
            <w:pPr>
              <w:spacing w:line="320" w:lineRule="exact"/>
              <w:jc w:val="center"/>
              <w:rPr>
                <w:kern w:val="0"/>
                <w:szCs w:val="21"/>
              </w:rPr>
            </w:pPr>
            <w:r>
              <w:rPr>
                <w:rFonts w:hint="eastAsia"/>
                <w:kern w:val="0"/>
                <w:szCs w:val="21"/>
              </w:rPr>
              <w:t>公司安全部</w:t>
            </w:r>
          </w:p>
        </w:tc>
      </w:tr>
      <w:tr w14:paraId="53993B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77E8C501">
            <w:pPr>
              <w:spacing w:line="320" w:lineRule="exact"/>
              <w:jc w:val="center"/>
              <w:rPr>
                <w:kern w:val="0"/>
                <w:szCs w:val="21"/>
              </w:rPr>
            </w:pPr>
            <w:r>
              <w:rPr>
                <w:rFonts w:hint="eastAsia"/>
                <w:kern w:val="0"/>
                <w:szCs w:val="21"/>
              </w:rPr>
              <w:t>4</w:t>
            </w:r>
          </w:p>
        </w:tc>
        <w:tc>
          <w:tcPr>
            <w:tcW w:w="914" w:type="pct"/>
            <w:shd w:val="clear" w:color="auto" w:fill="auto"/>
            <w:vAlign w:val="center"/>
          </w:tcPr>
          <w:p w14:paraId="0BFD8E6E">
            <w:pPr>
              <w:spacing w:line="320" w:lineRule="exact"/>
              <w:jc w:val="center"/>
              <w:rPr>
                <w:kern w:val="0"/>
                <w:szCs w:val="21"/>
              </w:rPr>
            </w:pPr>
            <w:r>
              <w:rPr>
                <w:rFonts w:hint="eastAsia"/>
                <w:kern w:val="0"/>
                <w:szCs w:val="21"/>
              </w:rPr>
              <w:t>应急组织</w:t>
            </w:r>
          </w:p>
        </w:tc>
        <w:tc>
          <w:tcPr>
            <w:tcW w:w="2662" w:type="pct"/>
            <w:shd w:val="clear" w:color="auto" w:fill="auto"/>
            <w:vAlign w:val="center"/>
          </w:tcPr>
          <w:p w14:paraId="0CAD424A">
            <w:pPr>
              <w:spacing w:line="320" w:lineRule="exact"/>
              <w:jc w:val="center"/>
              <w:rPr>
                <w:kern w:val="0"/>
                <w:szCs w:val="21"/>
              </w:rPr>
            </w:pPr>
            <w:r>
              <w:rPr>
                <w:rFonts w:hint="eastAsia"/>
                <w:kern w:val="0"/>
                <w:szCs w:val="21"/>
              </w:rPr>
              <w:t>公司指挥部—负责现场全面指挥，专业救援队伍—负责事故控制、援救、善后处理。地区指挥部—负责公司附近地区全面指挥，救援、管制、疏散。专业救援队伍—负责对公司救援队伍的支援。</w:t>
            </w:r>
          </w:p>
        </w:tc>
        <w:tc>
          <w:tcPr>
            <w:tcW w:w="945" w:type="pct"/>
            <w:shd w:val="clear" w:color="auto" w:fill="auto"/>
            <w:vAlign w:val="center"/>
          </w:tcPr>
          <w:p w14:paraId="355DC135">
            <w:pPr>
              <w:spacing w:line="320" w:lineRule="exact"/>
              <w:jc w:val="center"/>
              <w:rPr>
                <w:kern w:val="0"/>
                <w:szCs w:val="21"/>
              </w:rPr>
            </w:pPr>
            <w:r>
              <w:rPr>
                <w:rFonts w:hint="eastAsia"/>
                <w:kern w:val="0"/>
                <w:szCs w:val="21"/>
              </w:rPr>
              <w:t>公司安全部；当地安监、消防部门</w:t>
            </w:r>
          </w:p>
        </w:tc>
      </w:tr>
      <w:tr w14:paraId="13E40E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4A81EA81">
            <w:pPr>
              <w:spacing w:line="320" w:lineRule="exact"/>
              <w:jc w:val="center"/>
              <w:rPr>
                <w:kern w:val="0"/>
                <w:szCs w:val="21"/>
              </w:rPr>
            </w:pPr>
            <w:r>
              <w:rPr>
                <w:rFonts w:hint="eastAsia"/>
                <w:kern w:val="0"/>
                <w:szCs w:val="21"/>
              </w:rPr>
              <w:t>5</w:t>
            </w:r>
          </w:p>
        </w:tc>
        <w:tc>
          <w:tcPr>
            <w:tcW w:w="914" w:type="pct"/>
            <w:shd w:val="clear" w:color="auto" w:fill="auto"/>
            <w:vAlign w:val="center"/>
          </w:tcPr>
          <w:p w14:paraId="45539086">
            <w:pPr>
              <w:spacing w:line="320" w:lineRule="exact"/>
              <w:jc w:val="center"/>
              <w:rPr>
                <w:kern w:val="0"/>
                <w:szCs w:val="21"/>
              </w:rPr>
            </w:pPr>
            <w:r>
              <w:rPr>
                <w:rFonts w:hint="eastAsia"/>
                <w:kern w:val="0"/>
                <w:szCs w:val="21"/>
              </w:rPr>
              <w:t>应急状态分类及应急响应程序</w:t>
            </w:r>
          </w:p>
        </w:tc>
        <w:tc>
          <w:tcPr>
            <w:tcW w:w="2662" w:type="pct"/>
            <w:shd w:val="clear" w:color="auto" w:fill="auto"/>
            <w:vAlign w:val="center"/>
          </w:tcPr>
          <w:p w14:paraId="7C5271E6">
            <w:pPr>
              <w:spacing w:line="320" w:lineRule="exact"/>
              <w:jc w:val="center"/>
              <w:rPr>
                <w:kern w:val="0"/>
                <w:szCs w:val="21"/>
              </w:rPr>
            </w:pPr>
            <w:r>
              <w:rPr>
                <w:rFonts w:hint="eastAsia"/>
                <w:kern w:val="0"/>
                <w:szCs w:val="21"/>
              </w:rPr>
              <w:t>规定事故的级别及相应的应急分类响应程序。</w:t>
            </w:r>
          </w:p>
        </w:tc>
        <w:tc>
          <w:tcPr>
            <w:tcW w:w="945" w:type="pct"/>
            <w:shd w:val="clear" w:color="auto" w:fill="auto"/>
            <w:vAlign w:val="center"/>
          </w:tcPr>
          <w:p w14:paraId="145E13AF">
            <w:pPr>
              <w:spacing w:line="320" w:lineRule="exact"/>
              <w:jc w:val="center"/>
              <w:rPr>
                <w:kern w:val="0"/>
                <w:szCs w:val="21"/>
              </w:rPr>
            </w:pPr>
            <w:r>
              <w:rPr>
                <w:rFonts w:hint="eastAsia"/>
                <w:kern w:val="0"/>
                <w:szCs w:val="21"/>
              </w:rPr>
              <w:t>公司安全部</w:t>
            </w:r>
          </w:p>
        </w:tc>
      </w:tr>
      <w:tr w14:paraId="77BC5F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2E453C9F">
            <w:pPr>
              <w:spacing w:line="320" w:lineRule="exact"/>
              <w:jc w:val="center"/>
              <w:rPr>
                <w:kern w:val="0"/>
                <w:szCs w:val="21"/>
              </w:rPr>
            </w:pPr>
            <w:r>
              <w:rPr>
                <w:rFonts w:hint="eastAsia"/>
                <w:kern w:val="0"/>
                <w:szCs w:val="21"/>
              </w:rPr>
              <w:t>6</w:t>
            </w:r>
          </w:p>
        </w:tc>
        <w:tc>
          <w:tcPr>
            <w:tcW w:w="914" w:type="pct"/>
            <w:shd w:val="clear" w:color="auto" w:fill="auto"/>
            <w:vAlign w:val="center"/>
          </w:tcPr>
          <w:p w14:paraId="58FDEFE8">
            <w:pPr>
              <w:spacing w:line="320" w:lineRule="exact"/>
              <w:jc w:val="center"/>
              <w:rPr>
                <w:kern w:val="0"/>
                <w:szCs w:val="21"/>
              </w:rPr>
            </w:pPr>
            <w:r>
              <w:rPr>
                <w:rFonts w:hint="eastAsia"/>
                <w:kern w:val="0"/>
                <w:szCs w:val="21"/>
              </w:rPr>
              <w:t xml:space="preserve">应急设施、设备与材料 </w:t>
            </w:r>
          </w:p>
        </w:tc>
        <w:tc>
          <w:tcPr>
            <w:tcW w:w="2662" w:type="pct"/>
            <w:shd w:val="clear" w:color="auto" w:fill="auto"/>
            <w:vAlign w:val="center"/>
          </w:tcPr>
          <w:p w14:paraId="12639321">
            <w:pPr>
              <w:spacing w:line="320" w:lineRule="exact"/>
              <w:jc w:val="center"/>
              <w:rPr>
                <w:kern w:val="0"/>
                <w:szCs w:val="21"/>
              </w:rPr>
            </w:pPr>
            <w:r>
              <w:rPr>
                <w:rFonts w:hint="eastAsia"/>
                <w:kern w:val="0"/>
                <w:szCs w:val="21"/>
              </w:rPr>
              <w:t>(1)防火灾、爆炸事故应急设施、设备与材料、主要为消防器材； (2)防有毒有害物质外溢、扩散、主要是水幕、喷淋设备等； (3)装置区、危化品储存区、原料和产品储存区的地面应进行硬化处理，厂界周围修建截雨沟，防止有毒物质渗入地下水和直接排入长江。 (4)事故排放池：用于储存火灾、爆炸和防止有害物质泄漏过程产生的废水，池中废水应采取有效处理并经当地环保部门检查达标后，方可排放。</w:t>
            </w:r>
          </w:p>
        </w:tc>
        <w:tc>
          <w:tcPr>
            <w:tcW w:w="945" w:type="pct"/>
            <w:shd w:val="clear" w:color="auto" w:fill="auto"/>
            <w:vAlign w:val="center"/>
          </w:tcPr>
          <w:p w14:paraId="39EFBDF4">
            <w:pPr>
              <w:spacing w:line="320" w:lineRule="exact"/>
              <w:jc w:val="center"/>
              <w:rPr>
                <w:kern w:val="0"/>
                <w:szCs w:val="21"/>
              </w:rPr>
            </w:pPr>
            <w:r>
              <w:rPr>
                <w:rFonts w:hint="eastAsia"/>
                <w:kern w:val="0"/>
                <w:szCs w:val="21"/>
              </w:rPr>
              <w:t xml:space="preserve">公司安全部环保部 </w:t>
            </w:r>
          </w:p>
        </w:tc>
      </w:tr>
      <w:tr w14:paraId="50AFF0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4632A7DD">
            <w:pPr>
              <w:spacing w:line="320" w:lineRule="exact"/>
              <w:jc w:val="center"/>
              <w:rPr>
                <w:kern w:val="0"/>
                <w:szCs w:val="21"/>
              </w:rPr>
            </w:pPr>
            <w:r>
              <w:rPr>
                <w:rFonts w:hint="eastAsia"/>
                <w:kern w:val="0"/>
                <w:szCs w:val="21"/>
              </w:rPr>
              <w:t>7</w:t>
            </w:r>
          </w:p>
        </w:tc>
        <w:tc>
          <w:tcPr>
            <w:tcW w:w="914" w:type="pct"/>
            <w:shd w:val="clear" w:color="auto" w:fill="auto"/>
            <w:vAlign w:val="center"/>
          </w:tcPr>
          <w:p w14:paraId="52460B7B">
            <w:pPr>
              <w:spacing w:line="320" w:lineRule="exact"/>
              <w:jc w:val="center"/>
              <w:rPr>
                <w:kern w:val="0"/>
                <w:szCs w:val="21"/>
              </w:rPr>
            </w:pPr>
            <w:r>
              <w:rPr>
                <w:rFonts w:hint="eastAsia"/>
                <w:kern w:val="0"/>
                <w:szCs w:val="21"/>
              </w:rPr>
              <w:t>应急通讯、通知和交通</w:t>
            </w:r>
          </w:p>
        </w:tc>
        <w:tc>
          <w:tcPr>
            <w:tcW w:w="2662" w:type="pct"/>
            <w:shd w:val="clear" w:color="auto" w:fill="auto"/>
            <w:vAlign w:val="center"/>
          </w:tcPr>
          <w:p w14:paraId="6E3C4418">
            <w:pPr>
              <w:spacing w:line="320" w:lineRule="exact"/>
              <w:jc w:val="center"/>
              <w:rPr>
                <w:kern w:val="0"/>
                <w:szCs w:val="21"/>
              </w:rPr>
            </w:pPr>
            <w:r>
              <w:rPr>
                <w:rFonts w:hint="eastAsia"/>
                <w:kern w:val="0"/>
                <w:szCs w:val="21"/>
              </w:rPr>
              <w:t>规定应急状态下的通讯方式、通知方式和交通保障、管制。</w:t>
            </w:r>
          </w:p>
        </w:tc>
        <w:tc>
          <w:tcPr>
            <w:tcW w:w="945" w:type="pct"/>
            <w:shd w:val="clear" w:color="auto" w:fill="auto"/>
            <w:vAlign w:val="center"/>
          </w:tcPr>
          <w:p w14:paraId="4B065CD4">
            <w:pPr>
              <w:spacing w:line="320" w:lineRule="exact"/>
              <w:jc w:val="center"/>
              <w:rPr>
                <w:kern w:val="0"/>
                <w:szCs w:val="21"/>
              </w:rPr>
            </w:pPr>
            <w:r>
              <w:rPr>
                <w:rFonts w:hint="eastAsia"/>
                <w:kern w:val="0"/>
                <w:szCs w:val="21"/>
              </w:rPr>
              <w:t xml:space="preserve">公司安全部 </w:t>
            </w:r>
          </w:p>
        </w:tc>
      </w:tr>
      <w:tr w14:paraId="6B75C4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238C3D4F">
            <w:pPr>
              <w:spacing w:line="320" w:lineRule="exact"/>
              <w:jc w:val="center"/>
              <w:rPr>
                <w:kern w:val="0"/>
                <w:szCs w:val="21"/>
              </w:rPr>
            </w:pPr>
            <w:r>
              <w:rPr>
                <w:rFonts w:hint="eastAsia"/>
                <w:kern w:val="0"/>
                <w:szCs w:val="21"/>
              </w:rPr>
              <w:t>8</w:t>
            </w:r>
          </w:p>
        </w:tc>
        <w:tc>
          <w:tcPr>
            <w:tcW w:w="914" w:type="pct"/>
            <w:shd w:val="clear" w:color="auto" w:fill="auto"/>
            <w:vAlign w:val="center"/>
          </w:tcPr>
          <w:p w14:paraId="24F4CD7F">
            <w:pPr>
              <w:spacing w:line="320" w:lineRule="exact"/>
              <w:jc w:val="center"/>
              <w:rPr>
                <w:kern w:val="0"/>
                <w:szCs w:val="21"/>
              </w:rPr>
            </w:pPr>
            <w:r>
              <w:rPr>
                <w:rFonts w:hint="eastAsia"/>
                <w:kern w:val="0"/>
                <w:szCs w:val="21"/>
              </w:rPr>
              <w:t>应急环境评估及事故评估</w:t>
            </w:r>
          </w:p>
        </w:tc>
        <w:tc>
          <w:tcPr>
            <w:tcW w:w="2662" w:type="pct"/>
            <w:shd w:val="clear" w:color="auto" w:fill="auto"/>
            <w:vAlign w:val="center"/>
          </w:tcPr>
          <w:p w14:paraId="6B06FBBD">
            <w:pPr>
              <w:spacing w:line="320" w:lineRule="exact"/>
              <w:jc w:val="center"/>
              <w:rPr>
                <w:kern w:val="0"/>
                <w:szCs w:val="21"/>
              </w:rPr>
            </w:pPr>
            <w:r>
              <w:rPr>
                <w:rFonts w:hint="eastAsia"/>
                <w:kern w:val="0"/>
                <w:szCs w:val="21"/>
              </w:rPr>
              <w:t>由专业队伍负责对事故现场进行监测，对事故性质、参数与后果进行评估，为指挥部门提供决策依据。</w:t>
            </w:r>
          </w:p>
        </w:tc>
        <w:tc>
          <w:tcPr>
            <w:tcW w:w="945" w:type="pct"/>
            <w:shd w:val="clear" w:color="auto" w:fill="auto"/>
            <w:vAlign w:val="center"/>
          </w:tcPr>
          <w:p w14:paraId="1C1CB1B8">
            <w:pPr>
              <w:spacing w:line="320" w:lineRule="exact"/>
              <w:jc w:val="center"/>
              <w:rPr>
                <w:kern w:val="0"/>
                <w:szCs w:val="21"/>
              </w:rPr>
            </w:pPr>
            <w:r>
              <w:rPr>
                <w:rFonts w:hint="eastAsia"/>
                <w:kern w:val="0"/>
                <w:szCs w:val="21"/>
              </w:rPr>
              <w:t xml:space="preserve">公司安全部、环保部门；当地环境监测机构 </w:t>
            </w:r>
          </w:p>
        </w:tc>
      </w:tr>
      <w:tr w14:paraId="0CEB33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07C21802">
            <w:pPr>
              <w:spacing w:line="320" w:lineRule="exact"/>
              <w:jc w:val="center"/>
              <w:rPr>
                <w:kern w:val="0"/>
                <w:szCs w:val="21"/>
              </w:rPr>
            </w:pPr>
            <w:r>
              <w:rPr>
                <w:rFonts w:hint="eastAsia"/>
                <w:kern w:val="0"/>
                <w:szCs w:val="21"/>
              </w:rPr>
              <w:t>9</w:t>
            </w:r>
          </w:p>
        </w:tc>
        <w:tc>
          <w:tcPr>
            <w:tcW w:w="914" w:type="pct"/>
            <w:shd w:val="clear" w:color="auto" w:fill="auto"/>
            <w:vAlign w:val="center"/>
          </w:tcPr>
          <w:p w14:paraId="7DA98824">
            <w:pPr>
              <w:spacing w:line="320" w:lineRule="exact"/>
              <w:jc w:val="center"/>
              <w:rPr>
                <w:kern w:val="0"/>
                <w:szCs w:val="21"/>
              </w:rPr>
            </w:pPr>
            <w:r>
              <w:rPr>
                <w:rFonts w:hint="eastAsia"/>
                <w:kern w:val="0"/>
                <w:szCs w:val="21"/>
              </w:rPr>
              <w:t>应急防护措施、清除泄漏措施、方法和器材</w:t>
            </w:r>
          </w:p>
        </w:tc>
        <w:tc>
          <w:tcPr>
            <w:tcW w:w="2662" w:type="pct"/>
            <w:shd w:val="clear" w:color="auto" w:fill="auto"/>
            <w:vAlign w:val="center"/>
          </w:tcPr>
          <w:p w14:paraId="585FBBF2">
            <w:pPr>
              <w:spacing w:line="320" w:lineRule="exact"/>
              <w:jc w:val="center"/>
              <w:rPr>
                <w:kern w:val="0"/>
                <w:szCs w:val="21"/>
              </w:rPr>
            </w:pPr>
            <w:r>
              <w:rPr>
                <w:rFonts w:hint="eastAsia"/>
                <w:kern w:val="0"/>
                <w:szCs w:val="21"/>
              </w:rPr>
              <w:t>事故现场：控制事故、防止扩大、蔓延及连锁反应，清除现场泄漏物，降低危害，相应的设施器材配备齐全；邻近区域：控制防火区域，控制和清除污染措施及相应设备配备完整。</w:t>
            </w:r>
          </w:p>
        </w:tc>
        <w:tc>
          <w:tcPr>
            <w:tcW w:w="945" w:type="pct"/>
            <w:shd w:val="clear" w:color="auto" w:fill="auto"/>
            <w:vAlign w:val="center"/>
          </w:tcPr>
          <w:p w14:paraId="7E3E0012">
            <w:pPr>
              <w:spacing w:line="320" w:lineRule="exact"/>
              <w:jc w:val="center"/>
              <w:rPr>
                <w:kern w:val="0"/>
                <w:szCs w:val="21"/>
              </w:rPr>
            </w:pPr>
            <w:r>
              <w:rPr>
                <w:rFonts w:hint="eastAsia"/>
                <w:kern w:val="0"/>
                <w:szCs w:val="21"/>
              </w:rPr>
              <w:t xml:space="preserve">公司办公室，安全部、环保部门；当地安监、消防部门 </w:t>
            </w:r>
          </w:p>
        </w:tc>
      </w:tr>
      <w:tr w14:paraId="132BD4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31A4A517">
            <w:pPr>
              <w:spacing w:line="320" w:lineRule="exact"/>
              <w:jc w:val="center"/>
              <w:rPr>
                <w:kern w:val="0"/>
                <w:szCs w:val="21"/>
              </w:rPr>
            </w:pPr>
            <w:r>
              <w:rPr>
                <w:rFonts w:hint="eastAsia"/>
                <w:kern w:val="0"/>
                <w:szCs w:val="21"/>
              </w:rPr>
              <w:t>10</w:t>
            </w:r>
          </w:p>
        </w:tc>
        <w:tc>
          <w:tcPr>
            <w:tcW w:w="914" w:type="pct"/>
            <w:shd w:val="clear" w:color="auto" w:fill="auto"/>
            <w:vAlign w:val="center"/>
          </w:tcPr>
          <w:p w14:paraId="076B3277">
            <w:pPr>
              <w:spacing w:line="320" w:lineRule="exact"/>
              <w:jc w:val="center"/>
              <w:rPr>
                <w:kern w:val="0"/>
                <w:szCs w:val="21"/>
              </w:rPr>
            </w:pPr>
            <w:r>
              <w:rPr>
                <w:rFonts w:hint="eastAsia"/>
                <w:kern w:val="0"/>
                <w:szCs w:val="21"/>
              </w:rPr>
              <w:t>应急剂量控制、撤离组织计划、医疗救护与公众健康</w:t>
            </w:r>
          </w:p>
        </w:tc>
        <w:tc>
          <w:tcPr>
            <w:tcW w:w="2662" w:type="pct"/>
            <w:shd w:val="clear" w:color="auto" w:fill="auto"/>
            <w:vAlign w:val="center"/>
          </w:tcPr>
          <w:p w14:paraId="799462AD">
            <w:pPr>
              <w:spacing w:line="320" w:lineRule="exact"/>
              <w:jc w:val="center"/>
              <w:rPr>
                <w:kern w:val="0"/>
                <w:szCs w:val="21"/>
              </w:rPr>
            </w:pPr>
            <w:r>
              <w:rPr>
                <w:rFonts w:hint="eastAsia"/>
                <w:kern w:val="0"/>
                <w:szCs w:val="21"/>
              </w:rPr>
              <w:t>事故现场：事故处理人员对毒物的应急剂量控制制定，现场及邻近装置人员撤离组织计划及救护；工厂邻近区：受事故影响的邻近区域人员及公众对毒物应急剂量控制规定，撤离组织计划及救护。</w:t>
            </w:r>
          </w:p>
        </w:tc>
        <w:tc>
          <w:tcPr>
            <w:tcW w:w="945" w:type="pct"/>
            <w:shd w:val="clear" w:color="auto" w:fill="auto"/>
            <w:vAlign w:val="center"/>
          </w:tcPr>
          <w:p w14:paraId="53DF8E32">
            <w:pPr>
              <w:spacing w:line="320" w:lineRule="exact"/>
              <w:jc w:val="center"/>
              <w:rPr>
                <w:kern w:val="0"/>
                <w:szCs w:val="21"/>
              </w:rPr>
            </w:pPr>
            <w:r>
              <w:rPr>
                <w:rFonts w:hint="eastAsia"/>
                <w:kern w:val="0"/>
                <w:szCs w:val="21"/>
              </w:rPr>
              <w:t xml:space="preserve">公司办公室，安全部、环保部门；当地安监、医疗部门 </w:t>
            </w:r>
          </w:p>
        </w:tc>
      </w:tr>
      <w:tr w14:paraId="167737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67E7E047">
            <w:pPr>
              <w:spacing w:line="320" w:lineRule="exact"/>
              <w:jc w:val="center"/>
              <w:rPr>
                <w:kern w:val="0"/>
                <w:szCs w:val="21"/>
              </w:rPr>
            </w:pPr>
            <w:r>
              <w:rPr>
                <w:rFonts w:hint="eastAsia"/>
                <w:kern w:val="0"/>
                <w:szCs w:val="21"/>
              </w:rPr>
              <w:t>11</w:t>
            </w:r>
          </w:p>
        </w:tc>
        <w:tc>
          <w:tcPr>
            <w:tcW w:w="914" w:type="pct"/>
            <w:shd w:val="clear" w:color="auto" w:fill="auto"/>
            <w:vAlign w:val="center"/>
          </w:tcPr>
          <w:p w14:paraId="280C0998">
            <w:pPr>
              <w:spacing w:line="320" w:lineRule="exact"/>
              <w:jc w:val="center"/>
              <w:rPr>
                <w:kern w:val="0"/>
                <w:szCs w:val="21"/>
              </w:rPr>
            </w:pPr>
            <w:r>
              <w:rPr>
                <w:rFonts w:hint="eastAsia"/>
                <w:kern w:val="0"/>
                <w:szCs w:val="21"/>
              </w:rPr>
              <w:t>应急状态终止与恢复措施</w:t>
            </w:r>
          </w:p>
        </w:tc>
        <w:tc>
          <w:tcPr>
            <w:tcW w:w="2662" w:type="pct"/>
            <w:shd w:val="clear" w:color="auto" w:fill="auto"/>
            <w:vAlign w:val="center"/>
          </w:tcPr>
          <w:p w14:paraId="5A6C4BF2">
            <w:pPr>
              <w:spacing w:line="320" w:lineRule="exact"/>
              <w:jc w:val="center"/>
              <w:rPr>
                <w:kern w:val="0"/>
                <w:szCs w:val="21"/>
              </w:rPr>
            </w:pPr>
            <w:r>
              <w:rPr>
                <w:rFonts w:hint="eastAsia"/>
                <w:kern w:val="0"/>
                <w:szCs w:val="21"/>
              </w:rPr>
              <w:t>规定应急状态终止程序；事故现场善后处理，恢复措施；邻近区域解除事故警戒及善后恢复措施。</w:t>
            </w:r>
          </w:p>
        </w:tc>
        <w:tc>
          <w:tcPr>
            <w:tcW w:w="945" w:type="pct"/>
            <w:vMerge w:val="restart"/>
            <w:shd w:val="clear" w:color="auto" w:fill="auto"/>
            <w:vAlign w:val="center"/>
          </w:tcPr>
          <w:p w14:paraId="189378F1">
            <w:pPr>
              <w:spacing w:line="320" w:lineRule="exact"/>
              <w:jc w:val="center"/>
              <w:rPr>
                <w:kern w:val="0"/>
                <w:szCs w:val="21"/>
              </w:rPr>
            </w:pPr>
            <w:r>
              <w:rPr>
                <w:rFonts w:hint="eastAsia"/>
                <w:kern w:val="0"/>
                <w:szCs w:val="21"/>
              </w:rPr>
              <w:t xml:space="preserve">公司办公室，安全部、环保部门；当地安监、消防部门 </w:t>
            </w:r>
          </w:p>
        </w:tc>
      </w:tr>
      <w:tr w14:paraId="236D21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08B500DD">
            <w:pPr>
              <w:spacing w:line="320" w:lineRule="exact"/>
              <w:jc w:val="center"/>
              <w:rPr>
                <w:kern w:val="0"/>
                <w:szCs w:val="21"/>
              </w:rPr>
            </w:pPr>
            <w:r>
              <w:rPr>
                <w:rFonts w:hint="eastAsia"/>
                <w:kern w:val="0"/>
                <w:szCs w:val="21"/>
              </w:rPr>
              <w:t>12</w:t>
            </w:r>
          </w:p>
        </w:tc>
        <w:tc>
          <w:tcPr>
            <w:tcW w:w="914" w:type="pct"/>
            <w:shd w:val="clear" w:color="auto" w:fill="auto"/>
            <w:vAlign w:val="center"/>
          </w:tcPr>
          <w:p w14:paraId="450FCBC7">
            <w:pPr>
              <w:spacing w:line="320" w:lineRule="exact"/>
              <w:jc w:val="center"/>
              <w:rPr>
                <w:kern w:val="0"/>
                <w:szCs w:val="21"/>
              </w:rPr>
            </w:pPr>
            <w:r>
              <w:rPr>
                <w:rFonts w:hint="eastAsia"/>
                <w:kern w:val="0"/>
                <w:szCs w:val="21"/>
              </w:rPr>
              <w:t>人员培训与演练</w:t>
            </w:r>
          </w:p>
        </w:tc>
        <w:tc>
          <w:tcPr>
            <w:tcW w:w="2662" w:type="pct"/>
            <w:shd w:val="clear" w:color="auto" w:fill="auto"/>
            <w:vAlign w:val="center"/>
          </w:tcPr>
          <w:p w14:paraId="6466EE7C">
            <w:pPr>
              <w:spacing w:line="320" w:lineRule="exact"/>
              <w:jc w:val="center"/>
              <w:rPr>
                <w:kern w:val="0"/>
                <w:szCs w:val="21"/>
              </w:rPr>
            </w:pPr>
            <w:r>
              <w:rPr>
                <w:rFonts w:hint="eastAsia"/>
                <w:kern w:val="0"/>
                <w:szCs w:val="21"/>
              </w:rPr>
              <w:t xml:space="preserve">应急计划制定后，平时安排人员培训与演练。 </w:t>
            </w:r>
          </w:p>
        </w:tc>
        <w:tc>
          <w:tcPr>
            <w:tcW w:w="945" w:type="pct"/>
            <w:vMerge w:val="continue"/>
            <w:vAlign w:val="center"/>
          </w:tcPr>
          <w:p w14:paraId="7DA43C12">
            <w:pPr>
              <w:spacing w:line="320" w:lineRule="exact"/>
              <w:jc w:val="center"/>
              <w:rPr>
                <w:kern w:val="0"/>
                <w:szCs w:val="21"/>
              </w:rPr>
            </w:pPr>
          </w:p>
        </w:tc>
      </w:tr>
      <w:tr w14:paraId="4DF8DA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140CD8A6">
            <w:pPr>
              <w:spacing w:line="320" w:lineRule="exact"/>
              <w:jc w:val="center"/>
              <w:rPr>
                <w:kern w:val="0"/>
                <w:szCs w:val="21"/>
              </w:rPr>
            </w:pPr>
            <w:r>
              <w:rPr>
                <w:rFonts w:hint="eastAsia"/>
                <w:kern w:val="0"/>
                <w:szCs w:val="21"/>
              </w:rPr>
              <w:t>13</w:t>
            </w:r>
          </w:p>
        </w:tc>
        <w:tc>
          <w:tcPr>
            <w:tcW w:w="914" w:type="pct"/>
            <w:shd w:val="clear" w:color="auto" w:fill="auto"/>
            <w:vAlign w:val="center"/>
          </w:tcPr>
          <w:p w14:paraId="5B3B2F3D">
            <w:pPr>
              <w:spacing w:line="320" w:lineRule="exact"/>
              <w:jc w:val="center"/>
              <w:rPr>
                <w:kern w:val="0"/>
                <w:szCs w:val="21"/>
              </w:rPr>
            </w:pPr>
            <w:r>
              <w:rPr>
                <w:rFonts w:hint="eastAsia"/>
                <w:kern w:val="0"/>
                <w:szCs w:val="21"/>
              </w:rPr>
              <w:t>公众教育和信息</w:t>
            </w:r>
          </w:p>
        </w:tc>
        <w:tc>
          <w:tcPr>
            <w:tcW w:w="2662" w:type="pct"/>
            <w:shd w:val="clear" w:color="auto" w:fill="auto"/>
            <w:vAlign w:val="center"/>
          </w:tcPr>
          <w:p w14:paraId="2FBFF3FE">
            <w:pPr>
              <w:spacing w:line="320" w:lineRule="exact"/>
              <w:jc w:val="center"/>
              <w:rPr>
                <w:kern w:val="0"/>
                <w:szCs w:val="21"/>
              </w:rPr>
            </w:pPr>
            <w:r>
              <w:rPr>
                <w:rFonts w:hint="eastAsia"/>
                <w:kern w:val="0"/>
                <w:szCs w:val="21"/>
              </w:rPr>
              <w:t xml:space="preserve">对工厂邻近地区开展公众教育、培训和发布有关信息。 </w:t>
            </w:r>
          </w:p>
        </w:tc>
        <w:tc>
          <w:tcPr>
            <w:tcW w:w="945" w:type="pct"/>
            <w:vMerge w:val="continue"/>
            <w:vAlign w:val="center"/>
          </w:tcPr>
          <w:p w14:paraId="7CA73F57">
            <w:pPr>
              <w:spacing w:line="320" w:lineRule="exact"/>
              <w:jc w:val="center"/>
              <w:rPr>
                <w:kern w:val="0"/>
                <w:szCs w:val="21"/>
              </w:rPr>
            </w:pPr>
          </w:p>
        </w:tc>
      </w:tr>
      <w:tr w14:paraId="5C45B6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0FA9025A">
            <w:pPr>
              <w:spacing w:line="320" w:lineRule="exact"/>
              <w:jc w:val="center"/>
              <w:rPr>
                <w:kern w:val="0"/>
                <w:szCs w:val="21"/>
              </w:rPr>
            </w:pPr>
            <w:r>
              <w:rPr>
                <w:rFonts w:hint="eastAsia"/>
                <w:kern w:val="0"/>
                <w:szCs w:val="21"/>
              </w:rPr>
              <w:t>14</w:t>
            </w:r>
          </w:p>
        </w:tc>
        <w:tc>
          <w:tcPr>
            <w:tcW w:w="914" w:type="pct"/>
            <w:shd w:val="clear" w:color="auto" w:fill="auto"/>
            <w:vAlign w:val="center"/>
          </w:tcPr>
          <w:p w14:paraId="41F9DF7A">
            <w:pPr>
              <w:spacing w:line="320" w:lineRule="exact"/>
              <w:jc w:val="center"/>
              <w:rPr>
                <w:kern w:val="0"/>
                <w:szCs w:val="21"/>
              </w:rPr>
            </w:pPr>
            <w:r>
              <w:rPr>
                <w:rFonts w:hint="eastAsia"/>
                <w:kern w:val="0"/>
                <w:szCs w:val="21"/>
              </w:rPr>
              <w:t>记录和报告</w:t>
            </w:r>
          </w:p>
        </w:tc>
        <w:tc>
          <w:tcPr>
            <w:tcW w:w="2662" w:type="pct"/>
            <w:shd w:val="clear" w:color="auto" w:fill="auto"/>
            <w:vAlign w:val="center"/>
          </w:tcPr>
          <w:p w14:paraId="680468E2">
            <w:pPr>
              <w:spacing w:line="320" w:lineRule="exact"/>
              <w:jc w:val="center"/>
              <w:rPr>
                <w:kern w:val="0"/>
                <w:szCs w:val="21"/>
              </w:rPr>
            </w:pPr>
            <w:r>
              <w:rPr>
                <w:rFonts w:hint="eastAsia"/>
                <w:kern w:val="0"/>
                <w:szCs w:val="21"/>
              </w:rPr>
              <w:t>设置应急事故专门记录，建立档案和专门报告制度，设专门部门负责管理。</w:t>
            </w:r>
          </w:p>
        </w:tc>
        <w:tc>
          <w:tcPr>
            <w:tcW w:w="945" w:type="pct"/>
            <w:shd w:val="clear" w:color="auto" w:fill="auto"/>
            <w:vAlign w:val="center"/>
          </w:tcPr>
          <w:p w14:paraId="19F1FB65">
            <w:pPr>
              <w:spacing w:line="320" w:lineRule="exact"/>
              <w:jc w:val="center"/>
              <w:rPr>
                <w:kern w:val="0"/>
                <w:szCs w:val="21"/>
              </w:rPr>
            </w:pPr>
            <w:r>
              <w:rPr>
                <w:rFonts w:hint="eastAsia"/>
                <w:kern w:val="0"/>
                <w:szCs w:val="21"/>
              </w:rPr>
              <w:t>公司安全部</w:t>
            </w:r>
          </w:p>
        </w:tc>
      </w:tr>
      <w:tr w14:paraId="7D2186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479" w:type="pct"/>
            <w:shd w:val="clear" w:color="auto" w:fill="auto"/>
            <w:vAlign w:val="center"/>
          </w:tcPr>
          <w:p w14:paraId="4D8366F3">
            <w:pPr>
              <w:spacing w:line="320" w:lineRule="exact"/>
              <w:jc w:val="center"/>
              <w:rPr>
                <w:kern w:val="0"/>
                <w:szCs w:val="21"/>
              </w:rPr>
            </w:pPr>
            <w:r>
              <w:rPr>
                <w:rFonts w:hint="eastAsia"/>
                <w:kern w:val="0"/>
                <w:szCs w:val="21"/>
              </w:rPr>
              <w:t>15</w:t>
            </w:r>
          </w:p>
        </w:tc>
        <w:tc>
          <w:tcPr>
            <w:tcW w:w="914" w:type="pct"/>
            <w:shd w:val="clear" w:color="auto" w:fill="auto"/>
            <w:vAlign w:val="center"/>
          </w:tcPr>
          <w:p w14:paraId="56648920">
            <w:pPr>
              <w:spacing w:line="320" w:lineRule="exact"/>
              <w:jc w:val="center"/>
              <w:rPr>
                <w:kern w:val="0"/>
                <w:szCs w:val="21"/>
              </w:rPr>
            </w:pPr>
            <w:r>
              <w:rPr>
                <w:rFonts w:hint="eastAsia"/>
                <w:kern w:val="0"/>
                <w:szCs w:val="21"/>
              </w:rPr>
              <w:t>附件</w:t>
            </w:r>
          </w:p>
        </w:tc>
        <w:tc>
          <w:tcPr>
            <w:tcW w:w="2662" w:type="pct"/>
            <w:shd w:val="clear" w:color="auto" w:fill="auto"/>
            <w:vAlign w:val="center"/>
          </w:tcPr>
          <w:p w14:paraId="58C8EE50">
            <w:pPr>
              <w:spacing w:line="320" w:lineRule="exact"/>
              <w:jc w:val="center"/>
              <w:rPr>
                <w:kern w:val="0"/>
                <w:szCs w:val="21"/>
              </w:rPr>
            </w:pPr>
            <w:r>
              <w:rPr>
                <w:rFonts w:hint="eastAsia"/>
                <w:kern w:val="0"/>
                <w:szCs w:val="21"/>
              </w:rPr>
              <w:t>与应急事故有关的多种附件材料的准备和形成。</w:t>
            </w:r>
          </w:p>
        </w:tc>
        <w:tc>
          <w:tcPr>
            <w:tcW w:w="945" w:type="pct"/>
            <w:shd w:val="clear" w:color="auto" w:fill="auto"/>
            <w:vAlign w:val="center"/>
          </w:tcPr>
          <w:p w14:paraId="35C33D44">
            <w:pPr>
              <w:spacing w:line="320" w:lineRule="exact"/>
              <w:jc w:val="center"/>
              <w:rPr>
                <w:kern w:val="0"/>
                <w:szCs w:val="21"/>
              </w:rPr>
            </w:pPr>
            <w:r>
              <w:rPr>
                <w:rFonts w:hint="eastAsia"/>
                <w:kern w:val="0"/>
                <w:szCs w:val="21"/>
              </w:rPr>
              <w:t>公司安全部</w:t>
            </w:r>
          </w:p>
        </w:tc>
      </w:tr>
    </w:tbl>
    <w:p w14:paraId="1B468AD0">
      <w:pPr>
        <w:keepNext/>
        <w:keepLines/>
        <w:widowControl/>
        <w:numPr>
          <w:ilvl w:val="2"/>
          <w:numId w:val="1"/>
        </w:numPr>
        <w:spacing w:before="120" w:after="120" w:line="360" w:lineRule="auto"/>
        <w:jc w:val="left"/>
        <w:outlineLvl w:val="2"/>
        <w:rPr>
          <w:rFonts w:eastAsiaTheme="minorEastAsia"/>
          <w:b/>
          <w:bCs/>
          <w:sz w:val="24"/>
        </w:rPr>
      </w:pPr>
      <w:bookmarkStart w:id="163" w:name="_Toc206494991"/>
      <w:r>
        <w:rPr>
          <w:rFonts w:hint="eastAsia" w:eastAsiaTheme="minorEastAsia"/>
          <w:b/>
          <w:bCs/>
          <w:sz w:val="24"/>
        </w:rPr>
        <w:t>区域连带风险应急措施</w:t>
      </w:r>
      <w:bookmarkEnd w:id="163"/>
    </w:p>
    <w:p w14:paraId="3A58F874">
      <w:pPr>
        <w:spacing w:line="360" w:lineRule="auto"/>
        <w:ind w:firstLine="480" w:firstLineChars="200"/>
        <w:rPr>
          <w:rFonts w:eastAsiaTheme="minorEastAsia"/>
          <w:sz w:val="24"/>
        </w:rPr>
      </w:pPr>
      <w:r>
        <w:rPr>
          <w:rFonts w:hint="eastAsia" w:eastAsiaTheme="minorEastAsia"/>
          <w:sz w:val="24"/>
        </w:rPr>
        <w:t>园区企业发生的火灾以及爆炸等环境风险很有可能导致周边企业的连锁反应，从而产生了连带风险，为最大限度地降低建设项目的建设给周边其他企业带来的连带风险，建设单位与周边企业必须做到以下几点：</w:t>
      </w:r>
    </w:p>
    <w:p w14:paraId="7BE11C61">
      <w:pPr>
        <w:spacing w:line="360" w:lineRule="auto"/>
        <w:ind w:firstLine="480" w:firstLineChars="200"/>
        <w:rPr>
          <w:rFonts w:eastAsiaTheme="minorEastAsia"/>
          <w:sz w:val="24"/>
        </w:rPr>
      </w:pPr>
      <w:r>
        <w:rPr>
          <w:rFonts w:hint="eastAsia" w:eastAsiaTheme="minorEastAsia"/>
          <w:sz w:val="24"/>
        </w:rPr>
        <w:t>（1）项目制定相关应急预案后应及时送至随州市生态环境随县分局备案；</w:t>
      </w:r>
    </w:p>
    <w:p w14:paraId="715893CC">
      <w:pPr>
        <w:spacing w:line="360" w:lineRule="auto"/>
        <w:ind w:firstLine="480" w:firstLineChars="200"/>
        <w:rPr>
          <w:rFonts w:eastAsiaTheme="minorEastAsia"/>
          <w:sz w:val="24"/>
        </w:rPr>
      </w:pPr>
      <w:r>
        <w:rPr>
          <w:rFonts w:hint="eastAsia" w:eastAsiaTheme="minorEastAsia"/>
          <w:sz w:val="24"/>
        </w:rPr>
        <w:t>（2）建立园区应急预案和体系，待园区应急体系形成之后，建设单位应服从园区应急预案要求，做好各项与园区应急预案、体系联动的措施和准备；</w:t>
      </w:r>
    </w:p>
    <w:p w14:paraId="30EA9092">
      <w:pPr>
        <w:spacing w:line="360" w:lineRule="auto"/>
        <w:ind w:firstLine="480" w:firstLineChars="200"/>
        <w:rPr>
          <w:rFonts w:eastAsiaTheme="minorEastAsia"/>
          <w:sz w:val="24"/>
        </w:rPr>
      </w:pPr>
      <w:r>
        <w:rPr>
          <w:rFonts w:hint="eastAsia" w:eastAsiaTheme="minorEastAsia"/>
          <w:sz w:val="24"/>
        </w:rPr>
        <w:t>（3）与周边企业建立友好的协助关系，特别是在消防力量上应当互助，能够做到一方有难、八方支援，将着火场区的火灾及时扑灭，避免扩大火灾范围；</w:t>
      </w:r>
    </w:p>
    <w:p w14:paraId="1FF370BA">
      <w:pPr>
        <w:spacing w:line="360" w:lineRule="auto"/>
        <w:ind w:firstLine="480" w:firstLineChars="200"/>
        <w:rPr>
          <w:rFonts w:eastAsiaTheme="minorEastAsia"/>
          <w:sz w:val="24"/>
        </w:rPr>
      </w:pPr>
      <w:r>
        <w:rPr>
          <w:rFonts w:hint="eastAsia" w:eastAsiaTheme="minorEastAsia"/>
          <w:sz w:val="24"/>
        </w:rPr>
        <w:t>（4）在建设项目周边后建设的企业应该严格按照防火距离要求，与建设单位厂界保持一定的距离，在这个范围之内不应种植高大乔木等，并应开挖防火沟等消防控制构筑物，控制火灾蔓延。</w:t>
      </w:r>
    </w:p>
    <w:p w14:paraId="6845C66B">
      <w:pPr>
        <w:spacing w:line="360" w:lineRule="auto"/>
        <w:ind w:firstLine="480" w:firstLineChars="200"/>
        <w:rPr>
          <w:rFonts w:eastAsiaTheme="minorEastAsia"/>
          <w:sz w:val="24"/>
        </w:rPr>
      </w:pPr>
      <w:r>
        <w:rPr>
          <w:rFonts w:hint="eastAsia" w:eastAsiaTheme="minorEastAsia"/>
          <w:sz w:val="24"/>
        </w:rPr>
        <w:t>（5）配备必要的应急救援物资和装备，企业应加强环境应急管理、技术支撑和处置救援队伍建设，并定期组织培训和演练。</w:t>
      </w:r>
    </w:p>
    <w:p w14:paraId="7371744D">
      <w:pPr>
        <w:spacing w:line="360" w:lineRule="auto"/>
        <w:ind w:firstLine="480" w:firstLineChars="200"/>
        <w:rPr>
          <w:rFonts w:eastAsiaTheme="minorEastAsia"/>
          <w:sz w:val="24"/>
        </w:rPr>
      </w:pPr>
      <w:r>
        <w:rPr>
          <w:rFonts w:hint="eastAsia" w:eastAsiaTheme="minorEastAsia"/>
          <w:sz w:val="24"/>
        </w:rPr>
        <w:t>另外，建设单位应与当地消防部门达成良好的合作和业务指导关系；与当地急救中心或医院保持联系，发生事故时能及时得到援助。</w:t>
      </w:r>
    </w:p>
    <w:p w14:paraId="1025874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64" w:name="_Toc206494992"/>
      <w:r>
        <w:rPr>
          <w:rFonts w:hint="eastAsia" w:eastAsiaTheme="minorEastAsia"/>
          <w:b/>
          <w:bCs/>
          <w:sz w:val="30"/>
          <w:szCs w:val="28"/>
        </w:rPr>
        <w:t>累积环境影响分析</w:t>
      </w:r>
      <w:bookmarkEnd w:id="164"/>
    </w:p>
    <w:p w14:paraId="10D0353A">
      <w:pPr>
        <w:spacing w:line="360" w:lineRule="auto"/>
        <w:ind w:firstLine="480" w:firstLineChars="200"/>
        <w:rPr>
          <w:rFonts w:eastAsiaTheme="minorEastAsia"/>
          <w:sz w:val="24"/>
        </w:rPr>
      </w:pPr>
      <w:r>
        <w:rPr>
          <w:rFonts w:hint="eastAsia" w:eastAsiaTheme="minorEastAsia"/>
          <w:sz w:val="24"/>
        </w:rPr>
        <w:t>规划实施后，工业废气、固体废物、物料渗漏对区域内及周边区域地表、地下水、农业生态、土壤、集中居民带来一定的长期影响。</w:t>
      </w:r>
    </w:p>
    <w:p w14:paraId="4093FD8C">
      <w:pPr>
        <w:spacing w:line="360" w:lineRule="auto"/>
        <w:ind w:firstLine="480" w:firstLineChars="200"/>
        <w:rPr>
          <w:rFonts w:eastAsiaTheme="minorEastAsia"/>
          <w:sz w:val="24"/>
        </w:rPr>
      </w:pPr>
      <w:r>
        <w:rPr>
          <w:rFonts w:hint="eastAsia" w:eastAsiaTheme="minorEastAsia"/>
          <w:sz w:val="24"/>
        </w:rPr>
        <w:t>（1）粉尘对植物生长的累积影响</w:t>
      </w:r>
    </w:p>
    <w:p w14:paraId="400A8782">
      <w:pPr>
        <w:spacing w:line="360" w:lineRule="auto"/>
        <w:ind w:firstLine="480" w:firstLineChars="200"/>
        <w:rPr>
          <w:rFonts w:eastAsiaTheme="minorEastAsia"/>
          <w:sz w:val="24"/>
        </w:rPr>
      </w:pPr>
      <w:r>
        <w:rPr>
          <w:rFonts w:hint="eastAsia" w:eastAsiaTheme="minorEastAsia"/>
          <w:sz w:val="24"/>
        </w:rPr>
        <w:t>粉尘对各种作物嫩叶、新梢、果实等柔嫩组织形成污斑。本评价建议规划在厂区和规划区周围建设绿化隔离带，对粉尘起隔离和吸附作用，可降低对周边农作物的影响。</w:t>
      </w:r>
    </w:p>
    <w:p w14:paraId="517AE3ED">
      <w:pPr>
        <w:spacing w:line="360" w:lineRule="auto"/>
        <w:ind w:firstLine="480" w:firstLineChars="200"/>
        <w:rPr>
          <w:rFonts w:eastAsiaTheme="minorEastAsia"/>
          <w:sz w:val="24"/>
        </w:rPr>
      </w:pPr>
      <w:r>
        <w:rPr>
          <w:rFonts w:hint="eastAsia" w:eastAsiaTheme="minorEastAsia"/>
          <w:sz w:val="24"/>
        </w:rPr>
        <w:t>（2）工业污染对土壤的累积影响</w:t>
      </w:r>
    </w:p>
    <w:p w14:paraId="6C7978A1">
      <w:pPr>
        <w:spacing w:line="360" w:lineRule="auto"/>
        <w:ind w:firstLine="480" w:firstLineChars="200"/>
        <w:rPr>
          <w:rFonts w:eastAsiaTheme="minorEastAsia"/>
          <w:sz w:val="24"/>
        </w:rPr>
      </w:pPr>
      <w:r>
        <w:rPr>
          <w:rFonts w:hint="eastAsia" w:eastAsiaTheme="minorEastAsia"/>
          <w:sz w:val="24"/>
        </w:rPr>
        <w:t>生产区的物料滴漏、污水处理池的渗漏等有害物质对土壤持久的影响；工业废渣与生活垃圾乱堆乱放或处理不当，污染物随地表径流或废弃物淋滤液进入土壤环境，也会造成土壤的污染。生产过程中产生的高浓度废水等，应做收集处置装置，防止其渗漏进入土壤。</w:t>
      </w:r>
    </w:p>
    <w:p w14:paraId="3DA3941E">
      <w:pPr>
        <w:spacing w:line="360" w:lineRule="auto"/>
        <w:ind w:firstLine="480" w:firstLineChars="200"/>
        <w:rPr>
          <w:rFonts w:eastAsiaTheme="minorEastAsia"/>
          <w:sz w:val="24"/>
        </w:rPr>
      </w:pPr>
      <w:r>
        <w:rPr>
          <w:rFonts w:hint="eastAsia" w:eastAsiaTheme="minorEastAsia"/>
          <w:sz w:val="24"/>
        </w:rPr>
        <w:t>为确保规划区土壤安全利用，排放重金属污染物的企业不允许入驻园区，同时规划区域需加大土壤治理力度，落实《土壤污染防治行动计划》等要求，将土壤环境纳入环境监管，定期开展土壤环境质量监测工作；土壤性质变更地块按要求开展污染场地风险评价和修复工作，确保土壤环境质量满足相应质量标准要求。</w:t>
      </w:r>
    </w:p>
    <w:p w14:paraId="799F092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65" w:name="_Toc206494993"/>
      <w:r>
        <w:rPr>
          <w:rFonts w:hint="eastAsia" w:eastAsiaTheme="minorEastAsia"/>
          <w:b/>
          <w:bCs/>
          <w:sz w:val="30"/>
          <w:szCs w:val="28"/>
        </w:rPr>
        <w:t>社会经济影响分析</w:t>
      </w:r>
      <w:bookmarkEnd w:id="165"/>
    </w:p>
    <w:p w14:paraId="0363C636">
      <w:pPr>
        <w:spacing w:line="360" w:lineRule="auto"/>
        <w:ind w:firstLine="480" w:firstLineChars="200"/>
        <w:rPr>
          <w:rFonts w:eastAsiaTheme="minorEastAsia"/>
          <w:sz w:val="24"/>
        </w:rPr>
      </w:pPr>
      <w:r>
        <w:rPr>
          <w:rFonts w:hint="eastAsia" w:eastAsiaTheme="minorEastAsia"/>
          <w:sz w:val="24"/>
        </w:rPr>
        <w:t>（1）对园区所在地社会经济的影响</w:t>
      </w:r>
    </w:p>
    <w:p w14:paraId="60A1E774">
      <w:pPr>
        <w:spacing w:line="360" w:lineRule="auto"/>
        <w:ind w:firstLine="480" w:firstLineChars="200"/>
        <w:rPr>
          <w:rFonts w:eastAsiaTheme="minorEastAsia"/>
          <w:sz w:val="24"/>
        </w:rPr>
      </w:pPr>
      <w:r>
        <w:rPr>
          <w:rFonts w:hint="eastAsia" w:eastAsiaTheme="minorEastAsia"/>
          <w:sz w:val="24"/>
        </w:rPr>
        <w:t>在园区开发建设和发展过程中，社会环境由农村逐步向城市化转变，作为城市基础设施的道路、供水、供气、通信、输变电系统、城市排水系统等不断得到强化，同时，伴随着工业项目的引进，土地利用、基础设施各方面城市化特征越发明显。</w:t>
      </w:r>
    </w:p>
    <w:p w14:paraId="5CFDBF4D">
      <w:pPr>
        <w:spacing w:line="360" w:lineRule="auto"/>
        <w:ind w:firstLine="480" w:firstLineChars="200"/>
        <w:rPr>
          <w:rFonts w:eastAsiaTheme="minorEastAsia"/>
          <w:sz w:val="24"/>
        </w:rPr>
      </w:pPr>
      <w:r>
        <w:rPr>
          <w:rFonts w:hint="eastAsia" w:eastAsiaTheme="minorEastAsia"/>
          <w:sz w:val="24"/>
        </w:rPr>
        <w:t>随着区域内工业企业规范化建设，与园区周边企业在相关产品配套与服务方面形成整合优势，既可降低运输等各类中间成本，同时在产品研发上形成合力，提高产品性能与竞争力，可进一步增强园区的经济活力与整体实力。</w:t>
      </w:r>
    </w:p>
    <w:p w14:paraId="3EE715DF">
      <w:pPr>
        <w:spacing w:line="360" w:lineRule="auto"/>
        <w:ind w:firstLine="480" w:firstLineChars="200"/>
        <w:rPr>
          <w:rFonts w:eastAsiaTheme="minorEastAsia"/>
          <w:sz w:val="24"/>
        </w:rPr>
      </w:pPr>
      <w:r>
        <w:rPr>
          <w:rFonts w:hint="eastAsia" w:eastAsiaTheme="minorEastAsia"/>
          <w:sz w:val="24"/>
        </w:rPr>
        <w:t>（2）对随县周边区域经济发展的影响</w:t>
      </w:r>
    </w:p>
    <w:p w14:paraId="0B33B8C5">
      <w:pPr>
        <w:spacing w:line="360" w:lineRule="auto"/>
        <w:ind w:firstLine="480" w:firstLineChars="200"/>
        <w:rPr>
          <w:rFonts w:eastAsiaTheme="minorEastAsia"/>
          <w:sz w:val="24"/>
        </w:rPr>
      </w:pPr>
      <w:r>
        <w:rPr>
          <w:rFonts w:hint="eastAsia" w:eastAsiaTheme="minorEastAsia"/>
          <w:sz w:val="24"/>
        </w:rPr>
        <w:t>①有利于随县城市结构和功能调整</w:t>
      </w:r>
    </w:p>
    <w:p w14:paraId="60C09D55">
      <w:pPr>
        <w:spacing w:line="360" w:lineRule="auto"/>
        <w:ind w:firstLine="480" w:firstLineChars="200"/>
        <w:rPr>
          <w:rFonts w:eastAsiaTheme="minorEastAsia"/>
          <w:sz w:val="24"/>
        </w:rPr>
      </w:pPr>
      <w:r>
        <w:rPr>
          <w:rFonts w:hint="eastAsia" w:eastAsiaTheme="minorEastAsia"/>
          <w:sz w:val="24"/>
        </w:rPr>
        <w:t>随着城市建设和经济运行成本剧增，产业更新和内部挖潜难度日益加大。相对于城区内外其它区域，园区具有功能用地规模和潜力较大的优势，发展势头较好的优势，能以较低的边际成本提供较大的发展空间，既有利于推动城市空间的快速拓展，发挥园区在经济发展和环境建设中的示范效应，也有利于加速城市结构、城市发展模式的调整。从而加快随县的现代化城市建设步伐。</w:t>
      </w:r>
    </w:p>
    <w:p w14:paraId="65956B90">
      <w:pPr>
        <w:spacing w:line="360" w:lineRule="auto"/>
        <w:ind w:firstLine="480" w:firstLineChars="200"/>
        <w:rPr>
          <w:rFonts w:eastAsiaTheme="minorEastAsia"/>
          <w:sz w:val="24"/>
        </w:rPr>
      </w:pPr>
      <w:r>
        <w:rPr>
          <w:rFonts w:hint="eastAsia" w:eastAsiaTheme="minorEastAsia"/>
          <w:sz w:val="24"/>
        </w:rPr>
        <w:t>②对随县及周边区域经济发展的影响</w:t>
      </w:r>
    </w:p>
    <w:p w14:paraId="3228E565">
      <w:pPr>
        <w:spacing w:line="360" w:lineRule="auto"/>
        <w:ind w:firstLine="480" w:firstLineChars="200"/>
        <w:rPr>
          <w:rFonts w:eastAsiaTheme="minorEastAsia"/>
          <w:sz w:val="24"/>
        </w:rPr>
      </w:pPr>
      <w:r>
        <w:rPr>
          <w:rFonts w:hint="eastAsia" w:eastAsiaTheme="minorEastAsia"/>
          <w:sz w:val="24"/>
        </w:rPr>
        <w:t>从区域经济发展的实践来看，拉动经济增长的因素主要有三个：投资、净出口和消费。园区通过招商引资和市内大型企业在园区投资，以及利用区域的区位和交通优势，可对随县及园区的周边地区经济发展起到带动和促进作用。</w:t>
      </w:r>
    </w:p>
    <w:p w14:paraId="095238E8">
      <w:pPr>
        <w:spacing w:line="360" w:lineRule="auto"/>
        <w:ind w:firstLine="480" w:firstLineChars="200"/>
        <w:rPr>
          <w:rFonts w:eastAsiaTheme="minorEastAsia"/>
          <w:sz w:val="24"/>
        </w:rPr>
      </w:pPr>
      <w:r>
        <w:rPr>
          <w:rFonts w:hint="eastAsia" w:eastAsiaTheme="minorEastAsia"/>
          <w:sz w:val="24"/>
        </w:rPr>
        <w:t>规划的实施将有利于提高区域经济发展水平，对区域的产业结构调整、基础设施建设起到积极的作用。同时，随着规划的实施也将给区域的交通带来一定的压力，需要合理的规划布局以保障区域开发的顺利实施。</w:t>
      </w:r>
    </w:p>
    <w:p w14:paraId="390D0533">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66" w:name="_Toc206494994"/>
      <w:r>
        <w:rPr>
          <w:rFonts w:hint="eastAsia" w:eastAsiaTheme="minorEastAsia"/>
          <w:b/>
          <w:bCs/>
          <w:sz w:val="30"/>
          <w:szCs w:val="28"/>
        </w:rPr>
        <w:t>碳排放评价</w:t>
      </w:r>
      <w:bookmarkEnd w:id="166"/>
    </w:p>
    <w:p w14:paraId="51FA344F">
      <w:pPr>
        <w:keepNext/>
        <w:keepLines/>
        <w:widowControl/>
        <w:numPr>
          <w:ilvl w:val="2"/>
          <w:numId w:val="1"/>
        </w:numPr>
        <w:spacing w:before="120" w:after="120" w:line="360" w:lineRule="auto"/>
        <w:jc w:val="left"/>
        <w:outlineLvl w:val="2"/>
        <w:rPr>
          <w:rFonts w:eastAsiaTheme="minorEastAsia"/>
          <w:b/>
          <w:bCs/>
          <w:sz w:val="24"/>
        </w:rPr>
      </w:pPr>
      <w:bookmarkStart w:id="167" w:name="_Toc206494995"/>
      <w:r>
        <w:rPr>
          <w:rFonts w:hint="eastAsia" w:eastAsiaTheme="minorEastAsia"/>
          <w:b/>
          <w:bCs/>
          <w:sz w:val="24"/>
        </w:rPr>
        <w:t>碳排放背景</w:t>
      </w:r>
      <w:bookmarkEnd w:id="167"/>
    </w:p>
    <w:p w14:paraId="6E80BAA7">
      <w:pPr>
        <w:spacing w:line="360" w:lineRule="auto"/>
        <w:ind w:firstLine="480" w:firstLineChars="200"/>
        <w:rPr>
          <w:rFonts w:eastAsiaTheme="minorEastAsia"/>
          <w:sz w:val="24"/>
        </w:rPr>
      </w:pPr>
      <w:r>
        <w:rPr>
          <w:rFonts w:hint="eastAsia" w:eastAsiaTheme="minorEastAsia"/>
          <w:sz w:val="24"/>
        </w:rPr>
        <w:t>2020年9月22日，中国政府在第七十五届联合国大会上提出：“中国将提高国家自主贡献力度，采取更加有力的政策和措施，二氧化碳排放力争于2030年前达到峰值，努力争取2060年前实现碳中和。”2021年3月5日，2021年国务院政府工作报告中指出，扎实做好碳达峰、碳中和各项工作，制定2030年前碳排放达峰行动方案，优化产业结构和能源结构。</w:t>
      </w:r>
    </w:p>
    <w:p w14:paraId="58065054">
      <w:pPr>
        <w:spacing w:line="360" w:lineRule="auto"/>
        <w:ind w:firstLine="480" w:firstLineChars="200"/>
        <w:rPr>
          <w:rFonts w:eastAsiaTheme="minorEastAsia"/>
          <w:sz w:val="24"/>
        </w:rPr>
      </w:pPr>
      <w:r>
        <w:rPr>
          <w:rFonts w:hint="eastAsia" w:eastAsiaTheme="minorEastAsia"/>
          <w:sz w:val="24"/>
        </w:rPr>
        <w:t>生态环境部于2021年先后发布了《碳排放权交易管理办法(试行)》、《碳排放权登记管理规则(试行)》、《碳排放权交易管理规则(试行)》、《碳排放权结算管理规则(试行)》。等旨在加强规范全国碳排放权交易及相关活动，包括碳排放配额分配和清缴，碳排放权登记、交易、结算，温室气体排放报告与核查等活动，以及对前述活动的监督管理。</w:t>
      </w:r>
    </w:p>
    <w:p w14:paraId="7746F64C">
      <w:pPr>
        <w:spacing w:line="360" w:lineRule="auto"/>
        <w:ind w:firstLine="480" w:firstLineChars="200"/>
        <w:rPr>
          <w:rFonts w:eastAsiaTheme="minorEastAsia"/>
          <w:sz w:val="24"/>
        </w:rPr>
      </w:pPr>
      <w:r>
        <w:rPr>
          <w:rFonts w:hint="eastAsia" w:eastAsiaTheme="minorEastAsia"/>
          <w:sz w:val="24"/>
        </w:rPr>
        <w:t>随州市生态环境局于2023年4月27日发布了《随州市减污降碳协同增效实施方案》，明确总体要求：“到2025年，减污降碳协同推进的工作格局基本形成，协同度得到有效提升；重点产业结构优化调整和绿色低碳发展取得明显成效，主要污染物排放总量持续减少；多层次试点示范体系基本建成，绿色低碳技术推广应用取得新进展。到2030年，减污降碳协同能力显著提升，助力实现碳达峰目标；碳达峰与空气质量改善协同推进取得显著成效；水、土壤、固体废物等污染防治领域协同治理水平显著提高”。</w:t>
      </w:r>
    </w:p>
    <w:p w14:paraId="0A0D1255">
      <w:pPr>
        <w:keepNext/>
        <w:keepLines/>
        <w:widowControl/>
        <w:numPr>
          <w:ilvl w:val="2"/>
          <w:numId w:val="1"/>
        </w:numPr>
        <w:spacing w:before="120" w:after="120" w:line="360" w:lineRule="auto"/>
        <w:jc w:val="left"/>
        <w:outlineLvl w:val="2"/>
        <w:rPr>
          <w:rFonts w:eastAsiaTheme="minorEastAsia"/>
          <w:b/>
          <w:bCs/>
          <w:sz w:val="24"/>
        </w:rPr>
      </w:pPr>
      <w:bookmarkStart w:id="168" w:name="_Toc206494996"/>
      <w:r>
        <w:rPr>
          <w:rFonts w:hint="eastAsia" w:eastAsiaTheme="minorEastAsia"/>
          <w:b/>
          <w:bCs/>
          <w:sz w:val="24"/>
        </w:rPr>
        <w:t>碳排放分析</w:t>
      </w:r>
      <w:bookmarkEnd w:id="168"/>
    </w:p>
    <w:p w14:paraId="1FC02A33">
      <w:pPr>
        <w:spacing w:line="360" w:lineRule="auto"/>
        <w:ind w:firstLine="480" w:firstLineChars="200"/>
        <w:rPr>
          <w:rFonts w:eastAsiaTheme="minorEastAsia"/>
          <w:sz w:val="24"/>
        </w:rPr>
      </w:pPr>
      <w:r>
        <w:rPr>
          <w:rFonts w:hint="eastAsia" w:eastAsiaTheme="minorEastAsia"/>
          <w:sz w:val="24"/>
        </w:rPr>
        <w:t>（1）碳排放来源</w:t>
      </w:r>
    </w:p>
    <w:p w14:paraId="2C6265EB">
      <w:pPr>
        <w:spacing w:line="360" w:lineRule="auto"/>
        <w:ind w:firstLine="480" w:firstLineChars="200"/>
        <w:rPr>
          <w:rFonts w:eastAsiaTheme="minorEastAsia"/>
          <w:sz w:val="24"/>
        </w:rPr>
      </w:pPr>
      <w:r>
        <w:rPr>
          <w:rFonts w:hint="eastAsia" w:eastAsiaTheme="minorEastAsia"/>
          <w:sz w:val="24"/>
        </w:rPr>
        <w:t>本次规划区域主导产业为矿山开采、石材加工、资源循环利用等，根据《国家发展改革委办公厅关于印发第三批10个行业企业温室气体核算方法与报告指南(试行)的通知》(发改办气候[2015]1722号)中《工业其他行业企业温室气体排放核算方法与报告指南(试行)》。根据规划区域主导产业，入驻企业以矿山开采、石材加工、资源循环利用为主，此外还包含货物物流，企业的温室气体排放总量由化石燃料燃烧二氧化碳排放量、生产过程二氧化碳排放量(甲烷逃逸排放量、二氧化碳逃逸排放量)和净购入电力和热力隐含的CO</w:t>
      </w:r>
      <w:r>
        <w:rPr>
          <w:rFonts w:hint="eastAsia" w:eastAsiaTheme="minorEastAsia"/>
          <w:sz w:val="24"/>
          <w:vertAlign w:val="subscript"/>
        </w:rPr>
        <w:t>2</w:t>
      </w:r>
      <w:r>
        <w:rPr>
          <w:rFonts w:hint="eastAsia" w:eastAsiaTheme="minorEastAsia"/>
          <w:sz w:val="24"/>
        </w:rPr>
        <w:t>排放量组成。</w:t>
      </w:r>
    </w:p>
    <w:p w14:paraId="75F0CB36">
      <w:pPr>
        <w:spacing w:line="360" w:lineRule="auto"/>
        <w:ind w:firstLine="480" w:firstLineChars="200"/>
        <w:rPr>
          <w:rFonts w:eastAsiaTheme="minorEastAsia"/>
          <w:sz w:val="24"/>
        </w:rPr>
      </w:pPr>
      <w:r>
        <w:rPr>
          <w:rFonts w:hint="eastAsia" w:eastAsiaTheme="minorEastAsia"/>
          <w:sz w:val="24"/>
        </w:rPr>
        <w:t>（2）核算边界</w:t>
      </w:r>
    </w:p>
    <w:p w14:paraId="109CD785">
      <w:pPr>
        <w:spacing w:line="360" w:lineRule="auto"/>
        <w:ind w:firstLine="480" w:firstLineChars="200"/>
        <w:rPr>
          <w:rFonts w:eastAsiaTheme="minorEastAsia"/>
          <w:sz w:val="24"/>
        </w:rPr>
      </w:pPr>
      <w:r>
        <w:rPr>
          <w:rFonts w:hint="eastAsia" w:eastAsiaTheme="minorEastAsia"/>
          <w:sz w:val="24"/>
        </w:rPr>
        <w:t>设施范围包括基本生产系统、辅助生产系统</w:t>
      </w:r>
      <w:r>
        <w:rPr>
          <w:rFonts w:hint="eastAsia" w:eastAsiaTheme="minorEastAsia"/>
          <w:sz w:val="24"/>
          <w:lang w:eastAsia="zh-CN"/>
        </w:rPr>
        <w:t>以及</w:t>
      </w:r>
      <w:r>
        <w:rPr>
          <w:rFonts w:hint="eastAsia" w:eastAsiaTheme="minorEastAsia"/>
          <w:sz w:val="24"/>
        </w:rPr>
        <w:t>直接为生产服务的附属生产系统，其中辅助生产系统包括通风、运输、提升、排水系统，以及厂区内的动力、供电、采暖、制冷、机修、仓库等，附属生产系统包括生产指挥管理系统(厂部)以及厂区内为生产服务的部门和单位(如职工食堂、车间浴室等)。</w:t>
      </w:r>
    </w:p>
    <w:p w14:paraId="12BDE2BA">
      <w:pPr>
        <w:spacing w:line="360" w:lineRule="auto"/>
        <w:ind w:firstLine="480" w:firstLineChars="200"/>
        <w:rPr>
          <w:rFonts w:eastAsiaTheme="minorEastAsia"/>
          <w:sz w:val="24"/>
        </w:rPr>
      </w:pPr>
      <w:r>
        <w:rPr>
          <w:rFonts w:hint="eastAsia" w:eastAsiaTheme="minorEastAsia"/>
          <w:sz w:val="24"/>
        </w:rPr>
        <w:t>（3）碳排放源和气体种类</w:t>
      </w:r>
    </w:p>
    <w:p w14:paraId="222FDB97">
      <w:pPr>
        <w:spacing w:line="360" w:lineRule="auto"/>
        <w:ind w:firstLine="480" w:firstLineChars="200"/>
        <w:rPr>
          <w:rFonts w:eastAsiaTheme="minorEastAsia"/>
          <w:sz w:val="24"/>
        </w:rPr>
      </w:pPr>
      <w:r>
        <w:rPr>
          <w:rFonts w:hint="eastAsia" w:eastAsiaTheme="minorEastAsia"/>
          <w:sz w:val="24"/>
        </w:rPr>
        <w:t>根据《工业其他行业企业温室气体排放核算方法与报告指南(试行)》，温室气体定义：大气层中那些吸收和重新放出红外辐射的自然和人为的气态成分。指南中的温室气体是指《京都议定书》附件A所规定的六种温室气体，分别为二氧化碳（CO</w:t>
      </w:r>
      <w:r>
        <w:rPr>
          <w:rFonts w:hint="eastAsia" w:eastAsiaTheme="minorEastAsia"/>
          <w:sz w:val="24"/>
          <w:vertAlign w:val="subscript"/>
        </w:rPr>
        <w:t>2</w:t>
      </w:r>
      <w:r>
        <w:rPr>
          <w:rFonts w:hint="eastAsia" w:eastAsiaTheme="minorEastAsia"/>
          <w:sz w:val="24"/>
        </w:rPr>
        <w:t>）、甲烷（CH</w:t>
      </w:r>
      <w:r>
        <w:rPr>
          <w:rFonts w:hint="eastAsia" w:eastAsiaTheme="minorEastAsia"/>
          <w:sz w:val="24"/>
          <w:vertAlign w:val="subscript"/>
        </w:rPr>
        <w:t>4</w:t>
      </w:r>
      <w:r>
        <w:rPr>
          <w:rFonts w:hint="eastAsia" w:eastAsiaTheme="minorEastAsia"/>
          <w:sz w:val="24"/>
        </w:rPr>
        <w:t>）、氧化亚氮（N</w:t>
      </w:r>
      <w:r>
        <w:rPr>
          <w:rFonts w:hint="eastAsia" w:eastAsiaTheme="minorEastAsia"/>
          <w:sz w:val="24"/>
          <w:vertAlign w:val="subscript"/>
        </w:rPr>
        <w:t>2</w:t>
      </w:r>
      <w:r>
        <w:rPr>
          <w:rFonts w:hint="eastAsia" w:eastAsiaTheme="minorEastAsia"/>
          <w:sz w:val="24"/>
        </w:rPr>
        <w:t>O）、氢氟碳化物（HFCs）、全氟碳化物（PFCs）和六氟化硫（SF</w:t>
      </w:r>
      <w:r>
        <w:rPr>
          <w:rFonts w:hint="eastAsia" w:eastAsiaTheme="minorEastAsia"/>
          <w:sz w:val="24"/>
          <w:vertAlign w:val="subscript"/>
        </w:rPr>
        <w:t>6</w:t>
      </w:r>
      <w:r>
        <w:rPr>
          <w:rFonts w:hint="eastAsia" w:eastAsiaTheme="minorEastAsia"/>
          <w:sz w:val="24"/>
        </w:rPr>
        <w:t>）。</w:t>
      </w:r>
    </w:p>
    <w:p w14:paraId="25344109">
      <w:pPr>
        <w:spacing w:line="360" w:lineRule="auto"/>
        <w:ind w:firstLine="480" w:firstLineChars="200"/>
        <w:rPr>
          <w:rFonts w:eastAsiaTheme="minorEastAsia"/>
          <w:sz w:val="24"/>
        </w:rPr>
      </w:pPr>
      <w:r>
        <w:rPr>
          <w:rFonts w:hint="eastAsia" w:eastAsiaTheme="minorEastAsia"/>
          <w:sz w:val="24"/>
        </w:rPr>
        <w:t>本次规划区内拟入驻项目碳排放源和气体主要为：液化石油气和天然气燃料燃烧CO</w:t>
      </w:r>
      <w:r>
        <w:rPr>
          <w:rFonts w:hint="eastAsia" w:eastAsiaTheme="minorEastAsia"/>
          <w:sz w:val="24"/>
          <w:vertAlign w:val="subscript"/>
        </w:rPr>
        <w:t>2</w:t>
      </w:r>
      <w:r>
        <w:rPr>
          <w:rFonts w:hint="eastAsia" w:eastAsiaTheme="minorEastAsia"/>
          <w:sz w:val="24"/>
        </w:rPr>
        <w:t>排放和净购入电力和热力隐含的CO</w:t>
      </w:r>
      <w:r>
        <w:rPr>
          <w:rFonts w:hint="eastAsia" w:eastAsiaTheme="minorEastAsia"/>
          <w:sz w:val="24"/>
          <w:vertAlign w:val="subscript"/>
        </w:rPr>
        <w:t>2</w:t>
      </w:r>
      <w:r>
        <w:rPr>
          <w:rFonts w:hint="eastAsia" w:eastAsiaTheme="minorEastAsia"/>
          <w:sz w:val="24"/>
        </w:rPr>
        <w:t>排放。排放源和气体种类识别详见下表。</w:t>
      </w:r>
    </w:p>
    <w:p w14:paraId="17DAF9BF">
      <w:pPr>
        <w:spacing w:line="360" w:lineRule="auto"/>
        <w:jc w:val="center"/>
        <w:rPr>
          <w:rFonts w:eastAsiaTheme="minorEastAsia"/>
          <w:b/>
          <w:szCs w:val="21"/>
        </w:rPr>
      </w:pPr>
      <w:r>
        <w:rPr>
          <w:rFonts w:hint="eastAsia" w:eastAsiaTheme="minorEastAsia"/>
          <w:b/>
          <w:szCs w:val="21"/>
        </w:rPr>
        <w:t>表5.6.2-1  本次园区碳排放源识别表</w:t>
      </w:r>
    </w:p>
    <w:tbl>
      <w:tblPr>
        <w:tblStyle w:val="8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8"/>
        <w:gridCol w:w="2125"/>
        <w:gridCol w:w="1276"/>
        <w:gridCol w:w="708"/>
        <w:gridCol w:w="710"/>
        <w:gridCol w:w="708"/>
        <w:gridCol w:w="849"/>
        <w:gridCol w:w="710"/>
        <w:gridCol w:w="624"/>
      </w:tblGrid>
      <w:tr w14:paraId="4FE46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26" w:type="pct"/>
            <w:gridSpan w:val="2"/>
            <w:vMerge w:val="restart"/>
            <w:vAlign w:val="center"/>
          </w:tcPr>
          <w:p w14:paraId="47B12E06">
            <w:pPr>
              <w:widowControl/>
              <w:jc w:val="center"/>
              <w:rPr>
                <w:kern w:val="0"/>
                <w:szCs w:val="21"/>
              </w:rPr>
            </w:pPr>
            <w:r>
              <w:rPr>
                <w:kern w:val="0"/>
                <w:szCs w:val="21"/>
              </w:rPr>
              <w:t>排放类型</w:t>
            </w:r>
          </w:p>
        </w:tc>
        <w:tc>
          <w:tcPr>
            <w:tcW w:w="748" w:type="pct"/>
            <w:vMerge w:val="restart"/>
            <w:vAlign w:val="center"/>
          </w:tcPr>
          <w:p w14:paraId="46DD98C8">
            <w:pPr>
              <w:widowControl/>
              <w:jc w:val="center"/>
              <w:rPr>
                <w:kern w:val="0"/>
                <w:szCs w:val="21"/>
              </w:rPr>
            </w:pPr>
            <w:r>
              <w:rPr>
                <w:kern w:val="0"/>
                <w:szCs w:val="21"/>
              </w:rPr>
              <w:t>排放设施</w:t>
            </w:r>
          </w:p>
        </w:tc>
        <w:tc>
          <w:tcPr>
            <w:tcW w:w="2526" w:type="pct"/>
            <w:gridSpan w:val="6"/>
            <w:tcBorders>
              <w:bottom w:val="single" w:color="auto" w:sz="4" w:space="0"/>
            </w:tcBorders>
            <w:vAlign w:val="center"/>
          </w:tcPr>
          <w:p w14:paraId="26A9F980">
            <w:pPr>
              <w:widowControl/>
              <w:jc w:val="center"/>
              <w:rPr>
                <w:kern w:val="0"/>
                <w:szCs w:val="21"/>
              </w:rPr>
            </w:pPr>
            <w:r>
              <w:rPr>
                <w:rFonts w:hint="eastAsia"/>
                <w:kern w:val="0"/>
                <w:szCs w:val="21"/>
              </w:rPr>
              <w:t>温室气体种类</w:t>
            </w:r>
          </w:p>
        </w:tc>
      </w:tr>
      <w:tr w14:paraId="584DD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726" w:type="pct"/>
            <w:gridSpan w:val="2"/>
            <w:vMerge w:val="continue"/>
            <w:vAlign w:val="center"/>
          </w:tcPr>
          <w:p w14:paraId="75B5A072">
            <w:pPr>
              <w:widowControl/>
              <w:jc w:val="center"/>
              <w:rPr>
                <w:kern w:val="0"/>
                <w:szCs w:val="21"/>
              </w:rPr>
            </w:pPr>
          </w:p>
        </w:tc>
        <w:tc>
          <w:tcPr>
            <w:tcW w:w="748" w:type="pct"/>
            <w:vMerge w:val="continue"/>
            <w:vAlign w:val="center"/>
          </w:tcPr>
          <w:p w14:paraId="6AE751C3">
            <w:pPr>
              <w:widowControl/>
              <w:jc w:val="center"/>
              <w:rPr>
                <w:kern w:val="0"/>
                <w:szCs w:val="21"/>
              </w:rPr>
            </w:pPr>
          </w:p>
        </w:tc>
        <w:tc>
          <w:tcPr>
            <w:tcW w:w="415" w:type="pct"/>
            <w:tcBorders>
              <w:top w:val="single" w:color="auto" w:sz="4" w:space="0"/>
            </w:tcBorders>
            <w:vAlign w:val="center"/>
          </w:tcPr>
          <w:p w14:paraId="51F73597">
            <w:pPr>
              <w:widowControl/>
              <w:jc w:val="center"/>
              <w:rPr>
                <w:kern w:val="0"/>
                <w:szCs w:val="21"/>
              </w:rPr>
            </w:pPr>
            <w:r>
              <w:rPr>
                <w:rFonts w:hint="eastAsia"/>
                <w:kern w:val="0"/>
                <w:szCs w:val="21"/>
              </w:rPr>
              <w:t>CO</w:t>
            </w:r>
            <w:r>
              <w:rPr>
                <w:rFonts w:hint="eastAsia"/>
                <w:kern w:val="0"/>
                <w:szCs w:val="21"/>
                <w:vertAlign w:val="subscript"/>
              </w:rPr>
              <w:t>2</w:t>
            </w:r>
          </w:p>
        </w:tc>
        <w:tc>
          <w:tcPr>
            <w:tcW w:w="416" w:type="pct"/>
            <w:tcBorders>
              <w:top w:val="single" w:color="auto" w:sz="4" w:space="0"/>
              <w:right w:val="single" w:color="auto" w:sz="4" w:space="0"/>
            </w:tcBorders>
            <w:vAlign w:val="center"/>
          </w:tcPr>
          <w:p w14:paraId="422097F9">
            <w:pPr>
              <w:widowControl/>
              <w:jc w:val="center"/>
              <w:rPr>
                <w:kern w:val="0"/>
                <w:szCs w:val="21"/>
              </w:rPr>
            </w:pPr>
            <w:r>
              <w:rPr>
                <w:kern w:val="0"/>
                <w:szCs w:val="21"/>
              </w:rPr>
              <w:t>C</w:t>
            </w:r>
            <w:r>
              <w:rPr>
                <w:rFonts w:hint="eastAsia"/>
                <w:kern w:val="0"/>
                <w:szCs w:val="21"/>
              </w:rPr>
              <w:t>H</w:t>
            </w:r>
            <w:r>
              <w:rPr>
                <w:rFonts w:hint="eastAsia"/>
                <w:kern w:val="0"/>
                <w:szCs w:val="21"/>
                <w:vertAlign w:val="subscript"/>
              </w:rPr>
              <w:t>4</w:t>
            </w:r>
          </w:p>
        </w:tc>
        <w:tc>
          <w:tcPr>
            <w:tcW w:w="415" w:type="pct"/>
            <w:tcBorders>
              <w:top w:val="single" w:color="auto" w:sz="4" w:space="0"/>
              <w:left w:val="single" w:color="auto" w:sz="4" w:space="0"/>
            </w:tcBorders>
            <w:vAlign w:val="center"/>
          </w:tcPr>
          <w:p w14:paraId="0010064B">
            <w:pPr>
              <w:widowControl/>
              <w:jc w:val="center"/>
              <w:rPr>
                <w:kern w:val="0"/>
                <w:szCs w:val="21"/>
              </w:rPr>
            </w:pPr>
            <w:r>
              <w:rPr>
                <w:kern w:val="0"/>
                <w:szCs w:val="21"/>
              </w:rPr>
              <w:t>N</w:t>
            </w:r>
            <w:r>
              <w:rPr>
                <w:kern w:val="0"/>
                <w:szCs w:val="21"/>
                <w:vertAlign w:val="subscript"/>
              </w:rPr>
              <w:t>2</w:t>
            </w:r>
            <w:r>
              <w:rPr>
                <w:kern w:val="0"/>
                <w:szCs w:val="21"/>
              </w:rPr>
              <w:t>O</w:t>
            </w:r>
          </w:p>
        </w:tc>
        <w:tc>
          <w:tcPr>
            <w:tcW w:w="498" w:type="pct"/>
            <w:tcBorders>
              <w:top w:val="single" w:color="auto" w:sz="4" w:space="0"/>
              <w:right w:val="single" w:color="auto" w:sz="4" w:space="0"/>
            </w:tcBorders>
            <w:vAlign w:val="center"/>
          </w:tcPr>
          <w:p w14:paraId="5BDBDE68">
            <w:pPr>
              <w:widowControl/>
              <w:jc w:val="center"/>
              <w:rPr>
                <w:kern w:val="0"/>
                <w:szCs w:val="21"/>
              </w:rPr>
            </w:pPr>
            <w:r>
              <w:rPr>
                <w:rFonts w:hint="eastAsia"/>
                <w:kern w:val="0"/>
                <w:szCs w:val="21"/>
              </w:rPr>
              <w:t>HFCs</w:t>
            </w:r>
          </w:p>
        </w:tc>
        <w:tc>
          <w:tcPr>
            <w:tcW w:w="416" w:type="pct"/>
            <w:tcBorders>
              <w:top w:val="single" w:color="auto" w:sz="4" w:space="0"/>
              <w:left w:val="single" w:color="auto" w:sz="4" w:space="0"/>
            </w:tcBorders>
            <w:vAlign w:val="center"/>
          </w:tcPr>
          <w:p w14:paraId="4FA6F208">
            <w:pPr>
              <w:widowControl/>
              <w:jc w:val="center"/>
              <w:rPr>
                <w:kern w:val="0"/>
                <w:szCs w:val="21"/>
              </w:rPr>
            </w:pPr>
            <w:r>
              <w:rPr>
                <w:kern w:val="0"/>
                <w:szCs w:val="21"/>
              </w:rPr>
              <w:t>PFCs</w:t>
            </w:r>
          </w:p>
        </w:tc>
        <w:tc>
          <w:tcPr>
            <w:tcW w:w="366" w:type="pct"/>
            <w:tcBorders>
              <w:top w:val="single" w:color="auto" w:sz="4" w:space="0"/>
            </w:tcBorders>
            <w:vAlign w:val="center"/>
          </w:tcPr>
          <w:p w14:paraId="2FD92E36">
            <w:pPr>
              <w:widowControl/>
              <w:jc w:val="center"/>
              <w:rPr>
                <w:kern w:val="0"/>
                <w:szCs w:val="21"/>
              </w:rPr>
            </w:pPr>
            <w:r>
              <w:rPr>
                <w:kern w:val="0"/>
                <w:szCs w:val="21"/>
              </w:rPr>
              <w:t>SF</w:t>
            </w:r>
            <w:r>
              <w:rPr>
                <w:rFonts w:hint="eastAsia"/>
                <w:kern w:val="0"/>
                <w:szCs w:val="21"/>
                <w:vertAlign w:val="subscript"/>
              </w:rPr>
              <w:t>6</w:t>
            </w:r>
          </w:p>
        </w:tc>
      </w:tr>
      <w:tr w14:paraId="35C95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80" w:type="pct"/>
            <w:vMerge w:val="restart"/>
            <w:tcBorders>
              <w:right w:val="single" w:color="auto" w:sz="4" w:space="0"/>
            </w:tcBorders>
            <w:vAlign w:val="center"/>
          </w:tcPr>
          <w:p w14:paraId="3B5A495C">
            <w:pPr>
              <w:widowControl/>
              <w:jc w:val="center"/>
              <w:rPr>
                <w:kern w:val="0"/>
                <w:szCs w:val="21"/>
              </w:rPr>
            </w:pPr>
            <w:r>
              <w:rPr>
                <w:kern w:val="0"/>
                <w:szCs w:val="21"/>
              </w:rPr>
              <w:t>直接排放</w:t>
            </w:r>
          </w:p>
        </w:tc>
        <w:tc>
          <w:tcPr>
            <w:tcW w:w="1246" w:type="pct"/>
            <w:tcBorders>
              <w:left w:val="single" w:color="auto" w:sz="4" w:space="0"/>
            </w:tcBorders>
            <w:vAlign w:val="center"/>
          </w:tcPr>
          <w:p w14:paraId="737344BB">
            <w:pPr>
              <w:widowControl/>
              <w:jc w:val="center"/>
              <w:rPr>
                <w:kern w:val="0"/>
                <w:szCs w:val="21"/>
              </w:rPr>
            </w:pPr>
            <w:r>
              <w:rPr>
                <w:kern w:val="0"/>
                <w:szCs w:val="21"/>
              </w:rPr>
              <w:t>化石燃料燃烧</w:t>
            </w:r>
          </w:p>
        </w:tc>
        <w:tc>
          <w:tcPr>
            <w:tcW w:w="748" w:type="pct"/>
            <w:shd w:val="clear" w:color="auto" w:fill="auto"/>
            <w:vAlign w:val="center"/>
          </w:tcPr>
          <w:p w14:paraId="602D1061">
            <w:pPr>
              <w:widowControl/>
              <w:jc w:val="center"/>
              <w:rPr>
                <w:kern w:val="0"/>
                <w:szCs w:val="21"/>
              </w:rPr>
            </w:pPr>
            <w:r>
              <w:rPr>
                <w:kern w:val="0"/>
                <w:szCs w:val="21"/>
              </w:rPr>
              <w:t>液化石油气</w:t>
            </w:r>
          </w:p>
        </w:tc>
        <w:tc>
          <w:tcPr>
            <w:tcW w:w="415" w:type="pct"/>
            <w:shd w:val="clear" w:color="auto" w:fill="auto"/>
            <w:vAlign w:val="center"/>
          </w:tcPr>
          <w:p w14:paraId="6337B978">
            <w:pPr>
              <w:jc w:val="center"/>
              <w:rPr>
                <w:szCs w:val="21"/>
              </w:rPr>
            </w:pPr>
            <w:r>
              <w:rPr>
                <w:rFonts w:hint="eastAsia"/>
                <w:szCs w:val="21"/>
              </w:rPr>
              <w:t>√</w:t>
            </w:r>
          </w:p>
        </w:tc>
        <w:tc>
          <w:tcPr>
            <w:tcW w:w="416" w:type="pct"/>
            <w:tcBorders>
              <w:right w:val="single" w:color="auto" w:sz="4" w:space="0"/>
            </w:tcBorders>
            <w:shd w:val="clear" w:color="auto" w:fill="auto"/>
            <w:vAlign w:val="center"/>
          </w:tcPr>
          <w:p w14:paraId="30687CCE">
            <w:pPr>
              <w:jc w:val="center"/>
              <w:rPr>
                <w:szCs w:val="21"/>
              </w:rPr>
            </w:pPr>
          </w:p>
        </w:tc>
        <w:tc>
          <w:tcPr>
            <w:tcW w:w="415" w:type="pct"/>
            <w:tcBorders>
              <w:left w:val="single" w:color="auto" w:sz="4" w:space="0"/>
            </w:tcBorders>
            <w:shd w:val="clear" w:color="auto" w:fill="auto"/>
            <w:vAlign w:val="center"/>
          </w:tcPr>
          <w:p w14:paraId="4A9F46CB">
            <w:pPr>
              <w:jc w:val="center"/>
              <w:rPr>
                <w:szCs w:val="21"/>
              </w:rPr>
            </w:pPr>
          </w:p>
        </w:tc>
        <w:tc>
          <w:tcPr>
            <w:tcW w:w="498" w:type="pct"/>
            <w:tcBorders>
              <w:right w:val="single" w:color="auto" w:sz="4" w:space="0"/>
            </w:tcBorders>
            <w:shd w:val="clear" w:color="auto" w:fill="auto"/>
            <w:vAlign w:val="center"/>
          </w:tcPr>
          <w:p w14:paraId="77973E12">
            <w:pPr>
              <w:jc w:val="center"/>
              <w:rPr>
                <w:szCs w:val="21"/>
              </w:rPr>
            </w:pPr>
          </w:p>
        </w:tc>
        <w:tc>
          <w:tcPr>
            <w:tcW w:w="416" w:type="pct"/>
            <w:tcBorders>
              <w:left w:val="single" w:color="auto" w:sz="4" w:space="0"/>
            </w:tcBorders>
            <w:shd w:val="clear" w:color="auto" w:fill="auto"/>
            <w:vAlign w:val="center"/>
          </w:tcPr>
          <w:p w14:paraId="26D79BA7">
            <w:pPr>
              <w:jc w:val="center"/>
              <w:rPr>
                <w:szCs w:val="21"/>
              </w:rPr>
            </w:pPr>
          </w:p>
        </w:tc>
        <w:tc>
          <w:tcPr>
            <w:tcW w:w="366" w:type="pct"/>
            <w:shd w:val="clear" w:color="auto" w:fill="auto"/>
            <w:vAlign w:val="center"/>
          </w:tcPr>
          <w:p w14:paraId="1E3AA116">
            <w:pPr>
              <w:jc w:val="center"/>
              <w:rPr>
                <w:szCs w:val="21"/>
              </w:rPr>
            </w:pPr>
          </w:p>
        </w:tc>
      </w:tr>
      <w:tr w14:paraId="4395F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80" w:type="pct"/>
            <w:vMerge w:val="continue"/>
            <w:tcBorders>
              <w:right w:val="single" w:color="auto" w:sz="4" w:space="0"/>
            </w:tcBorders>
            <w:vAlign w:val="center"/>
          </w:tcPr>
          <w:p w14:paraId="16121037">
            <w:pPr>
              <w:widowControl/>
              <w:jc w:val="center"/>
              <w:rPr>
                <w:kern w:val="0"/>
                <w:szCs w:val="21"/>
              </w:rPr>
            </w:pPr>
          </w:p>
        </w:tc>
        <w:tc>
          <w:tcPr>
            <w:tcW w:w="1246" w:type="pct"/>
            <w:tcBorders>
              <w:left w:val="single" w:color="auto" w:sz="4" w:space="0"/>
            </w:tcBorders>
            <w:vAlign w:val="center"/>
          </w:tcPr>
          <w:p w14:paraId="260AF8E8">
            <w:pPr>
              <w:widowControl/>
              <w:jc w:val="center"/>
              <w:rPr>
                <w:kern w:val="0"/>
                <w:szCs w:val="21"/>
              </w:rPr>
            </w:pPr>
            <w:r>
              <w:rPr>
                <w:kern w:val="0"/>
                <w:szCs w:val="21"/>
              </w:rPr>
              <w:t>物流运输</w:t>
            </w:r>
          </w:p>
        </w:tc>
        <w:tc>
          <w:tcPr>
            <w:tcW w:w="748" w:type="pct"/>
            <w:shd w:val="clear" w:color="auto" w:fill="auto"/>
            <w:vAlign w:val="center"/>
          </w:tcPr>
          <w:p w14:paraId="01F8A73D">
            <w:pPr>
              <w:jc w:val="center"/>
              <w:rPr>
                <w:szCs w:val="21"/>
              </w:rPr>
            </w:pPr>
            <w:r>
              <w:rPr>
                <w:szCs w:val="21"/>
              </w:rPr>
              <w:t>汽车</w:t>
            </w:r>
          </w:p>
        </w:tc>
        <w:tc>
          <w:tcPr>
            <w:tcW w:w="415" w:type="pct"/>
            <w:shd w:val="clear" w:color="auto" w:fill="auto"/>
            <w:vAlign w:val="center"/>
          </w:tcPr>
          <w:p w14:paraId="64F51EAA">
            <w:pPr>
              <w:jc w:val="center"/>
              <w:rPr>
                <w:szCs w:val="21"/>
              </w:rPr>
            </w:pPr>
            <w:r>
              <w:rPr>
                <w:rFonts w:hint="eastAsia"/>
                <w:szCs w:val="21"/>
              </w:rPr>
              <w:t>√</w:t>
            </w:r>
          </w:p>
        </w:tc>
        <w:tc>
          <w:tcPr>
            <w:tcW w:w="416" w:type="pct"/>
            <w:tcBorders>
              <w:right w:val="single" w:color="auto" w:sz="4" w:space="0"/>
            </w:tcBorders>
            <w:shd w:val="clear" w:color="auto" w:fill="auto"/>
            <w:vAlign w:val="center"/>
          </w:tcPr>
          <w:p w14:paraId="404E7FEB">
            <w:pPr>
              <w:jc w:val="center"/>
              <w:rPr>
                <w:szCs w:val="21"/>
              </w:rPr>
            </w:pPr>
          </w:p>
        </w:tc>
        <w:tc>
          <w:tcPr>
            <w:tcW w:w="415" w:type="pct"/>
            <w:tcBorders>
              <w:left w:val="single" w:color="auto" w:sz="4" w:space="0"/>
            </w:tcBorders>
            <w:shd w:val="clear" w:color="auto" w:fill="auto"/>
            <w:vAlign w:val="center"/>
          </w:tcPr>
          <w:p w14:paraId="7B678C1F">
            <w:pPr>
              <w:jc w:val="center"/>
              <w:rPr>
                <w:szCs w:val="21"/>
              </w:rPr>
            </w:pPr>
          </w:p>
        </w:tc>
        <w:tc>
          <w:tcPr>
            <w:tcW w:w="498" w:type="pct"/>
            <w:tcBorders>
              <w:right w:val="single" w:color="auto" w:sz="4" w:space="0"/>
            </w:tcBorders>
            <w:shd w:val="clear" w:color="auto" w:fill="auto"/>
            <w:vAlign w:val="center"/>
          </w:tcPr>
          <w:p w14:paraId="768E33AD">
            <w:pPr>
              <w:jc w:val="center"/>
              <w:rPr>
                <w:szCs w:val="21"/>
              </w:rPr>
            </w:pPr>
          </w:p>
        </w:tc>
        <w:tc>
          <w:tcPr>
            <w:tcW w:w="416" w:type="pct"/>
            <w:tcBorders>
              <w:left w:val="single" w:color="auto" w:sz="4" w:space="0"/>
            </w:tcBorders>
            <w:shd w:val="clear" w:color="auto" w:fill="auto"/>
            <w:vAlign w:val="center"/>
          </w:tcPr>
          <w:p w14:paraId="57D99309">
            <w:pPr>
              <w:jc w:val="center"/>
              <w:rPr>
                <w:szCs w:val="21"/>
              </w:rPr>
            </w:pPr>
          </w:p>
        </w:tc>
        <w:tc>
          <w:tcPr>
            <w:tcW w:w="366" w:type="pct"/>
            <w:shd w:val="clear" w:color="auto" w:fill="auto"/>
            <w:vAlign w:val="center"/>
          </w:tcPr>
          <w:p w14:paraId="2B671068">
            <w:pPr>
              <w:jc w:val="center"/>
              <w:rPr>
                <w:szCs w:val="21"/>
              </w:rPr>
            </w:pPr>
          </w:p>
        </w:tc>
      </w:tr>
      <w:tr w14:paraId="05200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80" w:type="pct"/>
            <w:vMerge w:val="continue"/>
            <w:tcBorders>
              <w:right w:val="single" w:color="auto" w:sz="4" w:space="0"/>
            </w:tcBorders>
            <w:vAlign w:val="center"/>
          </w:tcPr>
          <w:p w14:paraId="35E8CACF">
            <w:pPr>
              <w:widowControl/>
              <w:jc w:val="center"/>
              <w:rPr>
                <w:kern w:val="0"/>
                <w:szCs w:val="21"/>
              </w:rPr>
            </w:pPr>
          </w:p>
        </w:tc>
        <w:tc>
          <w:tcPr>
            <w:tcW w:w="1246" w:type="pct"/>
            <w:tcBorders>
              <w:left w:val="single" w:color="auto" w:sz="4" w:space="0"/>
            </w:tcBorders>
            <w:vAlign w:val="center"/>
          </w:tcPr>
          <w:p w14:paraId="7D9B84AF">
            <w:pPr>
              <w:widowControl/>
              <w:jc w:val="center"/>
              <w:rPr>
                <w:kern w:val="0"/>
                <w:szCs w:val="21"/>
              </w:rPr>
            </w:pPr>
            <w:r>
              <w:rPr>
                <w:kern w:val="0"/>
                <w:szCs w:val="21"/>
              </w:rPr>
              <w:t>工业过程排放</w:t>
            </w:r>
          </w:p>
        </w:tc>
        <w:tc>
          <w:tcPr>
            <w:tcW w:w="748" w:type="pct"/>
            <w:shd w:val="clear" w:color="auto" w:fill="auto"/>
            <w:vAlign w:val="center"/>
          </w:tcPr>
          <w:p w14:paraId="291E924C">
            <w:pPr>
              <w:jc w:val="center"/>
              <w:rPr>
                <w:szCs w:val="21"/>
              </w:rPr>
            </w:pPr>
            <w:r>
              <w:rPr>
                <w:rFonts w:hint="eastAsia"/>
                <w:szCs w:val="21"/>
              </w:rPr>
              <w:t>/</w:t>
            </w:r>
          </w:p>
        </w:tc>
        <w:tc>
          <w:tcPr>
            <w:tcW w:w="415" w:type="pct"/>
            <w:shd w:val="clear" w:color="auto" w:fill="auto"/>
            <w:vAlign w:val="center"/>
          </w:tcPr>
          <w:p w14:paraId="07E57DEE">
            <w:pPr>
              <w:jc w:val="center"/>
              <w:rPr>
                <w:szCs w:val="21"/>
              </w:rPr>
            </w:pPr>
            <w:r>
              <w:rPr>
                <w:rFonts w:hint="eastAsia"/>
                <w:szCs w:val="21"/>
              </w:rPr>
              <w:t>/</w:t>
            </w:r>
          </w:p>
        </w:tc>
        <w:tc>
          <w:tcPr>
            <w:tcW w:w="416" w:type="pct"/>
            <w:tcBorders>
              <w:right w:val="single" w:color="auto" w:sz="4" w:space="0"/>
            </w:tcBorders>
            <w:shd w:val="clear" w:color="auto" w:fill="auto"/>
            <w:vAlign w:val="center"/>
          </w:tcPr>
          <w:p w14:paraId="74AF29FA">
            <w:pPr>
              <w:jc w:val="center"/>
              <w:rPr>
                <w:szCs w:val="21"/>
              </w:rPr>
            </w:pPr>
          </w:p>
        </w:tc>
        <w:tc>
          <w:tcPr>
            <w:tcW w:w="415" w:type="pct"/>
            <w:tcBorders>
              <w:left w:val="single" w:color="auto" w:sz="4" w:space="0"/>
            </w:tcBorders>
            <w:shd w:val="clear" w:color="auto" w:fill="auto"/>
            <w:vAlign w:val="center"/>
          </w:tcPr>
          <w:p w14:paraId="7DC67C75">
            <w:pPr>
              <w:jc w:val="center"/>
              <w:rPr>
                <w:szCs w:val="21"/>
              </w:rPr>
            </w:pPr>
          </w:p>
        </w:tc>
        <w:tc>
          <w:tcPr>
            <w:tcW w:w="498" w:type="pct"/>
            <w:tcBorders>
              <w:right w:val="single" w:color="auto" w:sz="4" w:space="0"/>
            </w:tcBorders>
            <w:shd w:val="clear" w:color="auto" w:fill="auto"/>
            <w:vAlign w:val="center"/>
          </w:tcPr>
          <w:p w14:paraId="50085BE7">
            <w:pPr>
              <w:jc w:val="center"/>
              <w:rPr>
                <w:szCs w:val="21"/>
              </w:rPr>
            </w:pPr>
          </w:p>
        </w:tc>
        <w:tc>
          <w:tcPr>
            <w:tcW w:w="416" w:type="pct"/>
            <w:tcBorders>
              <w:left w:val="single" w:color="auto" w:sz="4" w:space="0"/>
            </w:tcBorders>
            <w:shd w:val="clear" w:color="auto" w:fill="auto"/>
            <w:vAlign w:val="center"/>
          </w:tcPr>
          <w:p w14:paraId="4E418481">
            <w:pPr>
              <w:jc w:val="center"/>
              <w:rPr>
                <w:szCs w:val="21"/>
              </w:rPr>
            </w:pPr>
          </w:p>
        </w:tc>
        <w:tc>
          <w:tcPr>
            <w:tcW w:w="366" w:type="pct"/>
            <w:shd w:val="clear" w:color="auto" w:fill="auto"/>
            <w:vAlign w:val="center"/>
          </w:tcPr>
          <w:p w14:paraId="7255A556">
            <w:pPr>
              <w:jc w:val="center"/>
              <w:rPr>
                <w:szCs w:val="21"/>
              </w:rPr>
            </w:pPr>
          </w:p>
        </w:tc>
      </w:tr>
      <w:tr w14:paraId="1D002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80" w:type="pct"/>
            <w:tcBorders>
              <w:right w:val="single" w:color="auto" w:sz="4" w:space="0"/>
            </w:tcBorders>
            <w:vAlign w:val="center"/>
          </w:tcPr>
          <w:p w14:paraId="46BB9F36">
            <w:pPr>
              <w:widowControl/>
              <w:jc w:val="center"/>
              <w:rPr>
                <w:kern w:val="0"/>
                <w:szCs w:val="21"/>
              </w:rPr>
            </w:pPr>
            <w:r>
              <w:rPr>
                <w:kern w:val="0"/>
                <w:szCs w:val="21"/>
              </w:rPr>
              <w:t>间接排放</w:t>
            </w:r>
          </w:p>
        </w:tc>
        <w:tc>
          <w:tcPr>
            <w:tcW w:w="1246" w:type="pct"/>
            <w:tcBorders>
              <w:left w:val="single" w:color="auto" w:sz="4" w:space="0"/>
            </w:tcBorders>
            <w:vAlign w:val="center"/>
          </w:tcPr>
          <w:p w14:paraId="00C99CA5">
            <w:pPr>
              <w:widowControl/>
              <w:jc w:val="center"/>
              <w:rPr>
                <w:kern w:val="0"/>
                <w:szCs w:val="21"/>
              </w:rPr>
            </w:pPr>
            <w:r>
              <w:rPr>
                <w:kern w:val="0"/>
                <w:szCs w:val="21"/>
              </w:rPr>
              <w:t>净调入电力和热力</w:t>
            </w:r>
          </w:p>
        </w:tc>
        <w:tc>
          <w:tcPr>
            <w:tcW w:w="748" w:type="pct"/>
            <w:shd w:val="clear" w:color="auto" w:fill="auto"/>
            <w:vAlign w:val="center"/>
          </w:tcPr>
          <w:p w14:paraId="0ACE195C">
            <w:pPr>
              <w:jc w:val="center"/>
              <w:rPr>
                <w:szCs w:val="21"/>
              </w:rPr>
            </w:pPr>
            <w:r>
              <w:rPr>
                <w:rFonts w:hint="eastAsia"/>
                <w:szCs w:val="21"/>
              </w:rPr>
              <w:t>各种电力设备</w:t>
            </w:r>
          </w:p>
        </w:tc>
        <w:tc>
          <w:tcPr>
            <w:tcW w:w="415" w:type="pct"/>
            <w:shd w:val="clear" w:color="auto" w:fill="auto"/>
            <w:vAlign w:val="center"/>
          </w:tcPr>
          <w:p w14:paraId="22640EE1">
            <w:pPr>
              <w:jc w:val="center"/>
              <w:rPr>
                <w:szCs w:val="21"/>
              </w:rPr>
            </w:pPr>
            <w:r>
              <w:rPr>
                <w:rFonts w:hint="eastAsia"/>
                <w:szCs w:val="21"/>
              </w:rPr>
              <w:t>√</w:t>
            </w:r>
          </w:p>
        </w:tc>
        <w:tc>
          <w:tcPr>
            <w:tcW w:w="416" w:type="pct"/>
            <w:tcBorders>
              <w:right w:val="single" w:color="auto" w:sz="4" w:space="0"/>
            </w:tcBorders>
            <w:shd w:val="clear" w:color="auto" w:fill="auto"/>
            <w:vAlign w:val="center"/>
          </w:tcPr>
          <w:p w14:paraId="5EED5569">
            <w:pPr>
              <w:jc w:val="center"/>
              <w:rPr>
                <w:szCs w:val="21"/>
              </w:rPr>
            </w:pPr>
          </w:p>
        </w:tc>
        <w:tc>
          <w:tcPr>
            <w:tcW w:w="415" w:type="pct"/>
            <w:tcBorders>
              <w:left w:val="single" w:color="auto" w:sz="4" w:space="0"/>
            </w:tcBorders>
            <w:shd w:val="clear" w:color="auto" w:fill="auto"/>
            <w:vAlign w:val="center"/>
          </w:tcPr>
          <w:p w14:paraId="1D8BEB8C">
            <w:pPr>
              <w:jc w:val="center"/>
              <w:rPr>
                <w:szCs w:val="21"/>
              </w:rPr>
            </w:pPr>
          </w:p>
        </w:tc>
        <w:tc>
          <w:tcPr>
            <w:tcW w:w="498" w:type="pct"/>
            <w:tcBorders>
              <w:right w:val="single" w:color="auto" w:sz="4" w:space="0"/>
            </w:tcBorders>
            <w:shd w:val="clear" w:color="auto" w:fill="auto"/>
            <w:vAlign w:val="center"/>
          </w:tcPr>
          <w:p w14:paraId="6DB1580B">
            <w:pPr>
              <w:jc w:val="center"/>
              <w:rPr>
                <w:szCs w:val="21"/>
              </w:rPr>
            </w:pPr>
          </w:p>
        </w:tc>
        <w:tc>
          <w:tcPr>
            <w:tcW w:w="416" w:type="pct"/>
            <w:tcBorders>
              <w:left w:val="single" w:color="auto" w:sz="4" w:space="0"/>
            </w:tcBorders>
            <w:shd w:val="clear" w:color="auto" w:fill="auto"/>
            <w:vAlign w:val="center"/>
          </w:tcPr>
          <w:p w14:paraId="4C6A142A">
            <w:pPr>
              <w:jc w:val="center"/>
              <w:rPr>
                <w:szCs w:val="21"/>
              </w:rPr>
            </w:pPr>
          </w:p>
        </w:tc>
        <w:tc>
          <w:tcPr>
            <w:tcW w:w="366" w:type="pct"/>
            <w:shd w:val="clear" w:color="auto" w:fill="auto"/>
            <w:vAlign w:val="center"/>
          </w:tcPr>
          <w:p w14:paraId="3816EB44">
            <w:pPr>
              <w:jc w:val="center"/>
              <w:rPr>
                <w:szCs w:val="21"/>
              </w:rPr>
            </w:pPr>
          </w:p>
        </w:tc>
      </w:tr>
    </w:tbl>
    <w:p w14:paraId="432E9569">
      <w:pPr>
        <w:keepNext/>
        <w:keepLines/>
        <w:widowControl/>
        <w:numPr>
          <w:ilvl w:val="2"/>
          <w:numId w:val="1"/>
        </w:numPr>
        <w:spacing w:before="120" w:after="120" w:line="360" w:lineRule="auto"/>
        <w:jc w:val="left"/>
        <w:outlineLvl w:val="2"/>
        <w:rPr>
          <w:rFonts w:eastAsiaTheme="minorEastAsia"/>
          <w:b/>
          <w:bCs/>
          <w:sz w:val="24"/>
        </w:rPr>
      </w:pPr>
      <w:bookmarkStart w:id="169" w:name="_Toc206494997"/>
      <w:r>
        <w:rPr>
          <w:rFonts w:hint="eastAsia" w:eastAsiaTheme="minorEastAsia"/>
          <w:b/>
          <w:bCs/>
          <w:sz w:val="24"/>
        </w:rPr>
        <w:t>碳减排潜力分析及建议</w:t>
      </w:r>
      <w:bookmarkEnd w:id="169"/>
    </w:p>
    <w:p w14:paraId="3F6FA734">
      <w:pPr>
        <w:spacing w:line="360" w:lineRule="auto"/>
        <w:ind w:firstLine="480" w:firstLineChars="200"/>
        <w:jc w:val="left"/>
        <w:rPr>
          <w:rFonts w:eastAsiaTheme="minorEastAsia"/>
          <w:sz w:val="24"/>
        </w:rPr>
      </w:pPr>
      <w:r>
        <w:rPr>
          <w:rFonts w:hint="eastAsia" w:eastAsiaTheme="minorEastAsia"/>
          <w:sz w:val="24"/>
        </w:rPr>
        <w:t>规划区内入驻企业碳排放源主要为物流运输、液化石油气和天然气燃烧和各种电力设备，碳减排建议如下：</w:t>
      </w:r>
    </w:p>
    <w:p w14:paraId="0C7ECDFA">
      <w:pPr>
        <w:spacing w:line="360" w:lineRule="auto"/>
        <w:ind w:firstLine="480" w:firstLineChars="200"/>
        <w:rPr>
          <w:rFonts w:eastAsiaTheme="minorEastAsia"/>
          <w:sz w:val="24"/>
        </w:rPr>
      </w:pPr>
      <w:r>
        <w:rPr>
          <w:rFonts w:hint="eastAsia" w:eastAsiaTheme="minorEastAsia"/>
          <w:sz w:val="24"/>
        </w:rPr>
        <w:t>（1）根据《关于统筹和加强应对气候变化与生态环境保护相关工作的指导意见》(环</w:t>
      </w:r>
      <w:r>
        <w:rPr>
          <w:rFonts w:eastAsiaTheme="minorEastAsia"/>
          <w:sz w:val="24"/>
        </w:rPr>
        <w:t>115</w:t>
      </w:r>
      <w:r>
        <w:rPr>
          <w:rFonts w:hint="eastAsia" w:eastAsiaTheme="minorEastAsia"/>
          <w:sz w:val="24"/>
        </w:rPr>
        <w:t>综合〔2021〕4号)，“园区应“推动实现减污降碳协同效应。优先选择化石能源替代、原料工艺优化、产业结构升级等源头治理措施，严格控制高耗能、高排放项目建设。加大交通运输结构优化调整力度，推动“公转铁”“公转水”和多式联运，推广节能和新能源车辆。加强畜禽养殖废弃物污染治理和综合利用，强化污水、垃圾等集中处置设施环境管理，协同控制甲烷、氧化亚氮等温室气体。鼓励各地积极探索协同控制温室气体和污染物排放的创新举措和有效机制。”</w:t>
      </w:r>
    </w:p>
    <w:p w14:paraId="49BE6C81">
      <w:pPr>
        <w:spacing w:line="360" w:lineRule="auto"/>
        <w:ind w:firstLine="480" w:firstLineChars="200"/>
        <w:rPr>
          <w:rFonts w:eastAsiaTheme="minorEastAsia"/>
          <w:sz w:val="24"/>
        </w:rPr>
      </w:pPr>
      <w:r>
        <w:rPr>
          <w:rFonts w:hint="eastAsia" w:eastAsiaTheme="minorEastAsia"/>
          <w:sz w:val="24"/>
        </w:rPr>
        <w:t>（2）探索石材表面加工技术，减少液化石油气的使用，同时提高液化石油气的使用效率，减少能源的浪费。</w:t>
      </w:r>
    </w:p>
    <w:p w14:paraId="6219E5E7">
      <w:pPr>
        <w:spacing w:line="360" w:lineRule="auto"/>
        <w:ind w:firstLine="480" w:firstLineChars="200"/>
        <w:rPr>
          <w:rFonts w:eastAsiaTheme="minorEastAsia"/>
          <w:sz w:val="24"/>
        </w:rPr>
      </w:pPr>
      <w:r>
        <w:rPr>
          <w:rFonts w:hint="eastAsia" w:eastAsiaTheme="minorEastAsia"/>
          <w:sz w:val="24"/>
        </w:rPr>
        <w:t>（3）选用节能电力设备，合理配置转动设备电机，避免电机与离心设备不匹配，提升耗电设备能耗利用率；加强电力设备维护，保证设备设施正常运行；提升企业生产自动化程度，健全自控和能源监测。</w:t>
      </w:r>
    </w:p>
    <w:p w14:paraId="37068981">
      <w:pPr>
        <w:spacing w:line="360" w:lineRule="auto"/>
        <w:ind w:firstLine="480" w:firstLineChars="200"/>
        <w:rPr>
          <w:rFonts w:eastAsiaTheme="minorEastAsia"/>
          <w:sz w:val="24"/>
        </w:rPr>
      </w:pPr>
      <w:r>
        <w:rPr>
          <w:rFonts w:hint="eastAsia" w:eastAsiaTheme="minorEastAsia"/>
          <w:sz w:val="24"/>
        </w:rPr>
        <w:t>（4）配合生态环境保护主管部门建立单位、企业温室气体数据报送体系，开展碳排放信息披露。</w:t>
      </w:r>
    </w:p>
    <w:p w14:paraId="207E5EEF">
      <w:pPr>
        <w:keepNext/>
        <w:keepLines/>
        <w:widowControl/>
        <w:numPr>
          <w:ilvl w:val="2"/>
          <w:numId w:val="1"/>
        </w:numPr>
        <w:spacing w:before="120" w:after="120" w:line="360" w:lineRule="auto"/>
        <w:jc w:val="left"/>
        <w:outlineLvl w:val="2"/>
        <w:rPr>
          <w:rFonts w:eastAsiaTheme="minorEastAsia"/>
          <w:b/>
          <w:bCs/>
          <w:sz w:val="24"/>
        </w:rPr>
      </w:pPr>
      <w:bookmarkStart w:id="170" w:name="_Toc206494998"/>
      <w:r>
        <w:rPr>
          <w:rFonts w:hint="eastAsia" w:eastAsiaTheme="minorEastAsia"/>
          <w:b/>
          <w:bCs/>
          <w:sz w:val="24"/>
        </w:rPr>
        <w:t>碳排放管控对策和措施</w:t>
      </w:r>
      <w:bookmarkEnd w:id="170"/>
    </w:p>
    <w:p w14:paraId="6D4DDE84">
      <w:pPr>
        <w:spacing w:line="360" w:lineRule="auto"/>
        <w:ind w:firstLine="480" w:firstLineChars="200"/>
        <w:rPr>
          <w:rFonts w:eastAsiaTheme="minorEastAsia"/>
          <w:sz w:val="24"/>
        </w:rPr>
      </w:pPr>
      <w:r>
        <w:rPr>
          <w:rFonts w:hint="eastAsia" w:eastAsiaTheme="minorEastAsia"/>
          <w:sz w:val="24"/>
        </w:rPr>
        <w:t>本次为实现随州市碳达峰的目标，规划园区将从产业、能源、生活方式等方面做好配合工作，积极落实各项低碳减排工作。</w:t>
      </w:r>
    </w:p>
    <w:p w14:paraId="3DE69A92">
      <w:pPr>
        <w:spacing w:line="360" w:lineRule="auto"/>
        <w:ind w:firstLine="480" w:firstLineChars="200"/>
        <w:rPr>
          <w:rFonts w:eastAsiaTheme="minorEastAsia"/>
          <w:sz w:val="24"/>
        </w:rPr>
      </w:pPr>
      <w:r>
        <w:rPr>
          <w:rFonts w:hint="eastAsia" w:eastAsiaTheme="minorEastAsia"/>
          <w:sz w:val="24"/>
        </w:rPr>
        <w:t>（1）推动产业布局和结构调整升级</w:t>
      </w:r>
    </w:p>
    <w:p w14:paraId="24C7DD9F">
      <w:pPr>
        <w:spacing w:line="360" w:lineRule="auto"/>
        <w:ind w:firstLine="480" w:firstLineChars="200"/>
        <w:rPr>
          <w:rFonts w:eastAsiaTheme="minorEastAsia"/>
          <w:sz w:val="24"/>
        </w:rPr>
      </w:pPr>
      <w:r>
        <w:rPr>
          <w:rFonts w:hint="eastAsia" w:eastAsiaTheme="minorEastAsia"/>
          <w:sz w:val="24"/>
        </w:rPr>
        <w:t>规划区禁止引入高耗能、高碳排放项目，尽可能降低能源资源、原材料和工业制成品等大宗商品的物流运输半径，降低物流运输能耗。</w:t>
      </w:r>
    </w:p>
    <w:p w14:paraId="24914B34">
      <w:pPr>
        <w:spacing w:line="360" w:lineRule="auto"/>
        <w:ind w:firstLine="480" w:firstLineChars="200"/>
        <w:rPr>
          <w:rFonts w:eastAsiaTheme="minorEastAsia"/>
          <w:sz w:val="24"/>
        </w:rPr>
      </w:pPr>
      <w:r>
        <w:rPr>
          <w:rFonts w:hint="eastAsia" w:eastAsiaTheme="minorEastAsia"/>
          <w:sz w:val="24"/>
        </w:rPr>
        <w:t>鼓励发展绿色低碳产业，支持引导现有企业实施节能和减排技术改造；大力支持产业园区循环化改造，促进企业能源资源集约节约利用，降低能源资源消耗强度。</w:t>
      </w:r>
    </w:p>
    <w:p w14:paraId="16A58456">
      <w:pPr>
        <w:spacing w:line="360" w:lineRule="auto"/>
        <w:ind w:firstLine="480" w:firstLineChars="200"/>
        <w:jc w:val="left"/>
        <w:rPr>
          <w:rFonts w:eastAsiaTheme="minorEastAsia"/>
          <w:sz w:val="24"/>
        </w:rPr>
      </w:pPr>
      <w:r>
        <w:rPr>
          <w:rFonts w:hint="eastAsia" w:eastAsiaTheme="minorEastAsia"/>
          <w:sz w:val="24"/>
        </w:rPr>
        <w:t>优化交通运输业空间布局，联合其他政府部门优化布局规划区综合交通枢纽工程，调整优化集疏运体系，从空间布局上促进交通运输业和区域节能减排。调整优化仓储物流园区布局，合理布局商贸网点，促进仓储物流园区和物流企业降成本、降能耗。</w:t>
      </w:r>
    </w:p>
    <w:p w14:paraId="42E035A5">
      <w:pPr>
        <w:spacing w:line="360" w:lineRule="auto"/>
        <w:ind w:firstLine="480" w:firstLineChars="200"/>
        <w:rPr>
          <w:rFonts w:eastAsiaTheme="minorEastAsia"/>
          <w:sz w:val="24"/>
        </w:rPr>
      </w:pPr>
      <w:r>
        <w:rPr>
          <w:rFonts w:hint="eastAsia" w:eastAsiaTheme="minorEastAsia"/>
          <w:sz w:val="24"/>
        </w:rPr>
        <w:t>（2）加快推进能源生产和消费结构调整</w:t>
      </w:r>
    </w:p>
    <w:p w14:paraId="6F6BF699">
      <w:pPr>
        <w:spacing w:line="360" w:lineRule="auto"/>
        <w:ind w:firstLine="480" w:firstLineChars="200"/>
        <w:rPr>
          <w:rFonts w:eastAsiaTheme="minorEastAsia"/>
          <w:sz w:val="24"/>
        </w:rPr>
      </w:pPr>
      <w:r>
        <w:rPr>
          <w:rFonts w:hint="eastAsia" w:eastAsiaTheme="minorEastAsia"/>
          <w:sz w:val="24"/>
        </w:rPr>
        <w:t>规划区能源采用清洁能源包括电、液化石油气等。促进分布式太阳能光伏发电与农、林业等融合协同发展，因地制宜依托工业和民用建筑发展分布式太阳能光伏发电。</w:t>
      </w:r>
    </w:p>
    <w:p w14:paraId="63652A5F">
      <w:pPr>
        <w:spacing w:line="360" w:lineRule="auto"/>
        <w:ind w:firstLine="480" w:firstLineChars="200"/>
        <w:rPr>
          <w:rFonts w:eastAsiaTheme="minorEastAsia"/>
          <w:sz w:val="24"/>
        </w:rPr>
      </w:pPr>
      <w:r>
        <w:rPr>
          <w:rFonts w:hint="eastAsia" w:eastAsiaTheme="minorEastAsia"/>
          <w:sz w:val="24"/>
        </w:rPr>
        <w:t>（3）积极推行绿色低碳生活消费方式</w:t>
      </w:r>
    </w:p>
    <w:p w14:paraId="521C7775">
      <w:pPr>
        <w:spacing w:line="360" w:lineRule="auto"/>
        <w:ind w:firstLine="480" w:firstLineChars="200"/>
        <w:jc w:val="left"/>
        <w:rPr>
          <w:rFonts w:eastAsiaTheme="minorEastAsia"/>
          <w:sz w:val="24"/>
        </w:rPr>
      </w:pPr>
      <w:r>
        <w:rPr>
          <w:rFonts w:hint="eastAsia" w:eastAsiaTheme="minorEastAsia"/>
          <w:sz w:val="24"/>
        </w:rPr>
        <w:t>深入开展绿色低碳生活创建行动，鼓励居民绿色出行，支持居民更多地采取公共交通出行方式；倡导餐饮“光盘行动”，深入开展反食品浪费、反过度消费行动；大力推进居民生活垃圾分类和垃圾资源化、再利用，减少人们吃、住、行、游等各类消费活动的能源资源消耗强度，建立健全生活消费相关资源性产品的价格/收费机制，适度提高居民生活用水、用电、供气和垃圾处理等价格/收费水平，大幅度提高快递、餐饮外卖、超市食品袋等包装用品价格，用价格杠杆调控生活消费方式。</w:t>
      </w:r>
    </w:p>
    <w:p w14:paraId="2791FAC6">
      <w:pPr>
        <w:spacing w:line="360" w:lineRule="auto"/>
        <w:ind w:firstLine="480" w:firstLineChars="200"/>
        <w:rPr>
          <w:rFonts w:eastAsiaTheme="minorEastAsia"/>
          <w:sz w:val="24"/>
        </w:rPr>
      </w:pPr>
      <w:r>
        <w:rPr>
          <w:rFonts w:hint="eastAsia" w:eastAsiaTheme="minorEastAsia"/>
          <w:sz w:val="24"/>
        </w:rPr>
        <w:t>加强对绿色生活消费方式的宣传和引导，充分利用广播电视、电台、报刊等传统媒介和网站、微信公众号、微博、抖音等新兴传媒，开展全方位、高频次的宣传，重点宣传推进绿色生活消费方式的重要意义、主要举措和政策措施等，推动形成勤俭节约、绿色低碳的社会生活新风尚。</w:t>
      </w:r>
    </w:p>
    <w:p w14:paraId="7A0DAF99">
      <w:pPr>
        <w:spacing w:line="360" w:lineRule="auto"/>
        <w:ind w:firstLine="480" w:firstLineChars="200"/>
        <w:rPr>
          <w:rFonts w:eastAsiaTheme="minorEastAsia"/>
          <w:sz w:val="24"/>
        </w:rPr>
      </w:pPr>
      <w:r>
        <w:rPr>
          <w:rFonts w:hint="eastAsia" w:eastAsiaTheme="minorEastAsia"/>
          <w:sz w:val="24"/>
        </w:rPr>
        <w:t>（4）着力加大植树造林力度</w:t>
      </w:r>
    </w:p>
    <w:p w14:paraId="1E2AA33F">
      <w:pPr>
        <w:spacing w:line="360" w:lineRule="auto"/>
        <w:ind w:firstLine="480" w:firstLineChars="200"/>
        <w:rPr>
          <w:rFonts w:eastAsiaTheme="minorEastAsia"/>
          <w:sz w:val="24"/>
        </w:rPr>
      </w:pPr>
      <w:r>
        <w:rPr>
          <w:rFonts w:hint="eastAsia" w:eastAsiaTheme="minorEastAsia"/>
          <w:sz w:val="24"/>
        </w:rPr>
        <w:t>坚持碳存量和增量“两手抓”，在着力减少生产生活必要的碳排放总量和强度的同时，要大力减少空气中的二氧化碳存量。要加强生态环境建设，和资源开发利用。开展国土绿化行动，增加生态资源总量，提升国土绿化总体水平，减少空气中二氧化碳总量。</w:t>
      </w:r>
    </w:p>
    <w:p w14:paraId="21F0E92F">
      <w:pPr>
        <w:spacing w:line="360" w:lineRule="auto"/>
        <w:ind w:firstLine="480" w:firstLineChars="200"/>
        <w:rPr>
          <w:rFonts w:eastAsiaTheme="minorEastAsia"/>
          <w:sz w:val="24"/>
        </w:rPr>
      </w:pPr>
      <w:r>
        <w:rPr>
          <w:rFonts w:hint="eastAsia" w:eastAsiaTheme="minorEastAsia"/>
          <w:sz w:val="24"/>
        </w:rPr>
        <w:t>（5）积极推进绿色低碳领域改革创新</w:t>
      </w:r>
    </w:p>
    <w:p w14:paraId="4E536917">
      <w:pPr>
        <w:spacing w:line="360" w:lineRule="auto"/>
        <w:ind w:firstLine="480" w:firstLineChars="200"/>
        <w:rPr>
          <w:rFonts w:eastAsiaTheme="minorEastAsia"/>
          <w:sz w:val="24"/>
        </w:rPr>
      </w:pPr>
      <w:r>
        <w:rPr>
          <w:rFonts w:hint="eastAsia" w:eastAsiaTheme="minorEastAsia"/>
          <w:sz w:val="24"/>
        </w:rPr>
        <w:t>大力支持绿色低碳技术创新。推进太阳能光伏发电等新能源和可再生能源的工艺技术和设备研发创新；促进态环保领域投融资模式创新；支持发展绿色信货和绿色债券。</w:t>
      </w:r>
    </w:p>
    <w:p w14:paraId="102596FC">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71" w:name="_Toc206494999"/>
      <w:r>
        <w:rPr>
          <w:rFonts w:hint="eastAsia" w:eastAsiaTheme="minorEastAsia"/>
          <w:b/>
          <w:bCs/>
          <w:sz w:val="30"/>
          <w:szCs w:val="28"/>
        </w:rPr>
        <w:t>资源与环境承载力分析与评价</w:t>
      </w:r>
      <w:bookmarkEnd w:id="171"/>
    </w:p>
    <w:p w14:paraId="09550156">
      <w:pPr>
        <w:keepNext/>
        <w:keepLines/>
        <w:widowControl/>
        <w:numPr>
          <w:ilvl w:val="2"/>
          <w:numId w:val="1"/>
        </w:numPr>
        <w:spacing w:before="120" w:after="120" w:line="360" w:lineRule="auto"/>
        <w:jc w:val="left"/>
        <w:outlineLvl w:val="2"/>
        <w:rPr>
          <w:rFonts w:eastAsiaTheme="minorEastAsia"/>
          <w:b/>
          <w:bCs/>
          <w:sz w:val="24"/>
        </w:rPr>
      </w:pPr>
      <w:bookmarkStart w:id="172" w:name="_Toc206495000"/>
      <w:r>
        <w:rPr>
          <w:rFonts w:hint="eastAsia" w:eastAsiaTheme="minorEastAsia"/>
          <w:b/>
          <w:bCs/>
          <w:sz w:val="24"/>
        </w:rPr>
        <w:t>环境空气承载能力分析与评价</w:t>
      </w:r>
      <w:bookmarkEnd w:id="172"/>
    </w:p>
    <w:p w14:paraId="73620C87">
      <w:pPr>
        <w:spacing w:line="360" w:lineRule="auto"/>
        <w:ind w:firstLine="480" w:firstLineChars="200"/>
        <w:rPr>
          <w:rFonts w:eastAsiaTheme="minorEastAsia"/>
          <w:sz w:val="24"/>
        </w:rPr>
      </w:pPr>
      <w:r>
        <w:rPr>
          <w:rFonts w:hint="eastAsia" w:eastAsiaTheme="minorEastAsia"/>
          <w:sz w:val="24"/>
        </w:rPr>
        <w:t>根据</w:t>
      </w:r>
      <w:r>
        <w:rPr>
          <w:rFonts w:hint="eastAsia" w:eastAsiaTheme="minorEastAsia"/>
          <w:bCs/>
          <w:snapToGrid w:val="0"/>
          <w:kern w:val="0"/>
          <w:sz w:val="24"/>
          <w:szCs w:val="20"/>
        </w:rPr>
        <w:t>《随州市2024年环境状况公报》数据分析可知，</w:t>
      </w:r>
      <w:r>
        <w:rPr>
          <w:rFonts w:eastAsiaTheme="minorEastAsia"/>
          <w:sz w:val="24"/>
        </w:rPr>
        <w:t>评价基准年202</w:t>
      </w:r>
      <w:r>
        <w:rPr>
          <w:rFonts w:hint="eastAsia" w:eastAsiaTheme="minorEastAsia"/>
          <w:sz w:val="24"/>
        </w:rPr>
        <w:t>4</w:t>
      </w:r>
      <w:r>
        <w:rPr>
          <w:rFonts w:eastAsiaTheme="minorEastAsia"/>
          <w:sz w:val="24"/>
        </w:rPr>
        <w:t>年的基本污染物因子</w:t>
      </w:r>
      <w:r>
        <w:rPr>
          <w:rFonts w:hint="eastAsia" w:eastAsiaTheme="minorEastAsia"/>
          <w:sz w:val="24"/>
        </w:rPr>
        <w:t>除PM</w:t>
      </w:r>
      <w:r>
        <w:rPr>
          <w:rFonts w:hint="eastAsia" w:eastAsiaTheme="minorEastAsia"/>
          <w:sz w:val="24"/>
          <w:vertAlign w:val="subscript"/>
        </w:rPr>
        <w:t>2.5</w:t>
      </w:r>
      <w:r>
        <w:rPr>
          <w:rFonts w:hint="eastAsia" w:eastAsiaTheme="minorEastAsia"/>
          <w:sz w:val="24"/>
        </w:rPr>
        <w:t>外其他因子</w:t>
      </w:r>
      <w:r>
        <w:rPr>
          <w:rFonts w:eastAsiaTheme="minorEastAsia"/>
          <w:sz w:val="24"/>
        </w:rPr>
        <w:t>均满足《环境空气质量标准》（GB3095-2012）及修改单规定的二级标准要求，经判定</w:t>
      </w:r>
      <w:r>
        <w:rPr>
          <w:rFonts w:hint="eastAsia" w:eastAsiaTheme="minorEastAsia"/>
          <w:sz w:val="24"/>
        </w:rPr>
        <w:t>规划所在区域为环境空气质量</w:t>
      </w:r>
      <w:r>
        <w:rPr>
          <w:rFonts w:hint="eastAsia" w:eastAsiaTheme="minorEastAsia"/>
          <w:b/>
          <w:sz w:val="24"/>
        </w:rPr>
        <w:t>不</w:t>
      </w:r>
      <w:r>
        <w:rPr>
          <w:rFonts w:eastAsiaTheme="minorEastAsia"/>
          <w:b/>
          <w:sz w:val="24"/>
        </w:rPr>
        <w:t>达标区。</w:t>
      </w:r>
    </w:p>
    <w:p w14:paraId="5D09ADB9">
      <w:pPr>
        <w:spacing w:line="360" w:lineRule="auto"/>
        <w:ind w:firstLine="480" w:firstLineChars="200"/>
        <w:rPr>
          <w:rFonts w:eastAsiaTheme="minorEastAsia"/>
          <w:sz w:val="24"/>
        </w:rPr>
      </w:pPr>
      <w:r>
        <w:rPr>
          <w:rFonts w:hint="eastAsia" w:eastAsiaTheme="minorEastAsia"/>
          <w:sz w:val="24"/>
        </w:rPr>
        <w:t>根据《市人民政府关于印发随州市空气质量持续改善行动方案的通知》（随政发〔2024〕11号）要求，在全市开展产业结构转型升级行动等十大行动。其中，“涉气监管执法效能提升行动”重点狠抓铸造、玻璃制造、人造板、水泥等重点行业大气环境日常监管，常态化开展“四不两直”行动，实施机动执法和交叉执法，开展移动源污染专项执法，全面整治监测数据弄虚作假，切实形成涉气环境执法威慑力。扎实推进《随州市空气质量持续改善行动方案》，紧盯重点区域、重点行业、重点领域持续开展整治，健全大气环境监管常态长效机制。扎实开展专汽、铸造、化工等行业大气环境综合整治，组织实施VOCs全流程治理，实施年度治理项目300个。推进火电、钢铁、建材等重点行业大宗货物清洁运输，推进秸秆综合利用和露天焚烧管控，让蓝天白云成为城市常态。随着上述措施的逐步推进和落实，规划所在区域空气将得到改善。</w:t>
      </w:r>
    </w:p>
    <w:p w14:paraId="0B568BB8">
      <w:pPr>
        <w:spacing w:line="360" w:lineRule="auto"/>
        <w:ind w:firstLine="480" w:firstLineChars="200"/>
        <w:rPr>
          <w:rFonts w:eastAsiaTheme="minorEastAsia"/>
          <w:sz w:val="24"/>
        </w:rPr>
      </w:pPr>
      <w:r>
        <w:rPr>
          <w:rFonts w:hint="eastAsia" w:eastAsiaTheme="minorEastAsia"/>
          <w:sz w:val="24"/>
        </w:rPr>
        <w:t>规划实施过程应通过不断通过优化产业结构、能源结构、控制污染物排放总量和综合整治企业排污等方式进一步削减规划区大气污染源排放量，改善区域环境空气质量。</w:t>
      </w:r>
    </w:p>
    <w:p w14:paraId="0C709835">
      <w:pPr>
        <w:spacing w:line="360" w:lineRule="auto"/>
        <w:ind w:firstLine="480" w:firstLineChars="200"/>
        <w:rPr>
          <w:rFonts w:eastAsiaTheme="minorEastAsia"/>
          <w:sz w:val="24"/>
        </w:rPr>
      </w:pPr>
      <w:r>
        <w:rPr>
          <w:rFonts w:hint="eastAsia" w:eastAsiaTheme="minorEastAsia"/>
          <w:sz w:val="24"/>
        </w:rPr>
        <w:t>由于区域颗粒物超标，规划园区应不断采取减排措施，加强拆迁工地和建筑工地扬尘管控，严格落实“六个百分百”，督促施工单位在工地周围设置标准化围挡，并采取覆盖、分段作业、择时施工、洒水抑尘、冲洗地面和车辆等有效防尘降尘措施。加强道路扬尘管控，压实道路保洁属地责任，提高城市道路水洗、机扫作业比例和频次；加强工业企业废气排放管控，进一步优化产业空间布局。规划区的具体排放总量指标由随州市生态环境局随县分局落实到排污企业，同时要求园区严格落实各种环保措施，按规划的要求控制入园企业的行业、布局，以满足规划区乃至随州市总量控制目标的要求。规划区要严格落实各种环保措施，保证入园企业排污总量原则上不得突破总量控制目标。</w:t>
      </w:r>
    </w:p>
    <w:p w14:paraId="2EEC18DF">
      <w:pPr>
        <w:keepNext/>
        <w:keepLines/>
        <w:widowControl/>
        <w:numPr>
          <w:ilvl w:val="2"/>
          <w:numId w:val="1"/>
        </w:numPr>
        <w:spacing w:before="120" w:after="120" w:line="360" w:lineRule="auto"/>
        <w:jc w:val="left"/>
        <w:outlineLvl w:val="2"/>
        <w:rPr>
          <w:rFonts w:eastAsiaTheme="minorEastAsia"/>
          <w:b/>
          <w:bCs/>
          <w:sz w:val="24"/>
        </w:rPr>
      </w:pPr>
      <w:bookmarkStart w:id="173" w:name="_Toc206495001"/>
      <w:r>
        <w:rPr>
          <w:rFonts w:hint="eastAsia" w:eastAsiaTheme="minorEastAsia"/>
          <w:b/>
          <w:bCs/>
          <w:sz w:val="24"/>
        </w:rPr>
        <w:t>地表水环境承载能力分析与评价</w:t>
      </w:r>
      <w:bookmarkEnd w:id="173"/>
    </w:p>
    <w:p w14:paraId="32019FE0">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水资源承载力分析</w:t>
      </w:r>
    </w:p>
    <w:p w14:paraId="7E39BC48">
      <w:pPr>
        <w:spacing w:line="360" w:lineRule="auto"/>
        <w:ind w:firstLine="480" w:firstLineChars="200"/>
        <w:rPr>
          <w:rFonts w:eastAsiaTheme="minorEastAsia"/>
          <w:sz w:val="24"/>
        </w:rPr>
      </w:pPr>
      <w:r>
        <w:rPr>
          <w:rFonts w:hint="eastAsia" w:eastAsiaTheme="minorEastAsia"/>
          <w:sz w:val="24"/>
        </w:rPr>
        <w:t>规划园区建设过程中需消耗大量新鲜水，为了维持该区域可持续发展，须对区域的水资源承载能力进行分析。</w:t>
      </w:r>
    </w:p>
    <w:p w14:paraId="0C9CBB11">
      <w:pPr>
        <w:spacing w:line="360" w:lineRule="auto"/>
        <w:ind w:firstLine="480" w:firstLineChars="200"/>
        <w:rPr>
          <w:rFonts w:eastAsiaTheme="minorEastAsia"/>
          <w:sz w:val="24"/>
        </w:rPr>
      </w:pPr>
      <w:r>
        <w:rPr>
          <w:rFonts w:hint="eastAsia" w:eastAsiaTheme="minorEastAsia"/>
          <w:sz w:val="24"/>
        </w:rPr>
        <w:t>水资源承载力是指在规划的流(区)域空间范围内和时间跨度下，在可预见的技术生产水平和科技管理水平条件下，以维护生态环境良性循环发展为基本条件，结合规划时段针对规划各时段的社会经济水平，动态地分析一个流(区)域的可再生利用水资源量对规划的人口规模、社会经济系统发展规模、产业结构、生产力布局的支撑能力。</w:t>
      </w:r>
    </w:p>
    <w:p w14:paraId="50F11869">
      <w:pPr>
        <w:spacing w:line="360" w:lineRule="auto"/>
        <w:ind w:firstLine="480" w:firstLineChars="200"/>
        <w:rPr>
          <w:rFonts w:eastAsiaTheme="minorEastAsia"/>
          <w:sz w:val="24"/>
        </w:rPr>
      </w:pPr>
      <w:r>
        <w:rPr>
          <w:rFonts w:hint="eastAsia" w:eastAsiaTheme="minorEastAsia"/>
          <w:sz w:val="24"/>
        </w:rPr>
        <w:t>根据《2023年随州市水资源公报》，2023年全市平均降水量1233.8毫米，折合降水总量118.77亿立方米，比上年偏多41.1%，比多年平均偏多27.1%，属丰水年。2023年全市水资源总量44.15亿立方米，比上年偏多101.1%，比多年平均偏多53.8%。人均水资源占有量2192立方米。2023年全市8座大型水库和21座中型水库年末蓄水总量为13.85亿立方米，比年初蓄水总量增加2.77亿立方米。</w:t>
      </w:r>
    </w:p>
    <w:p w14:paraId="49B88308">
      <w:pPr>
        <w:spacing w:line="360" w:lineRule="auto"/>
        <w:ind w:firstLine="480" w:firstLineChars="200"/>
        <w:rPr>
          <w:rFonts w:eastAsiaTheme="minorEastAsia"/>
          <w:sz w:val="24"/>
          <w:highlight w:val="yellow"/>
        </w:rPr>
      </w:pPr>
      <w:r>
        <w:rPr>
          <w:rFonts w:hint="eastAsia" w:eastAsiaTheme="minorEastAsia"/>
          <w:sz w:val="24"/>
        </w:rPr>
        <w:t>2023年全市总供水量10.78亿立方米，其中地表水源供水量10.73亿立方米，地下水源供水量0.01亿立方米，其他水源供水量0.04亿立方米。2023年全市用水量10.78亿立方米。其中农业灌溉用水量7.57亿立方米，林牧渔畜用水量0.74亿立方米，工业用水量0.76亿立方米，城镇公共用水量0.59亿立方米，居民生活用水量1.01亿立方米，生态环境用水量0.11亿立方米。全市万元国内生产总值（可比价）用水量为82立方米，万元工业增加值（可比价）用水量为16立方米。按可比价计算，万元国内生产总值用水量比上年下降14.6%，万元工业增加值用水量比上年下降15.8%。</w:t>
      </w:r>
    </w:p>
    <w:p w14:paraId="3A5C8E4B">
      <w:pPr>
        <w:spacing w:line="360" w:lineRule="auto"/>
        <w:ind w:firstLine="480" w:firstLineChars="200"/>
        <w:rPr>
          <w:rFonts w:eastAsiaTheme="minorEastAsia"/>
          <w:sz w:val="24"/>
          <w:highlight w:val="yellow"/>
        </w:rPr>
      </w:pPr>
      <w:r>
        <w:rPr>
          <w:rFonts w:hint="eastAsia" w:eastAsiaTheme="minorEastAsia"/>
          <w:sz w:val="24"/>
        </w:rPr>
        <w:t>根据估算，规划园区现状工业企业用水量约为0.07亿立方米，占随州市全市水资源总量的0.16%，近期2025年工业总产值约300亿元，远期规划目标到2035年总产值约800亿元，万元工业增加值（可比价）用水量为16立方米，考虑2023年万元工业增加值用水量比上年下降15.8%，至远期2035年万元工业增加值用水量年均降幅取7%，计算得2035 年园区万元工业增加值用水量（可比价）为7.1立方米，工业用水量约为 0.083 亿立方米，占随州市全市水资源总量的0.19%，占随州市供水总量的0.77%。</w:t>
      </w:r>
    </w:p>
    <w:p w14:paraId="39800F28">
      <w:pPr>
        <w:pStyle w:val="6"/>
        <w:keepLines w:val="0"/>
        <w:numPr>
          <w:ilvl w:val="3"/>
          <w:numId w:val="1"/>
        </w:numPr>
        <w:tabs>
          <w:tab w:val="left" w:pos="24"/>
          <w:tab w:val="left" w:pos="576"/>
          <w:tab w:val="left" w:pos="1557"/>
        </w:tabs>
        <w:adjustRightInd w:val="0"/>
        <w:spacing w:before="156" w:beforeLines="50" w:after="156" w:afterLines="50" w:line="360" w:lineRule="auto"/>
        <w:jc w:val="left"/>
        <w:textAlignment w:val="baseline"/>
        <w:rPr>
          <w:rFonts w:ascii="Times New Roman" w:hAnsi="Times New Roman" w:cs="Times New Roman" w:eastAsiaTheme="minorEastAsia"/>
          <w:b w:val="0"/>
          <w:sz w:val="24"/>
          <w:szCs w:val="24"/>
        </w:rPr>
      </w:pPr>
      <w:r>
        <w:rPr>
          <w:rFonts w:hint="eastAsia" w:eastAsiaTheme="minorEastAsia"/>
          <w:sz w:val="24"/>
        </w:rPr>
        <w:t>水环境容量</w:t>
      </w:r>
    </w:p>
    <w:p w14:paraId="0E774F2A">
      <w:pPr>
        <w:spacing w:line="360" w:lineRule="auto"/>
        <w:ind w:firstLine="480" w:firstLineChars="200"/>
        <w:rPr>
          <w:rFonts w:eastAsiaTheme="minorEastAsia"/>
          <w:sz w:val="24"/>
        </w:rPr>
      </w:pPr>
      <w:r>
        <w:rPr>
          <w:rFonts w:hint="eastAsia" w:eastAsiaTheme="minorEastAsia"/>
          <w:sz w:val="24"/>
        </w:rPr>
        <w:t>根据石材加工厂调研可知，石材加工过程产生的工业废水均经沉淀池处理后回用于石材加工过程及洒水降尘，不对外排放。石材加工厂外排废水主要为员工办公生活废水。因此园区外排废水主要为企业员工办公生活废水、居民生活污水、公建及商业污水。该部分废水经处理达标后通过市政污水管网排入乡镇污水处理厂，尾水达到《城镇污水处理厂污染物排放标准》（GB18918-2002）一级A标准后排入周边地表水体。</w:t>
      </w:r>
    </w:p>
    <w:p w14:paraId="3C1B3675">
      <w:pPr>
        <w:spacing w:line="360" w:lineRule="auto"/>
        <w:ind w:firstLine="480" w:firstLineChars="200"/>
        <w:rPr>
          <w:sz w:val="24"/>
        </w:rPr>
      </w:pPr>
      <w:r>
        <w:rPr>
          <w:rFonts w:hint="eastAsia" w:eastAsiaTheme="minorEastAsia"/>
          <w:sz w:val="24"/>
        </w:rPr>
        <w:t>根据</w:t>
      </w:r>
      <w:r>
        <w:rPr>
          <w:rFonts w:hint="eastAsia" w:eastAsiaTheme="minorEastAsia"/>
          <w:bCs/>
          <w:snapToGrid w:val="0"/>
          <w:kern w:val="0"/>
          <w:sz w:val="24"/>
          <w:szCs w:val="20"/>
        </w:rPr>
        <w:t>《随州市2024年环境状况公报》，</w:t>
      </w:r>
      <w:r>
        <w:rPr>
          <w:rFonts w:hint="eastAsia"/>
          <w:sz w:val="24"/>
        </w:rPr>
        <w:t>2023年至2024年期间，规划园区范围主要受纳水体</w:t>
      </w:r>
      <w:r>
        <w:rPr>
          <w:rFonts w:hint="eastAsia" w:eastAsiaTheme="minorEastAsia"/>
          <w:sz w:val="24"/>
        </w:rPr>
        <w:t>溠水、厥水河、漂水、游河</w:t>
      </w:r>
      <w:r>
        <w:rPr>
          <w:rFonts w:hint="eastAsia"/>
          <w:sz w:val="24"/>
        </w:rPr>
        <w:t>地表水环境质量</w:t>
      </w:r>
      <w:r>
        <w:rPr>
          <w:sz w:val="24"/>
        </w:rPr>
        <w:t>均满足《地表水环境质量标准》（GB3838-2002）中</w:t>
      </w:r>
      <w:r>
        <w:rPr>
          <w:rFonts w:hint="eastAsia"/>
          <w:sz w:val="24"/>
        </w:rPr>
        <w:t>III</w:t>
      </w:r>
      <w:r>
        <w:rPr>
          <w:sz w:val="24"/>
        </w:rPr>
        <w:t>类水质标准，属于地表水环境质量达标区。</w:t>
      </w:r>
    </w:p>
    <w:p w14:paraId="23288D98">
      <w:pPr>
        <w:spacing w:line="360" w:lineRule="auto"/>
        <w:ind w:firstLine="480" w:firstLineChars="200"/>
        <w:rPr>
          <w:rFonts w:eastAsiaTheme="minorEastAsia"/>
          <w:sz w:val="24"/>
        </w:rPr>
      </w:pPr>
      <w:r>
        <w:rPr>
          <w:rFonts w:hint="eastAsia" w:eastAsiaTheme="minorEastAsia"/>
          <w:sz w:val="24"/>
        </w:rPr>
        <w:t>根据废水源强核算可知，</w:t>
      </w:r>
      <w:r>
        <w:rPr>
          <w:rFonts w:hint="eastAsia" w:eastAsiaTheme="minorEastAsia"/>
          <w:kern w:val="0"/>
          <w:sz w:val="24"/>
        </w:rPr>
        <w:t>园区</w:t>
      </w:r>
      <w:r>
        <w:rPr>
          <w:rFonts w:hint="eastAsia" w:eastAsiaTheme="minorEastAsia"/>
          <w:sz w:val="24"/>
        </w:rPr>
        <w:t>远期</w:t>
      </w:r>
      <w:r>
        <w:rPr>
          <w:rFonts w:eastAsiaTheme="minorEastAsia"/>
          <w:kern w:val="0"/>
          <w:sz w:val="24"/>
        </w:rPr>
        <w:t>生活废水量为</w:t>
      </w:r>
      <w:r>
        <w:rPr>
          <w:rFonts w:hint="eastAsia" w:eastAsiaTheme="minorEastAsia"/>
          <w:sz w:val="24"/>
        </w:rPr>
        <w:t>3840m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根据各乡镇污水处理厂远期规划情况，远期吴山镇、万和镇、</w:t>
      </w:r>
      <w:r>
        <w:rPr>
          <w:rFonts w:hint="eastAsia" w:eastAsiaTheme="minorEastAsia"/>
          <w:sz w:val="24"/>
        </w:rPr>
        <w:t>新城及草店</w:t>
      </w:r>
      <w:r>
        <w:rPr>
          <w:rFonts w:hint="eastAsia" w:eastAsiaTheme="minorEastAsia"/>
          <w:kern w:val="0"/>
          <w:sz w:val="24"/>
        </w:rPr>
        <w:t>污水处理厂规划规模为</w:t>
      </w:r>
      <w:r>
        <w:rPr>
          <w:rFonts w:hint="eastAsia" w:eastAsiaTheme="minorEastAsia"/>
          <w:sz w:val="24"/>
        </w:rPr>
        <w:t>8200m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远期</w:t>
      </w:r>
      <w:r>
        <w:rPr>
          <w:rFonts w:eastAsiaTheme="minorEastAsia"/>
          <w:kern w:val="0"/>
          <w:sz w:val="24"/>
        </w:rPr>
        <w:t>废水量约占污水处理厂</w:t>
      </w:r>
      <w:r>
        <w:rPr>
          <w:rFonts w:hint="eastAsia" w:eastAsiaTheme="minorEastAsia"/>
          <w:kern w:val="0"/>
          <w:sz w:val="24"/>
        </w:rPr>
        <w:t>远期</w:t>
      </w:r>
      <w:r>
        <w:rPr>
          <w:rFonts w:eastAsiaTheme="minorEastAsia"/>
          <w:kern w:val="0"/>
          <w:sz w:val="24"/>
        </w:rPr>
        <w:t>规模的</w:t>
      </w:r>
      <w:r>
        <w:rPr>
          <w:rFonts w:hint="eastAsia" w:eastAsiaTheme="minorEastAsia"/>
          <w:kern w:val="0"/>
          <w:sz w:val="24"/>
        </w:rPr>
        <w:t>46.8</w:t>
      </w:r>
      <w:r>
        <w:rPr>
          <w:rFonts w:eastAsiaTheme="minorEastAsia"/>
          <w:kern w:val="0"/>
          <w:sz w:val="24"/>
        </w:rPr>
        <w:t>%</w:t>
      </w:r>
      <w:r>
        <w:rPr>
          <w:rFonts w:hint="eastAsia" w:eastAsiaTheme="minorEastAsia"/>
          <w:kern w:val="0"/>
          <w:sz w:val="24"/>
        </w:rPr>
        <w:t>。</w:t>
      </w:r>
      <w:r>
        <w:rPr>
          <w:rFonts w:eastAsiaTheme="minorEastAsia"/>
          <w:kern w:val="0"/>
          <w:sz w:val="24"/>
        </w:rPr>
        <w:t>因此，</w:t>
      </w:r>
      <w:r>
        <w:rPr>
          <w:rFonts w:hint="eastAsia" w:eastAsiaTheme="minorEastAsia"/>
          <w:sz w:val="24"/>
        </w:rPr>
        <w:t>排水量在远期规划乡镇污水处理厂处理能力范围内，但由于排水量占污水厂处理规模的比例较大，评价建议加快建设污水处理厂扩容工程，以确保规划园区生活污水能全部纳入污水处理厂进一步处理。在此基础上，园区生活污水纳入污水处理厂可行。</w:t>
      </w:r>
    </w:p>
    <w:p w14:paraId="066B3460">
      <w:pPr>
        <w:spacing w:line="360" w:lineRule="auto"/>
        <w:ind w:firstLine="480" w:firstLineChars="200"/>
        <w:rPr>
          <w:rFonts w:eastAsiaTheme="minorEastAsia"/>
          <w:sz w:val="24"/>
        </w:rPr>
      </w:pPr>
      <w:r>
        <w:rPr>
          <w:rFonts w:hint="eastAsia" w:eastAsiaTheme="minorEastAsia"/>
          <w:sz w:val="24"/>
        </w:rPr>
        <w:t>规划区现状企业已建成运行，园区内大部分生活污水未收纳入污水处理厂，大部分生活污水用于农田施肥，少量生活污水仍为合流制排水体制，雨水和污水共同就近排入附近河流和鱼塘，造成周边水体污染，对环境造成较大影响。规划实施后，规划区采取雨污分流制，提高园区生活污水的收纳率，确保园区生活污水全部排入乡镇污水处理厂，进一步处理达标后排放至地表水体，以改善现状附近水体的水质，为规划的实施提供足够的环境容量。</w:t>
      </w:r>
    </w:p>
    <w:p w14:paraId="64990F5A">
      <w:pPr>
        <w:spacing w:line="360" w:lineRule="auto"/>
        <w:ind w:firstLine="480" w:firstLineChars="200"/>
        <w:rPr>
          <w:rFonts w:eastAsiaTheme="minorEastAsia"/>
          <w:sz w:val="24"/>
        </w:rPr>
      </w:pPr>
      <w:r>
        <w:rPr>
          <w:rFonts w:hint="eastAsia" w:eastAsiaTheme="minorEastAsia"/>
          <w:sz w:val="24"/>
        </w:rPr>
        <w:t>随着规范管网的建设，进行雨污分流，污水收纳率将得到提高，改善区域的水环境。因此，规范地块规划实施后不会超过区域的水环境承载力。</w:t>
      </w:r>
    </w:p>
    <w:p w14:paraId="5D9DE4EA">
      <w:pPr>
        <w:keepNext/>
        <w:keepLines/>
        <w:widowControl/>
        <w:numPr>
          <w:ilvl w:val="2"/>
          <w:numId w:val="1"/>
        </w:numPr>
        <w:spacing w:before="120" w:after="120" w:line="360" w:lineRule="auto"/>
        <w:jc w:val="left"/>
        <w:outlineLvl w:val="2"/>
        <w:rPr>
          <w:rFonts w:eastAsiaTheme="minorEastAsia"/>
          <w:b/>
          <w:bCs/>
          <w:sz w:val="24"/>
        </w:rPr>
      </w:pPr>
      <w:bookmarkStart w:id="174" w:name="_Toc206495002"/>
      <w:r>
        <w:rPr>
          <w:rFonts w:hint="eastAsia" w:eastAsiaTheme="minorEastAsia"/>
          <w:b/>
          <w:bCs/>
          <w:sz w:val="24"/>
        </w:rPr>
        <w:t>固体废物承载能力分析</w:t>
      </w:r>
      <w:bookmarkEnd w:id="174"/>
    </w:p>
    <w:p w14:paraId="4C8135BA">
      <w:pPr>
        <w:spacing w:line="360" w:lineRule="auto"/>
        <w:ind w:firstLine="480" w:firstLineChars="200"/>
        <w:rPr>
          <w:rFonts w:eastAsiaTheme="minorEastAsia"/>
          <w:sz w:val="24"/>
        </w:rPr>
      </w:pPr>
      <w:r>
        <w:rPr>
          <w:rFonts w:eastAsiaTheme="minorEastAsia"/>
          <w:sz w:val="24"/>
        </w:rPr>
        <w:t>园区产生的固体废物主要包括</w:t>
      </w:r>
      <w:r>
        <w:rPr>
          <w:rFonts w:hint="eastAsia" w:eastAsiaTheme="minorEastAsia"/>
          <w:sz w:val="24"/>
        </w:rPr>
        <w:t>生产过程中的工业固体废物（包括一般工业固体废物、危险废物）、员工办公生活及居民产生的生活垃圾。园区固体废物产生情况见下表。</w:t>
      </w:r>
    </w:p>
    <w:p w14:paraId="325FAF8D">
      <w:pPr>
        <w:spacing w:line="360" w:lineRule="auto"/>
        <w:ind w:firstLine="422" w:firstLineChars="200"/>
        <w:jc w:val="center"/>
        <w:rPr>
          <w:b/>
          <w:szCs w:val="21"/>
        </w:rPr>
      </w:pPr>
      <w:r>
        <w:rPr>
          <w:rFonts w:hint="eastAsia"/>
          <w:b/>
          <w:szCs w:val="21"/>
        </w:rPr>
        <w:t>表5.7.3-1   园区固体废物产生量预测表</w:t>
      </w:r>
    </w:p>
    <w:tbl>
      <w:tblPr>
        <w:tblStyle w:val="88"/>
        <w:tblW w:w="48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416"/>
        <w:gridCol w:w="1419"/>
        <w:gridCol w:w="1416"/>
        <w:gridCol w:w="1133"/>
        <w:gridCol w:w="1527"/>
      </w:tblGrid>
      <w:tr w14:paraId="55F51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62" w:type="pct"/>
            <w:vAlign w:val="center"/>
          </w:tcPr>
          <w:p w14:paraId="722028CD">
            <w:pPr>
              <w:widowControl/>
              <w:spacing w:line="320" w:lineRule="exact"/>
              <w:jc w:val="center"/>
              <w:rPr>
                <w:kern w:val="0"/>
                <w:szCs w:val="21"/>
              </w:rPr>
            </w:pPr>
            <w:r>
              <w:rPr>
                <w:rFonts w:hint="eastAsia"/>
                <w:kern w:val="0"/>
                <w:szCs w:val="21"/>
              </w:rPr>
              <w:t>名称</w:t>
            </w:r>
          </w:p>
        </w:tc>
        <w:tc>
          <w:tcPr>
            <w:tcW w:w="847" w:type="pct"/>
            <w:vAlign w:val="center"/>
          </w:tcPr>
          <w:p w14:paraId="533D8103">
            <w:pPr>
              <w:widowControl/>
              <w:spacing w:line="320" w:lineRule="exact"/>
              <w:ind w:left="-53" w:leftChars="-25" w:right="-53" w:rightChars="-25"/>
              <w:contextualSpacing/>
              <w:jc w:val="center"/>
              <w:rPr>
                <w:kern w:val="0"/>
                <w:szCs w:val="21"/>
              </w:rPr>
            </w:pPr>
            <w:r>
              <w:rPr>
                <w:rFonts w:hint="eastAsia"/>
                <w:kern w:val="0"/>
                <w:szCs w:val="21"/>
              </w:rPr>
              <w:t>近期</w:t>
            </w:r>
            <w:r>
              <w:rPr>
                <w:kern w:val="0"/>
                <w:szCs w:val="21"/>
              </w:rPr>
              <w:t>产生量（t/a）</w:t>
            </w:r>
          </w:p>
        </w:tc>
        <w:tc>
          <w:tcPr>
            <w:tcW w:w="849" w:type="pct"/>
            <w:vAlign w:val="center"/>
          </w:tcPr>
          <w:p w14:paraId="3B519BCB">
            <w:pPr>
              <w:widowControl/>
              <w:spacing w:line="320" w:lineRule="exact"/>
              <w:ind w:left="-53" w:leftChars="-25" w:right="-53" w:rightChars="-25"/>
              <w:contextualSpacing/>
              <w:jc w:val="center"/>
              <w:rPr>
                <w:kern w:val="0"/>
                <w:szCs w:val="21"/>
              </w:rPr>
            </w:pPr>
            <w:r>
              <w:rPr>
                <w:rFonts w:hint="eastAsia"/>
                <w:kern w:val="0"/>
                <w:szCs w:val="21"/>
              </w:rPr>
              <w:t>近期排放</w:t>
            </w:r>
            <w:r>
              <w:rPr>
                <w:kern w:val="0"/>
                <w:szCs w:val="21"/>
              </w:rPr>
              <w:t>量（t/a）</w:t>
            </w:r>
          </w:p>
        </w:tc>
        <w:tc>
          <w:tcPr>
            <w:tcW w:w="847" w:type="pct"/>
            <w:vAlign w:val="center"/>
          </w:tcPr>
          <w:p w14:paraId="09DC583E">
            <w:pPr>
              <w:spacing w:line="320" w:lineRule="exact"/>
              <w:ind w:left="-53" w:leftChars="-25" w:right="-53" w:rightChars="-25"/>
              <w:contextualSpacing/>
              <w:jc w:val="center"/>
              <w:rPr>
                <w:szCs w:val="21"/>
              </w:rPr>
            </w:pPr>
            <w:r>
              <w:rPr>
                <w:rFonts w:hint="eastAsia"/>
                <w:kern w:val="0"/>
                <w:szCs w:val="21"/>
              </w:rPr>
              <w:t>远期产生量（t/a）</w:t>
            </w:r>
          </w:p>
        </w:tc>
        <w:tc>
          <w:tcPr>
            <w:tcW w:w="678" w:type="pct"/>
            <w:vAlign w:val="center"/>
          </w:tcPr>
          <w:p w14:paraId="59F93058">
            <w:pPr>
              <w:spacing w:line="320" w:lineRule="exact"/>
              <w:ind w:left="-53" w:leftChars="-25" w:right="-53" w:rightChars="-25"/>
              <w:contextualSpacing/>
              <w:jc w:val="center"/>
              <w:rPr>
                <w:szCs w:val="21"/>
              </w:rPr>
            </w:pPr>
            <w:r>
              <w:rPr>
                <w:rFonts w:hint="eastAsia"/>
                <w:kern w:val="0"/>
                <w:szCs w:val="21"/>
              </w:rPr>
              <w:t>远期排放</w:t>
            </w:r>
            <w:r>
              <w:rPr>
                <w:kern w:val="0"/>
                <w:szCs w:val="21"/>
              </w:rPr>
              <w:t>量（t/a）</w:t>
            </w:r>
          </w:p>
        </w:tc>
        <w:tc>
          <w:tcPr>
            <w:tcW w:w="914" w:type="pct"/>
            <w:vAlign w:val="center"/>
          </w:tcPr>
          <w:p w14:paraId="537F7F8F">
            <w:pPr>
              <w:spacing w:line="320" w:lineRule="exact"/>
              <w:ind w:left="-53" w:leftChars="-25" w:right="-53" w:rightChars="-25"/>
              <w:contextualSpacing/>
              <w:jc w:val="center"/>
              <w:rPr>
                <w:szCs w:val="21"/>
              </w:rPr>
            </w:pPr>
            <w:r>
              <w:rPr>
                <w:rFonts w:hint="eastAsia"/>
                <w:szCs w:val="21"/>
              </w:rPr>
              <w:t>处置方式</w:t>
            </w:r>
          </w:p>
        </w:tc>
      </w:tr>
      <w:tr w14:paraId="62FE0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62" w:type="pct"/>
            <w:vAlign w:val="center"/>
          </w:tcPr>
          <w:p w14:paraId="3F10005B">
            <w:pPr>
              <w:widowControl/>
              <w:spacing w:line="320" w:lineRule="exact"/>
              <w:jc w:val="center"/>
              <w:rPr>
                <w:kern w:val="0"/>
                <w:szCs w:val="21"/>
              </w:rPr>
            </w:pPr>
            <w:r>
              <w:rPr>
                <w:rFonts w:hint="eastAsia"/>
                <w:kern w:val="0"/>
                <w:szCs w:val="21"/>
              </w:rPr>
              <w:t>生活垃圾</w:t>
            </w:r>
          </w:p>
        </w:tc>
        <w:tc>
          <w:tcPr>
            <w:tcW w:w="847" w:type="pct"/>
            <w:shd w:val="clear" w:color="auto" w:fill="auto"/>
            <w:vAlign w:val="center"/>
          </w:tcPr>
          <w:p w14:paraId="2912DA3B">
            <w:pPr>
              <w:widowControl/>
              <w:spacing w:line="320" w:lineRule="exact"/>
              <w:jc w:val="center"/>
              <w:rPr>
                <w:kern w:val="0"/>
                <w:szCs w:val="21"/>
              </w:rPr>
            </w:pPr>
            <w:r>
              <w:rPr>
                <w:rFonts w:hint="eastAsia"/>
                <w:kern w:val="0"/>
                <w:szCs w:val="21"/>
              </w:rPr>
              <w:t>14600</w:t>
            </w:r>
          </w:p>
        </w:tc>
        <w:tc>
          <w:tcPr>
            <w:tcW w:w="849" w:type="pct"/>
            <w:shd w:val="clear" w:color="auto" w:fill="auto"/>
            <w:vAlign w:val="center"/>
          </w:tcPr>
          <w:p w14:paraId="7B9ACFBE">
            <w:pPr>
              <w:spacing w:line="320" w:lineRule="exact"/>
              <w:ind w:left="-53" w:leftChars="-25" w:right="-53" w:rightChars="-25"/>
              <w:contextualSpacing/>
              <w:jc w:val="center"/>
              <w:rPr>
                <w:kern w:val="0"/>
                <w:szCs w:val="21"/>
              </w:rPr>
            </w:pPr>
            <w:r>
              <w:rPr>
                <w:rFonts w:hint="eastAsia"/>
                <w:kern w:val="0"/>
                <w:szCs w:val="21"/>
              </w:rPr>
              <w:t>0</w:t>
            </w:r>
          </w:p>
        </w:tc>
        <w:tc>
          <w:tcPr>
            <w:tcW w:w="847" w:type="pct"/>
            <w:shd w:val="clear" w:color="auto" w:fill="auto"/>
            <w:vAlign w:val="center"/>
          </w:tcPr>
          <w:p w14:paraId="79E96555">
            <w:pPr>
              <w:widowControl/>
              <w:spacing w:line="320" w:lineRule="exact"/>
              <w:jc w:val="center"/>
              <w:rPr>
                <w:kern w:val="0"/>
                <w:szCs w:val="21"/>
              </w:rPr>
            </w:pPr>
            <w:r>
              <w:rPr>
                <w:rFonts w:hint="eastAsia"/>
                <w:kern w:val="0"/>
                <w:szCs w:val="21"/>
              </w:rPr>
              <w:t>29200</w:t>
            </w:r>
          </w:p>
        </w:tc>
        <w:tc>
          <w:tcPr>
            <w:tcW w:w="678" w:type="pct"/>
            <w:vAlign w:val="center"/>
          </w:tcPr>
          <w:p w14:paraId="384DFF1B">
            <w:pPr>
              <w:spacing w:line="320" w:lineRule="exact"/>
              <w:ind w:left="-53" w:leftChars="-25" w:right="-53" w:rightChars="-25"/>
              <w:contextualSpacing/>
              <w:jc w:val="center"/>
              <w:rPr>
                <w:kern w:val="0"/>
                <w:szCs w:val="21"/>
              </w:rPr>
            </w:pPr>
            <w:r>
              <w:rPr>
                <w:rFonts w:hint="eastAsia"/>
                <w:kern w:val="0"/>
                <w:szCs w:val="21"/>
              </w:rPr>
              <w:t>0</w:t>
            </w:r>
          </w:p>
        </w:tc>
        <w:tc>
          <w:tcPr>
            <w:tcW w:w="914" w:type="pct"/>
            <w:vAlign w:val="center"/>
          </w:tcPr>
          <w:p w14:paraId="5166AC18">
            <w:pPr>
              <w:spacing w:line="320" w:lineRule="exact"/>
              <w:ind w:left="-53" w:leftChars="-25" w:right="-53" w:rightChars="-25"/>
              <w:contextualSpacing/>
              <w:jc w:val="center"/>
              <w:rPr>
                <w:kern w:val="0"/>
                <w:szCs w:val="21"/>
              </w:rPr>
            </w:pPr>
            <w:r>
              <w:rPr>
                <w:rFonts w:hint="eastAsia"/>
                <w:kern w:val="0"/>
                <w:szCs w:val="21"/>
              </w:rPr>
              <w:t>由环卫部门收集统一处理</w:t>
            </w:r>
          </w:p>
        </w:tc>
      </w:tr>
      <w:tr w14:paraId="76A60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62" w:type="pct"/>
            <w:vAlign w:val="center"/>
          </w:tcPr>
          <w:p w14:paraId="78583B0E">
            <w:pPr>
              <w:widowControl/>
              <w:spacing w:line="320" w:lineRule="exact"/>
              <w:jc w:val="center"/>
              <w:rPr>
                <w:kern w:val="0"/>
                <w:szCs w:val="21"/>
              </w:rPr>
            </w:pPr>
            <w:r>
              <w:rPr>
                <w:kern w:val="0"/>
                <w:szCs w:val="21"/>
              </w:rPr>
              <w:t>一般工业固体废物</w:t>
            </w:r>
          </w:p>
        </w:tc>
        <w:tc>
          <w:tcPr>
            <w:tcW w:w="847" w:type="pct"/>
            <w:shd w:val="clear" w:color="auto" w:fill="auto"/>
            <w:vAlign w:val="center"/>
          </w:tcPr>
          <w:p w14:paraId="0ACAEB32">
            <w:pPr>
              <w:widowControl/>
              <w:spacing w:line="320" w:lineRule="exact"/>
              <w:jc w:val="center"/>
              <w:rPr>
                <w:kern w:val="0"/>
                <w:szCs w:val="21"/>
              </w:rPr>
            </w:pPr>
            <w:r>
              <w:rPr>
                <w:kern w:val="0"/>
                <w:szCs w:val="21"/>
              </w:rPr>
              <w:t>4389926.5</w:t>
            </w:r>
          </w:p>
        </w:tc>
        <w:tc>
          <w:tcPr>
            <w:tcW w:w="849" w:type="pct"/>
            <w:shd w:val="clear" w:color="auto" w:fill="auto"/>
            <w:vAlign w:val="center"/>
          </w:tcPr>
          <w:p w14:paraId="6D5F1C7C">
            <w:pPr>
              <w:widowControl/>
              <w:spacing w:line="320" w:lineRule="exact"/>
              <w:jc w:val="center"/>
              <w:rPr>
                <w:kern w:val="0"/>
                <w:szCs w:val="21"/>
              </w:rPr>
            </w:pPr>
            <w:r>
              <w:rPr>
                <w:rFonts w:hint="eastAsia"/>
                <w:kern w:val="0"/>
                <w:szCs w:val="21"/>
              </w:rPr>
              <w:t>0</w:t>
            </w:r>
          </w:p>
        </w:tc>
        <w:tc>
          <w:tcPr>
            <w:tcW w:w="847" w:type="pct"/>
            <w:shd w:val="clear" w:color="auto" w:fill="auto"/>
            <w:vAlign w:val="center"/>
          </w:tcPr>
          <w:p w14:paraId="54F8DA83">
            <w:pPr>
              <w:widowControl/>
              <w:spacing w:line="320" w:lineRule="exact"/>
              <w:jc w:val="center"/>
              <w:rPr>
                <w:kern w:val="0"/>
                <w:szCs w:val="21"/>
              </w:rPr>
            </w:pPr>
            <w:r>
              <w:rPr>
                <w:rFonts w:hint="eastAsia"/>
                <w:kern w:val="0"/>
                <w:szCs w:val="21"/>
              </w:rPr>
              <w:t xml:space="preserve">4893272.4 </w:t>
            </w:r>
          </w:p>
        </w:tc>
        <w:tc>
          <w:tcPr>
            <w:tcW w:w="678" w:type="pct"/>
            <w:vAlign w:val="center"/>
          </w:tcPr>
          <w:p w14:paraId="7818B079">
            <w:pPr>
              <w:widowControl/>
              <w:spacing w:line="320" w:lineRule="exact"/>
              <w:jc w:val="center"/>
              <w:rPr>
                <w:kern w:val="0"/>
                <w:szCs w:val="21"/>
              </w:rPr>
            </w:pPr>
            <w:r>
              <w:rPr>
                <w:rFonts w:hint="eastAsia"/>
                <w:kern w:val="0"/>
                <w:szCs w:val="21"/>
              </w:rPr>
              <w:t>0</w:t>
            </w:r>
          </w:p>
        </w:tc>
        <w:tc>
          <w:tcPr>
            <w:tcW w:w="914" w:type="pct"/>
            <w:vAlign w:val="center"/>
          </w:tcPr>
          <w:p w14:paraId="70F197B1">
            <w:pPr>
              <w:widowControl/>
              <w:spacing w:line="320" w:lineRule="exact"/>
              <w:jc w:val="center"/>
              <w:rPr>
                <w:kern w:val="0"/>
                <w:szCs w:val="21"/>
              </w:rPr>
            </w:pPr>
            <w:r>
              <w:rPr>
                <w:rFonts w:hint="eastAsia"/>
                <w:kern w:val="0"/>
                <w:szCs w:val="21"/>
              </w:rPr>
              <w:t>分类收集后外售综合利用</w:t>
            </w:r>
          </w:p>
        </w:tc>
      </w:tr>
      <w:tr w14:paraId="6F8D4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62" w:type="pct"/>
            <w:vAlign w:val="center"/>
          </w:tcPr>
          <w:p w14:paraId="47CA4228">
            <w:pPr>
              <w:widowControl/>
              <w:spacing w:line="320" w:lineRule="exact"/>
              <w:jc w:val="center"/>
              <w:rPr>
                <w:kern w:val="0"/>
                <w:szCs w:val="21"/>
              </w:rPr>
            </w:pPr>
            <w:r>
              <w:rPr>
                <w:kern w:val="0"/>
                <w:szCs w:val="21"/>
              </w:rPr>
              <w:t>危险废物</w:t>
            </w:r>
          </w:p>
        </w:tc>
        <w:tc>
          <w:tcPr>
            <w:tcW w:w="847" w:type="pct"/>
            <w:shd w:val="clear" w:color="auto" w:fill="auto"/>
            <w:vAlign w:val="center"/>
          </w:tcPr>
          <w:p w14:paraId="0FA2FD58">
            <w:pPr>
              <w:widowControl/>
              <w:spacing w:line="320" w:lineRule="exact"/>
              <w:jc w:val="center"/>
              <w:rPr>
                <w:kern w:val="0"/>
                <w:szCs w:val="21"/>
              </w:rPr>
            </w:pPr>
            <w:r>
              <w:rPr>
                <w:kern w:val="0"/>
                <w:szCs w:val="21"/>
              </w:rPr>
              <w:t>139.</w:t>
            </w:r>
            <w:r>
              <w:rPr>
                <w:rFonts w:hint="eastAsia"/>
                <w:kern w:val="0"/>
                <w:szCs w:val="21"/>
              </w:rPr>
              <w:t>5</w:t>
            </w:r>
          </w:p>
        </w:tc>
        <w:tc>
          <w:tcPr>
            <w:tcW w:w="849" w:type="pct"/>
            <w:shd w:val="clear" w:color="auto" w:fill="auto"/>
            <w:vAlign w:val="center"/>
          </w:tcPr>
          <w:p w14:paraId="0AA74E89">
            <w:pPr>
              <w:widowControl/>
              <w:spacing w:line="320" w:lineRule="exact"/>
              <w:jc w:val="center"/>
              <w:rPr>
                <w:kern w:val="0"/>
                <w:szCs w:val="21"/>
              </w:rPr>
            </w:pPr>
            <w:r>
              <w:rPr>
                <w:rFonts w:hint="eastAsia"/>
                <w:kern w:val="0"/>
                <w:szCs w:val="21"/>
              </w:rPr>
              <w:t>0</w:t>
            </w:r>
          </w:p>
        </w:tc>
        <w:tc>
          <w:tcPr>
            <w:tcW w:w="847" w:type="pct"/>
            <w:shd w:val="clear" w:color="auto" w:fill="auto"/>
            <w:vAlign w:val="center"/>
          </w:tcPr>
          <w:p w14:paraId="05B5E298">
            <w:pPr>
              <w:widowControl/>
              <w:spacing w:line="320" w:lineRule="exact"/>
              <w:jc w:val="center"/>
              <w:rPr>
                <w:kern w:val="0"/>
                <w:szCs w:val="21"/>
              </w:rPr>
            </w:pPr>
            <w:r>
              <w:rPr>
                <w:rFonts w:hint="eastAsia"/>
                <w:kern w:val="0"/>
                <w:szCs w:val="21"/>
              </w:rPr>
              <w:t>155.5</w:t>
            </w:r>
          </w:p>
        </w:tc>
        <w:tc>
          <w:tcPr>
            <w:tcW w:w="678" w:type="pct"/>
            <w:vAlign w:val="center"/>
          </w:tcPr>
          <w:p w14:paraId="04081E8A">
            <w:pPr>
              <w:widowControl/>
              <w:spacing w:line="320" w:lineRule="exact"/>
              <w:jc w:val="center"/>
              <w:rPr>
                <w:kern w:val="0"/>
                <w:szCs w:val="21"/>
              </w:rPr>
            </w:pPr>
            <w:r>
              <w:rPr>
                <w:rFonts w:hint="eastAsia"/>
                <w:kern w:val="0"/>
                <w:szCs w:val="21"/>
              </w:rPr>
              <w:t>0</w:t>
            </w:r>
          </w:p>
        </w:tc>
        <w:tc>
          <w:tcPr>
            <w:tcW w:w="914" w:type="pct"/>
            <w:vAlign w:val="center"/>
          </w:tcPr>
          <w:p w14:paraId="5F6604B9">
            <w:pPr>
              <w:widowControl/>
              <w:spacing w:line="320" w:lineRule="exact"/>
              <w:jc w:val="center"/>
              <w:rPr>
                <w:kern w:val="0"/>
                <w:szCs w:val="21"/>
              </w:rPr>
            </w:pPr>
            <w:r>
              <w:rPr>
                <w:rFonts w:hint="eastAsia"/>
                <w:kern w:val="0"/>
                <w:szCs w:val="21"/>
              </w:rPr>
              <w:t>交有资质的单位处置</w:t>
            </w:r>
          </w:p>
        </w:tc>
      </w:tr>
    </w:tbl>
    <w:p w14:paraId="13285471">
      <w:pPr>
        <w:spacing w:line="360" w:lineRule="auto"/>
        <w:ind w:firstLine="480" w:firstLineChars="200"/>
        <w:rPr>
          <w:rFonts w:eastAsiaTheme="minorEastAsia"/>
          <w:sz w:val="24"/>
        </w:rPr>
      </w:pPr>
      <w:r>
        <w:rPr>
          <w:rFonts w:hint="eastAsia" w:eastAsiaTheme="minorEastAsia"/>
          <w:sz w:val="24"/>
        </w:rPr>
        <w:t>（1）工业废弃物承载力分析</w:t>
      </w:r>
    </w:p>
    <w:p w14:paraId="057F29FE">
      <w:pPr>
        <w:spacing w:line="360" w:lineRule="auto"/>
        <w:ind w:firstLine="480" w:firstLineChars="200"/>
        <w:rPr>
          <w:rFonts w:eastAsiaTheme="minorEastAsia"/>
          <w:sz w:val="24"/>
        </w:rPr>
      </w:pPr>
      <w:r>
        <w:rPr>
          <w:rFonts w:hint="eastAsia" w:eastAsiaTheme="minorEastAsia"/>
          <w:sz w:val="24"/>
        </w:rPr>
        <w:t>工业废弃物素有“放在错误地点的原料”之称，因此对于工业废弃物应该充分考虑工业生态链循环利用，而不是进行处置处理。一般工业固体废物由各企业进行综合利用或处置。</w:t>
      </w:r>
    </w:p>
    <w:p w14:paraId="3A1FD8BE">
      <w:pPr>
        <w:spacing w:line="360" w:lineRule="auto"/>
        <w:ind w:firstLine="480" w:firstLineChars="200"/>
        <w:rPr>
          <w:rFonts w:eastAsiaTheme="minorEastAsia"/>
          <w:sz w:val="24"/>
        </w:rPr>
      </w:pPr>
      <w:r>
        <w:rPr>
          <w:rFonts w:hint="eastAsia" w:eastAsiaTheme="minorEastAsia"/>
          <w:sz w:val="24"/>
        </w:rPr>
        <w:t>近几年来，随州市全面贯彻《中华人民共和国固体废物污染环境防治法》，按照固体废物减量化、资源化、无害化的原则，以防治工业固体废物污染环境为重点，加强工业固体废物的全过程管理，促进工业固体废物的集中处置和利用，通过实施清洁生产，发展循环经济，不断提高资源使用率，全面控制工业固体废物的产生量，加大工业固体废物的综合利用和处置力度，减少其排放，不断提高工业固体废物综合利用处置率，减少工业固体废物贮存和排放量，主要以企业自身综合利用、随州市内综合利用或处置。从发展规划分析，区域内产生的一般固体废物也都能按原方式综合利用或处置。</w:t>
      </w:r>
    </w:p>
    <w:p w14:paraId="3B8121AF">
      <w:pPr>
        <w:spacing w:line="360" w:lineRule="auto"/>
        <w:ind w:firstLine="480" w:firstLineChars="200"/>
        <w:rPr>
          <w:rFonts w:eastAsiaTheme="minorEastAsia"/>
          <w:sz w:val="24"/>
        </w:rPr>
      </w:pPr>
      <w:r>
        <w:rPr>
          <w:rFonts w:hint="eastAsia" w:eastAsiaTheme="minorEastAsia"/>
          <w:sz w:val="24"/>
        </w:rPr>
        <w:t>（2）生活垃圾承载力分析</w:t>
      </w:r>
    </w:p>
    <w:p w14:paraId="7C04C5D8">
      <w:pPr>
        <w:spacing w:line="360" w:lineRule="auto"/>
        <w:ind w:firstLine="480" w:firstLineChars="200"/>
        <w:rPr>
          <w:rFonts w:eastAsiaTheme="minorEastAsia"/>
          <w:sz w:val="24"/>
        </w:rPr>
      </w:pPr>
      <w:r>
        <w:rPr>
          <w:rFonts w:hint="eastAsia" w:eastAsiaTheme="minorEastAsia"/>
          <w:sz w:val="24"/>
        </w:rPr>
        <w:t>依据园区规划，远期生活垃圾产生总量为29200t/a，由环卫部门收集统一处理。对于固体废弃物的防治方面，提出按照减量化、再利用、资源化的原则，加强固体废弃物的处理和综合利用，建立生活废弃物的统一收集、运输、处理体系。根据《随县城乡总体规划（2010—2030）》中污染控制目标：规划至2030年，城区生活垃圾的容器化收集率达85%；城区垃圾无害化处理率达到95%。垃圾收集方式采用袋装、垃圾屋收集，沿路垃圾箱按商业街30米，交通干道60米，一般道路90米间隔设置。在中心城区西北适当地区规划设置垃圾卫生填埋场。</w:t>
      </w:r>
    </w:p>
    <w:p w14:paraId="41AF4B96">
      <w:pPr>
        <w:spacing w:line="360" w:lineRule="auto"/>
        <w:ind w:firstLine="480" w:firstLineChars="200"/>
        <w:rPr>
          <w:rFonts w:eastAsiaTheme="minorEastAsia"/>
          <w:sz w:val="24"/>
        </w:rPr>
      </w:pPr>
      <w:r>
        <w:rPr>
          <w:rFonts w:hint="eastAsia" w:eastAsiaTheme="minorEastAsia"/>
          <w:sz w:val="24"/>
        </w:rPr>
        <w:t>（3）危险废弃物承载力分析</w:t>
      </w:r>
    </w:p>
    <w:p w14:paraId="1C28F8CB">
      <w:pPr>
        <w:spacing w:line="360" w:lineRule="auto"/>
        <w:ind w:firstLine="480" w:firstLineChars="200"/>
        <w:rPr>
          <w:rFonts w:eastAsiaTheme="minorEastAsia"/>
          <w:sz w:val="24"/>
        </w:rPr>
      </w:pPr>
      <w:r>
        <w:rPr>
          <w:rFonts w:hint="eastAsia" w:eastAsiaTheme="minorEastAsia"/>
          <w:sz w:val="24"/>
        </w:rPr>
        <w:t>危险废弃物是对城市安全与卫生影响最大的废弃物，对其处理要求彻底和安全。实现对工业危险废物的安全处置，是促进生态环境保护的必要措施，也是城市工业生产配套的必要条件，对减少城市环境污染、改善人民的生活、促进城市的发展和进步都具有重要的意义。工业危险废物的管理是固体废物管理的重点，国家对其管理及污染控制尤为重视。</w:t>
      </w:r>
    </w:p>
    <w:p w14:paraId="1B248366">
      <w:pPr>
        <w:spacing w:line="360" w:lineRule="auto"/>
        <w:ind w:firstLine="480" w:firstLineChars="200"/>
        <w:rPr>
          <w:rFonts w:eastAsiaTheme="minorEastAsia"/>
          <w:sz w:val="24"/>
        </w:rPr>
      </w:pPr>
      <w:r>
        <w:rPr>
          <w:rFonts w:hint="eastAsia" w:eastAsiaTheme="minorEastAsia"/>
          <w:sz w:val="24"/>
        </w:rPr>
        <w:t>根据危险废物处置要求，园区企业产生的危险废物全部交由有有资质单位进行妥善处理。在引进工业企业时将谨慎引进产生危险废弃物的企业，一方面要求该类企业能够提供安全且有保障的危险废弃物处理处置手段方可入区，从源头解决危险废弃物的处理处置问题；另一方面，新增排放的危险废物均需交由有资质单位处理处置。因此，对于区域内产生的危险废物能够得到有效和及时处置。</w:t>
      </w:r>
    </w:p>
    <w:p w14:paraId="652B5548">
      <w:pPr>
        <w:spacing w:line="360" w:lineRule="auto"/>
        <w:ind w:firstLine="480" w:firstLineChars="200"/>
        <w:rPr>
          <w:rFonts w:eastAsiaTheme="minorEastAsia"/>
          <w:sz w:val="24"/>
        </w:rPr>
      </w:pPr>
      <w:r>
        <w:rPr>
          <w:rFonts w:hint="eastAsia" w:eastAsiaTheme="minorEastAsia"/>
          <w:sz w:val="24"/>
        </w:rPr>
        <w:t>根据湖北省生态环境厅公布的《湖北省危险废物经营许可证》单位名录（截至2024年1月1日），其中随州市从事工业危险废物全处置的单位共有5家，具体名单及经营范围见表5.3-2。</w:t>
      </w:r>
    </w:p>
    <w:p w14:paraId="2E3CE6F5">
      <w:pPr>
        <w:spacing w:line="360" w:lineRule="auto"/>
        <w:ind w:firstLine="480" w:firstLineChars="200"/>
        <w:rPr>
          <w:rFonts w:eastAsiaTheme="minorEastAsia"/>
          <w:sz w:val="24"/>
        </w:rPr>
      </w:pPr>
      <w:r>
        <w:rPr>
          <w:rFonts w:hint="eastAsia" w:eastAsiaTheme="minorEastAsia"/>
          <w:sz w:val="24"/>
        </w:rPr>
        <w:t>根据本报告污染源预测结果，园区实施后远期产生的危险废物为155.5t/a，其危险固废产生种类主要为HW08废矿物油与含矿物油废物，废物代码为900-249-08，对照随州市具有危险废物经营许可证名单表可以看出，产生的危险废物在随州市5家危险废物处理能力之内，可以保证园区危险废物得到合理的处理处置。</w:t>
      </w:r>
    </w:p>
    <w:p w14:paraId="08176486">
      <w:pPr>
        <w:spacing w:line="360" w:lineRule="auto"/>
        <w:ind w:firstLine="480" w:firstLineChars="200"/>
        <w:rPr>
          <w:rFonts w:eastAsiaTheme="minorEastAsia"/>
          <w:sz w:val="24"/>
        </w:rPr>
      </w:pPr>
      <w:r>
        <w:rPr>
          <w:rFonts w:hint="eastAsia" w:eastAsiaTheme="minorEastAsia"/>
          <w:sz w:val="24"/>
        </w:rPr>
        <w:t>因此，园区危险废物通过交由专门单位处置，可以达到固体废物资源化、减量化及无害化的要求。</w:t>
      </w:r>
    </w:p>
    <w:p w14:paraId="71763C43">
      <w:pPr>
        <w:spacing w:line="360" w:lineRule="auto"/>
        <w:ind w:firstLine="422"/>
        <w:jc w:val="center"/>
        <w:rPr>
          <w:rFonts w:eastAsiaTheme="minorEastAsia"/>
          <w:b/>
          <w:szCs w:val="21"/>
        </w:rPr>
        <w:sectPr>
          <w:headerReference r:id="rId11" w:type="default"/>
          <w:pgSz w:w="11906" w:h="16838"/>
          <w:pgMar w:top="1560" w:right="1797" w:bottom="1560" w:left="1797" w:header="851" w:footer="861" w:gutter="0"/>
          <w:cols w:space="425" w:num="1"/>
          <w:docGrid w:type="lines" w:linePitch="312" w:charSpace="0"/>
        </w:sectPr>
      </w:pPr>
    </w:p>
    <w:p w14:paraId="571F99DA">
      <w:pPr>
        <w:spacing w:line="360" w:lineRule="auto"/>
        <w:ind w:firstLine="420" w:firstLineChars="200"/>
        <w:jc w:val="center"/>
        <w:rPr>
          <w:b/>
          <w:szCs w:val="21"/>
        </w:rPr>
      </w:pPr>
      <w:r>
        <w:rPr>
          <w:rFonts w:hint="eastAsia"/>
          <w:b/>
          <w:szCs w:val="21"/>
        </w:rPr>
        <w:t>表5.7.3-2  随州市具有危险废物经营许可证名单表</w:t>
      </w:r>
    </w:p>
    <w:tbl>
      <w:tblPr>
        <w:tblStyle w:val="88"/>
        <w:tblW w:w="48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15"/>
        <w:gridCol w:w="1422"/>
        <w:gridCol w:w="1275"/>
        <w:gridCol w:w="4323"/>
        <w:gridCol w:w="2085"/>
        <w:gridCol w:w="2031"/>
      </w:tblGrid>
      <w:tr w14:paraId="1057B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1C284613">
            <w:pPr>
              <w:widowControl/>
              <w:spacing w:line="320" w:lineRule="exact"/>
              <w:jc w:val="center"/>
              <w:rPr>
                <w:kern w:val="0"/>
                <w:szCs w:val="21"/>
              </w:rPr>
            </w:pPr>
            <w:r>
              <w:rPr>
                <w:rFonts w:hint="eastAsia"/>
                <w:kern w:val="0"/>
                <w:szCs w:val="21"/>
              </w:rPr>
              <w:t>序号</w:t>
            </w:r>
          </w:p>
        </w:tc>
        <w:tc>
          <w:tcPr>
            <w:tcW w:w="665" w:type="pct"/>
            <w:vAlign w:val="center"/>
          </w:tcPr>
          <w:p w14:paraId="7B40C936">
            <w:pPr>
              <w:widowControl/>
              <w:spacing w:line="320" w:lineRule="exact"/>
              <w:ind w:left="-52" w:leftChars="-25" w:right="-52" w:rightChars="-25"/>
              <w:contextualSpacing/>
              <w:jc w:val="center"/>
              <w:rPr>
                <w:kern w:val="0"/>
                <w:szCs w:val="21"/>
              </w:rPr>
            </w:pPr>
            <w:r>
              <w:rPr>
                <w:rFonts w:hint="eastAsia"/>
                <w:kern w:val="0"/>
                <w:szCs w:val="21"/>
              </w:rPr>
              <w:t>企业名称</w:t>
            </w:r>
          </w:p>
        </w:tc>
        <w:tc>
          <w:tcPr>
            <w:tcW w:w="521" w:type="pct"/>
            <w:vAlign w:val="center"/>
          </w:tcPr>
          <w:p w14:paraId="37AC7964">
            <w:pPr>
              <w:widowControl/>
              <w:spacing w:line="320" w:lineRule="exact"/>
              <w:ind w:left="-52" w:leftChars="-25" w:right="-52" w:rightChars="-25"/>
              <w:contextualSpacing/>
              <w:jc w:val="center"/>
              <w:rPr>
                <w:kern w:val="0"/>
                <w:szCs w:val="21"/>
              </w:rPr>
            </w:pPr>
            <w:r>
              <w:rPr>
                <w:rFonts w:hint="eastAsia"/>
                <w:kern w:val="0"/>
                <w:szCs w:val="21"/>
              </w:rPr>
              <w:t>许可证编号</w:t>
            </w:r>
          </w:p>
        </w:tc>
        <w:tc>
          <w:tcPr>
            <w:tcW w:w="467" w:type="pct"/>
            <w:vAlign w:val="center"/>
          </w:tcPr>
          <w:p w14:paraId="61EE0450">
            <w:pPr>
              <w:spacing w:line="320" w:lineRule="exact"/>
              <w:ind w:left="-52" w:leftChars="-25" w:right="-52" w:rightChars="-25"/>
              <w:contextualSpacing/>
              <w:jc w:val="center"/>
              <w:rPr>
                <w:szCs w:val="21"/>
              </w:rPr>
            </w:pPr>
            <w:r>
              <w:rPr>
                <w:rFonts w:hint="eastAsia"/>
                <w:szCs w:val="21"/>
              </w:rPr>
              <w:t>经营方式</w:t>
            </w:r>
          </w:p>
        </w:tc>
        <w:tc>
          <w:tcPr>
            <w:tcW w:w="1584" w:type="pct"/>
            <w:vAlign w:val="center"/>
          </w:tcPr>
          <w:p w14:paraId="7522CBD5">
            <w:pPr>
              <w:spacing w:line="320" w:lineRule="exact"/>
              <w:ind w:left="-52" w:leftChars="-25" w:right="-52" w:rightChars="-25"/>
              <w:contextualSpacing/>
              <w:jc w:val="center"/>
              <w:rPr>
                <w:szCs w:val="21"/>
              </w:rPr>
            </w:pPr>
            <w:r>
              <w:rPr>
                <w:rFonts w:hint="eastAsia"/>
                <w:szCs w:val="21"/>
              </w:rPr>
              <w:t>经营范围</w:t>
            </w:r>
          </w:p>
        </w:tc>
        <w:tc>
          <w:tcPr>
            <w:tcW w:w="764" w:type="pct"/>
            <w:vAlign w:val="center"/>
          </w:tcPr>
          <w:p w14:paraId="5F4A2A0B">
            <w:pPr>
              <w:spacing w:line="320" w:lineRule="exact"/>
              <w:ind w:left="-52" w:leftChars="-25" w:right="-52" w:rightChars="-25"/>
              <w:contextualSpacing/>
              <w:jc w:val="center"/>
              <w:rPr>
                <w:szCs w:val="21"/>
              </w:rPr>
            </w:pPr>
            <w:r>
              <w:rPr>
                <w:rFonts w:hint="eastAsia"/>
                <w:szCs w:val="21"/>
              </w:rPr>
              <w:t>经营规模</w:t>
            </w:r>
          </w:p>
        </w:tc>
        <w:tc>
          <w:tcPr>
            <w:tcW w:w="744" w:type="pct"/>
            <w:vAlign w:val="center"/>
          </w:tcPr>
          <w:p w14:paraId="6D0A1ADF">
            <w:pPr>
              <w:spacing w:line="320" w:lineRule="exact"/>
              <w:ind w:left="-52" w:leftChars="-25" w:right="-52" w:rightChars="-25"/>
              <w:contextualSpacing/>
              <w:jc w:val="center"/>
              <w:rPr>
                <w:szCs w:val="21"/>
              </w:rPr>
            </w:pPr>
            <w:r>
              <w:rPr>
                <w:rFonts w:hint="eastAsia"/>
                <w:szCs w:val="21"/>
              </w:rPr>
              <w:t>经营地址</w:t>
            </w:r>
          </w:p>
        </w:tc>
      </w:tr>
      <w:tr w14:paraId="203E0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0CD6FD0A">
            <w:pPr>
              <w:widowControl/>
              <w:spacing w:line="320" w:lineRule="exact"/>
              <w:jc w:val="center"/>
              <w:rPr>
                <w:kern w:val="0"/>
                <w:szCs w:val="21"/>
              </w:rPr>
            </w:pPr>
            <w:r>
              <w:rPr>
                <w:rFonts w:hint="eastAsia"/>
                <w:kern w:val="0"/>
                <w:szCs w:val="21"/>
              </w:rPr>
              <w:t>1</w:t>
            </w:r>
          </w:p>
        </w:tc>
        <w:tc>
          <w:tcPr>
            <w:tcW w:w="665" w:type="pct"/>
            <w:vAlign w:val="center"/>
          </w:tcPr>
          <w:p w14:paraId="008BA7DD">
            <w:pPr>
              <w:widowControl/>
              <w:spacing w:line="320" w:lineRule="exact"/>
              <w:ind w:left="-52" w:leftChars="-25" w:right="-52" w:rightChars="-25"/>
              <w:contextualSpacing/>
              <w:jc w:val="center"/>
              <w:rPr>
                <w:kern w:val="0"/>
                <w:szCs w:val="21"/>
              </w:rPr>
            </w:pPr>
            <w:r>
              <w:rPr>
                <w:rFonts w:hint="eastAsia"/>
                <w:kern w:val="0"/>
                <w:szCs w:val="21"/>
              </w:rPr>
              <w:t>湖北润恒环境科技有限公司</w:t>
            </w:r>
          </w:p>
        </w:tc>
        <w:tc>
          <w:tcPr>
            <w:tcW w:w="521" w:type="pct"/>
            <w:vAlign w:val="center"/>
          </w:tcPr>
          <w:p w14:paraId="163EC9FD">
            <w:pPr>
              <w:widowControl/>
              <w:spacing w:line="320" w:lineRule="exact"/>
              <w:ind w:left="-52" w:leftChars="-25" w:right="-52" w:rightChars="-25"/>
              <w:contextualSpacing/>
              <w:jc w:val="center"/>
              <w:rPr>
                <w:kern w:val="0"/>
                <w:szCs w:val="21"/>
              </w:rPr>
            </w:pPr>
            <w:r>
              <w:rPr>
                <w:rFonts w:hint="eastAsia"/>
                <w:kern w:val="0"/>
                <w:szCs w:val="21"/>
              </w:rPr>
              <w:t>S42-13</w:t>
            </w:r>
            <w:r>
              <w:rPr>
                <w:kern w:val="0"/>
                <w:szCs w:val="21"/>
              </w:rPr>
              <w:t>-81-0006</w:t>
            </w:r>
          </w:p>
        </w:tc>
        <w:tc>
          <w:tcPr>
            <w:tcW w:w="467" w:type="pct"/>
            <w:vAlign w:val="center"/>
          </w:tcPr>
          <w:p w14:paraId="58A28CDF">
            <w:pPr>
              <w:widowControl/>
              <w:spacing w:line="320" w:lineRule="exact"/>
              <w:ind w:left="-52" w:leftChars="-25" w:right="-52" w:rightChars="-25"/>
              <w:contextualSpacing/>
              <w:jc w:val="center"/>
              <w:rPr>
                <w:kern w:val="0"/>
                <w:szCs w:val="21"/>
              </w:rPr>
            </w:pPr>
            <w:r>
              <w:rPr>
                <w:rFonts w:hint="eastAsia"/>
                <w:kern w:val="0"/>
                <w:szCs w:val="21"/>
              </w:rPr>
              <w:t>收 集 、贮 存 、处置</w:t>
            </w:r>
          </w:p>
        </w:tc>
        <w:tc>
          <w:tcPr>
            <w:tcW w:w="1584" w:type="pct"/>
            <w:vAlign w:val="center"/>
          </w:tcPr>
          <w:p w14:paraId="2A5118DD">
            <w:pPr>
              <w:spacing w:line="320" w:lineRule="exact"/>
              <w:ind w:left="-52" w:leftChars="-25" w:right="-52" w:rightChars="-25"/>
              <w:contextualSpacing/>
              <w:jc w:val="center"/>
              <w:rPr>
                <w:kern w:val="0"/>
                <w:szCs w:val="21"/>
              </w:rPr>
            </w:pPr>
            <w:r>
              <w:rPr>
                <w:rFonts w:hint="eastAsia"/>
                <w:kern w:val="0"/>
                <w:szCs w:val="21"/>
              </w:rPr>
              <w:t>焚烧 1500 吨/年 HW02、100 吨/年 HW03、3000 吨/年 HW04(不含 263-007-04)、300 吨/年 HW06、300吨 / 年 HW08 ( 不 含 071-001-08 、 071-002-08 、072-001-08)；100 吨/年 HW09、2920 吨/年 HW11、650 吨 / 年 HW12(221-001-12 、 900-250-12 、900-251-12、900-252-12、900-253-12、900-254-12、900-255-12、900-256-12、900-299-12、264-010-12、264-011-12、264-012-12、264-013-12)、600 吨/年HW13、500 吨/年 HW17、50 吨/年 HW37、50 吨/年 HW38 (261-067-38)、80 吨/年 HW39、50 吨/年HW40、100 吨/年 HW45(261-081-45、261-084-45、261-085-45 、 900-036-45) 、 500 吨 / 年HW49(900-041-49〔不含感染性废物〕、900-046-49、900-047-49、900-999-49、900-039-49)、处置 400万只/年(5500 吨/年)HW49 其它废物(900-041-49，仅限铁质包装物，不含感染性废物) 、HW08（900-249-08，仅限于沾染矿物油的废弃包装物）</w:t>
            </w:r>
          </w:p>
        </w:tc>
        <w:tc>
          <w:tcPr>
            <w:tcW w:w="764" w:type="pct"/>
            <w:vAlign w:val="center"/>
          </w:tcPr>
          <w:p w14:paraId="7C863867">
            <w:pPr>
              <w:spacing w:line="320" w:lineRule="exact"/>
              <w:ind w:left="-52" w:leftChars="-25" w:right="-52" w:rightChars="-25"/>
              <w:contextualSpacing/>
              <w:jc w:val="center"/>
              <w:rPr>
                <w:kern w:val="0"/>
                <w:szCs w:val="21"/>
              </w:rPr>
            </w:pPr>
            <w:r>
              <w:rPr>
                <w:rFonts w:hint="eastAsia"/>
                <w:kern w:val="0"/>
                <w:szCs w:val="21"/>
              </w:rPr>
              <w:t>焚烧处置1.08 万吨/年，废桶处 置</w:t>
            </w:r>
            <w:r>
              <w:rPr>
                <w:kern w:val="0"/>
                <w:szCs w:val="21"/>
              </w:rPr>
              <w:t>(HW49)</w:t>
            </w:r>
            <w:r>
              <w:rPr>
                <w:rFonts w:hint="eastAsia"/>
                <w:kern w:val="0"/>
                <w:szCs w:val="21"/>
              </w:rPr>
              <w:t>0.55 万吨/年 (400万只/年)</w:t>
            </w:r>
          </w:p>
        </w:tc>
        <w:tc>
          <w:tcPr>
            <w:tcW w:w="744" w:type="pct"/>
            <w:vAlign w:val="center"/>
          </w:tcPr>
          <w:p w14:paraId="270DD521">
            <w:pPr>
              <w:spacing w:line="320" w:lineRule="exact"/>
              <w:ind w:left="-52" w:leftChars="-25" w:right="-52" w:rightChars="-25"/>
              <w:contextualSpacing/>
              <w:jc w:val="center"/>
              <w:rPr>
                <w:kern w:val="0"/>
                <w:szCs w:val="21"/>
              </w:rPr>
            </w:pPr>
            <w:r>
              <w:rPr>
                <w:rFonts w:hint="eastAsia"/>
                <w:kern w:val="0"/>
                <w:szCs w:val="21"/>
              </w:rPr>
              <w:t>湖北省随州市广水市十里办事处镇红石塘村 街 1号</w:t>
            </w:r>
          </w:p>
        </w:tc>
      </w:tr>
      <w:tr w14:paraId="24716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2ADB8B7A">
            <w:pPr>
              <w:widowControl/>
              <w:spacing w:line="320" w:lineRule="exact"/>
              <w:jc w:val="center"/>
              <w:rPr>
                <w:kern w:val="0"/>
                <w:szCs w:val="21"/>
              </w:rPr>
            </w:pPr>
            <w:r>
              <w:rPr>
                <w:rFonts w:hint="eastAsia"/>
                <w:kern w:val="0"/>
                <w:szCs w:val="21"/>
              </w:rPr>
              <w:t>2</w:t>
            </w:r>
          </w:p>
        </w:tc>
        <w:tc>
          <w:tcPr>
            <w:tcW w:w="665" w:type="pct"/>
            <w:vAlign w:val="center"/>
          </w:tcPr>
          <w:p w14:paraId="2063DA2C">
            <w:pPr>
              <w:widowControl/>
              <w:spacing w:line="320" w:lineRule="exact"/>
              <w:ind w:left="-52" w:leftChars="-25" w:right="-52" w:rightChars="-25"/>
              <w:contextualSpacing/>
              <w:jc w:val="center"/>
              <w:rPr>
                <w:kern w:val="0"/>
                <w:szCs w:val="21"/>
              </w:rPr>
            </w:pPr>
            <w:r>
              <w:rPr>
                <w:rFonts w:hint="eastAsia"/>
                <w:kern w:val="0"/>
                <w:szCs w:val="21"/>
              </w:rPr>
              <w:t>湖北嘉森阳再生资源回收利用有限公司</w:t>
            </w:r>
          </w:p>
        </w:tc>
        <w:tc>
          <w:tcPr>
            <w:tcW w:w="521" w:type="pct"/>
            <w:vAlign w:val="center"/>
          </w:tcPr>
          <w:p w14:paraId="752C2165">
            <w:pPr>
              <w:widowControl/>
              <w:spacing w:line="320" w:lineRule="exact"/>
              <w:ind w:left="-52" w:leftChars="-25" w:right="-52" w:rightChars="-25"/>
              <w:contextualSpacing/>
              <w:jc w:val="center"/>
              <w:rPr>
                <w:kern w:val="0"/>
                <w:szCs w:val="21"/>
              </w:rPr>
            </w:pPr>
            <w:r>
              <w:rPr>
                <w:kern w:val="0"/>
                <w:szCs w:val="21"/>
              </w:rPr>
              <w:t>S42-13-03-0117</w:t>
            </w:r>
          </w:p>
        </w:tc>
        <w:tc>
          <w:tcPr>
            <w:tcW w:w="467" w:type="pct"/>
            <w:vAlign w:val="center"/>
          </w:tcPr>
          <w:p w14:paraId="3959AE78">
            <w:pPr>
              <w:spacing w:line="320" w:lineRule="exact"/>
              <w:ind w:left="-52" w:leftChars="-25" w:right="-52" w:rightChars="-25"/>
              <w:contextualSpacing/>
              <w:jc w:val="center"/>
              <w:rPr>
                <w:kern w:val="0"/>
                <w:szCs w:val="21"/>
              </w:rPr>
            </w:pPr>
            <w:r>
              <w:rPr>
                <w:rFonts w:hint="eastAsia"/>
                <w:kern w:val="0"/>
                <w:szCs w:val="21"/>
              </w:rPr>
              <w:t>收 集 、贮 存 、利用</w:t>
            </w:r>
          </w:p>
        </w:tc>
        <w:tc>
          <w:tcPr>
            <w:tcW w:w="1584" w:type="pct"/>
            <w:vAlign w:val="center"/>
          </w:tcPr>
          <w:p w14:paraId="1697A610">
            <w:pPr>
              <w:spacing w:line="320" w:lineRule="exact"/>
              <w:ind w:left="-52" w:leftChars="-25" w:right="-52" w:rightChars="-25"/>
              <w:contextualSpacing/>
              <w:jc w:val="center"/>
              <w:rPr>
                <w:kern w:val="0"/>
                <w:szCs w:val="21"/>
              </w:rPr>
            </w:pPr>
            <w:r>
              <w:rPr>
                <w:rFonts w:hint="eastAsia"/>
                <w:kern w:val="0"/>
                <w:szCs w:val="21"/>
              </w:rPr>
              <w:t>废电路板 HW49（900-045-49）</w:t>
            </w:r>
          </w:p>
        </w:tc>
        <w:tc>
          <w:tcPr>
            <w:tcW w:w="764" w:type="pct"/>
            <w:vAlign w:val="center"/>
          </w:tcPr>
          <w:p w14:paraId="2B19CA25">
            <w:pPr>
              <w:spacing w:line="320" w:lineRule="exact"/>
              <w:ind w:left="-52" w:leftChars="-25" w:right="-52" w:rightChars="-25"/>
              <w:contextualSpacing/>
              <w:jc w:val="center"/>
              <w:rPr>
                <w:kern w:val="0"/>
                <w:szCs w:val="21"/>
              </w:rPr>
            </w:pPr>
            <w:r>
              <w:rPr>
                <w:rFonts w:hint="eastAsia"/>
                <w:kern w:val="0"/>
                <w:szCs w:val="21"/>
              </w:rPr>
              <w:t>0.8 万吨/年</w:t>
            </w:r>
          </w:p>
        </w:tc>
        <w:tc>
          <w:tcPr>
            <w:tcW w:w="744" w:type="pct"/>
            <w:vAlign w:val="center"/>
          </w:tcPr>
          <w:p w14:paraId="199B42FE">
            <w:pPr>
              <w:spacing w:line="320" w:lineRule="exact"/>
              <w:ind w:left="-52" w:leftChars="-25" w:right="-52" w:rightChars="-25"/>
              <w:contextualSpacing/>
              <w:jc w:val="center"/>
              <w:rPr>
                <w:kern w:val="0"/>
                <w:szCs w:val="21"/>
              </w:rPr>
            </w:pPr>
            <w:r>
              <w:rPr>
                <w:rFonts w:hint="eastAsia"/>
                <w:kern w:val="0"/>
                <w:szCs w:val="21"/>
              </w:rPr>
              <w:t>湖北省随州市曾都区两水三路（湖北晶智科技有限公司内）</w:t>
            </w:r>
          </w:p>
        </w:tc>
      </w:tr>
      <w:tr w14:paraId="309B6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0FC3C8E1">
            <w:pPr>
              <w:widowControl/>
              <w:spacing w:line="320" w:lineRule="exact"/>
              <w:jc w:val="center"/>
              <w:rPr>
                <w:kern w:val="0"/>
                <w:szCs w:val="21"/>
              </w:rPr>
            </w:pPr>
            <w:r>
              <w:rPr>
                <w:rFonts w:hint="eastAsia"/>
                <w:kern w:val="0"/>
                <w:szCs w:val="21"/>
              </w:rPr>
              <w:t>3</w:t>
            </w:r>
          </w:p>
        </w:tc>
        <w:tc>
          <w:tcPr>
            <w:tcW w:w="665" w:type="pct"/>
            <w:vAlign w:val="center"/>
          </w:tcPr>
          <w:p w14:paraId="4156A0C1">
            <w:pPr>
              <w:widowControl/>
              <w:spacing w:line="320" w:lineRule="exact"/>
              <w:ind w:left="-52" w:leftChars="-25" w:right="-52" w:rightChars="-25"/>
              <w:contextualSpacing/>
              <w:jc w:val="center"/>
              <w:rPr>
                <w:kern w:val="0"/>
                <w:szCs w:val="21"/>
              </w:rPr>
            </w:pPr>
            <w:r>
              <w:rPr>
                <w:rFonts w:hint="eastAsia"/>
                <w:kern w:val="0"/>
                <w:szCs w:val="21"/>
              </w:rPr>
              <w:t>湖北省展利环保科 技有限公司</w:t>
            </w:r>
          </w:p>
        </w:tc>
        <w:tc>
          <w:tcPr>
            <w:tcW w:w="521" w:type="pct"/>
            <w:vAlign w:val="center"/>
          </w:tcPr>
          <w:p w14:paraId="3738F3C1">
            <w:pPr>
              <w:widowControl/>
              <w:spacing w:line="320" w:lineRule="exact"/>
              <w:ind w:left="-52" w:leftChars="-25" w:right="-52" w:rightChars="-25"/>
              <w:contextualSpacing/>
              <w:jc w:val="center"/>
              <w:rPr>
                <w:kern w:val="0"/>
                <w:szCs w:val="21"/>
              </w:rPr>
            </w:pPr>
            <w:r>
              <w:rPr>
                <w:kern w:val="0"/>
                <w:szCs w:val="21"/>
              </w:rPr>
              <w:t>S42-13-03-0125</w:t>
            </w:r>
          </w:p>
        </w:tc>
        <w:tc>
          <w:tcPr>
            <w:tcW w:w="467" w:type="pct"/>
            <w:vAlign w:val="center"/>
          </w:tcPr>
          <w:p w14:paraId="68F36946">
            <w:pPr>
              <w:spacing w:line="320" w:lineRule="exact"/>
              <w:ind w:left="-52" w:leftChars="-25" w:right="-52" w:rightChars="-25"/>
              <w:contextualSpacing/>
              <w:jc w:val="center"/>
              <w:rPr>
                <w:kern w:val="0"/>
                <w:szCs w:val="21"/>
              </w:rPr>
            </w:pPr>
            <w:r>
              <w:rPr>
                <w:rFonts w:hint="eastAsia"/>
                <w:kern w:val="0"/>
                <w:szCs w:val="21"/>
              </w:rPr>
              <w:t>收集、贮存、利用</w:t>
            </w:r>
          </w:p>
        </w:tc>
        <w:tc>
          <w:tcPr>
            <w:tcW w:w="1584" w:type="pct"/>
            <w:vAlign w:val="center"/>
          </w:tcPr>
          <w:p w14:paraId="0A4C5C60">
            <w:pPr>
              <w:spacing w:line="320" w:lineRule="exact"/>
              <w:ind w:left="-52" w:leftChars="-25" w:right="-52" w:rightChars="-25"/>
              <w:contextualSpacing/>
              <w:jc w:val="center"/>
              <w:rPr>
                <w:kern w:val="0"/>
                <w:szCs w:val="21"/>
              </w:rPr>
            </w:pPr>
            <w:r>
              <w:rPr>
                <w:rFonts w:hint="eastAsia"/>
                <w:kern w:val="0"/>
                <w:szCs w:val="21"/>
              </w:rPr>
              <w:t>HW48 （321-026-48、321-024-48、321-034-48）</w:t>
            </w:r>
          </w:p>
        </w:tc>
        <w:tc>
          <w:tcPr>
            <w:tcW w:w="764" w:type="pct"/>
            <w:vAlign w:val="center"/>
          </w:tcPr>
          <w:p w14:paraId="72AD7839">
            <w:pPr>
              <w:spacing w:line="320" w:lineRule="exact"/>
              <w:ind w:left="-52" w:leftChars="-25" w:right="-52" w:rightChars="-25"/>
              <w:contextualSpacing/>
              <w:jc w:val="center"/>
              <w:rPr>
                <w:kern w:val="0"/>
                <w:szCs w:val="21"/>
              </w:rPr>
            </w:pPr>
            <w:r>
              <w:rPr>
                <w:rFonts w:hint="eastAsia"/>
                <w:kern w:val="0"/>
                <w:szCs w:val="21"/>
              </w:rPr>
              <w:t>5 万 吨 /年</w:t>
            </w:r>
          </w:p>
        </w:tc>
        <w:tc>
          <w:tcPr>
            <w:tcW w:w="744" w:type="pct"/>
            <w:vAlign w:val="center"/>
          </w:tcPr>
          <w:p w14:paraId="08B820C7">
            <w:pPr>
              <w:widowControl/>
              <w:spacing w:line="320" w:lineRule="exact"/>
              <w:ind w:left="-52" w:leftChars="-25" w:right="-52" w:rightChars="-25"/>
              <w:contextualSpacing/>
              <w:jc w:val="center"/>
              <w:rPr>
                <w:kern w:val="0"/>
                <w:szCs w:val="21"/>
              </w:rPr>
            </w:pPr>
            <w:r>
              <w:rPr>
                <w:rFonts w:hint="eastAsia"/>
                <w:kern w:val="0"/>
                <w:szCs w:val="21"/>
              </w:rPr>
              <w:t>随州市南郊柳树淌社区十组工业园内</w:t>
            </w:r>
          </w:p>
        </w:tc>
      </w:tr>
      <w:tr w14:paraId="0A68B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4038EFFF">
            <w:pPr>
              <w:widowControl/>
              <w:spacing w:line="320" w:lineRule="exact"/>
              <w:jc w:val="center"/>
              <w:rPr>
                <w:kern w:val="0"/>
                <w:szCs w:val="21"/>
              </w:rPr>
            </w:pPr>
            <w:r>
              <w:rPr>
                <w:rFonts w:hint="eastAsia"/>
                <w:kern w:val="0"/>
                <w:szCs w:val="21"/>
              </w:rPr>
              <w:t>4</w:t>
            </w:r>
          </w:p>
        </w:tc>
        <w:tc>
          <w:tcPr>
            <w:tcW w:w="665" w:type="pct"/>
            <w:vAlign w:val="center"/>
          </w:tcPr>
          <w:p w14:paraId="4E9687F8">
            <w:pPr>
              <w:widowControl/>
              <w:spacing w:line="320" w:lineRule="exact"/>
              <w:jc w:val="center"/>
              <w:rPr>
                <w:kern w:val="0"/>
                <w:szCs w:val="21"/>
              </w:rPr>
            </w:pPr>
            <w:r>
              <w:rPr>
                <w:rFonts w:hint="eastAsia"/>
                <w:kern w:val="0"/>
                <w:szCs w:val="21"/>
              </w:rPr>
              <w:t>随州市一片净环保有限公司</w:t>
            </w:r>
          </w:p>
        </w:tc>
        <w:tc>
          <w:tcPr>
            <w:tcW w:w="521" w:type="pct"/>
            <w:vAlign w:val="center"/>
          </w:tcPr>
          <w:p w14:paraId="68142526">
            <w:pPr>
              <w:widowControl/>
              <w:spacing w:line="320" w:lineRule="exact"/>
              <w:jc w:val="center"/>
              <w:rPr>
                <w:kern w:val="0"/>
                <w:szCs w:val="21"/>
              </w:rPr>
            </w:pPr>
            <w:r>
              <w:rPr>
                <w:kern w:val="0"/>
                <w:szCs w:val="21"/>
              </w:rPr>
              <w:t>SZ421302002</w:t>
            </w:r>
          </w:p>
        </w:tc>
        <w:tc>
          <w:tcPr>
            <w:tcW w:w="467" w:type="pct"/>
            <w:vAlign w:val="center"/>
          </w:tcPr>
          <w:p w14:paraId="3ED25CBD">
            <w:pPr>
              <w:widowControl/>
              <w:spacing w:line="320" w:lineRule="exact"/>
              <w:jc w:val="center"/>
              <w:rPr>
                <w:kern w:val="0"/>
                <w:szCs w:val="21"/>
              </w:rPr>
            </w:pPr>
            <w:r>
              <w:rPr>
                <w:rFonts w:hint="eastAsia"/>
                <w:kern w:val="0"/>
                <w:szCs w:val="21"/>
              </w:rPr>
              <w:t>收集、贮存、处置</w:t>
            </w:r>
          </w:p>
        </w:tc>
        <w:tc>
          <w:tcPr>
            <w:tcW w:w="1584" w:type="pct"/>
            <w:vAlign w:val="center"/>
          </w:tcPr>
          <w:p w14:paraId="2C0F679E">
            <w:pPr>
              <w:widowControl/>
              <w:spacing w:line="320" w:lineRule="exact"/>
              <w:jc w:val="center"/>
              <w:rPr>
                <w:kern w:val="0"/>
                <w:szCs w:val="21"/>
              </w:rPr>
            </w:pPr>
            <w:r>
              <w:rPr>
                <w:rFonts w:hint="eastAsia"/>
                <w:kern w:val="0"/>
                <w:szCs w:val="21"/>
              </w:rPr>
              <w:t>HW01(831-001-01、831-002-01)；HW01(831-003-01、831-004-01、831-005-01)</w:t>
            </w:r>
          </w:p>
        </w:tc>
        <w:tc>
          <w:tcPr>
            <w:tcW w:w="764" w:type="pct"/>
            <w:vAlign w:val="center"/>
          </w:tcPr>
          <w:p w14:paraId="4D4533E8">
            <w:pPr>
              <w:widowControl/>
              <w:spacing w:line="320" w:lineRule="exact"/>
              <w:jc w:val="center"/>
              <w:rPr>
                <w:kern w:val="0"/>
                <w:szCs w:val="21"/>
              </w:rPr>
            </w:pPr>
            <w:r>
              <w:rPr>
                <w:kern w:val="0"/>
                <w:szCs w:val="21"/>
              </w:rPr>
              <w:t>HW01(831-00</w:t>
            </w:r>
            <w:r>
              <w:rPr>
                <w:rFonts w:hint="eastAsia"/>
                <w:kern w:val="0"/>
                <w:szCs w:val="21"/>
              </w:rPr>
              <w:t>1-01、</w:t>
            </w:r>
            <w:r>
              <w:rPr>
                <w:kern w:val="0"/>
                <w:szCs w:val="21"/>
              </w:rPr>
              <w:t>831-00</w:t>
            </w:r>
            <w:r>
              <w:rPr>
                <w:rFonts w:hint="eastAsia"/>
                <w:kern w:val="0"/>
                <w:szCs w:val="21"/>
              </w:rPr>
              <w:t>2-01)：</w:t>
            </w:r>
            <w:r>
              <w:rPr>
                <w:kern w:val="0"/>
                <w:szCs w:val="21"/>
              </w:rPr>
              <w:t>1080</w:t>
            </w:r>
            <w:r>
              <w:rPr>
                <w:rFonts w:hint="eastAsia"/>
                <w:kern w:val="0"/>
                <w:szCs w:val="21"/>
              </w:rPr>
              <w:t>吨/年；</w:t>
            </w:r>
            <w:r>
              <w:rPr>
                <w:kern w:val="0"/>
                <w:szCs w:val="21"/>
              </w:rPr>
              <w:t>HW01(831-00</w:t>
            </w:r>
            <w:r>
              <w:rPr>
                <w:rFonts w:hint="eastAsia"/>
                <w:kern w:val="0"/>
                <w:szCs w:val="21"/>
              </w:rPr>
              <w:t>3-01、</w:t>
            </w:r>
            <w:r>
              <w:rPr>
                <w:kern w:val="0"/>
                <w:szCs w:val="21"/>
              </w:rPr>
              <w:t>831-00</w:t>
            </w:r>
            <w:r>
              <w:rPr>
                <w:rFonts w:hint="eastAsia"/>
                <w:kern w:val="0"/>
                <w:szCs w:val="21"/>
              </w:rPr>
              <w:t>4-01、</w:t>
            </w:r>
            <w:r>
              <w:rPr>
                <w:kern w:val="0"/>
                <w:szCs w:val="21"/>
              </w:rPr>
              <w:t>831-00</w:t>
            </w:r>
            <w:r>
              <w:rPr>
                <w:rFonts w:hint="eastAsia"/>
                <w:kern w:val="0"/>
                <w:szCs w:val="21"/>
              </w:rPr>
              <w:t>5-01)：</w:t>
            </w:r>
            <w:r>
              <w:rPr>
                <w:kern w:val="0"/>
                <w:szCs w:val="21"/>
              </w:rPr>
              <w:t>1080</w:t>
            </w:r>
            <w:r>
              <w:rPr>
                <w:rFonts w:hint="eastAsia"/>
                <w:kern w:val="0"/>
                <w:szCs w:val="21"/>
              </w:rPr>
              <w:t>吨/年（仅限收集、暂存）</w:t>
            </w:r>
          </w:p>
        </w:tc>
        <w:tc>
          <w:tcPr>
            <w:tcW w:w="744" w:type="pct"/>
            <w:vAlign w:val="center"/>
          </w:tcPr>
          <w:p w14:paraId="64746ADC">
            <w:pPr>
              <w:widowControl/>
              <w:spacing w:line="320" w:lineRule="exact"/>
              <w:jc w:val="center"/>
              <w:rPr>
                <w:kern w:val="0"/>
                <w:szCs w:val="21"/>
              </w:rPr>
            </w:pPr>
            <w:r>
              <w:rPr>
                <w:rFonts w:hint="eastAsia"/>
                <w:kern w:val="0"/>
                <w:szCs w:val="21"/>
              </w:rPr>
              <w:t>随州市曾都区北郊烟墩包村11 组</w:t>
            </w:r>
          </w:p>
        </w:tc>
      </w:tr>
      <w:tr w14:paraId="0F27F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55" w:type="pct"/>
            <w:vAlign w:val="center"/>
          </w:tcPr>
          <w:p w14:paraId="6B92FD41">
            <w:pPr>
              <w:widowControl/>
              <w:spacing w:line="320" w:lineRule="exact"/>
              <w:jc w:val="center"/>
              <w:rPr>
                <w:kern w:val="0"/>
                <w:szCs w:val="21"/>
              </w:rPr>
            </w:pPr>
            <w:r>
              <w:rPr>
                <w:rFonts w:hint="eastAsia"/>
                <w:kern w:val="0"/>
                <w:szCs w:val="21"/>
              </w:rPr>
              <w:t>5</w:t>
            </w:r>
          </w:p>
        </w:tc>
        <w:tc>
          <w:tcPr>
            <w:tcW w:w="665" w:type="pct"/>
            <w:vAlign w:val="center"/>
          </w:tcPr>
          <w:p w14:paraId="4B09DC84">
            <w:pPr>
              <w:widowControl/>
              <w:spacing w:line="320" w:lineRule="exact"/>
              <w:jc w:val="center"/>
              <w:rPr>
                <w:kern w:val="0"/>
                <w:szCs w:val="21"/>
              </w:rPr>
            </w:pPr>
            <w:r>
              <w:rPr>
                <w:rFonts w:hint="eastAsia"/>
                <w:kern w:val="0"/>
                <w:szCs w:val="21"/>
              </w:rPr>
              <w:t>湖北宏泰环保科技有限公司</w:t>
            </w:r>
          </w:p>
        </w:tc>
        <w:tc>
          <w:tcPr>
            <w:tcW w:w="521" w:type="pct"/>
            <w:vAlign w:val="center"/>
          </w:tcPr>
          <w:p w14:paraId="57B310D4">
            <w:pPr>
              <w:widowControl/>
              <w:spacing w:line="320" w:lineRule="exact"/>
              <w:jc w:val="center"/>
              <w:rPr>
                <w:kern w:val="0"/>
                <w:szCs w:val="21"/>
              </w:rPr>
            </w:pPr>
            <w:r>
              <w:rPr>
                <w:kern w:val="0"/>
                <w:szCs w:val="21"/>
              </w:rPr>
              <w:t>SZ421303001</w:t>
            </w:r>
          </w:p>
        </w:tc>
        <w:tc>
          <w:tcPr>
            <w:tcW w:w="467" w:type="pct"/>
            <w:vAlign w:val="center"/>
          </w:tcPr>
          <w:p w14:paraId="09599417">
            <w:pPr>
              <w:widowControl/>
              <w:spacing w:line="320" w:lineRule="exact"/>
              <w:jc w:val="center"/>
              <w:rPr>
                <w:kern w:val="0"/>
                <w:szCs w:val="21"/>
              </w:rPr>
            </w:pPr>
            <w:r>
              <w:rPr>
                <w:rFonts w:hint="eastAsia"/>
                <w:kern w:val="0"/>
                <w:szCs w:val="21"/>
              </w:rPr>
              <w:t>收集、贮存</w:t>
            </w:r>
          </w:p>
        </w:tc>
        <w:tc>
          <w:tcPr>
            <w:tcW w:w="1584" w:type="pct"/>
            <w:vAlign w:val="center"/>
          </w:tcPr>
          <w:p w14:paraId="0C0B9FB6">
            <w:pPr>
              <w:widowControl/>
              <w:spacing w:line="320" w:lineRule="exact"/>
              <w:jc w:val="center"/>
              <w:rPr>
                <w:kern w:val="0"/>
                <w:szCs w:val="21"/>
              </w:rPr>
            </w:pPr>
            <w:r>
              <w:rPr>
                <w:kern w:val="0"/>
                <w:szCs w:val="21"/>
              </w:rPr>
              <w:t>HW08(900-214-08)</w:t>
            </w:r>
          </w:p>
        </w:tc>
        <w:tc>
          <w:tcPr>
            <w:tcW w:w="764" w:type="pct"/>
            <w:vAlign w:val="center"/>
          </w:tcPr>
          <w:p w14:paraId="785D0828">
            <w:pPr>
              <w:widowControl/>
              <w:spacing w:line="320" w:lineRule="exact"/>
              <w:jc w:val="center"/>
              <w:rPr>
                <w:kern w:val="0"/>
                <w:szCs w:val="21"/>
              </w:rPr>
            </w:pPr>
            <w:r>
              <w:rPr>
                <w:rFonts w:hint="eastAsia"/>
                <w:kern w:val="0"/>
                <w:szCs w:val="21"/>
              </w:rPr>
              <w:t>800吨/年</w:t>
            </w:r>
          </w:p>
        </w:tc>
        <w:tc>
          <w:tcPr>
            <w:tcW w:w="744" w:type="pct"/>
            <w:vAlign w:val="center"/>
          </w:tcPr>
          <w:p w14:paraId="1D5C08F4">
            <w:pPr>
              <w:widowControl/>
              <w:spacing w:line="320" w:lineRule="exact"/>
              <w:jc w:val="center"/>
              <w:rPr>
                <w:kern w:val="0"/>
                <w:szCs w:val="21"/>
              </w:rPr>
            </w:pPr>
            <w:r>
              <w:rPr>
                <w:rFonts w:hint="eastAsia"/>
                <w:kern w:val="0"/>
                <w:szCs w:val="21"/>
              </w:rPr>
              <w:t>随州市曾都经济开发区两水三路</w:t>
            </w:r>
          </w:p>
        </w:tc>
      </w:tr>
    </w:tbl>
    <w:p w14:paraId="63489784">
      <w:pPr>
        <w:spacing w:line="360" w:lineRule="auto"/>
        <w:ind w:firstLine="480" w:firstLineChars="200"/>
        <w:rPr>
          <w:rFonts w:eastAsiaTheme="minorEastAsia"/>
          <w:sz w:val="24"/>
        </w:rPr>
        <w:sectPr>
          <w:pgSz w:w="16838" w:h="11906" w:orient="landscape"/>
          <w:pgMar w:top="1797" w:right="1559" w:bottom="1797" w:left="1559" w:header="851" w:footer="862" w:gutter="0"/>
          <w:cols w:space="425" w:num="1"/>
          <w:docGrid w:type="linesAndChars" w:linePitch="312" w:charSpace="0"/>
        </w:sectPr>
      </w:pPr>
    </w:p>
    <w:p w14:paraId="4A584F03">
      <w:pPr>
        <w:keepNext/>
        <w:keepLines/>
        <w:widowControl/>
        <w:numPr>
          <w:ilvl w:val="2"/>
          <w:numId w:val="1"/>
        </w:numPr>
        <w:spacing w:before="120" w:after="120" w:line="360" w:lineRule="auto"/>
        <w:jc w:val="left"/>
        <w:outlineLvl w:val="2"/>
        <w:rPr>
          <w:rFonts w:eastAsiaTheme="minorEastAsia"/>
          <w:b/>
          <w:bCs/>
          <w:sz w:val="24"/>
        </w:rPr>
      </w:pPr>
      <w:bookmarkStart w:id="175" w:name="_Toc206495003"/>
      <w:r>
        <w:rPr>
          <w:rFonts w:hint="eastAsia" w:eastAsiaTheme="minorEastAsia"/>
          <w:b/>
          <w:bCs/>
          <w:sz w:val="24"/>
        </w:rPr>
        <w:t>土地承载力分析</w:t>
      </w:r>
      <w:bookmarkEnd w:id="175"/>
    </w:p>
    <w:p w14:paraId="6BC56441">
      <w:pPr>
        <w:spacing w:line="360" w:lineRule="auto"/>
        <w:ind w:firstLine="480" w:firstLineChars="200"/>
        <w:rPr>
          <w:rFonts w:eastAsiaTheme="minorEastAsia"/>
          <w:sz w:val="24"/>
        </w:rPr>
      </w:pPr>
      <w:r>
        <w:rPr>
          <w:rFonts w:hint="eastAsia" w:eastAsiaTheme="minorEastAsia"/>
          <w:sz w:val="24"/>
        </w:rPr>
        <w:t>《规划》提出：加强用地布局优化，梳理集约高效用地。加强土地利用的优化、整理，对现有企业占地进行全面梳理，规范用地，合理确定各企业占地指标，应退尽退，应用尽用，提高土地利用效率；优化功能区布局，完善生产区、配套设施区、基础设施用地、生态保护区、绿色景观区等布置，规范和明确用地功能。基础设施完善工程，梳理和优化交通运输、电力、给排水等设施。</w:t>
      </w:r>
    </w:p>
    <w:p w14:paraId="629E8116">
      <w:pPr>
        <w:spacing w:line="360" w:lineRule="auto"/>
        <w:ind w:firstLine="480" w:firstLineChars="200"/>
        <w:rPr>
          <w:rFonts w:eastAsiaTheme="minorEastAsia"/>
          <w:sz w:val="24"/>
        </w:rPr>
      </w:pPr>
      <w:r>
        <w:rPr>
          <w:rFonts w:hint="eastAsia" w:eastAsiaTheme="minorEastAsia"/>
          <w:sz w:val="24"/>
        </w:rPr>
        <w:t>整合万和产业园，提高工业用地利用效率：整体优化整个产业园片区结构。针对现有企业分布零散，布局不合理等问题，重点是按土地空间利用规划的要求，规范园区用地，合理确定园区范围。现有园区之外企业，限期搬迁进入园区，园区之外不再发展石材企业。对现有石材企业合理确定占地指标，应退尽退，提高土地利用效率。</w:t>
      </w:r>
    </w:p>
    <w:p w14:paraId="29BA94E3">
      <w:pPr>
        <w:spacing w:line="360" w:lineRule="auto"/>
        <w:ind w:firstLine="480" w:firstLineChars="200"/>
        <w:rPr>
          <w:rFonts w:eastAsiaTheme="minorEastAsia"/>
          <w:sz w:val="24"/>
        </w:rPr>
      </w:pPr>
      <w:r>
        <w:rPr>
          <w:rFonts w:hint="eastAsia" w:eastAsiaTheme="minorEastAsia"/>
          <w:sz w:val="24"/>
        </w:rPr>
        <w:t>园区稳步推进基础设施建设工作，分批次、分地块做好给水、排水、通电、通路、通讯、通气、通暖、平整土地“七通一平”工作。适度部署安排仓储、物流、金融等配套服务设施建设，完善文、教、卫等公共服务设施建设，提高工业园区承载能力。</w:t>
      </w:r>
    </w:p>
    <w:p w14:paraId="2D32EED9">
      <w:pPr>
        <w:spacing w:line="360" w:lineRule="auto"/>
        <w:ind w:firstLine="480" w:firstLineChars="200"/>
        <w:rPr>
          <w:rFonts w:eastAsiaTheme="minorEastAsia"/>
          <w:sz w:val="24"/>
        </w:rPr>
      </w:pPr>
      <w:r>
        <w:rPr>
          <w:rFonts w:hint="eastAsia" w:eastAsiaTheme="minorEastAsia"/>
          <w:sz w:val="24"/>
        </w:rPr>
        <w:t>强化项目考核管理。坚持“亩产论英雄”，完善土地集约利用考核机制，推动随县石材行业的工业用地高效利用，提高单位面积经济效益，将石材打造成为随县乃至湖北省的“亩产论英雄”英雄榜前列产业。</w:t>
      </w:r>
    </w:p>
    <w:p w14:paraId="5A8262C5">
      <w:pPr>
        <w:keepNext/>
        <w:keepLines/>
        <w:widowControl/>
        <w:numPr>
          <w:ilvl w:val="2"/>
          <w:numId w:val="1"/>
        </w:numPr>
        <w:spacing w:before="120" w:after="120" w:line="360" w:lineRule="auto"/>
        <w:jc w:val="left"/>
        <w:outlineLvl w:val="2"/>
        <w:rPr>
          <w:rFonts w:eastAsiaTheme="minorEastAsia"/>
          <w:b/>
          <w:bCs/>
          <w:sz w:val="24"/>
        </w:rPr>
      </w:pPr>
      <w:bookmarkStart w:id="176" w:name="_Toc206495004"/>
      <w:r>
        <w:rPr>
          <w:rFonts w:hint="eastAsia" w:eastAsiaTheme="minorEastAsia"/>
          <w:b/>
          <w:bCs/>
          <w:sz w:val="24"/>
        </w:rPr>
        <w:t>污染物总量控制建议</w:t>
      </w:r>
      <w:bookmarkEnd w:id="176"/>
    </w:p>
    <w:p w14:paraId="37D27B1F">
      <w:pPr>
        <w:spacing w:line="360" w:lineRule="auto"/>
        <w:ind w:firstLine="480" w:firstLineChars="200"/>
        <w:rPr>
          <w:rFonts w:eastAsiaTheme="minorEastAsia"/>
          <w:sz w:val="24"/>
        </w:rPr>
      </w:pPr>
      <w:r>
        <w:rPr>
          <w:rFonts w:hint="eastAsia" w:eastAsiaTheme="minorEastAsia"/>
          <w:sz w:val="24"/>
        </w:rPr>
        <w:t>据《随州市生态环境保护“十四五”规划》，十四五期间全市氮氧化物、挥发性有机物、化学需氧量、氨氪减排量分别达到1800吨、700吨、5200吨、160吨。由于随县石材产业发展规划属于宏观性规划，具体规划项目、园区规划建设及实施有较大的不确定性，因此，项目的总量控制指标需在建设项目环评阶段按照国家发布的核算指南详细核算，结合所在地环境容量状况实行替代。</w:t>
      </w:r>
    </w:p>
    <w:p w14:paraId="550EA8A3">
      <w:pPr>
        <w:spacing w:line="360" w:lineRule="auto"/>
        <w:ind w:firstLine="480" w:firstLineChars="200"/>
        <w:rPr>
          <w:rFonts w:eastAsiaTheme="minorEastAsia"/>
          <w:b/>
          <w:bCs/>
          <w:sz w:val="24"/>
        </w:rPr>
      </w:pPr>
      <w:r>
        <w:rPr>
          <w:rFonts w:hint="eastAsia" w:eastAsiaTheme="minorEastAsia"/>
          <w:sz w:val="24"/>
        </w:rPr>
        <w:t>石材产业要积极落实污染防治攻坚方案，将污染物排放总量控制要求作为建设项目环境影响评价审批的重要条件。区域新改扩建项目涉及新增的主要污染物总量（颗粒物、SO</w:t>
      </w:r>
      <w:r>
        <w:rPr>
          <w:rFonts w:hint="eastAsia" w:eastAsiaTheme="minorEastAsia"/>
          <w:sz w:val="24"/>
          <w:vertAlign w:val="subscript"/>
        </w:rPr>
        <w:t>2</w:t>
      </w:r>
      <w:r>
        <w:rPr>
          <w:rFonts w:hint="eastAsia" w:eastAsiaTheme="minorEastAsia"/>
          <w:sz w:val="24"/>
        </w:rPr>
        <w:t>、NOx、COD、氨氮）应由建设单位按要求向管理部门申请调剂，其中SO</w:t>
      </w:r>
      <w:r>
        <w:rPr>
          <w:rFonts w:hint="eastAsia" w:eastAsiaTheme="minorEastAsia"/>
          <w:sz w:val="24"/>
          <w:vertAlign w:val="subscript"/>
        </w:rPr>
        <w:t>2</w:t>
      </w:r>
      <w:r>
        <w:rPr>
          <w:rFonts w:hint="eastAsia" w:eastAsiaTheme="minorEastAsia"/>
          <w:sz w:val="24"/>
        </w:rPr>
        <w:t>、NOx、COD、氨氮应通过排污权交易平台购买。</w:t>
      </w:r>
      <w:r>
        <w:rPr>
          <w:rFonts w:hint="eastAsia" w:eastAsiaTheme="minorEastAsia"/>
          <w:kern w:val="0"/>
          <w:sz w:val="24"/>
        </w:rPr>
        <w:t>根据</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（随政发[2021]10号）：“上一年度环境空气质量年平均浓度不达标的城市、水环境质量未达到要求的市县，建设项目实施主要污染物2倍削减替代；细颗粒物（PM</w:t>
      </w:r>
      <w:r>
        <w:rPr>
          <w:rFonts w:hint="eastAsia" w:eastAsiaTheme="minorEastAsia"/>
          <w:kern w:val="0"/>
          <w:sz w:val="24"/>
          <w:vertAlign w:val="subscript"/>
        </w:rPr>
        <w:t>2.5</w:t>
      </w:r>
      <w:r>
        <w:rPr>
          <w:rFonts w:hint="eastAsia" w:eastAsiaTheme="minorEastAsia"/>
          <w:kern w:val="0"/>
          <w:sz w:val="24"/>
        </w:rPr>
        <w:t>）年平均浓度不达标的城市，建设项目实施二氧化硫、氮氧化物、烟粉尘、挥发性有机物四项污染物2倍削减替代”。根据现状调查可知，上一年度PM</w:t>
      </w:r>
      <w:r>
        <w:rPr>
          <w:rFonts w:hint="eastAsia" w:eastAsiaTheme="minorEastAsia"/>
          <w:kern w:val="0"/>
          <w:sz w:val="24"/>
          <w:vertAlign w:val="subscript"/>
        </w:rPr>
        <w:t>2.5</w:t>
      </w:r>
      <w:r>
        <w:rPr>
          <w:rFonts w:hint="eastAsia" w:eastAsiaTheme="minorEastAsia"/>
          <w:kern w:val="0"/>
          <w:sz w:val="24"/>
        </w:rPr>
        <w:t>年平均浓度不达标，入驻企业涉及的新增有组织二氧化硫、氮氧化物、烟粉尘应按要求进行2倍削减替代。</w:t>
      </w:r>
    </w:p>
    <w:p w14:paraId="753968F0">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177" w:name="_Toc206495005"/>
      <w:r>
        <w:rPr>
          <w:rFonts w:hint="eastAsia" w:eastAsiaTheme="minorEastAsia"/>
          <w:kern w:val="2"/>
          <w:sz w:val="36"/>
          <w:szCs w:val="36"/>
        </w:rPr>
        <w:t>规划方案综合论证及优化调整建议</w:t>
      </w:r>
      <w:bookmarkEnd w:id="177"/>
    </w:p>
    <w:p w14:paraId="443155A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78" w:name="_Toc206495006"/>
      <w:r>
        <w:rPr>
          <w:rFonts w:hint="eastAsia" w:eastAsiaTheme="minorEastAsia"/>
          <w:b/>
          <w:bCs/>
          <w:sz w:val="30"/>
          <w:szCs w:val="28"/>
        </w:rPr>
        <w:t>规划方案综合论证</w:t>
      </w:r>
      <w:bookmarkEnd w:id="178"/>
    </w:p>
    <w:p w14:paraId="7ECDA8D5">
      <w:pPr>
        <w:keepNext/>
        <w:keepLines/>
        <w:widowControl/>
        <w:numPr>
          <w:ilvl w:val="2"/>
          <w:numId w:val="1"/>
        </w:numPr>
        <w:spacing w:before="120" w:after="120" w:line="360" w:lineRule="auto"/>
        <w:jc w:val="left"/>
        <w:outlineLvl w:val="2"/>
        <w:rPr>
          <w:rFonts w:eastAsiaTheme="minorEastAsia"/>
          <w:b/>
          <w:bCs/>
          <w:sz w:val="24"/>
        </w:rPr>
      </w:pPr>
      <w:bookmarkStart w:id="179" w:name="_Toc206495007"/>
      <w:r>
        <w:rPr>
          <w:rFonts w:hint="eastAsia" w:eastAsiaTheme="minorEastAsia"/>
          <w:b/>
          <w:bCs/>
          <w:sz w:val="24"/>
        </w:rPr>
        <w:t>规划目标与发展定位的合理性</w:t>
      </w:r>
      <w:bookmarkEnd w:id="179"/>
    </w:p>
    <w:p w14:paraId="14597CCD">
      <w:pPr>
        <w:spacing w:line="360" w:lineRule="auto"/>
        <w:ind w:firstLine="480" w:firstLineChars="200"/>
        <w:rPr>
          <w:rFonts w:eastAsiaTheme="minorEastAsia"/>
          <w:sz w:val="24"/>
        </w:rPr>
      </w:pPr>
      <w:r>
        <w:rPr>
          <w:rFonts w:hint="eastAsia" w:eastAsiaTheme="minorEastAsia"/>
          <w:sz w:val="24"/>
        </w:rPr>
        <w:t>《规划》提出：</w:t>
      </w:r>
      <w:r>
        <w:rPr>
          <w:rFonts w:hint="eastAsia" w:eastAsiaTheme="minorEastAsia"/>
          <w:b/>
          <w:sz w:val="24"/>
        </w:rPr>
        <w:t>产业规模显著提升。</w:t>
      </w:r>
      <w:r>
        <w:rPr>
          <w:rFonts w:hint="eastAsia" w:eastAsiaTheme="minorEastAsia"/>
          <w:sz w:val="24"/>
        </w:rPr>
        <w:t>力争到2025年，全产业链产值达300亿元，实现税收5亿元；到2030年，产值达到500亿元，贡献税收10亿元；到2035年，产值达到800亿元，贡献税收20亿元。</w:t>
      </w:r>
    </w:p>
    <w:p w14:paraId="2C2EF899">
      <w:pPr>
        <w:spacing w:line="360" w:lineRule="auto"/>
        <w:ind w:firstLine="482" w:firstLineChars="200"/>
        <w:rPr>
          <w:rFonts w:eastAsiaTheme="minorEastAsia"/>
          <w:sz w:val="24"/>
        </w:rPr>
      </w:pPr>
      <w:r>
        <w:rPr>
          <w:rFonts w:hint="eastAsia" w:eastAsiaTheme="minorEastAsia"/>
          <w:b/>
          <w:sz w:val="24"/>
        </w:rPr>
        <w:t>产业结构持续完善。</w:t>
      </w:r>
      <w:r>
        <w:rPr>
          <w:rFonts w:hint="eastAsia" w:eastAsiaTheme="minorEastAsia"/>
          <w:sz w:val="24"/>
        </w:rPr>
        <w:t xml:space="preserve">形成大企业引领、中小企业集聚的产业发展格局，矿山开采、荒料贸易、加工制造、贸易展销、安装维修、文化创意等产业环节竞争力不断增强，打造成为集智能制造、数字贸易、文化创意等于一体，具有全球影响力的知名石材产业集群。 </w:t>
      </w:r>
    </w:p>
    <w:p w14:paraId="30E5BDE6">
      <w:pPr>
        <w:spacing w:line="360" w:lineRule="auto"/>
        <w:ind w:firstLine="482" w:firstLineChars="200"/>
        <w:rPr>
          <w:rFonts w:eastAsiaTheme="minorEastAsia"/>
          <w:sz w:val="24"/>
        </w:rPr>
      </w:pPr>
      <w:r>
        <w:rPr>
          <w:rFonts w:hint="eastAsia" w:eastAsiaTheme="minorEastAsia"/>
          <w:b/>
          <w:sz w:val="24"/>
        </w:rPr>
        <w:t>绿色开发加速形成。</w:t>
      </w:r>
      <w:r>
        <w:rPr>
          <w:rFonts w:hint="eastAsia" w:eastAsiaTheme="minorEastAsia"/>
          <w:sz w:val="24"/>
        </w:rPr>
        <w:t>到2030年，资源的综合利用和循环利用水平显著提升，产业绿色化、数字化、智能化转型加快，逐步构建起较为完善的行业绿色发展体系。</w:t>
      </w:r>
    </w:p>
    <w:p w14:paraId="3629CD0F">
      <w:pPr>
        <w:spacing w:line="360" w:lineRule="auto"/>
        <w:ind w:firstLine="482" w:firstLineChars="200"/>
        <w:rPr>
          <w:rFonts w:eastAsiaTheme="minorEastAsia"/>
          <w:sz w:val="24"/>
        </w:rPr>
      </w:pPr>
      <w:r>
        <w:rPr>
          <w:rFonts w:hint="eastAsia" w:eastAsiaTheme="minorEastAsia"/>
          <w:b/>
          <w:sz w:val="24"/>
        </w:rPr>
        <w:t>品牌创建卓有成效。</w:t>
      </w:r>
      <w:r>
        <w:rPr>
          <w:rFonts w:hint="eastAsia" w:eastAsiaTheme="minorEastAsia"/>
          <w:sz w:val="24"/>
        </w:rPr>
        <w:t>随县石材品牌创建卓有成效，品牌质量显著增强，产品丰富度、品牌认知度、质量满意度大幅提升。</w:t>
      </w:r>
    </w:p>
    <w:p w14:paraId="13740EB9">
      <w:pPr>
        <w:spacing w:line="360" w:lineRule="auto"/>
        <w:ind w:firstLine="482" w:firstLineChars="200"/>
        <w:rPr>
          <w:rFonts w:eastAsiaTheme="minorEastAsia"/>
          <w:sz w:val="24"/>
        </w:rPr>
      </w:pPr>
      <w:r>
        <w:rPr>
          <w:rFonts w:hint="eastAsia" w:eastAsiaTheme="minorEastAsia"/>
          <w:b/>
          <w:sz w:val="24"/>
        </w:rPr>
        <w:t>创新动能持续增强。</w:t>
      </w:r>
      <w:r>
        <w:rPr>
          <w:rFonts w:hint="eastAsia" w:eastAsiaTheme="minorEastAsia"/>
          <w:sz w:val="24"/>
        </w:rPr>
        <w:t>石材产业技术创新水平不断提升，数字化转型取得显著成效，产业发展动能持续增强，到2030 年，建成企业研发设计中心10家，2035年达到15家。新一代信息化智能化技术广泛应用，创意设计、建筑装饰设计及工程安装服务成为引领产业发展的根本动力。</w:t>
      </w:r>
    </w:p>
    <w:p w14:paraId="58F726C9">
      <w:pPr>
        <w:spacing w:line="360" w:lineRule="auto"/>
        <w:ind w:firstLine="482" w:firstLineChars="200"/>
        <w:rPr>
          <w:rFonts w:eastAsiaTheme="minorEastAsia"/>
          <w:sz w:val="24"/>
        </w:rPr>
      </w:pPr>
      <w:r>
        <w:rPr>
          <w:rFonts w:hint="eastAsia" w:eastAsiaTheme="minorEastAsia"/>
          <w:b/>
          <w:sz w:val="24"/>
        </w:rPr>
        <w:t>经济定位：随县经济社会高质量发展的支柱产业和城市名片。</w:t>
      </w:r>
      <w:r>
        <w:rPr>
          <w:rFonts w:hint="eastAsia" w:eastAsiaTheme="minorEastAsia"/>
          <w:sz w:val="24"/>
        </w:rPr>
        <w:t>依托资源和产业基础优势，优化布局结构、企业结构，引入新技术、新工艺、新模式，加快随县石材产业供给侧结构性改革，构建新业态，再创石材行业新辉煌。通过石材与旅游、建筑业、机械等相关产业的融合发展，以及与美丽乡村建设、第三产业发展等结合，形成随县完善产业体系，五年打造五百亿元产业，十年打造千亿元产业，带动全县经济结构的全面优化与升级。</w:t>
      </w:r>
    </w:p>
    <w:p w14:paraId="749B3F81">
      <w:pPr>
        <w:spacing w:line="360" w:lineRule="auto"/>
        <w:ind w:firstLine="482" w:firstLineChars="200"/>
        <w:rPr>
          <w:rFonts w:eastAsiaTheme="minorEastAsia"/>
          <w:sz w:val="24"/>
        </w:rPr>
      </w:pPr>
      <w:r>
        <w:rPr>
          <w:rFonts w:hint="eastAsia" w:eastAsiaTheme="minorEastAsia"/>
          <w:b/>
          <w:sz w:val="24"/>
        </w:rPr>
        <w:t>集群定位：</w:t>
      </w:r>
      <w:r>
        <w:rPr>
          <w:rFonts w:hint="eastAsia" w:eastAsiaTheme="minorEastAsia"/>
          <w:sz w:val="24"/>
        </w:rPr>
        <w:t>打造“华中顶尖、全国一流、世界知名”的石材产业综合集群以及全国绿色矿业发展示范区、石材行业矿产资源高效开发利用示范基地。</w:t>
      </w:r>
    </w:p>
    <w:p w14:paraId="32EC918E">
      <w:pPr>
        <w:spacing w:line="360" w:lineRule="auto"/>
        <w:ind w:firstLine="482" w:firstLineChars="200"/>
        <w:rPr>
          <w:rFonts w:eastAsiaTheme="minorEastAsia"/>
          <w:sz w:val="24"/>
        </w:rPr>
      </w:pPr>
      <w:r>
        <w:rPr>
          <w:rFonts w:hint="eastAsia" w:eastAsiaTheme="minorEastAsia"/>
          <w:b/>
          <w:sz w:val="24"/>
        </w:rPr>
        <w:t>产品定位：</w:t>
      </w:r>
      <w:r>
        <w:rPr>
          <w:rFonts w:hint="eastAsia" w:eastAsiaTheme="minorEastAsia"/>
          <w:sz w:val="24"/>
        </w:rPr>
        <w:t>主要发展满足终端市场需求的系列化、标准化、定制化的精深加工产品及整体解决方案，并配套完善的应用服务。</w:t>
      </w:r>
    </w:p>
    <w:p w14:paraId="232C70D1">
      <w:pPr>
        <w:spacing w:line="360" w:lineRule="auto"/>
        <w:ind w:firstLine="482" w:firstLineChars="200"/>
        <w:rPr>
          <w:rFonts w:eastAsiaTheme="minorEastAsia"/>
          <w:sz w:val="24"/>
        </w:rPr>
      </w:pPr>
      <w:r>
        <w:rPr>
          <w:rFonts w:hint="eastAsia" w:eastAsiaTheme="minorEastAsia"/>
          <w:b/>
          <w:sz w:val="24"/>
        </w:rPr>
        <w:t>市场定位：</w:t>
      </w:r>
      <w:r>
        <w:rPr>
          <w:rFonts w:hint="eastAsia" w:eastAsiaTheme="minorEastAsia"/>
          <w:sz w:val="24"/>
        </w:rPr>
        <w:t>随县石材产品主要面向国内市场，以随县所在的湖北省和中部地区为主，核心市场包括随州市、武汉市及武汉都市圈，郑州市及郑州都市圈等。积极开拓合理运距范围内的全国市场，重点开发长江经济带、京津冀城市群、粤港澳大湾区、成渝经济圈等。</w:t>
      </w:r>
    </w:p>
    <w:p w14:paraId="2D2E9DDD">
      <w:pPr>
        <w:spacing w:line="360" w:lineRule="auto"/>
        <w:ind w:firstLine="482" w:firstLineChars="200"/>
        <w:rPr>
          <w:rFonts w:eastAsiaTheme="minorEastAsia"/>
          <w:sz w:val="24"/>
        </w:rPr>
      </w:pPr>
      <w:r>
        <w:rPr>
          <w:rFonts w:hint="eastAsia" w:eastAsiaTheme="minorEastAsia"/>
          <w:b/>
          <w:sz w:val="24"/>
        </w:rPr>
        <w:t>技术定位：</w:t>
      </w:r>
      <w:r>
        <w:rPr>
          <w:rFonts w:hint="eastAsia" w:eastAsiaTheme="minorEastAsia"/>
          <w:sz w:val="24"/>
        </w:rPr>
        <w:t>矿山开采、石材加工、废弃物综合利用等环节工艺技术、装备达到国内一流水平；数字化智能化信息化技术全面推广达到国内一流；技术、装备、工艺研发、标准规范编制水平达到国内一流。</w:t>
      </w:r>
    </w:p>
    <w:p w14:paraId="4109548E">
      <w:pPr>
        <w:spacing w:line="360" w:lineRule="auto"/>
        <w:ind w:firstLine="480" w:firstLineChars="200"/>
        <w:rPr>
          <w:rFonts w:eastAsiaTheme="minorEastAsia"/>
          <w:sz w:val="24"/>
        </w:rPr>
      </w:pPr>
      <w:r>
        <w:rPr>
          <w:rFonts w:hint="eastAsia" w:eastAsiaTheme="minorEastAsia"/>
          <w:sz w:val="24"/>
        </w:rPr>
        <w:t>根据发展规划目标及定位，报告2.2章节分析了发展规划与《随州市国土空间总体规划（2021-2035年）》、《随县城乡总体规划（2010—2030）》等规划要求相符，落实了区域规划的要求。</w:t>
      </w:r>
    </w:p>
    <w:p w14:paraId="7CC83177">
      <w:pPr>
        <w:keepNext/>
        <w:keepLines/>
        <w:widowControl/>
        <w:numPr>
          <w:ilvl w:val="2"/>
          <w:numId w:val="1"/>
        </w:numPr>
        <w:spacing w:before="120" w:after="120" w:line="360" w:lineRule="auto"/>
        <w:jc w:val="left"/>
        <w:outlineLvl w:val="2"/>
        <w:rPr>
          <w:rFonts w:eastAsiaTheme="minorEastAsia"/>
          <w:b/>
          <w:bCs/>
          <w:sz w:val="24"/>
        </w:rPr>
      </w:pPr>
      <w:bookmarkStart w:id="180" w:name="_Toc206495008"/>
      <w:r>
        <w:rPr>
          <w:rFonts w:hint="eastAsia" w:eastAsiaTheme="minorEastAsia"/>
          <w:b/>
          <w:bCs/>
          <w:sz w:val="24"/>
        </w:rPr>
        <w:t>规划发展规模的资源环境合理性</w:t>
      </w:r>
      <w:bookmarkEnd w:id="180"/>
    </w:p>
    <w:p w14:paraId="3730D8C0">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水资源需求合理性</w:t>
      </w:r>
    </w:p>
    <w:p w14:paraId="602225C4">
      <w:pPr>
        <w:spacing w:line="360" w:lineRule="auto"/>
        <w:ind w:firstLine="480" w:firstLineChars="200"/>
        <w:rPr>
          <w:rFonts w:eastAsiaTheme="minorEastAsia"/>
          <w:sz w:val="24"/>
        </w:rPr>
      </w:pPr>
      <w:r>
        <w:rPr>
          <w:rFonts w:hint="eastAsia" w:eastAsiaTheme="minorEastAsia"/>
          <w:sz w:val="24"/>
        </w:rPr>
        <w:t>（1）用水合理性</w:t>
      </w:r>
    </w:p>
    <w:p w14:paraId="1207E514">
      <w:pPr>
        <w:spacing w:line="360" w:lineRule="auto"/>
        <w:ind w:firstLine="480" w:firstLineChars="200"/>
        <w:rPr>
          <w:rFonts w:eastAsiaTheme="minorEastAsia"/>
          <w:sz w:val="24"/>
        </w:rPr>
      </w:pPr>
      <w:r>
        <w:rPr>
          <w:rFonts w:hint="eastAsia" w:eastAsiaTheme="minorEastAsia"/>
          <w:sz w:val="24"/>
        </w:rPr>
        <w:t>根据《随州市重点流域水生态环境保护</w:t>
      </w:r>
      <w:bookmarkStart w:id="289" w:name="_GoBack"/>
      <w:r>
        <w:rPr>
          <w:rFonts w:hint="eastAsia" w:eastAsiaTheme="minorEastAsia"/>
          <w:sz w:val="24"/>
        </w:rPr>
        <w:t>“十四五”</w:t>
      </w:r>
      <w:bookmarkEnd w:id="289"/>
      <w:r>
        <w:rPr>
          <w:rFonts w:hint="eastAsia" w:eastAsiaTheme="minorEastAsia"/>
          <w:sz w:val="24"/>
        </w:rPr>
        <w:t>规划》：大力推行中水回用或城市再生水利用步伐，提高水资源循环利用水平。根据各地区现有条件，统筹规划，分步实施，推动再生水利用。新建用水企业、工业园区、中型大型污水处理厂等必须做好中水回用建设规划，综合利用中水资源；对工业用水、绿化用水等非生活用水，应引入中水，逐步完善、拓展中水的应用范围。从而提高水资源利用效率，达到节水目的。</w:t>
      </w:r>
    </w:p>
    <w:p w14:paraId="70965C04">
      <w:pPr>
        <w:spacing w:line="360" w:lineRule="auto"/>
        <w:ind w:firstLine="480" w:firstLineChars="200"/>
        <w:rPr>
          <w:rFonts w:eastAsiaTheme="minorEastAsia"/>
          <w:sz w:val="24"/>
        </w:rPr>
      </w:pPr>
      <w:r>
        <w:rPr>
          <w:rFonts w:hint="eastAsia" w:eastAsiaTheme="minorEastAsia"/>
          <w:sz w:val="24"/>
        </w:rPr>
        <w:t>本次园区规划石材企业生产废水全部经处理后回用，新鲜水资源使用集中供水厂供水，符合《随州市重点流域水生态环境保护“ 十四五” 规划》中的水资源循环利用要求。</w:t>
      </w:r>
    </w:p>
    <w:p w14:paraId="6DEADF8B">
      <w:pPr>
        <w:spacing w:line="360" w:lineRule="auto"/>
        <w:ind w:firstLine="480" w:firstLineChars="200"/>
        <w:rPr>
          <w:rFonts w:eastAsiaTheme="minorEastAsia"/>
          <w:sz w:val="24"/>
        </w:rPr>
      </w:pPr>
      <w:r>
        <w:rPr>
          <w:rFonts w:hint="eastAsia" w:eastAsiaTheme="minorEastAsia"/>
          <w:sz w:val="24"/>
        </w:rPr>
        <w:t>（2）给水方案建议</w:t>
      </w:r>
    </w:p>
    <w:p w14:paraId="6F744C2C">
      <w:pPr>
        <w:spacing w:line="360" w:lineRule="auto"/>
        <w:ind w:firstLine="480" w:firstLineChars="200"/>
        <w:rPr>
          <w:rFonts w:eastAsiaTheme="minorEastAsia"/>
          <w:sz w:val="24"/>
        </w:rPr>
      </w:pPr>
      <w:r>
        <w:rPr>
          <w:rFonts w:hint="eastAsia" w:eastAsiaTheme="minorEastAsia"/>
          <w:sz w:val="24"/>
        </w:rPr>
        <w:t>随县多年平均降雨量为961.2mm，降雨资源较为丰富，但由于年内降雨分布不均，近70%的降雨量集中在夏、秋两季，且降雨多为短历时暴雨，然而降雨时间上集中的特点为发展雨水集蓄提供了极为便利的条件。在雨季通过对降雨的集流、存贮，跨季度、跨年度地进行合理调用，可提高雨水资源化利用程度。园区企业通过建造雨水收集设施和调蓄设施，可将部分雨水收集并回用于园区工业供水系统。</w:t>
      </w:r>
    </w:p>
    <w:p w14:paraId="0B6DFAE1">
      <w:pPr>
        <w:spacing w:line="360" w:lineRule="auto"/>
        <w:ind w:firstLine="480" w:firstLineChars="200"/>
        <w:rPr>
          <w:rFonts w:eastAsiaTheme="minorEastAsia"/>
          <w:sz w:val="24"/>
        </w:rPr>
      </w:pPr>
      <w:r>
        <w:rPr>
          <w:rFonts w:hint="eastAsia" w:eastAsiaTheme="minorEastAsia"/>
          <w:sz w:val="24"/>
        </w:rPr>
        <w:t>实施分质供水方案，提高水资源的配置效率。分析企业用水水质的要求、水源和水量等，对雨水、淡水和微污染水等进行分级综合利用。</w:t>
      </w:r>
    </w:p>
    <w:p w14:paraId="38CCB8C1">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水环境可行性</w:t>
      </w:r>
    </w:p>
    <w:p w14:paraId="35ACCDD2">
      <w:pPr>
        <w:spacing w:line="360" w:lineRule="auto"/>
        <w:ind w:firstLine="480" w:firstLineChars="200"/>
        <w:rPr>
          <w:sz w:val="24"/>
        </w:rPr>
      </w:pPr>
      <w:r>
        <w:rPr>
          <w:rFonts w:hint="eastAsia"/>
          <w:sz w:val="24"/>
        </w:rPr>
        <w:t>（1）区域水环境质量现状</w:t>
      </w:r>
    </w:p>
    <w:p w14:paraId="4617628E">
      <w:pPr>
        <w:spacing w:line="360" w:lineRule="auto"/>
        <w:ind w:firstLine="480" w:firstLineChars="200"/>
        <w:rPr>
          <w:sz w:val="24"/>
        </w:rPr>
      </w:pPr>
      <w:r>
        <w:rPr>
          <w:rFonts w:hint="eastAsia"/>
          <w:sz w:val="24"/>
        </w:rPr>
        <w:t>根据</w:t>
      </w:r>
      <w:r>
        <w:rPr>
          <w:rFonts w:hint="eastAsia" w:eastAsiaTheme="minorEastAsia"/>
          <w:bCs/>
          <w:snapToGrid w:val="0"/>
          <w:kern w:val="0"/>
          <w:sz w:val="24"/>
          <w:szCs w:val="20"/>
        </w:rPr>
        <w:t>《随州市2024年环境状况公报》，</w:t>
      </w:r>
      <w:r>
        <w:rPr>
          <w:rFonts w:hint="eastAsia"/>
          <w:sz w:val="24"/>
        </w:rPr>
        <w:t>2023年至2024年期间，规划园区范围主要受纳水体</w:t>
      </w:r>
      <w:r>
        <w:rPr>
          <w:rFonts w:hint="eastAsia" w:eastAsiaTheme="minorEastAsia"/>
          <w:sz w:val="24"/>
        </w:rPr>
        <w:t>溠水、厥水河、漂水、游河</w:t>
      </w:r>
      <w:r>
        <w:rPr>
          <w:rFonts w:hint="eastAsia"/>
          <w:sz w:val="24"/>
        </w:rPr>
        <w:t>地表水环境质量</w:t>
      </w:r>
      <w:r>
        <w:rPr>
          <w:sz w:val="24"/>
        </w:rPr>
        <w:t>均满足《地表水环境质量标准》（GB3838-2002）中</w:t>
      </w:r>
      <w:r>
        <w:rPr>
          <w:rFonts w:hint="eastAsia"/>
          <w:sz w:val="24"/>
        </w:rPr>
        <w:t>III</w:t>
      </w:r>
      <w:r>
        <w:rPr>
          <w:sz w:val="24"/>
        </w:rPr>
        <w:t>类水质标准，属于地表水环境质量达标区。</w:t>
      </w:r>
    </w:p>
    <w:p w14:paraId="44C192EC">
      <w:pPr>
        <w:spacing w:line="360" w:lineRule="auto"/>
        <w:ind w:firstLine="480" w:firstLineChars="200"/>
        <w:rPr>
          <w:sz w:val="24"/>
        </w:rPr>
      </w:pPr>
      <w:r>
        <w:rPr>
          <w:rFonts w:hint="eastAsia"/>
          <w:sz w:val="24"/>
        </w:rPr>
        <w:t>（2）污水处理厂接纳废水的可行性</w:t>
      </w:r>
    </w:p>
    <w:p w14:paraId="7166CD12">
      <w:pPr>
        <w:spacing w:line="360" w:lineRule="auto"/>
        <w:ind w:firstLine="480" w:firstLineChars="200"/>
        <w:rPr>
          <w:rFonts w:eastAsiaTheme="minorEastAsia"/>
          <w:kern w:val="0"/>
          <w:sz w:val="24"/>
        </w:rPr>
      </w:pPr>
      <w:r>
        <w:rPr>
          <w:rFonts w:hint="eastAsia" w:eastAsiaTheme="minorEastAsia"/>
          <w:kern w:val="0"/>
          <w:sz w:val="24"/>
        </w:rPr>
        <w:t>根据前文5.1.2章节分析可知，园区</w:t>
      </w:r>
      <w:r>
        <w:rPr>
          <w:rFonts w:eastAsiaTheme="minorEastAsia"/>
          <w:kern w:val="0"/>
          <w:sz w:val="24"/>
        </w:rPr>
        <w:t>生活废水</w:t>
      </w:r>
      <w:r>
        <w:rPr>
          <w:rFonts w:hint="eastAsia" w:eastAsiaTheme="minorEastAsia"/>
          <w:kern w:val="0"/>
          <w:sz w:val="24"/>
        </w:rPr>
        <w:t>经处理后</w:t>
      </w:r>
      <w:r>
        <w:rPr>
          <w:rFonts w:eastAsiaTheme="minorEastAsia"/>
          <w:kern w:val="0"/>
          <w:sz w:val="24"/>
        </w:rPr>
        <w:t>可以达到</w:t>
      </w:r>
      <w:r>
        <w:rPr>
          <w:rFonts w:hint="eastAsia" w:eastAsiaTheme="minorEastAsia"/>
          <w:kern w:val="0"/>
          <w:sz w:val="24"/>
        </w:rPr>
        <w:t>乡镇</w:t>
      </w:r>
      <w:r>
        <w:rPr>
          <w:rFonts w:eastAsiaTheme="minorEastAsia"/>
          <w:kern w:val="0"/>
          <w:sz w:val="24"/>
        </w:rPr>
        <w:t>污水处理厂进水标准，</w:t>
      </w:r>
      <w:r>
        <w:rPr>
          <w:rFonts w:hint="eastAsia" w:eastAsiaTheme="minorEastAsia"/>
          <w:kern w:val="0"/>
          <w:sz w:val="24"/>
        </w:rPr>
        <w:t>园区</w:t>
      </w:r>
      <w:r>
        <w:rPr>
          <w:rFonts w:hint="eastAsia" w:eastAsiaTheme="minorEastAsia"/>
          <w:sz w:val="24"/>
        </w:rPr>
        <w:t>远期</w:t>
      </w:r>
      <w:r>
        <w:rPr>
          <w:rFonts w:eastAsiaTheme="minorEastAsia"/>
          <w:kern w:val="0"/>
          <w:sz w:val="24"/>
        </w:rPr>
        <w:t>生活废水量为</w:t>
      </w:r>
      <w:r>
        <w:rPr>
          <w:rFonts w:hint="eastAsia" w:eastAsiaTheme="minorEastAsia"/>
          <w:sz w:val="24"/>
        </w:rPr>
        <w:t>3840m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根据各乡镇污水处理厂远期规划情况，远期吴山镇、万和镇、</w:t>
      </w:r>
      <w:r>
        <w:rPr>
          <w:rFonts w:hint="eastAsia" w:eastAsiaTheme="minorEastAsia"/>
          <w:sz w:val="24"/>
        </w:rPr>
        <w:t>新城及草店</w:t>
      </w:r>
      <w:r>
        <w:rPr>
          <w:rFonts w:hint="eastAsia" w:eastAsiaTheme="minorEastAsia"/>
          <w:kern w:val="0"/>
          <w:sz w:val="24"/>
        </w:rPr>
        <w:t>污水处理厂规划规模为</w:t>
      </w:r>
      <w:r>
        <w:rPr>
          <w:rFonts w:hint="eastAsia" w:eastAsiaTheme="minorEastAsia"/>
          <w:sz w:val="24"/>
        </w:rPr>
        <w:t>8200m</w:t>
      </w:r>
      <w:r>
        <w:rPr>
          <w:rFonts w:eastAsiaTheme="minorEastAsia"/>
          <w:sz w:val="24"/>
        </w:rPr>
        <w:t>³</w:t>
      </w:r>
      <w:r>
        <w:rPr>
          <w:rFonts w:hint="eastAsia" w:eastAsiaTheme="minorEastAsia"/>
          <w:sz w:val="24"/>
        </w:rPr>
        <w:t>/d</w:t>
      </w:r>
      <w:r>
        <w:rPr>
          <w:rFonts w:eastAsiaTheme="minorEastAsia"/>
          <w:kern w:val="0"/>
          <w:sz w:val="24"/>
        </w:rPr>
        <w:t>，</w:t>
      </w:r>
      <w:r>
        <w:rPr>
          <w:rFonts w:hint="eastAsia" w:eastAsiaTheme="minorEastAsia"/>
          <w:kern w:val="0"/>
          <w:sz w:val="24"/>
        </w:rPr>
        <w:t>远期</w:t>
      </w:r>
      <w:r>
        <w:rPr>
          <w:rFonts w:eastAsiaTheme="minorEastAsia"/>
          <w:kern w:val="0"/>
          <w:sz w:val="24"/>
        </w:rPr>
        <w:t>废水量约占污水处理厂</w:t>
      </w:r>
      <w:r>
        <w:rPr>
          <w:rFonts w:hint="eastAsia" w:eastAsiaTheme="minorEastAsia"/>
          <w:kern w:val="0"/>
          <w:sz w:val="24"/>
        </w:rPr>
        <w:t>远期</w:t>
      </w:r>
      <w:r>
        <w:rPr>
          <w:rFonts w:eastAsiaTheme="minorEastAsia"/>
          <w:kern w:val="0"/>
          <w:sz w:val="24"/>
        </w:rPr>
        <w:t>规模的</w:t>
      </w:r>
      <w:r>
        <w:rPr>
          <w:rFonts w:hint="eastAsia" w:eastAsiaTheme="minorEastAsia"/>
          <w:kern w:val="0"/>
          <w:sz w:val="24"/>
        </w:rPr>
        <w:t>46.8</w:t>
      </w:r>
      <w:r>
        <w:rPr>
          <w:rFonts w:eastAsiaTheme="minorEastAsia"/>
          <w:kern w:val="0"/>
          <w:sz w:val="24"/>
        </w:rPr>
        <w:t>%</w:t>
      </w:r>
      <w:r>
        <w:rPr>
          <w:rFonts w:hint="eastAsia" w:eastAsiaTheme="minorEastAsia"/>
          <w:kern w:val="0"/>
          <w:sz w:val="24"/>
        </w:rPr>
        <w:t>。</w:t>
      </w:r>
      <w:r>
        <w:rPr>
          <w:rFonts w:eastAsiaTheme="minorEastAsia"/>
          <w:kern w:val="0"/>
          <w:sz w:val="24"/>
        </w:rPr>
        <w:t>因此，</w:t>
      </w:r>
      <w:r>
        <w:rPr>
          <w:rFonts w:hint="eastAsia" w:eastAsiaTheme="minorEastAsia"/>
          <w:sz w:val="24"/>
        </w:rPr>
        <w:t>排水量在远期规划乡镇污水处理厂处理能力范围内，但由于排水量占污水厂处理规模的比例较大，评价建议加快建设污水处理厂扩容工程，以确保规划园区生活污水能全部纳入污水处理厂进一步处理。在此基础上，园区生活污水纳入污水处理厂可行。</w:t>
      </w:r>
    </w:p>
    <w:p w14:paraId="4E6352DD">
      <w:pPr>
        <w:spacing w:line="360" w:lineRule="auto"/>
        <w:ind w:firstLine="480" w:firstLineChars="200"/>
        <w:rPr>
          <w:sz w:val="24"/>
        </w:rPr>
      </w:pPr>
      <w:r>
        <w:rPr>
          <w:rFonts w:hint="eastAsia"/>
          <w:sz w:val="24"/>
        </w:rPr>
        <w:t>规划实施后，园区污水、雨污管网进一步完善，生产废水均经处理后回用不外排，生活污水均经处理达标后排放至</w:t>
      </w:r>
      <w:r>
        <w:rPr>
          <w:rFonts w:hint="eastAsia" w:eastAsiaTheme="minorEastAsia"/>
          <w:kern w:val="0"/>
          <w:sz w:val="24"/>
        </w:rPr>
        <w:t>乡</w:t>
      </w:r>
      <w:r>
        <w:rPr>
          <w:rFonts w:hint="eastAsia"/>
          <w:sz w:val="24"/>
        </w:rPr>
        <w:t>镇污水处理厂集中处理，满足标准后排入周边地表水体。排污总量纳入</w:t>
      </w:r>
      <w:r>
        <w:rPr>
          <w:rFonts w:hint="eastAsia" w:eastAsiaTheme="minorEastAsia"/>
          <w:kern w:val="0"/>
          <w:sz w:val="24"/>
        </w:rPr>
        <w:t>乡</w:t>
      </w:r>
      <w:r>
        <w:rPr>
          <w:rFonts w:hint="eastAsia"/>
          <w:sz w:val="24"/>
        </w:rPr>
        <w:t>镇污水处理厂总量范围内，不会对受纳水体水环境产生明显影响。</w:t>
      </w:r>
    </w:p>
    <w:p w14:paraId="532FDBEB">
      <w:pPr>
        <w:spacing w:line="360" w:lineRule="auto"/>
        <w:ind w:firstLine="480" w:firstLineChars="200"/>
        <w:rPr>
          <w:sz w:val="24"/>
        </w:rPr>
      </w:pPr>
      <w:r>
        <w:rPr>
          <w:rFonts w:hint="eastAsia"/>
          <w:sz w:val="24"/>
        </w:rPr>
        <w:t>规划园区应加快完善雨污管网建设，确保近期完成，规划期内区域生活污水能全部经市政管网排入污水厂处理，确保区内生活废水能够有效收集和处理。</w:t>
      </w:r>
    </w:p>
    <w:p w14:paraId="4A94B9D6">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大气环境可行性</w:t>
      </w:r>
    </w:p>
    <w:p w14:paraId="2BA76388">
      <w:pPr>
        <w:spacing w:line="360" w:lineRule="auto"/>
        <w:ind w:firstLine="480" w:firstLineChars="200"/>
        <w:rPr>
          <w:sz w:val="24"/>
        </w:rPr>
      </w:pPr>
      <w:r>
        <w:rPr>
          <w:rFonts w:hint="eastAsia"/>
          <w:sz w:val="24"/>
        </w:rPr>
        <w:t>（1）区域大气环境质量现状</w:t>
      </w:r>
    </w:p>
    <w:p w14:paraId="505E24B9">
      <w:pPr>
        <w:spacing w:line="360" w:lineRule="auto"/>
        <w:ind w:firstLine="480" w:firstLineChars="200"/>
        <w:rPr>
          <w:rFonts w:eastAsiaTheme="minorEastAsia"/>
          <w:b/>
          <w:sz w:val="24"/>
        </w:rPr>
      </w:pPr>
      <w:r>
        <w:rPr>
          <w:rFonts w:hint="eastAsia" w:eastAsiaTheme="minorEastAsia"/>
          <w:sz w:val="24"/>
        </w:rPr>
        <w:t>根据</w:t>
      </w:r>
      <w:r>
        <w:rPr>
          <w:rFonts w:hint="eastAsia" w:eastAsiaTheme="minorEastAsia"/>
          <w:bCs/>
          <w:snapToGrid w:val="0"/>
          <w:kern w:val="0"/>
          <w:sz w:val="24"/>
          <w:szCs w:val="20"/>
        </w:rPr>
        <w:t>《随州市2024年环境状况公报》，</w:t>
      </w:r>
      <w:r>
        <w:rPr>
          <w:rFonts w:eastAsiaTheme="minorEastAsia"/>
          <w:sz w:val="24"/>
        </w:rPr>
        <w:t>评价基准年202</w:t>
      </w:r>
      <w:r>
        <w:rPr>
          <w:rFonts w:hint="eastAsia" w:eastAsiaTheme="minorEastAsia"/>
          <w:sz w:val="24"/>
        </w:rPr>
        <w:t>4</w:t>
      </w:r>
      <w:r>
        <w:rPr>
          <w:rFonts w:eastAsiaTheme="minorEastAsia"/>
          <w:sz w:val="24"/>
        </w:rPr>
        <w:t>年的基本污染物因子</w:t>
      </w:r>
      <w:r>
        <w:rPr>
          <w:rFonts w:hint="eastAsia" w:eastAsiaTheme="minorEastAsia"/>
          <w:sz w:val="24"/>
        </w:rPr>
        <w:t>除PM</w:t>
      </w:r>
      <w:r>
        <w:rPr>
          <w:rFonts w:hint="eastAsia" w:eastAsiaTheme="minorEastAsia"/>
          <w:sz w:val="24"/>
          <w:vertAlign w:val="subscript"/>
        </w:rPr>
        <w:t>2.5</w:t>
      </w:r>
      <w:r>
        <w:rPr>
          <w:rFonts w:hint="eastAsia" w:eastAsiaTheme="minorEastAsia"/>
          <w:sz w:val="24"/>
        </w:rPr>
        <w:t>外其他因子</w:t>
      </w:r>
      <w:r>
        <w:rPr>
          <w:rFonts w:eastAsiaTheme="minorEastAsia"/>
          <w:sz w:val="24"/>
        </w:rPr>
        <w:t>均满足《环境空气质量标准》（GB3095-2012）及修改单规定的二级标准要求，经判定</w:t>
      </w:r>
      <w:r>
        <w:rPr>
          <w:rFonts w:hint="eastAsia" w:eastAsiaTheme="minorEastAsia"/>
          <w:sz w:val="24"/>
        </w:rPr>
        <w:t>规划所在区域为环境空气质量</w:t>
      </w:r>
      <w:r>
        <w:rPr>
          <w:rFonts w:hint="eastAsia" w:eastAsiaTheme="minorEastAsia"/>
          <w:b/>
          <w:sz w:val="24"/>
        </w:rPr>
        <w:t>不</w:t>
      </w:r>
      <w:r>
        <w:rPr>
          <w:rFonts w:eastAsiaTheme="minorEastAsia"/>
          <w:b/>
          <w:sz w:val="24"/>
        </w:rPr>
        <w:t>达标区。</w:t>
      </w:r>
    </w:p>
    <w:p w14:paraId="0E1EF6A6">
      <w:pPr>
        <w:spacing w:line="360" w:lineRule="auto"/>
        <w:ind w:firstLine="480" w:firstLineChars="200"/>
        <w:rPr>
          <w:rFonts w:eastAsiaTheme="minorEastAsia"/>
          <w:b/>
          <w:sz w:val="24"/>
        </w:rPr>
      </w:pPr>
      <w:r>
        <w:rPr>
          <w:rFonts w:hint="eastAsia" w:eastAsiaTheme="minorEastAsia"/>
          <w:kern w:val="20"/>
          <w:sz w:val="24"/>
        </w:rPr>
        <w:t>本次评价收集了2019年~2023年</w:t>
      </w:r>
      <w:r>
        <w:rPr>
          <w:rFonts w:hint="eastAsia" w:eastAsiaTheme="minorEastAsia"/>
          <w:bCs/>
          <w:snapToGrid w:val="0"/>
          <w:kern w:val="0"/>
          <w:sz w:val="24"/>
          <w:szCs w:val="20"/>
        </w:rPr>
        <w:t>《随州市环境状况公报》</w:t>
      </w:r>
      <w:r>
        <w:rPr>
          <w:rFonts w:hint="eastAsia" w:eastAsiaTheme="minorEastAsia"/>
          <w:kern w:val="20"/>
          <w:sz w:val="24"/>
        </w:rPr>
        <w:t>中近三年的环境空气质量数据，2019年~2021年及2023年随州市环境空气质量均为不达标区，但浓度值逐年下降，至2022年随州市环境空气质量属于达标区，但2023年有部分污染物浓度升高。</w:t>
      </w:r>
    </w:p>
    <w:p w14:paraId="0C5FC7F8">
      <w:pPr>
        <w:spacing w:line="360" w:lineRule="auto"/>
        <w:ind w:firstLine="480" w:firstLineChars="200"/>
        <w:rPr>
          <w:rFonts w:eastAsiaTheme="minorEastAsia"/>
          <w:kern w:val="20"/>
          <w:sz w:val="24"/>
        </w:rPr>
      </w:pPr>
      <w:r>
        <w:rPr>
          <w:rFonts w:hint="eastAsia" w:eastAsiaTheme="minorEastAsia"/>
          <w:kern w:val="20"/>
          <w:sz w:val="24"/>
        </w:rPr>
        <w:t>通过本次环评期间对周围环境空气进行监测的结果来看，各监测点TSP 24 小时平均浓度满足《环境空气质量标准》（GB3095-2012）二级标准的要求。</w:t>
      </w:r>
    </w:p>
    <w:p w14:paraId="46BD0FD0">
      <w:pPr>
        <w:spacing w:line="360" w:lineRule="auto"/>
        <w:ind w:firstLine="480" w:firstLineChars="200"/>
        <w:rPr>
          <w:rFonts w:eastAsiaTheme="minorEastAsia"/>
          <w:kern w:val="20"/>
          <w:sz w:val="24"/>
        </w:rPr>
      </w:pPr>
      <w:r>
        <w:rPr>
          <w:rFonts w:hint="eastAsia" w:eastAsiaTheme="minorEastAsia"/>
          <w:kern w:val="20"/>
          <w:sz w:val="24"/>
        </w:rPr>
        <w:t>根据《市人民政府关于印发随州市空气质量持续改善行动方案的通知》（随政发〔2024〕11号）要求，在全市开展产业结构转型升级行动等十大行动。其中，“涉气监管执法效能提升行动”重点狠抓铸造、玻璃制造、人造板、水泥等重点行业大气环境日常监管，常态化开展“四不两直”行动，实施机动执法和交叉执法，开展移动源污染专项执法，全面整治监测数据弄虚作假，切实形成涉气环境执法威慑力。扎实推进《随州市空气质量持续改善行动方案》，紧盯重点区域、重点行业、重点领域持续开展整治，健全大气环境监管常态长效机制。扎实开展专汽、铸造、化工等行业大气环境综合整治，组织实施VOCs全流程治理，实施年度治理项目300个。推进火电、钢铁、建材等重点行业大宗货物清洁运输，推进秸秆综合利用和露天焚烧管控，让蓝天白云成为城市常态。随着上述措施的逐步推进和落实，规划所在区域空气将得到改善。</w:t>
      </w:r>
    </w:p>
    <w:p w14:paraId="1EFD326A">
      <w:pPr>
        <w:spacing w:line="360" w:lineRule="auto"/>
        <w:ind w:firstLine="480" w:firstLineChars="200"/>
        <w:rPr>
          <w:rFonts w:eastAsiaTheme="minorEastAsia"/>
          <w:kern w:val="20"/>
          <w:sz w:val="24"/>
        </w:rPr>
      </w:pPr>
      <w:r>
        <w:rPr>
          <w:rFonts w:hint="eastAsia" w:eastAsiaTheme="minorEastAsia"/>
          <w:kern w:val="20"/>
          <w:sz w:val="24"/>
        </w:rPr>
        <w:t>（2）环境空气影响分析</w:t>
      </w:r>
    </w:p>
    <w:p w14:paraId="6877711B">
      <w:pPr>
        <w:spacing w:line="360" w:lineRule="auto"/>
        <w:ind w:firstLine="480" w:firstLineChars="200"/>
        <w:rPr>
          <w:rFonts w:eastAsiaTheme="minorEastAsia"/>
          <w:kern w:val="20"/>
          <w:sz w:val="24"/>
        </w:rPr>
      </w:pPr>
      <w:r>
        <w:rPr>
          <w:rFonts w:hint="eastAsia" w:eastAsiaTheme="minorEastAsia"/>
          <w:kern w:val="20"/>
          <w:sz w:val="24"/>
        </w:rPr>
        <w:t>规划年污染物排放对区域环境空气质量影响较小，通过落实区域内外整改措施，不影响环境空气质量改善目标达成。</w:t>
      </w:r>
    </w:p>
    <w:p w14:paraId="02C3E637">
      <w:pPr>
        <w:keepNext/>
        <w:keepLines/>
        <w:widowControl/>
        <w:numPr>
          <w:ilvl w:val="2"/>
          <w:numId w:val="1"/>
        </w:numPr>
        <w:spacing w:before="120" w:after="120" w:line="360" w:lineRule="auto"/>
        <w:jc w:val="left"/>
        <w:outlineLvl w:val="2"/>
        <w:rPr>
          <w:rFonts w:eastAsiaTheme="minorEastAsia"/>
          <w:b/>
          <w:bCs/>
          <w:sz w:val="24"/>
        </w:rPr>
      </w:pPr>
      <w:bookmarkStart w:id="181" w:name="_Toc206495009"/>
      <w:r>
        <w:rPr>
          <w:rFonts w:hint="eastAsia" w:eastAsiaTheme="minorEastAsia"/>
          <w:b/>
          <w:bCs/>
          <w:sz w:val="24"/>
        </w:rPr>
        <w:t>规划发展布局的环境合理性</w:t>
      </w:r>
      <w:bookmarkEnd w:id="181"/>
    </w:p>
    <w:p w14:paraId="07A9B684">
      <w:pPr>
        <w:spacing w:line="360" w:lineRule="auto"/>
        <w:ind w:firstLine="480" w:firstLineChars="200"/>
        <w:rPr>
          <w:rFonts w:eastAsiaTheme="minorEastAsia"/>
          <w:sz w:val="24"/>
        </w:rPr>
      </w:pPr>
      <w:r>
        <w:rPr>
          <w:rFonts w:hint="eastAsia" w:eastAsiaTheme="minorEastAsia"/>
          <w:sz w:val="24"/>
        </w:rPr>
        <w:t>《规划》布局方案如下：</w:t>
      </w:r>
    </w:p>
    <w:p w14:paraId="434965A3">
      <w:pPr>
        <w:spacing w:line="360" w:lineRule="auto"/>
        <w:ind w:firstLine="482" w:firstLineChars="200"/>
        <w:rPr>
          <w:rFonts w:eastAsiaTheme="minorEastAsia"/>
          <w:sz w:val="24"/>
        </w:rPr>
      </w:pPr>
      <w:r>
        <w:rPr>
          <w:rFonts w:hint="eastAsia" w:eastAsiaTheme="minorEastAsia"/>
          <w:b/>
          <w:sz w:val="24"/>
        </w:rPr>
        <w:t>随县产业聚集区总体布局：</w:t>
      </w:r>
      <w:r>
        <w:rPr>
          <w:rFonts w:hint="eastAsia" w:eastAsiaTheme="minorEastAsia"/>
          <w:sz w:val="24"/>
        </w:rPr>
        <w:t>规划“四轮驱动”的产业总体布局，其中，“四轮”是指吴山石材产业园、万和石材产业园、草店石材产业园和太白顶石材产业园四个加工组团。</w:t>
      </w:r>
    </w:p>
    <w:p w14:paraId="2935A1E1">
      <w:pPr>
        <w:spacing w:line="360" w:lineRule="auto"/>
        <w:ind w:firstLine="482" w:firstLineChars="200"/>
        <w:rPr>
          <w:rFonts w:eastAsiaTheme="minorEastAsia"/>
          <w:sz w:val="24"/>
        </w:rPr>
      </w:pPr>
      <w:r>
        <w:rPr>
          <w:rFonts w:hint="eastAsia" w:eastAsiaTheme="minorEastAsia"/>
          <w:b/>
          <w:sz w:val="24"/>
        </w:rPr>
        <w:t>交通物流设施布局。</w:t>
      </w:r>
      <w:r>
        <w:rPr>
          <w:rFonts w:hint="eastAsia" w:eastAsiaTheme="minorEastAsia"/>
          <w:sz w:val="24"/>
        </w:rPr>
        <w:t>规划“一园一铁一通道”的交通物流运输布局。其中：“一园”：是指随县（吴山）国际石材现代物流产业园。该物流园位于吴山镇，主要提供荒料交易、石材产品、建筑骨料等仓储和对外展示功能。“一铁”：是指铁路运输专线。按照“按股出资、合股建设、合作管理、共享收益”的模式，规划建设全长15.5公里的石材铁路运输专线，此专用线路自吴山镇物流园引出，连接到随阳店站。“一通道”：是指吴山连接万和的石材公路运输通道。打通万和到吴山的石材运输通道，进一步改造、优化现有公路通道。</w:t>
      </w:r>
    </w:p>
    <w:p w14:paraId="5393B880">
      <w:pPr>
        <w:spacing w:line="360" w:lineRule="auto"/>
        <w:ind w:firstLine="482" w:firstLineChars="200"/>
        <w:rPr>
          <w:rFonts w:eastAsiaTheme="minorEastAsia"/>
          <w:color w:val="FF0000"/>
          <w:sz w:val="24"/>
        </w:rPr>
      </w:pPr>
      <w:r>
        <w:rPr>
          <w:rFonts w:hint="eastAsia" w:eastAsiaTheme="minorEastAsia"/>
          <w:b/>
          <w:sz w:val="24"/>
        </w:rPr>
        <w:t>综合利用产业布局。</w:t>
      </w:r>
      <w:r>
        <w:rPr>
          <w:rFonts w:hint="eastAsia" w:eastAsiaTheme="minorEastAsia"/>
          <w:sz w:val="24"/>
        </w:rPr>
        <w:t>近期，机制砂、锯泥综合利用等项目总体上以因地制宜，就地布局为主要原则，远期考虑依托市场布局大型综合基地。四个组团内各规划一个的综合利用功能区，所有机制砂综合利用项目均布局在该功能区内，其他石材加工企业内不再布局综合利用项目。每个组团骨料、机制砂企业数量控制在1-2家，单体生产线最低规模200万吨/年。锯泥综合利用项目控制企业数量控制在2-3家。以股份制公司或集团公司的形式，建设规模化、多品种、多生产线的生产基地。</w:t>
      </w:r>
    </w:p>
    <w:p w14:paraId="1CFB3632">
      <w:pPr>
        <w:spacing w:line="360" w:lineRule="auto"/>
        <w:ind w:firstLine="480" w:firstLineChars="200"/>
        <w:rPr>
          <w:rFonts w:eastAsiaTheme="minorEastAsia"/>
          <w:sz w:val="24"/>
        </w:rPr>
      </w:pPr>
      <w:r>
        <w:rPr>
          <w:rFonts w:hint="eastAsia" w:eastAsiaTheme="minorEastAsia"/>
          <w:sz w:val="24"/>
        </w:rPr>
        <w:t>本次规划布局充分考虑了现有工业基础，围绕现有产业确定产业结构。要求规划期各项目入驻严格按照本次规划的产业定位和工业布局选址。</w:t>
      </w:r>
    </w:p>
    <w:p w14:paraId="6949D28C">
      <w:pPr>
        <w:spacing w:line="360" w:lineRule="auto"/>
        <w:ind w:firstLine="480" w:firstLineChars="200"/>
        <w:rPr>
          <w:rFonts w:eastAsiaTheme="minorEastAsia"/>
          <w:sz w:val="24"/>
        </w:rPr>
      </w:pPr>
      <w:r>
        <w:rPr>
          <w:rFonts w:hint="eastAsia" w:eastAsiaTheme="minorEastAsia"/>
          <w:sz w:val="24"/>
        </w:rPr>
        <w:t>（1）规划布局对周边环境敏感区影响分析</w:t>
      </w:r>
    </w:p>
    <w:p w14:paraId="2B406C1D">
      <w:pPr>
        <w:spacing w:line="360" w:lineRule="auto"/>
        <w:ind w:firstLine="480" w:firstLineChars="200"/>
        <w:rPr>
          <w:rFonts w:eastAsiaTheme="minorEastAsia"/>
          <w:sz w:val="24"/>
        </w:rPr>
      </w:pPr>
      <w:r>
        <w:rPr>
          <w:rFonts w:hint="eastAsia" w:eastAsiaTheme="minorEastAsia"/>
          <w:sz w:val="24"/>
        </w:rPr>
        <w:t>①周围敏感点</w:t>
      </w:r>
    </w:p>
    <w:p w14:paraId="1F483718">
      <w:pPr>
        <w:spacing w:line="360" w:lineRule="auto"/>
        <w:ind w:firstLine="480" w:firstLineChars="200"/>
        <w:rPr>
          <w:rFonts w:eastAsiaTheme="minorEastAsia"/>
          <w:sz w:val="24"/>
        </w:rPr>
      </w:pPr>
      <w:r>
        <w:rPr>
          <w:rFonts w:hint="eastAsia" w:eastAsiaTheme="minorEastAsia"/>
          <w:sz w:val="24"/>
        </w:rPr>
        <w:t>根据区域现状敏感点分布情况，规划园区内目前还有居住区。考虑到随县主导风向，建议在工业企业集中区边界和居住区边界设置绿化防护绿地，降低对周边敏感点的影响。</w:t>
      </w:r>
    </w:p>
    <w:p w14:paraId="6DCCFD92">
      <w:pPr>
        <w:spacing w:line="360" w:lineRule="auto"/>
        <w:ind w:firstLine="480" w:firstLineChars="200"/>
        <w:rPr>
          <w:rFonts w:eastAsiaTheme="minorEastAsia"/>
          <w:sz w:val="24"/>
        </w:rPr>
      </w:pPr>
      <w:r>
        <w:rPr>
          <w:rFonts w:hint="eastAsia" w:eastAsiaTheme="minorEastAsia"/>
          <w:sz w:val="24"/>
        </w:rPr>
        <w:t>②镇区和城区影响</w:t>
      </w:r>
    </w:p>
    <w:p w14:paraId="4143EC9A">
      <w:pPr>
        <w:spacing w:line="360" w:lineRule="auto"/>
        <w:ind w:firstLine="480" w:firstLineChars="200"/>
        <w:rPr>
          <w:rFonts w:eastAsiaTheme="minorEastAsia"/>
          <w:sz w:val="24"/>
        </w:rPr>
      </w:pPr>
      <w:r>
        <w:rPr>
          <w:rFonts w:hint="eastAsia" w:eastAsiaTheme="minorEastAsia"/>
          <w:sz w:val="24"/>
        </w:rPr>
        <w:t>规划园区处于城镇开发边界。园区的建设对周边乡镇居民有一定的影响。园区边界通过设置防护隔离带，减轻工业生产对镇区的影响。</w:t>
      </w:r>
    </w:p>
    <w:p w14:paraId="673C7F5F">
      <w:pPr>
        <w:spacing w:line="360" w:lineRule="auto"/>
        <w:ind w:firstLine="480" w:firstLineChars="200"/>
        <w:rPr>
          <w:rFonts w:eastAsiaTheme="minorEastAsia"/>
          <w:sz w:val="24"/>
        </w:rPr>
      </w:pPr>
      <w:r>
        <w:rPr>
          <w:rFonts w:hint="eastAsia" w:eastAsiaTheme="minorEastAsia"/>
          <w:sz w:val="24"/>
        </w:rPr>
        <w:t>建议：①规划园区与周围敏感点之间设置防护隔离带，减轻工业生产对敏感点影响，应重点防护；②入驻各企业环评阶段应做好论证，禁止建设不符合环境防护距离的项目；③规划年内园区工业开发应采取严格的污染防治措施，严格控制源强，降低细颗粒物的排放。在规划年近期应落实随州市关于污染物控制削减的前提下，改善区域环境空气质量。</w:t>
      </w:r>
    </w:p>
    <w:p w14:paraId="176DE002">
      <w:pPr>
        <w:spacing w:line="360" w:lineRule="auto"/>
        <w:ind w:firstLine="480" w:firstLineChars="200"/>
        <w:rPr>
          <w:rFonts w:eastAsiaTheme="minorEastAsia"/>
          <w:sz w:val="24"/>
        </w:rPr>
      </w:pPr>
      <w:r>
        <w:rPr>
          <w:rFonts w:hint="eastAsia" w:eastAsiaTheme="minorEastAsia"/>
          <w:sz w:val="24"/>
        </w:rPr>
        <w:t>③地表水体</w:t>
      </w:r>
    </w:p>
    <w:p w14:paraId="0E0473A8">
      <w:pPr>
        <w:spacing w:line="360" w:lineRule="auto"/>
        <w:ind w:firstLine="480" w:firstLineChars="200"/>
        <w:rPr>
          <w:rFonts w:eastAsiaTheme="minorEastAsia"/>
          <w:sz w:val="24"/>
        </w:rPr>
      </w:pPr>
      <w:r>
        <w:rPr>
          <w:rFonts w:hint="eastAsia" w:eastAsiaTheme="minorEastAsia"/>
          <w:sz w:val="24"/>
        </w:rPr>
        <w:t>规划园区的排水采用雨污分流制，清洁雨水就近排入地表水体，生产废水全部处理后回用，不外排；生活污水进入乡镇污水处理厂处理达标后排入周边地表水体。</w:t>
      </w:r>
    </w:p>
    <w:p w14:paraId="03C66823">
      <w:pPr>
        <w:spacing w:line="360" w:lineRule="auto"/>
        <w:ind w:firstLine="480" w:firstLineChars="200"/>
        <w:rPr>
          <w:rFonts w:eastAsiaTheme="minorEastAsia"/>
          <w:sz w:val="24"/>
        </w:rPr>
      </w:pPr>
      <w:r>
        <w:rPr>
          <w:rFonts w:hint="eastAsia" w:eastAsiaTheme="minorEastAsia"/>
          <w:sz w:val="24"/>
        </w:rPr>
        <w:t>园区开发建设过程中，应严格环境准入，禁止高污染、高环境风险的项目入驻。</w:t>
      </w:r>
    </w:p>
    <w:p w14:paraId="3EA06153">
      <w:pPr>
        <w:spacing w:line="360" w:lineRule="auto"/>
        <w:ind w:firstLine="480" w:firstLineChars="200"/>
        <w:rPr>
          <w:rFonts w:eastAsiaTheme="minorEastAsia"/>
          <w:sz w:val="24"/>
        </w:rPr>
      </w:pPr>
      <w:r>
        <w:rPr>
          <w:rFonts w:hint="eastAsia" w:eastAsiaTheme="minorEastAsia"/>
          <w:sz w:val="24"/>
        </w:rPr>
        <w:t>各入驻企业根据自身特点制定有针对性的风险防范措施，编制风险应急预案并在当地环保主管部门备案。各企业运行过程中应加强危险装置和设施的监控和限制，建立安全监控系统并与集聚区的监控系统相连，按照相关要求配备必须的应急物资和应急设施。</w:t>
      </w:r>
    </w:p>
    <w:p w14:paraId="72EB4DEA">
      <w:pPr>
        <w:spacing w:line="360" w:lineRule="auto"/>
        <w:ind w:firstLine="480" w:firstLineChars="200"/>
        <w:rPr>
          <w:rFonts w:eastAsiaTheme="minorEastAsia"/>
          <w:sz w:val="24"/>
        </w:rPr>
      </w:pPr>
      <w:r>
        <w:rPr>
          <w:rFonts w:hint="eastAsia" w:eastAsiaTheme="minorEastAsia"/>
          <w:sz w:val="24"/>
        </w:rPr>
        <w:t>园区应编制突发环境事件应急预案，成立应急救援指挥部，落实预防预警、事故通报、应急响应与救援措施、应急监测等措施，事故发生时，应实现各企业间应急物资、应急设施和应急队伍的联动。针对风险事故紧急情况的严重程度，及时响应采取措施。</w:t>
      </w:r>
    </w:p>
    <w:p w14:paraId="344395DF">
      <w:pPr>
        <w:spacing w:line="360" w:lineRule="auto"/>
        <w:ind w:firstLine="480" w:firstLineChars="200"/>
        <w:rPr>
          <w:rFonts w:eastAsiaTheme="minorEastAsia"/>
          <w:sz w:val="24"/>
        </w:rPr>
      </w:pPr>
      <w:r>
        <w:rPr>
          <w:rFonts w:hint="eastAsia" w:eastAsiaTheme="minorEastAsia"/>
          <w:sz w:val="24"/>
        </w:rPr>
        <w:t>（2）规划布局与功能组团的相容性</w:t>
      </w:r>
    </w:p>
    <w:p w14:paraId="03B5D3CD">
      <w:pPr>
        <w:spacing w:line="360" w:lineRule="auto"/>
        <w:ind w:firstLine="480" w:firstLineChars="200"/>
        <w:rPr>
          <w:rFonts w:eastAsiaTheme="minorEastAsia"/>
          <w:sz w:val="24"/>
        </w:rPr>
      </w:pPr>
      <w:r>
        <w:rPr>
          <w:rFonts w:hint="eastAsia" w:eastAsiaTheme="minorEastAsia"/>
          <w:sz w:val="24"/>
        </w:rPr>
        <w:t>规划结合园区发展态势和用地格局，以现状吴山石材产业园、万和石材产业园、草店石材产业园和太白顶石材产业园四个加工组团为基础，规划“一园一铁一通道”的交通物流运输布局和综合利用产业布局，园区整体规划布局与园区周围功能相容。</w:t>
      </w:r>
    </w:p>
    <w:p w14:paraId="1C536008">
      <w:pPr>
        <w:keepNext/>
        <w:keepLines/>
        <w:widowControl/>
        <w:numPr>
          <w:ilvl w:val="2"/>
          <w:numId w:val="1"/>
        </w:numPr>
        <w:spacing w:before="120" w:after="120" w:line="360" w:lineRule="auto"/>
        <w:jc w:val="left"/>
        <w:outlineLvl w:val="2"/>
        <w:rPr>
          <w:rFonts w:eastAsiaTheme="minorEastAsia"/>
          <w:b/>
          <w:bCs/>
          <w:sz w:val="24"/>
        </w:rPr>
      </w:pPr>
      <w:bookmarkStart w:id="182" w:name="_Toc206495010"/>
      <w:r>
        <w:rPr>
          <w:rFonts w:hint="eastAsia" w:eastAsiaTheme="minorEastAsia"/>
          <w:b/>
          <w:bCs/>
          <w:sz w:val="24"/>
        </w:rPr>
        <w:t>规划产业结构的环境合性</w:t>
      </w:r>
      <w:bookmarkEnd w:id="182"/>
    </w:p>
    <w:p w14:paraId="45D1FE76">
      <w:pPr>
        <w:spacing w:line="360" w:lineRule="auto"/>
        <w:ind w:firstLine="480" w:firstLineChars="200"/>
        <w:rPr>
          <w:rFonts w:eastAsiaTheme="minorEastAsia"/>
          <w:sz w:val="24"/>
        </w:rPr>
      </w:pPr>
      <w:r>
        <w:rPr>
          <w:rFonts w:hint="eastAsia" w:eastAsiaTheme="minorEastAsia"/>
          <w:sz w:val="24"/>
        </w:rPr>
        <w:t>产业发展定位为：打造“华中顶尖、全国一流、世界知名”的石材产业综合集群以及全国绿色矿业发展示范区、石材行业矿产资源高效开发利用示范基地。</w:t>
      </w:r>
    </w:p>
    <w:p w14:paraId="5B6E047D">
      <w:pPr>
        <w:spacing w:line="360" w:lineRule="auto"/>
        <w:ind w:firstLine="480" w:firstLineChars="200"/>
        <w:rPr>
          <w:rFonts w:eastAsiaTheme="minorEastAsia"/>
          <w:sz w:val="24"/>
        </w:rPr>
      </w:pPr>
      <w:r>
        <w:rPr>
          <w:rFonts w:hint="eastAsia" w:eastAsiaTheme="minorEastAsia"/>
          <w:sz w:val="24"/>
        </w:rPr>
        <w:t>（1）产业政策的相产业政策的相容性</w:t>
      </w:r>
    </w:p>
    <w:p w14:paraId="6D4BDB58">
      <w:pPr>
        <w:spacing w:line="360" w:lineRule="auto"/>
        <w:ind w:firstLine="480" w:firstLineChars="200"/>
        <w:rPr>
          <w:rFonts w:eastAsiaTheme="minorEastAsia"/>
          <w:sz w:val="24"/>
        </w:rPr>
      </w:pPr>
      <w:r>
        <w:rPr>
          <w:rFonts w:hint="eastAsia" w:eastAsiaTheme="minorEastAsia"/>
          <w:sz w:val="24"/>
        </w:rPr>
        <w:t>产业园规划的相关产业均需符合《产业结构调整指导目录（2024年本）》要求才准许进入，同时需符合随州市、随县相关要求，禁止建设不符合产业政策要求或产能过剩的项目。产业定位的各行业在符合相关行业准入条件下，与产业政策可做到相容。</w:t>
      </w:r>
    </w:p>
    <w:p w14:paraId="02E9EAA0">
      <w:pPr>
        <w:spacing w:line="360" w:lineRule="auto"/>
        <w:ind w:firstLine="480" w:firstLineChars="200"/>
        <w:rPr>
          <w:rFonts w:eastAsiaTheme="minorEastAsia"/>
          <w:sz w:val="24"/>
        </w:rPr>
      </w:pPr>
      <w:r>
        <w:rPr>
          <w:rFonts w:hint="eastAsia" w:eastAsiaTheme="minorEastAsia"/>
          <w:sz w:val="24"/>
        </w:rPr>
        <w:t>（2）资源环境承载的可行性</w:t>
      </w:r>
    </w:p>
    <w:p w14:paraId="7A8370E1">
      <w:pPr>
        <w:spacing w:line="360" w:lineRule="auto"/>
        <w:ind w:firstLine="480" w:firstLineChars="200"/>
        <w:rPr>
          <w:rFonts w:eastAsiaTheme="minorEastAsia"/>
          <w:sz w:val="24"/>
        </w:rPr>
      </w:pPr>
      <w:r>
        <w:rPr>
          <w:rFonts w:hint="eastAsia" w:eastAsiaTheme="minorEastAsia"/>
          <w:sz w:val="24"/>
        </w:rPr>
        <w:t>①水资源承载力</w:t>
      </w:r>
    </w:p>
    <w:p w14:paraId="7C19B24D">
      <w:pPr>
        <w:spacing w:line="360" w:lineRule="auto"/>
        <w:ind w:firstLine="480" w:firstLineChars="200"/>
        <w:rPr>
          <w:rFonts w:eastAsiaTheme="minorEastAsia"/>
          <w:color w:val="FF0000"/>
          <w:sz w:val="24"/>
        </w:rPr>
      </w:pPr>
      <w:r>
        <w:rPr>
          <w:rFonts w:hint="eastAsia" w:eastAsiaTheme="minorEastAsia"/>
          <w:sz w:val="24"/>
        </w:rPr>
        <w:t>根据用水量统计预测，规划园区现状工业企业用水量约为0.07亿立方米，占随州市全市水资源总量的0.16%，近期2025年工业总产值约300亿元，远期规划目标到2035年总产值约800亿元，2035 年园区万元工业增加值用水量（可比价）为7.1立方米，工业用水量约为 0.083 亿立方米，占随州市全市水资源总量的0.19%，占随州市供水总量的0.77%。</w:t>
      </w:r>
    </w:p>
    <w:p w14:paraId="35692EC2">
      <w:pPr>
        <w:spacing w:line="360" w:lineRule="auto"/>
        <w:ind w:firstLine="480" w:firstLineChars="200"/>
        <w:rPr>
          <w:rFonts w:eastAsiaTheme="minorEastAsia"/>
          <w:sz w:val="24"/>
        </w:rPr>
      </w:pPr>
      <w:r>
        <w:rPr>
          <w:rFonts w:hint="eastAsia" w:eastAsiaTheme="minorEastAsia"/>
          <w:sz w:val="24"/>
        </w:rPr>
        <w:t>园区各企业规划年实现洒水降尘、生产用水等采用生产废水经处理后的出水回用水，园区生活生产用水来源于乡镇自来水厂。</w:t>
      </w:r>
    </w:p>
    <w:p w14:paraId="4CD6B4B8">
      <w:pPr>
        <w:spacing w:line="360" w:lineRule="auto"/>
        <w:ind w:firstLine="480" w:firstLineChars="200"/>
        <w:rPr>
          <w:rFonts w:eastAsiaTheme="minorEastAsia"/>
          <w:sz w:val="24"/>
        </w:rPr>
      </w:pPr>
      <w:r>
        <w:rPr>
          <w:rFonts w:hint="eastAsia" w:eastAsiaTheme="minorEastAsia"/>
          <w:sz w:val="24"/>
        </w:rPr>
        <w:t>根据“5.7.2水资源承载力分析”，规划预测年区域供水能力能够满足满足园区用水需求。</w:t>
      </w:r>
    </w:p>
    <w:p w14:paraId="4BAC5E5B">
      <w:pPr>
        <w:spacing w:line="360" w:lineRule="auto"/>
        <w:ind w:firstLine="480" w:firstLineChars="200"/>
        <w:rPr>
          <w:rFonts w:eastAsiaTheme="minorEastAsia"/>
          <w:sz w:val="24"/>
        </w:rPr>
      </w:pPr>
      <w:r>
        <w:rPr>
          <w:rFonts w:hint="eastAsia" w:eastAsiaTheme="minorEastAsia"/>
          <w:sz w:val="24"/>
        </w:rPr>
        <w:t>②环境容量</w:t>
      </w:r>
    </w:p>
    <w:p w14:paraId="6460976B">
      <w:pPr>
        <w:spacing w:line="360" w:lineRule="auto"/>
        <w:ind w:firstLine="480" w:firstLineChars="200"/>
        <w:rPr>
          <w:rFonts w:eastAsiaTheme="minorEastAsia"/>
          <w:sz w:val="24"/>
        </w:rPr>
      </w:pPr>
      <w:r>
        <w:rPr>
          <w:rFonts w:hint="eastAsia" w:eastAsiaTheme="minorEastAsia"/>
          <w:sz w:val="24"/>
        </w:rPr>
        <w:t>A、大气环境容量</w:t>
      </w:r>
    </w:p>
    <w:p w14:paraId="0C0AC00C">
      <w:pPr>
        <w:spacing w:line="360" w:lineRule="auto"/>
        <w:ind w:firstLine="480" w:firstLineChars="200"/>
        <w:rPr>
          <w:rFonts w:eastAsiaTheme="minorEastAsia"/>
          <w:color w:val="FF0000"/>
          <w:sz w:val="24"/>
        </w:rPr>
      </w:pPr>
      <w:r>
        <w:rPr>
          <w:rFonts w:hint="eastAsia" w:eastAsiaTheme="minorEastAsia"/>
          <w:sz w:val="24"/>
        </w:rPr>
        <w:t>规划所在区域目前为环境空气不达标区，主要污染物为</w:t>
      </w:r>
      <w:r>
        <w:rPr>
          <w:rFonts w:hint="eastAsia" w:eastAsiaTheme="minorEastAsia"/>
          <w:kern w:val="20"/>
          <w:sz w:val="24"/>
        </w:rPr>
        <w:t>PM</w:t>
      </w:r>
      <w:r>
        <w:rPr>
          <w:rFonts w:hint="eastAsia" w:eastAsiaTheme="minorEastAsia"/>
          <w:kern w:val="20"/>
          <w:sz w:val="24"/>
          <w:vertAlign w:val="subscript"/>
        </w:rPr>
        <w:t>2.5</w:t>
      </w:r>
      <w:r>
        <w:rPr>
          <w:rFonts w:hint="eastAsia" w:eastAsiaTheme="minorEastAsia"/>
          <w:sz w:val="24"/>
        </w:rPr>
        <w:t>，已无大气环境容量供园区发展，其他指标满足园区发展需求，根据《市人民政府关于印发随州市空气质量持续改善行动方案的通知》（随政发〔2024〕11号）要求，在全市开展产业结构转型升级行动等十大行动，随着上述措施的逐步推进和落实，规划所在区域空气将得到改善。规划实施过程应通过不断通过优化产业结构、能源结构、控制污染物排放总量和综合整治企业排污等方式进一步削减规划区大气污染源排放量，以改善区域环境空气质量。</w:t>
      </w:r>
    </w:p>
    <w:p w14:paraId="0D9650A6">
      <w:pPr>
        <w:spacing w:line="360" w:lineRule="auto"/>
        <w:ind w:firstLine="480" w:firstLineChars="200"/>
        <w:rPr>
          <w:rFonts w:eastAsiaTheme="minorEastAsia"/>
          <w:sz w:val="24"/>
        </w:rPr>
      </w:pPr>
      <w:r>
        <w:rPr>
          <w:rFonts w:hint="eastAsia" w:eastAsiaTheme="minorEastAsia"/>
          <w:sz w:val="24"/>
        </w:rPr>
        <w:t>B、水环境容量</w:t>
      </w:r>
    </w:p>
    <w:p w14:paraId="26256E20">
      <w:pPr>
        <w:spacing w:line="360" w:lineRule="auto"/>
        <w:ind w:firstLine="480" w:firstLineChars="200"/>
        <w:rPr>
          <w:rFonts w:eastAsiaTheme="minorEastAsia"/>
          <w:sz w:val="24"/>
        </w:rPr>
      </w:pPr>
      <w:r>
        <w:rPr>
          <w:rFonts w:hint="eastAsia" w:eastAsiaTheme="minorEastAsia"/>
          <w:sz w:val="24"/>
        </w:rPr>
        <w:t>园区生活废水经乡镇污水处理厂处理后排入周边水体，规划园区排水量在远期规划乡镇污水处理厂处理能力范围内，但由于排水量占污水厂处理规模的比例较大，评价建议加快建设污水处理厂扩容工程，以确保规划园区生活污水能全部纳入污水处理厂进一步处理。废水总量纳入污水处理厂总量，不新增区域水污染物总量指标，对区域地表水体影响较小，不影响地表水环境功能。</w:t>
      </w:r>
    </w:p>
    <w:p w14:paraId="08BC2F6C">
      <w:pPr>
        <w:keepNext/>
        <w:keepLines/>
        <w:widowControl/>
        <w:numPr>
          <w:ilvl w:val="2"/>
          <w:numId w:val="1"/>
        </w:numPr>
        <w:spacing w:before="120" w:after="120" w:line="360" w:lineRule="auto"/>
        <w:jc w:val="left"/>
        <w:outlineLvl w:val="2"/>
        <w:rPr>
          <w:rFonts w:eastAsiaTheme="minorEastAsia"/>
          <w:b/>
          <w:bCs/>
          <w:sz w:val="24"/>
        </w:rPr>
      </w:pPr>
      <w:bookmarkStart w:id="183" w:name="_Toc206495011"/>
      <w:r>
        <w:rPr>
          <w:rFonts w:hint="eastAsia" w:eastAsiaTheme="minorEastAsia"/>
          <w:b/>
          <w:bCs/>
          <w:sz w:val="24"/>
        </w:rPr>
        <w:t>环保基础设施合理性分析</w:t>
      </w:r>
      <w:bookmarkEnd w:id="183"/>
    </w:p>
    <w:p w14:paraId="470AE6FD">
      <w:pPr>
        <w:spacing w:line="360" w:lineRule="auto"/>
        <w:ind w:firstLine="480" w:firstLineChars="200"/>
        <w:rPr>
          <w:rFonts w:eastAsiaTheme="minorEastAsia"/>
          <w:sz w:val="24"/>
        </w:rPr>
      </w:pPr>
      <w:r>
        <w:rPr>
          <w:rFonts w:hint="eastAsia" w:eastAsiaTheme="minorEastAsia"/>
          <w:sz w:val="24"/>
        </w:rPr>
        <w:t>（1）雨水收集系统及环境风险防控系统</w:t>
      </w:r>
    </w:p>
    <w:p w14:paraId="43E45073">
      <w:pPr>
        <w:spacing w:line="360" w:lineRule="auto"/>
        <w:ind w:firstLine="480" w:firstLineChars="200"/>
        <w:rPr>
          <w:rFonts w:eastAsiaTheme="minorEastAsia"/>
          <w:sz w:val="24"/>
        </w:rPr>
      </w:pPr>
      <w:r>
        <w:rPr>
          <w:rFonts w:hint="eastAsia" w:eastAsiaTheme="minorEastAsia"/>
          <w:sz w:val="24"/>
        </w:rPr>
        <w:t>雨水收集系统及环境风险防控系统园区结合区域内水系布置、防洪排涝要求水位以及竖向原则，规划将区域内雨水就近排入周边地表水体。</w:t>
      </w:r>
    </w:p>
    <w:p w14:paraId="199B5297">
      <w:pPr>
        <w:spacing w:line="360" w:lineRule="auto"/>
        <w:ind w:firstLine="480" w:firstLineChars="200"/>
        <w:rPr>
          <w:rFonts w:eastAsiaTheme="minorEastAsia"/>
          <w:sz w:val="24"/>
        </w:rPr>
      </w:pPr>
      <w:r>
        <w:rPr>
          <w:rFonts w:hint="eastAsia" w:eastAsiaTheme="minorEastAsia"/>
          <w:sz w:val="24"/>
        </w:rPr>
        <w:t>雨水收集系统规划比较完善，在此基础上，本次评价建议新上项目应严控初期雨水未经处理直接排放，要求新上项目的厂区、堆场和露天生产装置区设置初期雨水收集处理系统，包括初期、后期及切换，对初期雨水设置封堵系统，如截流阀，以确保初期雨水全部收集回流至污水处理系统，经处理后的雨水方可进入市政雨水管网。</w:t>
      </w:r>
    </w:p>
    <w:p w14:paraId="15F4DAC9">
      <w:pPr>
        <w:spacing w:line="360" w:lineRule="auto"/>
        <w:ind w:firstLine="480" w:firstLineChars="200"/>
        <w:rPr>
          <w:rFonts w:eastAsiaTheme="minorEastAsia"/>
          <w:sz w:val="24"/>
        </w:rPr>
      </w:pPr>
      <w:r>
        <w:rPr>
          <w:rFonts w:hint="eastAsia" w:eastAsiaTheme="minorEastAsia"/>
          <w:sz w:val="24"/>
        </w:rPr>
        <w:t>优化调整建议：新上项目应严控初期雨水未经处理直接排放，要求企业在厂区内设置初期雨水收集处理系统，包括初期、后期及切换，对初期雨水设置封堵系统，如截流阀，以确保初期雨水全部收集回流至污水处理系统，不外排。</w:t>
      </w:r>
    </w:p>
    <w:p w14:paraId="607C0B32">
      <w:pPr>
        <w:spacing w:line="360" w:lineRule="auto"/>
        <w:ind w:firstLine="480" w:firstLineChars="200"/>
        <w:rPr>
          <w:rFonts w:eastAsiaTheme="minorEastAsia"/>
          <w:sz w:val="24"/>
        </w:rPr>
      </w:pPr>
      <w:r>
        <w:rPr>
          <w:rFonts w:hint="eastAsia" w:eastAsiaTheme="minorEastAsia"/>
          <w:sz w:val="24"/>
        </w:rPr>
        <w:t>（2）污水系统</w:t>
      </w:r>
    </w:p>
    <w:p w14:paraId="63E5B43D">
      <w:pPr>
        <w:spacing w:line="360" w:lineRule="auto"/>
        <w:ind w:firstLine="480" w:firstLineChars="200"/>
        <w:rPr>
          <w:rFonts w:eastAsiaTheme="minorEastAsia"/>
          <w:sz w:val="24"/>
        </w:rPr>
      </w:pPr>
      <w:r>
        <w:rPr>
          <w:rFonts w:hint="eastAsia" w:eastAsiaTheme="minorEastAsia"/>
          <w:sz w:val="24"/>
        </w:rPr>
        <w:t>根据园区规划，园区污水由污水干管收集集中送入乡镇污水处理厂处理达标排放，最终排放至周边地表水体。目前，区域内建成道路部分完成了雨污分流。</w:t>
      </w:r>
    </w:p>
    <w:p w14:paraId="0FE0D303">
      <w:pPr>
        <w:spacing w:line="360" w:lineRule="auto"/>
        <w:ind w:firstLine="480" w:firstLineChars="200"/>
        <w:rPr>
          <w:rFonts w:eastAsiaTheme="minorEastAsia"/>
          <w:sz w:val="24"/>
        </w:rPr>
      </w:pPr>
      <w:r>
        <w:rPr>
          <w:rFonts w:hint="eastAsia" w:eastAsiaTheme="minorEastAsia"/>
          <w:sz w:val="24"/>
        </w:rPr>
        <w:t>园区应依照环保基础设施先行的原则，尽快完善区内提升泵站及污水收集、输送管网。污水管网建成完善后，区域内污水能够全部截留至乡镇污水处理厂处理。</w:t>
      </w:r>
    </w:p>
    <w:p w14:paraId="658C723C">
      <w:pPr>
        <w:spacing w:line="360" w:lineRule="auto"/>
        <w:ind w:firstLine="480" w:firstLineChars="200"/>
        <w:rPr>
          <w:rFonts w:eastAsiaTheme="minorEastAsia"/>
          <w:sz w:val="24"/>
        </w:rPr>
      </w:pPr>
      <w:r>
        <w:rPr>
          <w:rFonts w:hint="eastAsia" w:eastAsiaTheme="minorEastAsia"/>
          <w:sz w:val="24"/>
        </w:rPr>
        <w:t>优化调整建议：规划区应依照环保基础设施先行的原则，加快完善建设区内污水收集、输送管网，实现园区污水收集输送管网全覆盖。</w:t>
      </w:r>
    </w:p>
    <w:p w14:paraId="269DEA6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84" w:name="_Toc206495012"/>
      <w:r>
        <w:rPr>
          <w:rFonts w:hint="eastAsia" w:eastAsiaTheme="minorEastAsia"/>
          <w:b/>
          <w:bCs/>
          <w:sz w:val="30"/>
          <w:szCs w:val="28"/>
        </w:rPr>
        <w:t>环境保护目标的可达性</w:t>
      </w:r>
      <w:bookmarkEnd w:id="184"/>
    </w:p>
    <w:p w14:paraId="264193D7">
      <w:pPr>
        <w:keepNext/>
        <w:keepLines/>
        <w:widowControl/>
        <w:numPr>
          <w:ilvl w:val="2"/>
          <w:numId w:val="1"/>
        </w:numPr>
        <w:spacing w:before="120" w:after="120" w:line="360" w:lineRule="auto"/>
        <w:jc w:val="left"/>
        <w:outlineLvl w:val="2"/>
        <w:rPr>
          <w:rFonts w:eastAsiaTheme="minorEastAsia"/>
          <w:b/>
          <w:bCs/>
          <w:sz w:val="24"/>
        </w:rPr>
      </w:pPr>
      <w:bookmarkStart w:id="185" w:name="_Toc206495013"/>
      <w:r>
        <w:rPr>
          <w:rFonts w:hint="eastAsia" w:eastAsiaTheme="minorEastAsia"/>
          <w:b/>
          <w:bCs/>
          <w:sz w:val="24"/>
        </w:rPr>
        <w:t>环境功能区划的可达性分析</w:t>
      </w:r>
      <w:bookmarkEnd w:id="185"/>
    </w:p>
    <w:p w14:paraId="2C02DC86">
      <w:pPr>
        <w:spacing w:line="360" w:lineRule="auto"/>
        <w:ind w:firstLine="480" w:firstLineChars="200"/>
        <w:rPr>
          <w:rFonts w:eastAsiaTheme="minorEastAsia"/>
          <w:sz w:val="24"/>
        </w:rPr>
      </w:pPr>
      <w:r>
        <w:rPr>
          <w:rFonts w:hint="eastAsia" w:eastAsiaTheme="minorEastAsia"/>
          <w:sz w:val="24"/>
        </w:rPr>
        <w:t>根据随州市城市环境功能区划，园区环境功能区划见下表。</w:t>
      </w:r>
    </w:p>
    <w:p w14:paraId="6074A869">
      <w:pPr>
        <w:spacing w:line="360" w:lineRule="auto"/>
        <w:ind w:firstLine="422"/>
        <w:jc w:val="center"/>
        <w:rPr>
          <w:rFonts w:eastAsiaTheme="minorEastAsia"/>
          <w:b/>
          <w:szCs w:val="21"/>
        </w:rPr>
      </w:pPr>
      <w:r>
        <w:rPr>
          <w:rFonts w:hint="eastAsia" w:eastAsiaTheme="minorEastAsia"/>
          <w:b/>
          <w:szCs w:val="21"/>
        </w:rPr>
        <w:t>表6.2.1-1 园区环境功能区划表</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2552"/>
        <w:gridCol w:w="2980"/>
        <w:gridCol w:w="1612"/>
      </w:tblGrid>
      <w:tr w14:paraId="10B004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tcBorders>
              <w:bottom w:val="single" w:color="auto" w:sz="4" w:space="0"/>
            </w:tcBorders>
            <w:vAlign w:val="center"/>
          </w:tcPr>
          <w:p w14:paraId="1572ECF3">
            <w:pPr>
              <w:spacing w:line="320" w:lineRule="exact"/>
              <w:jc w:val="center"/>
              <w:rPr>
                <w:rFonts w:ascii="Calibri" w:hAnsi="Calibri" w:eastAsiaTheme="minorEastAsia"/>
                <w:szCs w:val="21"/>
              </w:rPr>
            </w:pPr>
            <w:r>
              <w:rPr>
                <w:rFonts w:hint="eastAsia" w:ascii="Calibri" w:hAnsi="Calibri" w:eastAsiaTheme="minorEastAsia"/>
                <w:szCs w:val="21"/>
              </w:rPr>
              <w:t>环境因子</w:t>
            </w:r>
          </w:p>
        </w:tc>
        <w:tc>
          <w:tcPr>
            <w:tcW w:w="1496" w:type="pct"/>
            <w:vAlign w:val="center"/>
          </w:tcPr>
          <w:p w14:paraId="1F72E252">
            <w:pPr>
              <w:spacing w:line="320" w:lineRule="exact"/>
              <w:jc w:val="center"/>
              <w:rPr>
                <w:rFonts w:ascii="Calibri" w:hAnsi="Calibri" w:eastAsiaTheme="minorEastAsia"/>
                <w:szCs w:val="21"/>
              </w:rPr>
            </w:pPr>
            <w:r>
              <w:rPr>
                <w:rFonts w:hint="eastAsia" w:ascii="Calibri" w:hAnsi="Calibri" w:eastAsiaTheme="minorEastAsia"/>
                <w:szCs w:val="21"/>
              </w:rPr>
              <w:t>区域</w:t>
            </w:r>
          </w:p>
        </w:tc>
        <w:tc>
          <w:tcPr>
            <w:tcW w:w="1747" w:type="pct"/>
            <w:vAlign w:val="center"/>
          </w:tcPr>
          <w:p w14:paraId="74DC296A">
            <w:pPr>
              <w:spacing w:line="320" w:lineRule="exact"/>
              <w:jc w:val="center"/>
              <w:rPr>
                <w:rFonts w:ascii="Calibri" w:hAnsi="Calibri" w:eastAsiaTheme="minorEastAsia"/>
                <w:szCs w:val="21"/>
              </w:rPr>
            </w:pPr>
            <w:r>
              <w:rPr>
                <w:rFonts w:hint="eastAsia" w:ascii="Calibri" w:hAnsi="Calibri" w:eastAsiaTheme="minorEastAsia"/>
                <w:szCs w:val="21"/>
              </w:rPr>
              <w:t>标准号及名称</w:t>
            </w:r>
          </w:p>
        </w:tc>
        <w:tc>
          <w:tcPr>
            <w:tcW w:w="945" w:type="pct"/>
            <w:vAlign w:val="center"/>
          </w:tcPr>
          <w:p w14:paraId="16DBDED9">
            <w:pPr>
              <w:spacing w:line="320" w:lineRule="exact"/>
              <w:jc w:val="center"/>
              <w:rPr>
                <w:rFonts w:ascii="Calibri" w:hAnsi="Calibri" w:eastAsiaTheme="minorEastAsia"/>
                <w:szCs w:val="21"/>
              </w:rPr>
            </w:pPr>
            <w:r>
              <w:rPr>
                <w:rFonts w:hint="eastAsia" w:ascii="Calibri" w:hAnsi="Calibri" w:eastAsiaTheme="minorEastAsia"/>
                <w:szCs w:val="21"/>
              </w:rPr>
              <w:t>区划类别</w:t>
            </w:r>
          </w:p>
        </w:tc>
      </w:tr>
      <w:tr w14:paraId="475D0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tcBorders>
              <w:top w:val="single" w:color="auto" w:sz="4" w:space="0"/>
              <w:bottom w:val="single" w:color="auto" w:sz="4" w:space="0"/>
            </w:tcBorders>
            <w:vAlign w:val="center"/>
          </w:tcPr>
          <w:p w14:paraId="41A759A5">
            <w:pPr>
              <w:spacing w:line="320" w:lineRule="exact"/>
              <w:jc w:val="center"/>
              <w:rPr>
                <w:rFonts w:ascii="Calibri" w:hAnsi="Calibri" w:eastAsiaTheme="minorEastAsia"/>
                <w:szCs w:val="21"/>
              </w:rPr>
            </w:pPr>
            <w:r>
              <w:rPr>
                <w:rFonts w:hint="eastAsia" w:ascii="Calibri" w:hAnsi="Calibri" w:eastAsiaTheme="minorEastAsia"/>
                <w:szCs w:val="21"/>
              </w:rPr>
              <w:t>环境空气</w:t>
            </w:r>
          </w:p>
        </w:tc>
        <w:tc>
          <w:tcPr>
            <w:tcW w:w="1496" w:type="pct"/>
            <w:shd w:val="clear" w:color="auto" w:fill="auto"/>
            <w:vAlign w:val="center"/>
          </w:tcPr>
          <w:p w14:paraId="26F1B68F">
            <w:pPr>
              <w:spacing w:line="320" w:lineRule="exact"/>
              <w:jc w:val="center"/>
              <w:rPr>
                <w:rFonts w:ascii="Calibri" w:hAnsi="Calibri" w:eastAsiaTheme="minorEastAsia"/>
                <w:szCs w:val="21"/>
              </w:rPr>
            </w:pPr>
            <w:r>
              <w:rPr>
                <w:rFonts w:hint="eastAsia" w:ascii="Calibri" w:hAnsi="Calibri" w:eastAsiaTheme="minorEastAsia"/>
                <w:szCs w:val="21"/>
              </w:rPr>
              <w:t>评价区域</w:t>
            </w:r>
          </w:p>
        </w:tc>
        <w:tc>
          <w:tcPr>
            <w:tcW w:w="1747" w:type="pct"/>
            <w:shd w:val="clear" w:color="auto" w:fill="auto"/>
            <w:vAlign w:val="center"/>
          </w:tcPr>
          <w:p w14:paraId="06722A7B">
            <w:pPr>
              <w:spacing w:line="320" w:lineRule="exact"/>
              <w:jc w:val="center"/>
              <w:rPr>
                <w:rFonts w:ascii="Calibri" w:hAnsi="Calibri" w:eastAsiaTheme="minorEastAsia"/>
                <w:szCs w:val="21"/>
              </w:rPr>
            </w:pPr>
            <w:r>
              <w:rPr>
                <w:rFonts w:hint="eastAsia" w:ascii="Calibri" w:hAnsi="Calibri" w:eastAsiaTheme="minorEastAsia"/>
                <w:szCs w:val="21"/>
              </w:rPr>
              <w:t>《环境空气质量标准》（GB3095-2012）及其修改单</w:t>
            </w:r>
          </w:p>
        </w:tc>
        <w:tc>
          <w:tcPr>
            <w:tcW w:w="945" w:type="pct"/>
            <w:shd w:val="clear" w:color="auto" w:fill="auto"/>
            <w:vAlign w:val="center"/>
          </w:tcPr>
          <w:p w14:paraId="2C49CD58">
            <w:pPr>
              <w:spacing w:line="320" w:lineRule="exact"/>
              <w:jc w:val="center"/>
              <w:rPr>
                <w:rFonts w:ascii="Calibri" w:hAnsi="Calibri" w:eastAsiaTheme="minorEastAsia"/>
                <w:szCs w:val="21"/>
              </w:rPr>
            </w:pPr>
            <w:r>
              <w:rPr>
                <w:rFonts w:hint="eastAsia" w:ascii="Calibri" w:hAnsi="Calibri" w:eastAsiaTheme="minorEastAsia"/>
                <w:szCs w:val="21"/>
              </w:rPr>
              <w:t>二级</w:t>
            </w:r>
          </w:p>
        </w:tc>
      </w:tr>
      <w:tr w14:paraId="2E02A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tcBorders>
              <w:top w:val="single" w:color="auto" w:sz="4" w:space="0"/>
              <w:bottom w:val="single" w:color="auto" w:sz="4" w:space="0"/>
            </w:tcBorders>
            <w:vAlign w:val="center"/>
          </w:tcPr>
          <w:p w14:paraId="48C82FB4">
            <w:pPr>
              <w:spacing w:line="320" w:lineRule="exact"/>
              <w:jc w:val="center"/>
              <w:rPr>
                <w:rFonts w:ascii="Calibri" w:hAnsi="Calibri" w:eastAsiaTheme="minorEastAsia"/>
                <w:szCs w:val="21"/>
              </w:rPr>
            </w:pPr>
            <w:r>
              <w:rPr>
                <w:rFonts w:hint="eastAsia" w:ascii="Calibri" w:hAnsi="Calibri" w:eastAsiaTheme="minorEastAsia"/>
                <w:szCs w:val="21"/>
              </w:rPr>
              <w:t>地表水环境</w:t>
            </w:r>
          </w:p>
        </w:tc>
        <w:tc>
          <w:tcPr>
            <w:tcW w:w="1496" w:type="pct"/>
            <w:tcBorders>
              <w:bottom w:val="single" w:color="auto" w:sz="4" w:space="0"/>
            </w:tcBorders>
            <w:shd w:val="clear" w:color="auto" w:fill="auto"/>
            <w:vAlign w:val="center"/>
          </w:tcPr>
          <w:p w14:paraId="5F179D3C">
            <w:pPr>
              <w:spacing w:line="320" w:lineRule="exact"/>
              <w:jc w:val="center"/>
              <w:rPr>
                <w:rFonts w:ascii="Calibri" w:hAnsi="Calibri" w:eastAsiaTheme="minorEastAsia"/>
                <w:szCs w:val="21"/>
              </w:rPr>
            </w:pPr>
            <w:r>
              <w:rPr>
                <w:rFonts w:hint="eastAsia" w:ascii="Calibri" w:hAnsi="Calibri" w:eastAsiaTheme="minorEastAsia"/>
                <w:szCs w:val="21"/>
              </w:rPr>
              <w:t>游河、漂水、厥水河、溠水</w:t>
            </w:r>
          </w:p>
        </w:tc>
        <w:tc>
          <w:tcPr>
            <w:tcW w:w="1747" w:type="pct"/>
            <w:shd w:val="clear" w:color="auto" w:fill="auto"/>
            <w:vAlign w:val="center"/>
          </w:tcPr>
          <w:p w14:paraId="7706D58F">
            <w:pPr>
              <w:spacing w:line="320" w:lineRule="exact"/>
              <w:jc w:val="center"/>
              <w:rPr>
                <w:rFonts w:ascii="Calibri" w:hAnsi="Calibri" w:eastAsiaTheme="minorEastAsia"/>
                <w:szCs w:val="21"/>
              </w:rPr>
            </w:pPr>
            <w:r>
              <w:rPr>
                <w:rFonts w:hint="eastAsia" w:ascii="Calibri" w:hAnsi="Calibri" w:eastAsiaTheme="minorEastAsia"/>
                <w:szCs w:val="21"/>
              </w:rPr>
              <w:t>《地表水环境质量标准》（GB3838-2002）</w:t>
            </w:r>
          </w:p>
        </w:tc>
        <w:tc>
          <w:tcPr>
            <w:tcW w:w="945" w:type="pct"/>
            <w:shd w:val="clear" w:color="auto" w:fill="auto"/>
            <w:vAlign w:val="center"/>
          </w:tcPr>
          <w:p w14:paraId="405FD94A">
            <w:pPr>
              <w:spacing w:line="320" w:lineRule="exact"/>
              <w:jc w:val="center"/>
              <w:rPr>
                <w:rFonts w:ascii="Calibri" w:hAnsi="Calibri" w:eastAsiaTheme="minorEastAsia"/>
                <w:szCs w:val="21"/>
              </w:rPr>
            </w:pPr>
            <w:r>
              <w:rPr>
                <w:rFonts w:hint="eastAsia" w:ascii="Calibri" w:hAnsi="Calibri" w:eastAsiaTheme="minorEastAsia"/>
                <w:szCs w:val="21"/>
              </w:rPr>
              <w:t>Ⅲ类</w:t>
            </w:r>
          </w:p>
        </w:tc>
      </w:tr>
      <w:tr w14:paraId="3E48E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vMerge w:val="restart"/>
            <w:tcBorders>
              <w:top w:val="single" w:color="auto" w:sz="4" w:space="0"/>
            </w:tcBorders>
            <w:vAlign w:val="center"/>
          </w:tcPr>
          <w:p w14:paraId="2E721C86">
            <w:pPr>
              <w:spacing w:line="320" w:lineRule="exact"/>
              <w:jc w:val="center"/>
              <w:rPr>
                <w:rFonts w:ascii="Calibri" w:hAnsi="Calibri" w:eastAsiaTheme="minorEastAsia"/>
                <w:szCs w:val="21"/>
              </w:rPr>
            </w:pPr>
            <w:r>
              <w:rPr>
                <w:rFonts w:hint="eastAsia" w:ascii="Calibri" w:hAnsi="Calibri" w:eastAsiaTheme="minorEastAsia"/>
                <w:szCs w:val="21"/>
              </w:rPr>
              <w:t>声环境</w:t>
            </w:r>
          </w:p>
        </w:tc>
        <w:tc>
          <w:tcPr>
            <w:tcW w:w="1496" w:type="pct"/>
            <w:tcBorders>
              <w:top w:val="single" w:color="auto" w:sz="4" w:space="0"/>
              <w:bottom w:val="single" w:color="auto" w:sz="4" w:space="0"/>
            </w:tcBorders>
            <w:shd w:val="clear" w:color="auto" w:fill="auto"/>
            <w:vAlign w:val="center"/>
          </w:tcPr>
          <w:p w14:paraId="6EE7AEEF">
            <w:pPr>
              <w:spacing w:line="320" w:lineRule="exact"/>
              <w:jc w:val="center"/>
              <w:rPr>
                <w:rFonts w:ascii="Calibri" w:hAnsi="Calibri" w:eastAsiaTheme="minorEastAsia"/>
                <w:szCs w:val="21"/>
              </w:rPr>
            </w:pPr>
            <w:r>
              <w:rPr>
                <w:rFonts w:hint="eastAsia" w:ascii="Calibri" w:hAnsi="Calibri" w:eastAsiaTheme="minorEastAsia"/>
                <w:szCs w:val="21"/>
              </w:rPr>
              <w:t>居住、商业、工业混杂区域</w:t>
            </w:r>
          </w:p>
        </w:tc>
        <w:tc>
          <w:tcPr>
            <w:tcW w:w="1747" w:type="pct"/>
            <w:vMerge w:val="restart"/>
            <w:shd w:val="clear" w:color="auto" w:fill="auto"/>
            <w:vAlign w:val="center"/>
          </w:tcPr>
          <w:p w14:paraId="3F44195D">
            <w:pPr>
              <w:spacing w:line="320" w:lineRule="exact"/>
              <w:jc w:val="center"/>
              <w:rPr>
                <w:rFonts w:ascii="Calibri" w:hAnsi="Calibri" w:eastAsiaTheme="minorEastAsia"/>
                <w:szCs w:val="21"/>
              </w:rPr>
            </w:pPr>
            <w:r>
              <w:rPr>
                <w:rFonts w:hint="eastAsia" w:ascii="Calibri" w:hAnsi="Calibri" w:eastAsiaTheme="minorEastAsia"/>
                <w:szCs w:val="21"/>
              </w:rPr>
              <w:t>《声环境质量标准》（GB3096-2008）</w:t>
            </w:r>
          </w:p>
        </w:tc>
        <w:tc>
          <w:tcPr>
            <w:tcW w:w="945" w:type="pct"/>
            <w:shd w:val="clear" w:color="auto" w:fill="auto"/>
            <w:vAlign w:val="center"/>
          </w:tcPr>
          <w:p w14:paraId="09F2177A">
            <w:pPr>
              <w:spacing w:line="320" w:lineRule="exact"/>
              <w:jc w:val="center"/>
              <w:rPr>
                <w:rFonts w:ascii="Calibri" w:hAnsi="Calibri" w:eastAsiaTheme="minorEastAsia"/>
                <w:szCs w:val="21"/>
              </w:rPr>
            </w:pPr>
            <w:r>
              <w:rPr>
                <w:rFonts w:hint="eastAsia" w:ascii="Calibri" w:hAnsi="Calibri" w:eastAsiaTheme="minorEastAsia"/>
                <w:szCs w:val="21"/>
              </w:rPr>
              <w:t>2类</w:t>
            </w:r>
          </w:p>
        </w:tc>
      </w:tr>
      <w:tr w14:paraId="72CAD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vMerge w:val="continue"/>
            <w:vAlign w:val="center"/>
          </w:tcPr>
          <w:p w14:paraId="772504BE">
            <w:pPr>
              <w:spacing w:line="320" w:lineRule="exact"/>
              <w:jc w:val="center"/>
              <w:rPr>
                <w:rFonts w:ascii="Calibri" w:hAnsi="Calibri" w:eastAsiaTheme="minorEastAsia"/>
                <w:szCs w:val="21"/>
              </w:rPr>
            </w:pPr>
          </w:p>
        </w:tc>
        <w:tc>
          <w:tcPr>
            <w:tcW w:w="1496" w:type="pct"/>
            <w:tcBorders>
              <w:top w:val="single" w:color="auto" w:sz="4" w:space="0"/>
              <w:bottom w:val="single" w:color="auto" w:sz="4" w:space="0"/>
            </w:tcBorders>
            <w:shd w:val="clear" w:color="auto" w:fill="auto"/>
            <w:vAlign w:val="center"/>
          </w:tcPr>
          <w:p w14:paraId="4B8B577A">
            <w:pPr>
              <w:spacing w:line="320" w:lineRule="exact"/>
              <w:jc w:val="center"/>
              <w:rPr>
                <w:rFonts w:ascii="Calibri" w:hAnsi="Calibri" w:eastAsiaTheme="minorEastAsia"/>
                <w:szCs w:val="21"/>
              </w:rPr>
            </w:pPr>
            <w:r>
              <w:rPr>
                <w:rFonts w:hint="eastAsia" w:ascii="Calibri" w:hAnsi="Calibri" w:eastAsiaTheme="minorEastAsia"/>
                <w:szCs w:val="21"/>
              </w:rPr>
              <w:t>工业区</w:t>
            </w:r>
          </w:p>
        </w:tc>
        <w:tc>
          <w:tcPr>
            <w:tcW w:w="1747" w:type="pct"/>
            <w:vMerge w:val="continue"/>
            <w:shd w:val="clear" w:color="auto" w:fill="auto"/>
            <w:vAlign w:val="center"/>
          </w:tcPr>
          <w:p w14:paraId="1830853F">
            <w:pPr>
              <w:spacing w:line="320" w:lineRule="exact"/>
              <w:jc w:val="center"/>
              <w:rPr>
                <w:rFonts w:ascii="Calibri" w:hAnsi="Calibri" w:eastAsiaTheme="minorEastAsia"/>
                <w:szCs w:val="21"/>
              </w:rPr>
            </w:pPr>
          </w:p>
        </w:tc>
        <w:tc>
          <w:tcPr>
            <w:tcW w:w="945" w:type="pct"/>
            <w:shd w:val="clear" w:color="auto" w:fill="auto"/>
            <w:vAlign w:val="center"/>
          </w:tcPr>
          <w:p w14:paraId="2BDE9DDF">
            <w:pPr>
              <w:spacing w:line="320" w:lineRule="exact"/>
              <w:jc w:val="center"/>
              <w:rPr>
                <w:rFonts w:ascii="Calibri" w:hAnsi="Calibri" w:eastAsiaTheme="minorEastAsia"/>
                <w:szCs w:val="21"/>
              </w:rPr>
            </w:pPr>
            <w:r>
              <w:rPr>
                <w:rFonts w:hint="eastAsia" w:ascii="Calibri" w:hAnsi="Calibri" w:eastAsiaTheme="minorEastAsia"/>
                <w:szCs w:val="21"/>
              </w:rPr>
              <w:t>3类</w:t>
            </w:r>
          </w:p>
        </w:tc>
      </w:tr>
      <w:tr w14:paraId="1F7AC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811" w:type="pct"/>
            <w:vMerge w:val="continue"/>
            <w:vAlign w:val="center"/>
          </w:tcPr>
          <w:p w14:paraId="2CB38D08">
            <w:pPr>
              <w:spacing w:line="320" w:lineRule="exact"/>
              <w:jc w:val="center"/>
              <w:rPr>
                <w:rFonts w:ascii="Calibri" w:hAnsi="Calibri" w:eastAsiaTheme="minorEastAsia"/>
                <w:szCs w:val="21"/>
              </w:rPr>
            </w:pPr>
          </w:p>
        </w:tc>
        <w:tc>
          <w:tcPr>
            <w:tcW w:w="1496" w:type="pct"/>
            <w:tcBorders>
              <w:top w:val="single" w:color="auto" w:sz="4" w:space="0"/>
            </w:tcBorders>
            <w:shd w:val="clear" w:color="auto" w:fill="auto"/>
            <w:vAlign w:val="center"/>
          </w:tcPr>
          <w:p w14:paraId="29DD58D5">
            <w:pPr>
              <w:spacing w:line="320" w:lineRule="exact"/>
              <w:jc w:val="center"/>
              <w:rPr>
                <w:rFonts w:ascii="Calibri" w:hAnsi="Calibri" w:eastAsiaTheme="minorEastAsia"/>
                <w:szCs w:val="21"/>
              </w:rPr>
            </w:pPr>
            <w:r>
              <w:rPr>
                <w:rFonts w:hint="eastAsia" w:ascii="Calibri" w:hAnsi="Calibri" w:eastAsiaTheme="minorEastAsia"/>
                <w:szCs w:val="21"/>
              </w:rPr>
              <w:t>交通干线两侧相应范围</w:t>
            </w:r>
          </w:p>
        </w:tc>
        <w:tc>
          <w:tcPr>
            <w:tcW w:w="1747" w:type="pct"/>
            <w:vMerge w:val="continue"/>
            <w:shd w:val="clear" w:color="auto" w:fill="auto"/>
            <w:vAlign w:val="center"/>
          </w:tcPr>
          <w:p w14:paraId="417EBECA">
            <w:pPr>
              <w:spacing w:line="320" w:lineRule="exact"/>
              <w:jc w:val="center"/>
              <w:rPr>
                <w:rFonts w:ascii="Calibri" w:hAnsi="Calibri" w:eastAsiaTheme="minorEastAsia"/>
                <w:szCs w:val="21"/>
              </w:rPr>
            </w:pPr>
          </w:p>
        </w:tc>
        <w:tc>
          <w:tcPr>
            <w:tcW w:w="945" w:type="pct"/>
            <w:shd w:val="clear" w:color="auto" w:fill="auto"/>
            <w:vAlign w:val="center"/>
          </w:tcPr>
          <w:p w14:paraId="3F223CAF">
            <w:pPr>
              <w:spacing w:line="320" w:lineRule="exact"/>
              <w:jc w:val="center"/>
              <w:rPr>
                <w:rFonts w:ascii="Calibri" w:hAnsi="Calibri" w:eastAsiaTheme="minorEastAsia"/>
                <w:szCs w:val="21"/>
              </w:rPr>
            </w:pPr>
            <w:r>
              <w:rPr>
                <w:rFonts w:hint="eastAsia" w:ascii="Calibri" w:hAnsi="Calibri" w:eastAsiaTheme="minorEastAsia"/>
                <w:szCs w:val="21"/>
              </w:rPr>
              <w:t>4a类</w:t>
            </w:r>
          </w:p>
        </w:tc>
      </w:tr>
    </w:tbl>
    <w:p w14:paraId="6B2764CC">
      <w:pPr>
        <w:spacing w:line="360" w:lineRule="auto"/>
        <w:ind w:firstLine="480" w:firstLineChars="200"/>
        <w:rPr>
          <w:rFonts w:eastAsiaTheme="minorEastAsia"/>
          <w:sz w:val="24"/>
        </w:rPr>
      </w:pPr>
      <w:r>
        <w:rPr>
          <w:rFonts w:hint="eastAsia" w:eastAsiaTheme="minorEastAsia"/>
          <w:sz w:val="24"/>
        </w:rPr>
        <w:t>根据环境现状监测，目前区域内水环境、声环境、土壤质量较好，各常规环境因子均能满足当前环境规划要求。</w:t>
      </w:r>
    </w:p>
    <w:p w14:paraId="762427C2">
      <w:pPr>
        <w:spacing w:line="360" w:lineRule="auto"/>
        <w:ind w:firstLine="480" w:firstLineChars="200"/>
        <w:rPr>
          <w:rFonts w:eastAsiaTheme="minorEastAsia"/>
          <w:sz w:val="24"/>
        </w:rPr>
      </w:pPr>
      <w:r>
        <w:rPr>
          <w:rFonts w:hint="eastAsia" w:eastAsiaTheme="minorEastAsia"/>
          <w:sz w:val="24"/>
        </w:rPr>
        <w:t>通过建立完善的污水管网和城市污水处理措施，实现雨污分流，生活污水和工业污水分别处理，治理水污染，防止无组织排放；对区域大气污染物实行总量管理要求，限制大气污染严重的企业入驻，可使区域内大气环境质量保持良好；结合区域功能的特点，控制交通干线的噪声，加强建筑施工噪声、企业噪声和社会噪声的管理，采取必要合理的隔声和消声措施，区内声环境质量能够满足环保要求。</w:t>
      </w:r>
    </w:p>
    <w:p w14:paraId="505ED281">
      <w:pPr>
        <w:keepNext/>
        <w:keepLines/>
        <w:widowControl/>
        <w:numPr>
          <w:ilvl w:val="2"/>
          <w:numId w:val="1"/>
        </w:numPr>
        <w:spacing w:before="120" w:after="120" w:line="360" w:lineRule="auto"/>
        <w:jc w:val="left"/>
        <w:outlineLvl w:val="2"/>
        <w:rPr>
          <w:rFonts w:eastAsiaTheme="minorEastAsia"/>
          <w:b/>
          <w:bCs/>
          <w:sz w:val="24"/>
        </w:rPr>
      </w:pPr>
      <w:bookmarkStart w:id="186" w:name="_Toc206495014"/>
      <w:r>
        <w:rPr>
          <w:rFonts w:hint="eastAsia" w:eastAsiaTheme="minorEastAsia"/>
          <w:b/>
          <w:bCs/>
          <w:sz w:val="24"/>
        </w:rPr>
        <w:t>区域环境质量目标可达性分析</w:t>
      </w:r>
      <w:bookmarkEnd w:id="186"/>
    </w:p>
    <w:p w14:paraId="5E443C44">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环境空气质量目标可达性分析</w:t>
      </w:r>
    </w:p>
    <w:p w14:paraId="0E48907E">
      <w:pPr>
        <w:spacing w:line="360" w:lineRule="auto"/>
        <w:ind w:firstLine="480" w:firstLineChars="200"/>
        <w:rPr>
          <w:rFonts w:eastAsiaTheme="minorEastAsia"/>
          <w:kern w:val="20"/>
          <w:sz w:val="24"/>
        </w:rPr>
      </w:pPr>
      <w:r>
        <w:rPr>
          <w:rFonts w:hint="eastAsia" w:eastAsiaTheme="minorEastAsia"/>
          <w:sz w:val="24"/>
        </w:rPr>
        <w:t>规划所在区域目前为环境空气不达标区，主要污染物为</w:t>
      </w:r>
      <w:r>
        <w:rPr>
          <w:rFonts w:hint="eastAsia" w:eastAsiaTheme="minorEastAsia"/>
          <w:kern w:val="20"/>
          <w:sz w:val="24"/>
        </w:rPr>
        <w:t>PM</w:t>
      </w:r>
      <w:r>
        <w:rPr>
          <w:rFonts w:hint="eastAsia" w:eastAsiaTheme="minorEastAsia"/>
          <w:kern w:val="20"/>
          <w:sz w:val="24"/>
          <w:vertAlign w:val="subscript"/>
        </w:rPr>
        <w:t>2.5</w:t>
      </w:r>
      <w:r>
        <w:rPr>
          <w:rFonts w:hint="eastAsia" w:eastAsiaTheme="minorEastAsia"/>
          <w:sz w:val="24"/>
        </w:rPr>
        <w:t>，已无大气环境容量供园区发展，其他指标满足园区发展需求，根据《市人民政府关于印发随州市空气质量持续改善行动方案的通知》（随政发〔2024〕11号）要求，在全市开展产业结构转型升级行动等十大行动。其中，“涉气监管执法效能提升行动”重点狠抓铸造、玻璃制造、人造板、水泥等重点行业大气环境日常监管，常态化开展“四不两直”行动，实施机动执法和交叉执法，开展移动源污染专项执法，全面整治监测数据弄虚作假，切实形成涉气环境执法威慑力。扎实推进《随州市空气质量持续改善行动方案》，紧盯重点区域、重点行业、重点领域持续开展整治，健全大气环境监管常态长效机制。扎实开展专汽、铸造、化工等行业大气环境综合整治，组织实施VOCs全流程治理，实施年度治理项目300个。推进火电、钢铁、建材等重点行业大宗货物清洁运输，推进秸秆综合利用和露天焚烧管控，让蓝天白云成为城市常态。随着上述措施的逐步推进和落实，规划所在区域空气将得到改善</w:t>
      </w:r>
      <w:r>
        <w:rPr>
          <w:rFonts w:hint="eastAsia" w:eastAsiaTheme="minorEastAsia"/>
          <w:kern w:val="20"/>
          <w:sz w:val="24"/>
        </w:rPr>
        <w:t>。</w:t>
      </w:r>
    </w:p>
    <w:p w14:paraId="148D9460">
      <w:pPr>
        <w:spacing w:line="360" w:lineRule="auto"/>
        <w:ind w:firstLine="480" w:firstLineChars="200"/>
        <w:rPr>
          <w:rFonts w:eastAsiaTheme="minorEastAsia"/>
          <w:sz w:val="24"/>
        </w:rPr>
      </w:pPr>
      <w:r>
        <w:rPr>
          <w:rFonts w:hint="eastAsia" w:eastAsiaTheme="minorEastAsia"/>
          <w:kern w:val="20"/>
          <w:sz w:val="24"/>
        </w:rPr>
        <w:t>根据园区现状调查可知，园区现有入驻企业均已建成运行，对区域环境空气的影响已纳入现状环境空气质量中；同时随州</w:t>
      </w:r>
      <w:r>
        <w:rPr>
          <w:rFonts w:hint="eastAsia" w:eastAsiaTheme="minorEastAsia"/>
          <w:sz w:val="24"/>
        </w:rPr>
        <w:t>市通过上述一系列的措施，可逐月实现环境空气质量改善，待</w:t>
      </w:r>
      <w:r>
        <w:rPr>
          <w:rFonts w:hint="eastAsia" w:eastAsiaTheme="minorEastAsia"/>
          <w:kern w:val="20"/>
          <w:sz w:val="24"/>
        </w:rPr>
        <w:t>园区</w:t>
      </w:r>
      <w:r>
        <w:rPr>
          <w:rFonts w:hint="eastAsia" w:eastAsiaTheme="minorEastAsia"/>
          <w:sz w:val="24"/>
        </w:rPr>
        <w:t>内后期企业拟入驻时，可腾出大气环境容量，并满足环境质量目标要求，加之区域内企业使用天然气、液化石油气作为能源，属于清洁能源，其各项污染物的排放量较小，因此，园区规划的实施不会改变现状大气环境功能区划。</w:t>
      </w:r>
    </w:p>
    <w:p w14:paraId="0DE8FDE9">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水环境质量目标可达性分析</w:t>
      </w:r>
    </w:p>
    <w:p w14:paraId="073314E3">
      <w:pPr>
        <w:spacing w:line="360" w:lineRule="auto"/>
        <w:ind w:firstLine="480" w:firstLineChars="200"/>
        <w:rPr>
          <w:rFonts w:eastAsiaTheme="minorEastAsia"/>
          <w:sz w:val="24"/>
        </w:rPr>
      </w:pPr>
      <w:r>
        <w:rPr>
          <w:rFonts w:hint="eastAsia" w:eastAsiaTheme="minorEastAsia"/>
          <w:sz w:val="24"/>
        </w:rPr>
        <w:t>规划区内生产废水均经处理后回用于生产，不外排；园区办公生活污水规划进入乡镇污水处理厂处理，在厂内必须采取措施对其废水处理达到乡镇污水处理厂进水水质标准。随着园区内废水进入污水处理厂处理达标后排放，同时在严格实施污染物总量控制指标方案，限制入区项目水环境门槛，对仅涉及生活污水的实施总量管理指标，并在项目实施后工业废水和生活污水都得到合理有效的处理之后，可达到相应的排放标准后再经乡镇污水处理厂进一步处理，这样可以保证规划实施后周边地表水体的水质达到相应的水环境功能要求。</w:t>
      </w:r>
    </w:p>
    <w:p w14:paraId="33F5B26D">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声环境质量目标可达性分析</w:t>
      </w:r>
    </w:p>
    <w:p w14:paraId="200D0BBF">
      <w:pPr>
        <w:spacing w:line="360" w:lineRule="auto"/>
        <w:ind w:firstLine="480" w:firstLineChars="200"/>
        <w:rPr>
          <w:rFonts w:eastAsiaTheme="minorEastAsia"/>
          <w:sz w:val="24"/>
        </w:rPr>
      </w:pPr>
      <w:r>
        <w:rPr>
          <w:rFonts w:hint="eastAsia" w:eastAsiaTheme="minorEastAsia"/>
          <w:sz w:val="24"/>
        </w:rPr>
        <w:t>现状监测表明园区各监测点的噪声均符合《声环境质量标准》(GB3096-2008)中2类、3类标准要求，结合噪声环境影响预测部分分析可知，区域主要噪声源为：施工噪声、交通噪声、企业生产噪声及社会生活噪声，从区域布局分析，园区内设置了部分居住用地，与周边工业用地间隔了一定的距离，本次规划通过合理的区域功能分区、道路规划以及加强企业生产施工管理，使用低噪设备、隔声墙等设施，使其影响达到最小。在合理布局的基础上，经采用各项降噪措施后，能够保障园区项目入驻后的声环境质量状况能满足《声环境质量标准》(GB3096-2008)中3、4a类标准的要求。</w:t>
      </w:r>
    </w:p>
    <w:p w14:paraId="01DC32B8">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固体废物环境质量目标可达性分析</w:t>
      </w:r>
    </w:p>
    <w:p w14:paraId="28AAF73B">
      <w:pPr>
        <w:spacing w:line="360" w:lineRule="auto"/>
        <w:ind w:firstLine="480" w:firstLineChars="200"/>
        <w:rPr>
          <w:rFonts w:eastAsiaTheme="minorEastAsia"/>
          <w:sz w:val="24"/>
        </w:rPr>
      </w:pPr>
      <w:r>
        <w:rPr>
          <w:rFonts w:hint="eastAsia" w:eastAsiaTheme="minorEastAsia"/>
          <w:sz w:val="24"/>
        </w:rPr>
        <w:t>园区规划方案实施后，园区内产生的工业固废均可得到合理的综合利用和最终处置，一般固体废物均综合利用，危险废物由有资质的单位及时清运和集中处理，生活垃圾由市政环卫部门统一清运和集中处理，可见固体废物均能合理有效的处理和处置。</w:t>
      </w:r>
    </w:p>
    <w:p w14:paraId="61987CF5">
      <w:pPr>
        <w:keepNext/>
        <w:keepLines/>
        <w:widowControl/>
        <w:numPr>
          <w:ilvl w:val="2"/>
          <w:numId w:val="1"/>
        </w:numPr>
        <w:spacing w:before="120" w:after="120" w:line="360" w:lineRule="auto"/>
        <w:jc w:val="left"/>
        <w:outlineLvl w:val="2"/>
        <w:rPr>
          <w:rFonts w:eastAsiaTheme="minorEastAsia"/>
          <w:b/>
          <w:bCs/>
          <w:sz w:val="24"/>
        </w:rPr>
      </w:pPr>
      <w:bookmarkStart w:id="187" w:name="_Toc206495015"/>
      <w:r>
        <w:rPr>
          <w:rFonts w:hint="eastAsia" w:eastAsiaTheme="minorEastAsia"/>
          <w:b/>
          <w:bCs/>
          <w:sz w:val="24"/>
        </w:rPr>
        <w:t>污染控制目标的可达性分析</w:t>
      </w:r>
      <w:bookmarkEnd w:id="187"/>
    </w:p>
    <w:p w14:paraId="2D2D322E">
      <w:pPr>
        <w:spacing w:line="360" w:lineRule="auto"/>
        <w:ind w:firstLine="480" w:firstLineChars="200"/>
        <w:rPr>
          <w:rFonts w:eastAsiaTheme="minorEastAsia"/>
          <w:sz w:val="24"/>
        </w:rPr>
      </w:pPr>
      <w:r>
        <w:rPr>
          <w:rFonts w:hint="eastAsia" w:eastAsiaTheme="minorEastAsia"/>
          <w:sz w:val="24"/>
        </w:rPr>
        <w:t>（1）废气控制措施</w:t>
      </w:r>
    </w:p>
    <w:p w14:paraId="26229DCC">
      <w:pPr>
        <w:spacing w:line="360" w:lineRule="auto"/>
        <w:ind w:firstLine="480" w:firstLineChars="200"/>
        <w:rPr>
          <w:rFonts w:eastAsiaTheme="minorEastAsia"/>
          <w:sz w:val="24"/>
        </w:rPr>
      </w:pPr>
      <w:r>
        <w:rPr>
          <w:rFonts w:hint="eastAsia" w:eastAsiaTheme="minorEastAsia"/>
          <w:sz w:val="24"/>
        </w:rPr>
        <w:t>针对园区产业特征，规划废气污染控制措施重点为：企业大切、磨光、表面加工、切边开槽等工序产生的粉尘经加强管理、湿法作业或高效除尘处理后排放；破碎、筛分粉尘经除尘器处理后排放；堆场扬尘采取合理布局堆料场、减少物料露天堆放、及时清理地面粉尘、建筑围挡、洒水降尘等措施；运输扬尘采取厂区内地面硬化、定期清扫、洒水降尘等措施。</w:t>
      </w:r>
    </w:p>
    <w:p w14:paraId="11CAEE27">
      <w:pPr>
        <w:spacing w:line="360" w:lineRule="auto"/>
        <w:ind w:firstLine="480" w:firstLineChars="200"/>
        <w:rPr>
          <w:rFonts w:eastAsiaTheme="minorEastAsia"/>
          <w:sz w:val="24"/>
        </w:rPr>
      </w:pPr>
      <w:r>
        <w:rPr>
          <w:rFonts w:hint="eastAsia" w:eastAsiaTheme="minorEastAsia"/>
          <w:sz w:val="24"/>
        </w:rPr>
        <w:t>（2）废水控制措施</w:t>
      </w:r>
    </w:p>
    <w:p w14:paraId="247AFC65">
      <w:pPr>
        <w:spacing w:line="360" w:lineRule="auto"/>
        <w:ind w:firstLine="480" w:firstLineChars="200"/>
        <w:rPr>
          <w:rFonts w:eastAsiaTheme="minorEastAsia"/>
          <w:sz w:val="24"/>
        </w:rPr>
      </w:pPr>
      <w:r>
        <w:rPr>
          <w:rFonts w:hint="eastAsia" w:eastAsiaTheme="minorEastAsia"/>
          <w:sz w:val="24"/>
        </w:rPr>
        <w:t>本次环评根据各入驻项目工艺特点，提出了企业工业废水平均回用率应达到100%，处理后生产废水用于生产各环节或洒水降尘，分质供水，生活污水均排放至乡镇污水处理厂，经处理后达标排放至周边地表水体。</w:t>
      </w:r>
    </w:p>
    <w:p w14:paraId="2B8D2BDC">
      <w:pPr>
        <w:spacing w:line="360" w:lineRule="auto"/>
        <w:ind w:firstLine="480" w:firstLineChars="200"/>
        <w:rPr>
          <w:rFonts w:eastAsiaTheme="minorEastAsia"/>
          <w:sz w:val="24"/>
        </w:rPr>
      </w:pPr>
      <w:r>
        <w:rPr>
          <w:rFonts w:hint="eastAsia" w:eastAsiaTheme="minorEastAsia"/>
          <w:sz w:val="24"/>
        </w:rPr>
        <w:t>（3）初期雨水控制措施</w:t>
      </w:r>
    </w:p>
    <w:p w14:paraId="34A4BD52">
      <w:pPr>
        <w:spacing w:line="360" w:lineRule="auto"/>
        <w:ind w:firstLine="480" w:firstLineChars="200"/>
        <w:rPr>
          <w:rFonts w:eastAsiaTheme="minorEastAsia"/>
          <w:sz w:val="24"/>
        </w:rPr>
      </w:pPr>
      <w:r>
        <w:rPr>
          <w:rFonts w:hint="eastAsia" w:eastAsiaTheme="minorEastAsia"/>
          <w:sz w:val="24"/>
        </w:rPr>
        <w:t>针对入驻企业的生产厂区、堆场和框架式露天生产装置区地面初期污染雨水，应设置围堰、截污渠和初期雨水收集池，雨水管应增加控制阀门以便对初期雨水进行截留，防止直接外排。厂区收集的初期雨水须经处理后回用，后期清洁雨水收集后直接排入园区市政雨水管网。</w:t>
      </w:r>
    </w:p>
    <w:p w14:paraId="11E88C7C">
      <w:pPr>
        <w:spacing w:line="360" w:lineRule="auto"/>
        <w:ind w:firstLine="480" w:firstLineChars="200"/>
        <w:rPr>
          <w:rFonts w:eastAsiaTheme="minorEastAsia"/>
          <w:sz w:val="24"/>
        </w:rPr>
      </w:pPr>
      <w:r>
        <w:rPr>
          <w:rFonts w:hint="eastAsia" w:eastAsiaTheme="minorEastAsia"/>
          <w:sz w:val="24"/>
        </w:rPr>
        <w:t>上述措施实施后，能够保证园区废气、废水污染物达标排放，各类污染物排放得到有效控制。</w:t>
      </w:r>
    </w:p>
    <w:p w14:paraId="4F3779C6">
      <w:pPr>
        <w:spacing w:line="360" w:lineRule="auto"/>
        <w:ind w:firstLine="480" w:firstLineChars="200"/>
        <w:rPr>
          <w:rFonts w:eastAsiaTheme="minorEastAsia"/>
          <w:sz w:val="24"/>
        </w:rPr>
      </w:pPr>
      <w:r>
        <w:rPr>
          <w:rFonts w:hint="eastAsia" w:eastAsiaTheme="minorEastAsia"/>
          <w:sz w:val="24"/>
        </w:rPr>
        <w:t>（4）危废的安全处置</w:t>
      </w:r>
    </w:p>
    <w:p w14:paraId="3C5A6E12">
      <w:pPr>
        <w:spacing w:line="360" w:lineRule="auto"/>
        <w:ind w:firstLine="480" w:firstLineChars="200"/>
        <w:rPr>
          <w:rFonts w:eastAsiaTheme="minorEastAsia"/>
          <w:sz w:val="24"/>
        </w:rPr>
      </w:pPr>
      <w:r>
        <w:rPr>
          <w:rFonts w:hint="eastAsia" w:eastAsiaTheme="minorEastAsia"/>
          <w:sz w:val="24"/>
        </w:rPr>
        <w:t>入驻园区的企业产生的危险废物必须按照《危险废物贮存污染控制标准》(GB18597-2023)的要求规范贮存、转运，建立危险废物台账管理制度，并实施危废转移联单管理；同时应委托有处理资质的单位统一收集、安全处置。</w:t>
      </w:r>
    </w:p>
    <w:p w14:paraId="5781A731">
      <w:pPr>
        <w:keepNext/>
        <w:keepLines/>
        <w:widowControl/>
        <w:numPr>
          <w:ilvl w:val="2"/>
          <w:numId w:val="1"/>
        </w:numPr>
        <w:spacing w:before="120" w:after="120" w:line="360" w:lineRule="auto"/>
        <w:jc w:val="left"/>
        <w:outlineLvl w:val="2"/>
        <w:rPr>
          <w:rFonts w:eastAsiaTheme="minorEastAsia"/>
          <w:b/>
          <w:bCs/>
          <w:sz w:val="24"/>
        </w:rPr>
      </w:pPr>
      <w:bookmarkStart w:id="188" w:name="_Toc206495016"/>
      <w:r>
        <w:rPr>
          <w:rFonts w:hint="eastAsia" w:eastAsiaTheme="minorEastAsia"/>
          <w:b/>
          <w:bCs/>
          <w:sz w:val="24"/>
        </w:rPr>
        <w:t>环境管理指标可达性分析</w:t>
      </w:r>
      <w:bookmarkEnd w:id="188"/>
    </w:p>
    <w:p w14:paraId="0693ED8F">
      <w:pPr>
        <w:spacing w:line="360" w:lineRule="auto"/>
        <w:ind w:firstLine="480" w:firstLineChars="200"/>
        <w:rPr>
          <w:rFonts w:eastAsiaTheme="minorEastAsia"/>
          <w:sz w:val="24"/>
        </w:rPr>
      </w:pPr>
      <w:r>
        <w:rPr>
          <w:rFonts w:hint="eastAsia" w:eastAsiaTheme="minorEastAsia"/>
          <w:sz w:val="24"/>
        </w:rPr>
        <w:t>通过提出的环保措施，可确保区内废气、废水、噪声、固废达标排放，实现指标要求。</w:t>
      </w:r>
    </w:p>
    <w:p w14:paraId="70CD8234">
      <w:pPr>
        <w:keepNext/>
        <w:keepLines/>
        <w:widowControl/>
        <w:numPr>
          <w:ilvl w:val="2"/>
          <w:numId w:val="1"/>
        </w:numPr>
        <w:spacing w:before="120" w:after="120" w:line="360" w:lineRule="auto"/>
        <w:jc w:val="left"/>
        <w:outlineLvl w:val="2"/>
        <w:rPr>
          <w:rFonts w:eastAsiaTheme="minorEastAsia"/>
          <w:b/>
          <w:bCs/>
          <w:sz w:val="24"/>
        </w:rPr>
      </w:pPr>
      <w:bookmarkStart w:id="189" w:name="_Toc206495017"/>
      <w:r>
        <w:rPr>
          <w:rFonts w:hint="eastAsia" w:eastAsiaTheme="minorEastAsia"/>
          <w:b/>
          <w:bCs/>
          <w:sz w:val="24"/>
        </w:rPr>
        <w:t>其他指标可达性分析</w:t>
      </w:r>
      <w:bookmarkEnd w:id="189"/>
    </w:p>
    <w:p w14:paraId="2F7523B6">
      <w:pPr>
        <w:spacing w:line="360" w:lineRule="auto"/>
        <w:ind w:firstLine="480" w:firstLineChars="200"/>
        <w:rPr>
          <w:rFonts w:eastAsiaTheme="minorEastAsia"/>
          <w:sz w:val="24"/>
        </w:rPr>
      </w:pPr>
      <w:r>
        <w:rPr>
          <w:rFonts w:hint="eastAsia" w:eastAsiaTheme="minorEastAsia"/>
          <w:sz w:val="24"/>
        </w:rPr>
        <w:t>推进资源节约型社会建设，大力发展循环经济，按照“减量化、再使用、资源化”的原则，引导企业通过技术改造、科技创新、工艺改革等措施，实现污染物排放全程控制和资源能源高效利用。做好重点企业节能工作，促进园区节约用水，重点提高高耗水行业的用水重复使用率。因此，随着节能减排系列措施手段的实施，资源利用评价指标具有可达性。</w:t>
      </w:r>
    </w:p>
    <w:p w14:paraId="3522E80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90" w:name="_Toc206495018"/>
      <w:r>
        <w:rPr>
          <w:rFonts w:hint="eastAsia" w:eastAsiaTheme="minorEastAsia"/>
          <w:b/>
          <w:bCs/>
          <w:sz w:val="30"/>
          <w:szCs w:val="28"/>
        </w:rPr>
        <w:t>规划方案的优化调整建议</w:t>
      </w:r>
      <w:bookmarkEnd w:id="190"/>
    </w:p>
    <w:p w14:paraId="6B7D29CB">
      <w:pPr>
        <w:keepNext/>
        <w:keepLines/>
        <w:widowControl/>
        <w:numPr>
          <w:ilvl w:val="2"/>
          <w:numId w:val="1"/>
        </w:numPr>
        <w:spacing w:before="120" w:after="120" w:line="360" w:lineRule="auto"/>
        <w:jc w:val="left"/>
        <w:outlineLvl w:val="2"/>
        <w:rPr>
          <w:rFonts w:eastAsiaTheme="minorEastAsia"/>
          <w:b/>
          <w:bCs/>
          <w:sz w:val="24"/>
        </w:rPr>
      </w:pPr>
      <w:bookmarkStart w:id="191" w:name="_Toc206495019"/>
      <w:r>
        <w:rPr>
          <w:rFonts w:hint="eastAsia" w:eastAsiaTheme="minorEastAsia"/>
          <w:b/>
          <w:bCs/>
          <w:sz w:val="24"/>
        </w:rPr>
        <w:t>产业定位及布局的优化调整建议</w:t>
      </w:r>
      <w:bookmarkEnd w:id="191"/>
    </w:p>
    <w:p w14:paraId="7CA0DF0C">
      <w:pPr>
        <w:spacing w:line="360" w:lineRule="auto"/>
        <w:ind w:firstLine="480" w:firstLineChars="200"/>
        <w:rPr>
          <w:rFonts w:eastAsiaTheme="minorEastAsia"/>
          <w:sz w:val="24"/>
        </w:rPr>
      </w:pPr>
      <w:r>
        <w:rPr>
          <w:rFonts w:hint="eastAsia" w:eastAsiaTheme="minorEastAsia"/>
          <w:sz w:val="24"/>
        </w:rPr>
        <w:t>本次评价针对园区产业定位及布局提出优化调整建议如下：</w:t>
      </w:r>
    </w:p>
    <w:p w14:paraId="5C844AAF">
      <w:pPr>
        <w:spacing w:line="360" w:lineRule="auto"/>
        <w:ind w:firstLine="480" w:firstLineChars="200"/>
        <w:rPr>
          <w:rFonts w:eastAsiaTheme="minorEastAsia"/>
          <w:sz w:val="24"/>
        </w:rPr>
      </w:pPr>
      <w:r>
        <w:rPr>
          <w:rFonts w:hint="eastAsia" w:eastAsiaTheme="minorEastAsia"/>
          <w:sz w:val="24"/>
        </w:rPr>
        <w:t>（1）</w:t>
      </w:r>
      <w:bookmarkStart w:id="192" w:name="_Hlk170741773"/>
      <w:r>
        <w:rPr>
          <w:rFonts w:hint="eastAsia" w:eastAsiaTheme="minorEastAsia"/>
          <w:sz w:val="24"/>
        </w:rPr>
        <w:t>园区逐步完善相应的防护距离内的绿化、生态廊道、绿化隔离带建设。其他防护性绿地按照规划方案和具体进驻企业环境影响程度予以逐步实施。</w:t>
      </w:r>
    </w:p>
    <w:bookmarkEnd w:id="192"/>
    <w:p w14:paraId="206CC5FB">
      <w:pPr>
        <w:spacing w:line="360" w:lineRule="auto"/>
        <w:ind w:firstLine="480" w:firstLineChars="200"/>
        <w:rPr>
          <w:rFonts w:eastAsiaTheme="minorEastAsia"/>
          <w:sz w:val="24"/>
        </w:rPr>
      </w:pPr>
      <w:r>
        <w:rPr>
          <w:rFonts w:hint="eastAsia" w:eastAsiaTheme="minorEastAsia"/>
          <w:sz w:val="24"/>
        </w:rPr>
        <w:t>（2）后续管理、规划开发过程中，结合规划优化现有工业与居民混杂区域产业布局，逐步实现工业区与居住区的分离，加强工业区与生活区生态隔离带建设，减缓工业生产对区内居民的影响。</w:t>
      </w:r>
    </w:p>
    <w:p w14:paraId="3F09757B">
      <w:pPr>
        <w:keepNext/>
        <w:keepLines/>
        <w:widowControl/>
        <w:numPr>
          <w:ilvl w:val="2"/>
          <w:numId w:val="1"/>
        </w:numPr>
        <w:spacing w:before="120" w:after="120" w:line="360" w:lineRule="auto"/>
        <w:jc w:val="left"/>
        <w:outlineLvl w:val="2"/>
        <w:rPr>
          <w:rFonts w:eastAsiaTheme="minorEastAsia"/>
          <w:b/>
          <w:bCs/>
          <w:sz w:val="24"/>
        </w:rPr>
      </w:pPr>
      <w:bookmarkStart w:id="193" w:name="_Toc206495020"/>
      <w:r>
        <w:rPr>
          <w:rFonts w:hint="eastAsia" w:eastAsiaTheme="minorEastAsia"/>
          <w:b/>
          <w:bCs/>
          <w:sz w:val="24"/>
        </w:rPr>
        <w:t>环保基础设施调整建议</w:t>
      </w:r>
      <w:bookmarkEnd w:id="193"/>
    </w:p>
    <w:p w14:paraId="4E59AF1D">
      <w:pPr>
        <w:spacing w:line="360" w:lineRule="auto"/>
        <w:ind w:firstLine="480" w:firstLineChars="200"/>
        <w:rPr>
          <w:rFonts w:eastAsiaTheme="minorEastAsia"/>
          <w:sz w:val="24"/>
        </w:rPr>
      </w:pPr>
      <w:r>
        <w:rPr>
          <w:rFonts w:hint="eastAsia" w:eastAsiaTheme="minorEastAsia"/>
          <w:sz w:val="24"/>
        </w:rPr>
        <w:t>目前园区内供水、雨水、污水管网尚未完全覆盖，雨污分流不完善，道路交通建设滞后。本环评调整建议：</w:t>
      </w:r>
    </w:p>
    <w:p w14:paraId="1B5C394A">
      <w:pPr>
        <w:spacing w:line="360" w:lineRule="auto"/>
        <w:ind w:firstLine="480" w:firstLineChars="200"/>
        <w:rPr>
          <w:rFonts w:eastAsiaTheme="minorEastAsia"/>
          <w:sz w:val="24"/>
        </w:rPr>
      </w:pPr>
      <w:r>
        <w:rPr>
          <w:rFonts w:hint="eastAsia" w:eastAsiaTheme="minorEastAsia"/>
          <w:sz w:val="24"/>
        </w:rPr>
        <w:t>（1）建设供水管网，实施园区供水管网全覆盖，为园区企业提供自来水，减少地下水的使用直至园区全部采用自来水作为水源。</w:t>
      </w:r>
    </w:p>
    <w:p w14:paraId="5D83404D">
      <w:pPr>
        <w:spacing w:line="360" w:lineRule="auto"/>
        <w:ind w:firstLine="480" w:firstLineChars="200"/>
        <w:rPr>
          <w:rFonts w:eastAsiaTheme="minorEastAsia"/>
          <w:sz w:val="24"/>
        </w:rPr>
      </w:pPr>
      <w:r>
        <w:rPr>
          <w:rFonts w:hint="eastAsia" w:eastAsiaTheme="minorEastAsia"/>
          <w:sz w:val="24"/>
        </w:rPr>
        <w:t>（2）配套建设污水收纳管网，建议随县各乡镇人民政府尽快为园区配套建设市政污水管网，将产业园区内全部生活污水收纳排入乡镇污水处理厂深度处理。</w:t>
      </w:r>
    </w:p>
    <w:p w14:paraId="1371CA13">
      <w:pPr>
        <w:spacing w:line="360" w:lineRule="auto"/>
        <w:ind w:firstLine="480" w:firstLineChars="200"/>
        <w:rPr>
          <w:rFonts w:eastAsiaTheme="minorEastAsia"/>
          <w:sz w:val="24"/>
        </w:rPr>
      </w:pPr>
      <w:r>
        <w:rPr>
          <w:rFonts w:hint="eastAsia" w:eastAsiaTheme="minorEastAsia"/>
          <w:sz w:val="24"/>
        </w:rPr>
        <w:t>（3）配套建设完善的雨水管网，建议随县各乡镇人民政府尽快为园区配套建设市政雨水管网，将产业园区内雨水纳入雨水管网中就近排入河流。</w:t>
      </w:r>
    </w:p>
    <w:p w14:paraId="644974A2">
      <w:pPr>
        <w:spacing w:line="360" w:lineRule="auto"/>
        <w:ind w:firstLine="480" w:firstLineChars="200"/>
        <w:rPr>
          <w:rFonts w:eastAsiaTheme="minorEastAsia"/>
          <w:sz w:val="24"/>
        </w:rPr>
      </w:pPr>
      <w:r>
        <w:rPr>
          <w:rFonts w:hint="eastAsia" w:eastAsiaTheme="minorEastAsia"/>
          <w:sz w:val="24"/>
        </w:rPr>
        <w:t>（4）建设完善的道路交通系统，完善路网结构、停车场等基础设施。对现状路网线型进行梳理，优化存在的安全隐患交叉口。优化厂区交通组织，减少园区中轴交通压力；对破损道路进行修复，减少运输粉尘排放。</w:t>
      </w:r>
    </w:p>
    <w:p w14:paraId="3AECC3CD">
      <w:pPr>
        <w:keepNext/>
        <w:keepLines/>
        <w:widowControl/>
        <w:numPr>
          <w:ilvl w:val="2"/>
          <w:numId w:val="1"/>
        </w:numPr>
        <w:spacing w:before="120" w:after="120" w:line="360" w:lineRule="auto"/>
        <w:jc w:val="left"/>
        <w:outlineLvl w:val="2"/>
        <w:rPr>
          <w:rFonts w:eastAsiaTheme="minorEastAsia"/>
          <w:b/>
          <w:bCs/>
          <w:sz w:val="24"/>
        </w:rPr>
      </w:pPr>
      <w:bookmarkStart w:id="194" w:name="_Toc206495021"/>
      <w:r>
        <w:rPr>
          <w:rFonts w:hint="eastAsia" w:eastAsiaTheme="minorEastAsia"/>
          <w:b/>
          <w:bCs/>
          <w:sz w:val="24"/>
        </w:rPr>
        <w:t>建设时序调整建议</w:t>
      </w:r>
      <w:bookmarkEnd w:id="194"/>
    </w:p>
    <w:p w14:paraId="4DFC7596">
      <w:pPr>
        <w:spacing w:line="360" w:lineRule="auto"/>
        <w:ind w:firstLine="480" w:firstLineChars="200"/>
        <w:rPr>
          <w:rFonts w:eastAsiaTheme="minorEastAsia"/>
          <w:sz w:val="24"/>
        </w:rPr>
      </w:pPr>
      <w:r>
        <w:rPr>
          <w:rFonts w:hint="eastAsia" w:eastAsiaTheme="minorEastAsia"/>
          <w:sz w:val="24"/>
        </w:rPr>
        <w:t>根据园区开发现状和存在的主要环境问题，本次评价对方案实施提出以下建议：</w:t>
      </w:r>
    </w:p>
    <w:p w14:paraId="70B54FBE">
      <w:pPr>
        <w:spacing w:line="360" w:lineRule="auto"/>
        <w:ind w:firstLine="480" w:firstLineChars="200"/>
        <w:rPr>
          <w:rFonts w:eastAsiaTheme="minorEastAsia"/>
          <w:sz w:val="24"/>
        </w:rPr>
      </w:pPr>
      <w:r>
        <w:rPr>
          <w:rFonts w:hint="eastAsia" w:eastAsiaTheme="minorEastAsia"/>
          <w:sz w:val="24"/>
        </w:rPr>
        <w:t>园区基础建设是园区可持续发展的基础和前提，也是保护区域环境的重点手段，同时也是落实环保对策的重点，建议及时跟进雨水、污水配套管网、路网的建设进度，并制定中远期环保工程的建设规划，积极配套资金，规划建设进度，确保区域污水收集处理率到100%，保障环保基础设施的建设始终优先于其它方案的实施。</w:t>
      </w:r>
    </w:p>
    <w:p w14:paraId="08BB473D">
      <w:pPr>
        <w:spacing w:line="360" w:lineRule="auto"/>
        <w:ind w:firstLine="480" w:firstLineChars="200"/>
        <w:rPr>
          <w:rFonts w:eastAsiaTheme="minorEastAsia"/>
          <w:sz w:val="24"/>
        </w:rPr>
      </w:pPr>
      <w:r>
        <w:rPr>
          <w:rFonts w:hint="eastAsia" w:eastAsiaTheme="minorEastAsia"/>
          <w:sz w:val="24"/>
        </w:rPr>
        <w:t>园区建设时序见下表。</w:t>
      </w:r>
    </w:p>
    <w:p w14:paraId="7A6FD5F8">
      <w:pPr>
        <w:spacing w:line="360" w:lineRule="auto"/>
        <w:ind w:firstLine="422" w:firstLineChars="200"/>
        <w:jc w:val="center"/>
        <w:rPr>
          <w:rFonts w:eastAsiaTheme="minorEastAsia"/>
          <w:b/>
          <w:szCs w:val="21"/>
        </w:rPr>
      </w:pPr>
      <w:r>
        <w:rPr>
          <w:rFonts w:hint="eastAsia" w:eastAsiaTheme="minorEastAsia"/>
          <w:b/>
          <w:szCs w:val="21"/>
        </w:rPr>
        <w:t>表6.3.3-1    园区建设时序</w:t>
      </w:r>
    </w:p>
    <w:tbl>
      <w:tblPr>
        <w:tblStyle w:val="31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5"/>
        <w:gridCol w:w="2859"/>
        <w:gridCol w:w="3294"/>
      </w:tblGrid>
      <w:tr w14:paraId="534BA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92" w:type="pct"/>
            <w:vAlign w:val="center"/>
          </w:tcPr>
          <w:p w14:paraId="6345C460">
            <w:pPr>
              <w:spacing w:line="320" w:lineRule="exact"/>
              <w:jc w:val="center"/>
              <w:rPr>
                <w:rFonts w:ascii="Calibri" w:hAnsi="Calibri" w:eastAsiaTheme="minorEastAsia"/>
                <w:szCs w:val="21"/>
              </w:rPr>
            </w:pPr>
            <w:r>
              <w:rPr>
                <w:rFonts w:hint="eastAsia" w:ascii="Calibri" w:hAnsi="Calibri" w:eastAsiaTheme="minorEastAsia"/>
                <w:szCs w:val="21"/>
              </w:rPr>
              <w:t>项目</w:t>
            </w:r>
          </w:p>
        </w:tc>
        <w:tc>
          <w:tcPr>
            <w:tcW w:w="1676" w:type="pct"/>
            <w:vAlign w:val="center"/>
          </w:tcPr>
          <w:p w14:paraId="35FAA79D">
            <w:pPr>
              <w:spacing w:line="320" w:lineRule="exact"/>
              <w:jc w:val="center"/>
              <w:rPr>
                <w:rFonts w:ascii="Calibri" w:hAnsi="Calibri" w:eastAsiaTheme="minorEastAsia"/>
                <w:szCs w:val="21"/>
              </w:rPr>
            </w:pPr>
            <w:r>
              <w:rPr>
                <w:rFonts w:hint="eastAsia" w:ascii="Calibri" w:hAnsi="Calibri" w:eastAsiaTheme="minorEastAsia"/>
                <w:szCs w:val="21"/>
              </w:rPr>
              <w:t>内容</w:t>
            </w:r>
          </w:p>
        </w:tc>
        <w:tc>
          <w:tcPr>
            <w:tcW w:w="1931" w:type="pct"/>
            <w:vAlign w:val="center"/>
          </w:tcPr>
          <w:p w14:paraId="0022C83E">
            <w:pPr>
              <w:spacing w:line="320" w:lineRule="exact"/>
              <w:jc w:val="center"/>
              <w:rPr>
                <w:rFonts w:ascii="Calibri" w:hAnsi="Calibri" w:eastAsiaTheme="minorEastAsia"/>
                <w:szCs w:val="21"/>
              </w:rPr>
            </w:pPr>
            <w:r>
              <w:rPr>
                <w:rFonts w:hint="eastAsia" w:ascii="Calibri" w:hAnsi="Calibri" w:eastAsiaTheme="minorEastAsia"/>
                <w:szCs w:val="21"/>
              </w:rPr>
              <w:t>实施时间建议</w:t>
            </w:r>
          </w:p>
        </w:tc>
      </w:tr>
      <w:tr w14:paraId="19757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92" w:type="pct"/>
            <w:vMerge w:val="restart"/>
            <w:shd w:val="clear" w:color="auto" w:fill="auto"/>
            <w:vAlign w:val="center"/>
          </w:tcPr>
          <w:p w14:paraId="4B4DC121">
            <w:pPr>
              <w:spacing w:line="320" w:lineRule="exact"/>
              <w:jc w:val="center"/>
              <w:rPr>
                <w:rFonts w:ascii="Calibri" w:hAnsi="Calibri" w:eastAsiaTheme="minorEastAsia"/>
                <w:szCs w:val="21"/>
              </w:rPr>
            </w:pPr>
            <w:r>
              <w:rPr>
                <w:rFonts w:hint="eastAsia" w:ascii="Calibri" w:hAnsi="Calibri" w:eastAsiaTheme="minorEastAsia"/>
                <w:szCs w:val="21"/>
              </w:rPr>
              <w:t>基础设施</w:t>
            </w:r>
          </w:p>
        </w:tc>
        <w:tc>
          <w:tcPr>
            <w:tcW w:w="1676" w:type="pct"/>
            <w:shd w:val="clear" w:color="auto" w:fill="auto"/>
            <w:vAlign w:val="center"/>
          </w:tcPr>
          <w:p w14:paraId="7C3F71C6">
            <w:pPr>
              <w:spacing w:line="320" w:lineRule="exact"/>
              <w:jc w:val="center"/>
              <w:rPr>
                <w:rFonts w:ascii="Calibri" w:hAnsi="Calibri" w:eastAsiaTheme="minorEastAsia"/>
                <w:szCs w:val="21"/>
              </w:rPr>
            </w:pPr>
            <w:r>
              <w:rPr>
                <w:rFonts w:hint="eastAsia" w:ascii="Calibri" w:hAnsi="Calibri" w:eastAsiaTheme="minorEastAsia"/>
                <w:szCs w:val="21"/>
              </w:rPr>
              <w:t>污水收集管网的建设完善</w:t>
            </w:r>
          </w:p>
        </w:tc>
        <w:tc>
          <w:tcPr>
            <w:tcW w:w="1931" w:type="pct"/>
            <w:shd w:val="clear" w:color="auto" w:fill="auto"/>
            <w:vAlign w:val="center"/>
          </w:tcPr>
          <w:p w14:paraId="1926E683">
            <w:pPr>
              <w:spacing w:line="320" w:lineRule="exact"/>
              <w:jc w:val="center"/>
              <w:rPr>
                <w:rFonts w:ascii="Calibri" w:hAnsi="Calibri" w:eastAsiaTheme="minorEastAsia"/>
                <w:szCs w:val="21"/>
              </w:rPr>
            </w:pPr>
            <w:r>
              <w:rPr>
                <w:rFonts w:hint="eastAsia" w:ascii="Calibri" w:hAnsi="Calibri" w:eastAsiaTheme="minorEastAsia"/>
                <w:szCs w:val="21"/>
              </w:rPr>
              <w:t>建议在新增项目入驻前完成</w:t>
            </w:r>
          </w:p>
        </w:tc>
      </w:tr>
      <w:tr w14:paraId="794F3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92" w:type="pct"/>
            <w:vMerge w:val="continue"/>
            <w:shd w:val="clear" w:color="auto" w:fill="auto"/>
            <w:vAlign w:val="center"/>
          </w:tcPr>
          <w:p w14:paraId="3606307D">
            <w:pPr>
              <w:spacing w:line="320" w:lineRule="exact"/>
              <w:jc w:val="center"/>
              <w:rPr>
                <w:rFonts w:ascii="Calibri" w:hAnsi="Calibri" w:eastAsiaTheme="minorEastAsia"/>
                <w:szCs w:val="21"/>
              </w:rPr>
            </w:pPr>
          </w:p>
        </w:tc>
        <w:tc>
          <w:tcPr>
            <w:tcW w:w="1676" w:type="pct"/>
            <w:shd w:val="clear" w:color="auto" w:fill="auto"/>
            <w:vAlign w:val="center"/>
          </w:tcPr>
          <w:p w14:paraId="6A098EFF">
            <w:pPr>
              <w:spacing w:line="320" w:lineRule="exact"/>
              <w:jc w:val="center"/>
              <w:rPr>
                <w:rFonts w:ascii="Calibri" w:hAnsi="Calibri" w:eastAsiaTheme="minorEastAsia"/>
                <w:szCs w:val="21"/>
              </w:rPr>
            </w:pPr>
            <w:r>
              <w:rPr>
                <w:rFonts w:hint="eastAsia" w:ascii="Calibri" w:hAnsi="Calibri" w:eastAsiaTheme="minorEastAsia"/>
                <w:szCs w:val="21"/>
              </w:rPr>
              <w:t>雨水收集管网的建设完善</w:t>
            </w:r>
          </w:p>
        </w:tc>
        <w:tc>
          <w:tcPr>
            <w:tcW w:w="1931" w:type="pct"/>
            <w:shd w:val="clear" w:color="auto" w:fill="auto"/>
            <w:vAlign w:val="center"/>
          </w:tcPr>
          <w:p w14:paraId="6E245088">
            <w:pPr>
              <w:spacing w:line="320" w:lineRule="exact"/>
              <w:jc w:val="center"/>
              <w:rPr>
                <w:rFonts w:ascii="Calibri" w:hAnsi="Calibri" w:eastAsiaTheme="minorEastAsia"/>
                <w:szCs w:val="21"/>
              </w:rPr>
            </w:pPr>
            <w:r>
              <w:rPr>
                <w:rFonts w:hint="eastAsia" w:ascii="Calibri" w:hAnsi="Calibri" w:eastAsiaTheme="minorEastAsia"/>
                <w:szCs w:val="21"/>
              </w:rPr>
              <w:t>建议在新增项目入驻前完成</w:t>
            </w:r>
          </w:p>
        </w:tc>
      </w:tr>
      <w:tr w14:paraId="3849F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392" w:type="pct"/>
            <w:vMerge w:val="continue"/>
            <w:shd w:val="clear" w:color="auto" w:fill="auto"/>
            <w:vAlign w:val="center"/>
          </w:tcPr>
          <w:p w14:paraId="0F9A4D8C">
            <w:pPr>
              <w:spacing w:line="320" w:lineRule="exact"/>
              <w:jc w:val="center"/>
              <w:rPr>
                <w:rFonts w:ascii="Calibri" w:hAnsi="Calibri" w:eastAsiaTheme="minorEastAsia"/>
                <w:szCs w:val="21"/>
              </w:rPr>
            </w:pPr>
          </w:p>
        </w:tc>
        <w:tc>
          <w:tcPr>
            <w:tcW w:w="1676" w:type="pct"/>
            <w:shd w:val="clear" w:color="auto" w:fill="auto"/>
            <w:vAlign w:val="center"/>
          </w:tcPr>
          <w:p w14:paraId="162A3572">
            <w:pPr>
              <w:spacing w:line="320" w:lineRule="exact"/>
              <w:jc w:val="center"/>
              <w:rPr>
                <w:rFonts w:ascii="Calibri" w:hAnsi="Calibri" w:eastAsiaTheme="minorEastAsia"/>
                <w:szCs w:val="21"/>
              </w:rPr>
            </w:pPr>
            <w:r>
              <w:rPr>
                <w:rFonts w:hint="eastAsia" w:ascii="Calibri" w:hAnsi="Calibri" w:eastAsiaTheme="minorEastAsia"/>
                <w:szCs w:val="21"/>
              </w:rPr>
              <w:t>支路路网建设</w:t>
            </w:r>
          </w:p>
        </w:tc>
        <w:tc>
          <w:tcPr>
            <w:tcW w:w="1931" w:type="pct"/>
            <w:shd w:val="clear" w:color="auto" w:fill="auto"/>
            <w:vAlign w:val="center"/>
          </w:tcPr>
          <w:p w14:paraId="18F7E3D9">
            <w:pPr>
              <w:spacing w:line="320" w:lineRule="exact"/>
              <w:jc w:val="center"/>
              <w:rPr>
                <w:rFonts w:ascii="Calibri" w:hAnsi="Calibri" w:eastAsiaTheme="minorEastAsia"/>
                <w:szCs w:val="21"/>
              </w:rPr>
            </w:pPr>
            <w:r>
              <w:rPr>
                <w:rFonts w:hint="eastAsia" w:ascii="Calibri" w:hAnsi="Calibri" w:eastAsiaTheme="minorEastAsia"/>
                <w:szCs w:val="21"/>
              </w:rPr>
              <w:t>建议在新增项目入驻前完成</w:t>
            </w:r>
          </w:p>
        </w:tc>
      </w:tr>
    </w:tbl>
    <w:p w14:paraId="42B111E0">
      <w:pPr>
        <w:keepNext/>
        <w:keepLines/>
        <w:widowControl/>
        <w:numPr>
          <w:ilvl w:val="2"/>
          <w:numId w:val="1"/>
        </w:numPr>
        <w:spacing w:before="120" w:after="120" w:line="360" w:lineRule="auto"/>
        <w:jc w:val="left"/>
        <w:outlineLvl w:val="2"/>
        <w:rPr>
          <w:rFonts w:eastAsiaTheme="minorEastAsia"/>
          <w:b/>
          <w:bCs/>
          <w:sz w:val="24"/>
        </w:rPr>
      </w:pPr>
      <w:bookmarkStart w:id="195" w:name="_Toc206495022"/>
      <w:r>
        <w:rPr>
          <w:rFonts w:hint="eastAsia" w:eastAsiaTheme="minorEastAsia"/>
          <w:b/>
          <w:bCs/>
          <w:sz w:val="24"/>
        </w:rPr>
        <w:t>环境管理优化建议</w:t>
      </w:r>
      <w:bookmarkEnd w:id="195"/>
    </w:p>
    <w:p w14:paraId="3A0A461E">
      <w:pPr>
        <w:spacing w:line="360" w:lineRule="auto"/>
        <w:ind w:firstLine="480" w:firstLineChars="200"/>
        <w:rPr>
          <w:rFonts w:eastAsiaTheme="minorEastAsia"/>
          <w:sz w:val="24"/>
        </w:rPr>
      </w:pPr>
      <w:r>
        <w:rPr>
          <w:rFonts w:hint="eastAsia" w:eastAsiaTheme="minorEastAsia"/>
          <w:sz w:val="24"/>
        </w:rPr>
        <w:t>（1加强环境管理联动工作，建立危废物管理台账，完善产业园环境保护各项制度。建立企业“一企一策”整治提升工作方案。督导企业完善环保应急设施，落实整改要求，提高生态管理水平。</w:t>
      </w:r>
    </w:p>
    <w:p w14:paraId="2C88AB10">
      <w:pPr>
        <w:spacing w:line="360" w:lineRule="auto"/>
        <w:ind w:firstLine="480" w:firstLineChars="200"/>
        <w:rPr>
          <w:rFonts w:eastAsiaTheme="minorEastAsia"/>
          <w:sz w:val="24"/>
        </w:rPr>
      </w:pPr>
      <w:r>
        <w:rPr>
          <w:rFonts w:hint="eastAsia" w:eastAsiaTheme="minorEastAsia"/>
          <w:sz w:val="24"/>
        </w:rPr>
        <w:t>（2）督促园区现有未履行环境影响评价手续与“三同时”竣工验收手续企业补办环保手续，对新入区建设项目须严格执行环境影响评价制度，经有审批权的环境保护行政主管部门同意后方可入区建设，落实排污总量控制指标。</w:t>
      </w:r>
    </w:p>
    <w:p w14:paraId="36E5E89E">
      <w:pPr>
        <w:keepNext/>
        <w:keepLines/>
        <w:widowControl/>
        <w:numPr>
          <w:ilvl w:val="2"/>
          <w:numId w:val="1"/>
        </w:numPr>
        <w:spacing w:before="120" w:after="120" w:line="360" w:lineRule="auto"/>
        <w:jc w:val="left"/>
        <w:outlineLvl w:val="2"/>
        <w:rPr>
          <w:rFonts w:eastAsiaTheme="minorEastAsia"/>
          <w:b/>
          <w:bCs/>
          <w:sz w:val="24"/>
        </w:rPr>
      </w:pPr>
      <w:bookmarkStart w:id="196" w:name="_Toc206495023"/>
      <w:r>
        <w:rPr>
          <w:rFonts w:hint="eastAsia" w:eastAsiaTheme="minorEastAsia"/>
          <w:b/>
          <w:bCs/>
          <w:sz w:val="24"/>
        </w:rPr>
        <w:t>规划优化调整建议清单</w:t>
      </w:r>
      <w:bookmarkEnd w:id="196"/>
    </w:p>
    <w:p w14:paraId="6D8F32C0">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综上所述，园区优化调整建议汇总见下表。</w:t>
      </w:r>
    </w:p>
    <w:p w14:paraId="3024D29F">
      <w:pPr>
        <w:spacing w:line="360" w:lineRule="auto"/>
        <w:ind w:firstLine="422" w:firstLineChars="200"/>
        <w:jc w:val="center"/>
        <w:rPr>
          <w:rFonts w:eastAsiaTheme="minorEastAsia"/>
          <w:b/>
          <w:bCs/>
          <w:sz w:val="24"/>
        </w:rPr>
      </w:pPr>
      <w:bookmarkStart w:id="197" w:name="_Hlk169021020"/>
      <w:r>
        <w:rPr>
          <w:rFonts w:hint="eastAsia"/>
          <w:b/>
          <w:szCs w:val="21"/>
        </w:rPr>
        <w:t>表6.3.5-1  园区规划环评中的优化调整建议清单</w:t>
      </w:r>
    </w:p>
    <w:bookmarkEnd w:id="197"/>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700"/>
        <w:gridCol w:w="5726"/>
      </w:tblGrid>
      <w:tr w14:paraId="5592D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46" w:type="pct"/>
            <w:vAlign w:val="center"/>
          </w:tcPr>
          <w:p w14:paraId="69AECCB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优化调整类型</w:t>
            </w:r>
          </w:p>
        </w:tc>
        <w:tc>
          <w:tcPr>
            <w:tcW w:w="997" w:type="pct"/>
            <w:tcBorders>
              <w:right w:val="single" w:color="auto" w:sz="4" w:space="0"/>
            </w:tcBorders>
            <w:vAlign w:val="center"/>
          </w:tcPr>
          <w:p w14:paraId="4A4B32A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现状、规划情况及存在问题</w:t>
            </w:r>
          </w:p>
        </w:tc>
        <w:tc>
          <w:tcPr>
            <w:tcW w:w="3357" w:type="pct"/>
            <w:tcBorders>
              <w:left w:val="single" w:color="auto" w:sz="4" w:space="0"/>
            </w:tcBorders>
            <w:vAlign w:val="center"/>
          </w:tcPr>
          <w:p w14:paraId="1893F5F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优化调整建议</w:t>
            </w:r>
          </w:p>
        </w:tc>
      </w:tr>
      <w:tr w14:paraId="34826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646" w:type="pct"/>
            <w:vMerge w:val="restart"/>
            <w:vAlign w:val="center"/>
          </w:tcPr>
          <w:p w14:paraId="08C54A3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用地布局</w:t>
            </w:r>
          </w:p>
        </w:tc>
        <w:tc>
          <w:tcPr>
            <w:tcW w:w="997" w:type="pct"/>
            <w:tcBorders>
              <w:bottom w:val="single" w:color="auto" w:sz="4" w:space="0"/>
              <w:right w:val="single" w:color="auto" w:sz="4" w:space="0"/>
            </w:tcBorders>
            <w:vAlign w:val="center"/>
          </w:tcPr>
          <w:p w14:paraId="283E4AC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生态隔离带和生态廊道</w:t>
            </w:r>
          </w:p>
        </w:tc>
        <w:tc>
          <w:tcPr>
            <w:tcW w:w="3357" w:type="pct"/>
            <w:tcBorders>
              <w:left w:val="single" w:color="auto" w:sz="4" w:space="0"/>
              <w:bottom w:val="single" w:color="auto" w:sz="4" w:space="0"/>
            </w:tcBorders>
            <w:vAlign w:val="center"/>
          </w:tcPr>
          <w:p w14:paraId="7969DC5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园区逐步完善相应的防护距离内的绿化、生态廊道、绿化隔离带建设。其他防护性绿地按照规划方案和具体进驻企业环境影响程度予以逐步实施。</w:t>
            </w:r>
          </w:p>
        </w:tc>
      </w:tr>
      <w:tr w14:paraId="513F8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646" w:type="pct"/>
            <w:vMerge w:val="continue"/>
            <w:vAlign w:val="center"/>
          </w:tcPr>
          <w:p w14:paraId="59EA0E4B">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14B0B10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园区工业居住区混杂</w:t>
            </w:r>
          </w:p>
        </w:tc>
        <w:tc>
          <w:tcPr>
            <w:tcW w:w="3357" w:type="pct"/>
            <w:tcBorders>
              <w:top w:val="single" w:color="auto" w:sz="4" w:space="0"/>
              <w:left w:val="single" w:color="auto" w:sz="4" w:space="0"/>
            </w:tcBorders>
            <w:vAlign w:val="center"/>
          </w:tcPr>
          <w:p w14:paraId="6485ED6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后续管理、规划开发过程中，结合规划优化现有工业与居民混杂区域产业布局，逐步实现工业区与居住区的分离，加强工业区与生活区生态隔离带建设，减缓工业生产对区内居民的影响。</w:t>
            </w:r>
          </w:p>
        </w:tc>
      </w:tr>
      <w:tr w14:paraId="21AC9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646" w:type="pct"/>
            <w:vMerge w:val="restart"/>
            <w:vAlign w:val="center"/>
          </w:tcPr>
          <w:p w14:paraId="1C2305B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基础设施</w:t>
            </w:r>
          </w:p>
        </w:tc>
        <w:tc>
          <w:tcPr>
            <w:tcW w:w="997" w:type="pct"/>
            <w:tcBorders>
              <w:bottom w:val="single" w:color="auto" w:sz="4" w:space="0"/>
              <w:right w:val="single" w:color="auto" w:sz="4" w:space="0"/>
            </w:tcBorders>
            <w:vAlign w:val="center"/>
          </w:tcPr>
          <w:p w14:paraId="59F6302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供水管网建设不完善</w:t>
            </w:r>
          </w:p>
        </w:tc>
        <w:tc>
          <w:tcPr>
            <w:tcW w:w="3357" w:type="pct"/>
            <w:tcBorders>
              <w:left w:val="single" w:color="auto" w:sz="4" w:space="0"/>
              <w:bottom w:val="single" w:color="auto" w:sz="4" w:space="0"/>
            </w:tcBorders>
            <w:vAlign w:val="center"/>
          </w:tcPr>
          <w:p w14:paraId="1003452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建设供水管网，实施园区供水管网全覆盖，为园区企业提供自来水，减少地下水的使用直至园区全部采用自来水作为水源。</w:t>
            </w:r>
          </w:p>
        </w:tc>
      </w:tr>
      <w:tr w14:paraId="5CD52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646" w:type="pct"/>
            <w:vMerge w:val="continue"/>
            <w:vAlign w:val="center"/>
          </w:tcPr>
          <w:p w14:paraId="55A66C92">
            <w:pPr>
              <w:pStyle w:val="45"/>
              <w:spacing w:line="320" w:lineRule="exact"/>
              <w:contextualSpacing/>
              <w:jc w:val="center"/>
              <w:rPr>
                <w:rFonts w:ascii="Times New Roman" w:hAnsi="Times New Roman" w:cs="Times New Roman"/>
                <w:szCs w:val="21"/>
              </w:rPr>
            </w:pPr>
          </w:p>
        </w:tc>
        <w:tc>
          <w:tcPr>
            <w:tcW w:w="997" w:type="pct"/>
            <w:tcBorders>
              <w:top w:val="single" w:color="auto" w:sz="4" w:space="0"/>
              <w:bottom w:val="single" w:color="auto" w:sz="4" w:space="0"/>
              <w:right w:val="single" w:color="auto" w:sz="4" w:space="0"/>
            </w:tcBorders>
            <w:vAlign w:val="center"/>
          </w:tcPr>
          <w:p w14:paraId="5F24A51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排水管网建设滞后</w:t>
            </w:r>
          </w:p>
        </w:tc>
        <w:tc>
          <w:tcPr>
            <w:tcW w:w="3357" w:type="pct"/>
            <w:tcBorders>
              <w:top w:val="single" w:color="auto" w:sz="4" w:space="0"/>
              <w:left w:val="single" w:color="auto" w:sz="4" w:space="0"/>
              <w:bottom w:val="single" w:color="auto" w:sz="4" w:space="0"/>
            </w:tcBorders>
            <w:vAlign w:val="center"/>
          </w:tcPr>
          <w:p w14:paraId="46AFF01E">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配套建设污水收纳管网，建议随县各乡镇人民政府尽快为园区配套建设市政污水管网，将产业园区内全部生活污水收纳排入乡镇污水处理厂深度处理。</w:t>
            </w:r>
          </w:p>
        </w:tc>
      </w:tr>
      <w:tr w14:paraId="2A25C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646" w:type="pct"/>
            <w:vMerge w:val="continue"/>
            <w:vAlign w:val="center"/>
          </w:tcPr>
          <w:p w14:paraId="07B5BD82">
            <w:pPr>
              <w:pStyle w:val="45"/>
              <w:spacing w:line="320" w:lineRule="exact"/>
              <w:contextualSpacing/>
              <w:jc w:val="center"/>
              <w:rPr>
                <w:rFonts w:ascii="Times New Roman" w:hAnsi="Times New Roman" w:cs="Times New Roman"/>
                <w:szCs w:val="21"/>
              </w:rPr>
            </w:pPr>
          </w:p>
        </w:tc>
        <w:tc>
          <w:tcPr>
            <w:tcW w:w="997" w:type="pct"/>
            <w:tcBorders>
              <w:top w:val="single" w:color="auto" w:sz="4" w:space="0"/>
              <w:bottom w:val="single" w:color="auto" w:sz="4" w:space="0"/>
              <w:right w:val="single" w:color="auto" w:sz="4" w:space="0"/>
            </w:tcBorders>
            <w:vAlign w:val="center"/>
          </w:tcPr>
          <w:p w14:paraId="6C32579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雨水管网建设滞后</w:t>
            </w:r>
          </w:p>
        </w:tc>
        <w:tc>
          <w:tcPr>
            <w:tcW w:w="3357" w:type="pct"/>
            <w:tcBorders>
              <w:top w:val="single" w:color="auto" w:sz="4" w:space="0"/>
              <w:left w:val="single" w:color="auto" w:sz="4" w:space="0"/>
              <w:bottom w:val="single" w:color="auto" w:sz="4" w:space="0"/>
            </w:tcBorders>
            <w:vAlign w:val="center"/>
          </w:tcPr>
          <w:p w14:paraId="5315E93C">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配套建设完善的雨水管网，建议随县各乡镇人民政府尽快为园区配套建设市政雨水管网，将产业园区内雨水纳入雨水管网中就近排入河流。</w:t>
            </w:r>
          </w:p>
        </w:tc>
      </w:tr>
      <w:tr w14:paraId="5ED50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continue"/>
            <w:vAlign w:val="center"/>
          </w:tcPr>
          <w:p w14:paraId="482E5034">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02C0F37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道路交通建设滞后</w:t>
            </w:r>
          </w:p>
        </w:tc>
        <w:tc>
          <w:tcPr>
            <w:tcW w:w="3357" w:type="pct"/>
            <w:tcBorders>
              <w:top w:val="single" w:color="auto" w:sz="4" w:space="0"/>
              <w:left w:val="single" w:color="auto" w:sz="4" w:space="0"/>
            </w:tcBorders>
            <w:vAlign w:val="center"/>
          </w:tcPr>
          <w:p w14:paraId="195408EC">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建设完善的道路交通系统，完善路网结构、停车场等基础设施。对现状路网线型进行梳理，优化存在的安全隐患交叉口。优化厂区交通组织，减少园区中轴交通压力；对破损道路进行修复，减少运输粉尘排放。</w:t>
            </w:r>
          </w:p>
        </w:tc>
      </w:tr>
      <w:tr w14:paraId="010AB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restart"/>
            <w:vAlign w:val="center"/>
          </w:tcPr>
          <w:p w14:paraId="4D335D2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环境管理</w:t>
            </w:r>
          </w:p>
        </w:tc>
        <w:tc>
          <w:tcPr>
            <w:tcW w:w="997" w:type="pct"/>
            <w:tcBorders>
              <w:top w:val="single" w:color="auto" w:sz="4" w:space="0"/>
              <w:right w:val="single" w:color="auto" w:sz="4" w:space="0"/>
            </w:tcBorders>
            <w:vAlign w:val="center"/>
          </w:tcPr>
          <w:p w14:paraId="06914FC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现有园区未建立完善的环境管理制定</w:t>
            </w:r>
          </w:p>
        </w:tc>
        <w:tc>
          <w:tcPr>
            <w:tcW w:w="3357" w:type="pct"/>
            <w:tcBorders>
              <w:top w:val="single" w:color="auto" w:sz="4" w:space="0"/>
              <w:left w:val="single" w:color="auto" w:sz="4" w:space="0"/>
            </w:tcBorders>
            <w:vAlign w:val="center"/>
          </w:tcPr>
          <w:p w14:paraId="65E392F5">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加强环境管理联动工作，建立危废物管理台账，完善产业园环境保护各项制度。建立企业“一企一策”整治提升工作方案。督导企业完善环保应急设施，落实整改要求，提高生态管理水平。</w:t>
            </w:r>
          </w:p>
        </w:tc>
      </w:tr>
      <w:tr w14:paraId="6580C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continue"/>
            <w:vAlign w:val="center"/>
          </w:tcPr>
          <w:p w14:paraId="5FBC5F4C">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04CD0AC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环保手续执行力度不够</w:t>
            </w:r>
          </w:p>
        </w:tc>
        <w:tc>
          <w:tcPr>
            <w:tcW w:w="3357" w:type="pct"/>
            <w:tcBorders>
              <w:top w:val="single" w:color="auto" w:sz="4" w:space="0"/>
              <w:left w:val="single" w:color="auto" w:sz="4" w:space="0"/>
            </w:tcBorders>
            <w:vAlign w:val="center"/>
          </w:tcPr>
          <w:p w14:paraId="67D41B3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督促园区现有未履行环境影响评价手续与“三同时”竣工验收手续企业补办环保手续，对新入区建设项目须严格执行环境影响评价制度，经有审批权的环境保护行政主管部门同意后方可入区建设，落实排污总量控制指标。</w:t>
            </w:r>
          </w:p>
        </w:tc>
      </w:tr>
    </w:tbl>
    <w:p w14:paraId="6C73760D">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198" w:name="_Toc206495024"/>
      <w:r>
        <w:rPr>
          <w:rFonts w:hint="eastAsia" w:eastAsiaTheme="minorEastAsia"/>
          <w:kern w:val="2"/>
          <w:sz w:val="36"/>
          <w:szCs w:val="36"/>
        </w:rPr>
        <w:t>环境影响减缓对策和措施</w:t>
      </w:r>
      <w:bookmarkEnd w:id="198"/>
    </w:p>
    <w:p w14:paraId="3AD091C1">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199" w:name="_Toc206495025"/>
      <w:r>
        <w:rPr>
          <w:rFonts w:hint="eastAsia" w:eastAsiaTheme="minorEastAsia"/>
          <w:b/>
          <w:bCs/>
          <w:sz w:val="30"/>
          <w:szCs w:val="28"/>
        </w:rPr>
        <w:t>生态环境保护对策和措施</w:t>
      </w:r>
      <w:bookmarkEnd w:id="199"/>
    </w:p>
    <w:p w14:paraId="3FCDC103">
      <w:pPr>
        <w:keepNext/>
        <w:keepLines/>
        <w:widowControl/>
        <w:numPr>
          <w:ilvl w:val="2"/>
          <w:numId w:val="1"/>
        </w:numPr>
        <w:spacing w:before="120" w:after="120" w:line="360" w:lineRule="auto"/>
        <w:jc w:val="left"/>
        <w:outlineLvl w:val="2"/>
        <w:rPr>
          <w:rFonts w:eastAsiaTheme="minorEastAsia"/>
          <w:b/>
          <w:bCs/>
          <w:sz w:val="24"/>
        </w:rPr>
      </w:pPr>
      <w:bookmarkStart w:id="200" w:name="_Toc206495026"/>
      <w:r>
        <w:rPr>
          <w:rFonts w:hint="eastAsia" w:eastAsiaTheme="minorEastAsia"/>
          <w:b/>
          <w:bCs/>
          <w:sz w:val="24"/>
        </w:rPr>
        <w:t>大气环境影响减缓措施</w:t>
      </w:r>
      <w:bookmarkEnd w:id="200"/>
    </w:p>
    <w:p w14:paraId="7393FF00">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工业大气污染源减缓措施</w:t>
      </w:r>
    </w:p>
    <w:p w14:paraId="49A96C21">
      <w:pPr>
        <w:spacing w:line="360" w:lineRule="auto"/>
        <w:ind w:firstLine="480" w:firstLineChars="200"/>
        <w:jc w:val="left"/>
        <w:rPr>
          <w:rFonts w:eastAsiaTheme="minorEastAsia"/>
          <w:sz w:val="24"/>
        </w:rPr>
      </w:pPr>
      <w:r>
        <w:rPr>
          <w:rFonts w:hint="eastAsia" w:eastAsiaTheme="minorEastAsia"/>
          <w:sz w:val="24"/>
        </w:rPr>
        <w:t>（1）严格环境准入</w:t>
      </w:r>
    </w:p>
    <w:p w14:paraId="7F3D087E">
      <w:pPr>
        <w:spacing w:line="360" w:lineRule="auto"/>
        <w:ind w:firstLine="480" w:firstLineChars="200"/>
        <w:jc w:val="left"/>
        <w:rPr>
          <w:rFonts w:eastAsiaTheme="minorEastAsia"/>
          <w:sz w:val="24"/>
        </w:rPr>
      </w:pPr>
      <w:r>
        <w:rPr>
          <w:rFonts w:hint="eastAsia" w:eastAsiaTheme="minorEastAsia"/>
          <w:sz w:val="24"/>
        </w:rPr>
        <w:t>①严禁不符合园区产业定位的产业建设。对未通过环评审查的项目，有关部门不得审批、核准、备案，不得提供土地，不得批准开工建设，不得发放生产许可证、安全生产许可证、排污许可证，金融机构不得提供任何形式的新增授信支持，有关单位不得供电、供水。禁止引入带有燃煤锅炉的企业，新建项目必须采用先进的生产技术和严格的环保控制措施，按照“三同时”制度进行管理，降低污染物排放强度。</w:t>
      </w:r>
    </w:p>
    <w:p w14:paraId="089B52F7">
      <w:pPr>
        <w:spacing w:line="360" w:lineRule="auto"/>
        <w:ind w:firstLine="480" w:firstLineChars="200"/>
        <w:rPr>
          <w:rFonts w:eastAsiaTheme="minorEastAsia"/>
          <w:sz w:val="24"/>
        </w:rPr>
      </w:pPr>
      <w:r>
        <w:rPr>
          <w:rFonts w:hint="eastAsia" w:eastAsiaTheme="minorEastAsia"/>
          <w:sz w:val="24"/>
        </w:rPr>
        <w:t>②合理控制能源消费总量，提高能源使用效率。石材产业园入驻的石材生产加工企业综合电耗、综合能耗等应达到《石材行业清洁生产技术要求》国内清洁生产先进水平，即综合电耗不得高于17kW·h/m</w:t>
      </w:r>
      <w:r>
        <w:rPr>
          <w:rFonts w:eastAsiaTheme="minorEastAsia"/>
          <w:sz w:val="24"/>
        </w:rPr>
        <w:t>²</w:t>
      </w:r>
      <w:r>
        <w:rPr>
          <w:rFonts w:hint="eastAsia" w:eastAsiaTheme="minorEastAsia"/>
          <w:sz w:val="24"/>
        </w:rPr>
        <w:t>、综合能耗不得高于17.8kW·h/m</w:t>
      </w:r>
      <w:r>
        <w:rPr>
          <w:rFonts w:eastAsiaTheme="minorEastAsia"/>
          <w:sz w:val="24"/>
        </w:rPr>
        <w:t>²</w:t>
      </w:r>
      <w:r>
        <w:rPr>
          <w:rFonts w:hint="eastAsia" w:eastAsiaTheme="minorEastAsia"/>
          <w:sz w:val="24"/>
        </w:rPr>
        <w:t>，单位新鲜水用量不得高于0.3m</w:t>
      </w:r>
      <w:r>
        <w:rPr>
          <w:rFonts w:eastAsiaTheme="minorEastAsia"/>
          <w:sz w:val="24"/>
        </w:rPr>
        <w:t>³</w:t>
      </w:r>
      <w:r>
        <w:rPr>
          <w:rFonts w:hint="eastAsia" w:eastAsiaTheme="minorEastAsia"/>
          <w:sz w:val="24"/>
        </w:rPr>
        <w:t>/m</w:t>
      </w:r>
      <w:r>
        <w:rPr>
          <w:rFonts w:eastAsiaTheme="minorEastAsia"/>
          <w:sz w:val="24"/>
        </w:rPr>
        <w:t>²</w:t>
      </w:r>
      <w:r>
        <w:rPr>
          <w:rFonts w:hint="eastAsia" w:eastAsiaTheme="minorEastAsia"/>
          <w:sz w:val="24"/>
        </w:rPr>
        <w:t>，生产废水回用率100%。</w:t>
      </w:r>
    </w:p>
    <w:p w14:paraId="20E02325">
      <w:pPr>
        <w:spacing w:line="360" w:lineRule="auto"/>
        <w:ind w:firstLine="480" w:firstLineChars="200"/>
        <w:jc w:val="left"/>
        <w:rPr>
          <w:rFonts w:eastAsiaTheme="minorEastAsia"/>
          <w:sz w:val="24"/>
        </w:rPr>
      </w:pPr>
      <w:r>
        <w:rPr>
          <w:rFonts w:hint="eastAsia" w:eastAsiaTheme="minorEastAsia"/>
          <w:sz w:val="24"/>
        </w:rPr>
        <w:t>（2）全面推广清洁能源利用</w:t>
      </w:r>
    </w:p>
    <w:p w14:paraId="1E5B6672">
      <w:pPr>
        <w:spacing w:line="360" w:lineRule="auto"/>
        <w:ind w:firstLine="480" w:firstLineChars="200"/>
        <w:jc w:val="left"/>
        <w:rPr>
          <w:rFonts w:eastAsiaTheme="minorEastAsia"/>
          <w:sz w:val="24"/>
        </w:rPr>
      </w:pPr>
      <w:r>
        <w:rPr>
          <w:rFonts w:hint="eastAsia" w:eastAsiaTheme="minorEastAsia"/>
          <w:sz w:val="24"/>
        </w:rPr>
        <w:t>①优先使用天然气、液化石油气等清洁能源，禁止引入带有燃煤锅炉的企业。</w:t>
      </w:r>
    </w:p>
    <w:p w14:paraId="2AC04761">
      <w:pPr>
        <w:spacing w:line="360" w:lineRule="auto"/>
        <w:ind w:firstLine="480" w:firstLineChars="200"/>
        <w:jc w:val="left"/>
        <w:rPr>
          <w:rFonts w:eastAsiaTheme="minorEastAsia"/>
          <w:sz w:val="24"/>
        </w:rPr>
      </w:pPr>
      <w:r>
        <w:rPr>
          <w:rFonts w:hint="eastAsia" w:eastAsiaTheme="minorEastAsia"/>
          <w:sz w:val="24"/>
        </w:rPr>
        <w:t>②积极引导发展绿色建筑，推广使用太阳能热水系统、光伏建筑一体化等技术和装备。</w:t>
      </w:r>
    </w:p>
    <w:p w14:paraId="706119AD">
      <w:pPr>
        <w:spacing w:line="360" w:lineRule="auto"/>
        <w:ind w:firstLine="480" w:firstLineChars="200"/>
        <w:jc w:val="left"/>
        <w:rPr>
          <w:rFonts w:eastAsiaTheme="minorEastAsia"/>
          <w:sz w:val="24"/>
        </w:rPr>
      </w:pPr>
      <w:r>
        <w:rPr>
          <w:rFonts w:hint="eastAsia" w:eastAsiaTheme="minorEastAsia"/>
          <w:sz w:val="24"/>
        </w:rPr>
        <w:t>（3）强化污染治理和环境监管</w:t>
      </w:r>
    </w:p>
    <w:p w14:paraId="19635679">
      <w:pPr>
        <w:spacing w:line="360" w:lineRule="auto"/>
        <w:ind w:firstLine="480" w:firstLineChars="200"/>
        <w:jc w:val="left"/>
        <w:rPr>
          <w:rFonts w:eastAsiaTheme="minorEastAsia"/>
          <w:sz w:val="24"/>
        </w:rPr>
      </w:pPr>
      <w:r>
        <w:rPr>
          <w:rFonts w:hint="eastAsia" w:eastAsiaTheme="minorEastAsia"/>
          <w:sz w:val="24"/>
        </w:rPr>
        <w:t>①强化污染源治理</w:t>
      </w:r>
    </w:p>
    <w:p w14:paraId="7C33B928">
      <w:pPr>
        <w:spacing w:line="360" w:lineRule="auto"/>
        <w:ind w:firstLine="480" w:firstLineChars="200"/>
        <w:jc w:val="left"/>
        <w:rPr>
          <w:rFonts w:eastAsiaTheme="minorEastAsia"/>
          <w:sz w:val="24"/>
        </w:rPr>
      </w:pPr>
      <w:r>
        <w:rPr>
          <w:rFonts w:hint="eastAsia" w:eastAsiaTheme="minorEastAsia"/>
          <w:sz w:val="24"/>
        </w:rPr>
        <w:t>进一步加大对现有污染源治理力度，尤其是不能稳定达标的企业，应限期治理。坚决淘汰和取缔污染严重的不符合国家产业政策的工艺和设备，对新、改、扩建设项目要严格执行环境响评价制度和“三同时”制度，保证“三同时”验收合格并稳定达标排放，杜绝超标排放工业污染源产生。</w:t>
      </w:r>
    </w:p>
    <w:p w14:paraId="02F61FC2">
      <w:pPr>
        <w:spacing w:line="360" w:lineRule="auto"/>
        <w:ind w:firstLine="480" w:firstLineChars="200"/>
        <w:jc w:val="left"/>
        <w:rPr>
          <w:rFonts w:eastAsiaTheme="minorEastAsia"/>
          <w:sz w:val="24"/>
        </w:rPr>
      </w:pPr>
      <w:r>
        <w:rPr>
          <w:rFonts w:hint="eastAsia" w:eastAsiaTheme="minorEastAsia"/>
          <w:sz w:val="24"/>
        </w:rPr>
        <w:t>石材产业园引进的石材加工企业大切车间、磨光（切边）车间建筑物除进出通道外应密闭，靠近村庄一侧通道除消防使用外平时密闭，并不得开启窗户，生产车间安装配备收尘装置，封闭作业，作业人员配备防尘用品；车间生产设备应按规定配齐防尘设施；厂区应配置安装降尘喷淋设施，确保喷淋覆盖全厂区；应在厂区大门及荒料进出口建设长不少于10m，宽不少于4m规范的车辆冲洗水槽，确保进出车辆经冲洗后方可上路，应在厂区大门附近建设洗车台，并配置3000W的高压水枪对出厂车辆进行清洗（冲洗后的污水应引入雨水或污水池处理后循环使用）。石材产业园石材废料综合利用企业应建设全封闭厂房，实行封闭作业，并配备防尘降尘设备。</w:t>
      </w:r>
    </w:p>
    <w:p w14:paraId="5026A7D2">
      <w:pPr>
        <w:spacing w:line="360" w:lineRule="auto"/>
        <w:ind w:firstLine="480" w:firstLineChars="200"/>
        <w:jc w:val="left"/>
        <w:rPr>
          <w:rFonts w:eastAsiaTheme="minorEastAsia"/>
          <w:sz w:val="24"/>
        </w:rPr>
      </w:pPr>
      <w:r>
        <w:rPr>
          <w:rFonts w:hint="eastAsia" w:eastAsiaTheme="minorEastAsia"/>
          <w:sz w:val="24"/>
        </w:rPr>
        <w:t>②推行清洁生产，优化生产工艺</w:t>
      </w:r>
    </w:p>
    <w:p w14:paraId="30843286">
      <w:pPr>
        <w:spacing w:line="360" w:lineRule="auto"/>
        <w:ind w:firstLine="480" w:firstLineChars="200"/>
        <w:jc w:val="left"/>
        <w:rPr>
          <w:rFonts w:eastAsiaTheme="minorEastAsia"/>
          <w:sz w:val="24"/>
        </w:rPr>
      </w:pPr>
      <w:r>
        <w:rPr>
          <w:rFonts w:hint="eastAsia" w:eastAsiaTheme="minorEastAsia"/>
          <w:sz w:val="24"/>
        </w:rPr>
        <w:t>石材产业园企业应推行清洁生产，优化生产工艺，减少废气的产生量。引进的石材加工企业生产工艺及设备应具备生产粉尘颗粒物收集处理系统。根据企业石材加工生产工艺条件要求，石材切割、磨光等易产生粉尘的生产加工环节应优先采用湿法加工工艺。</w:t>
      </w:r>
    </w:p>
    <w:p w14:paraId="00399391">
      <w:pPr>
        <w:spacing w:line="360" w:lineRule="auto"/>
        <w:ind w:firstLine="480" w:firstLineChars="200"/>
        <w:jc w:val="left"/>
        <w:rPr>
          <w:rFonts w:eastAsiaTheme="minorEastAsia"/>
          <w:sz w:val="24"/>
        </w:rPr>
      </w:pPr>
      <w:r>
        <w:rPr>
          <w:rFonts w:hint="eastAsia" w:eastAsiaTheme="minorEastAsia"/>
          <w:sz w:val="24"/>
        </w:rPr>
        <w:t>③加强排污限额管理，实行排污许可证有偿转让制度</w:t>
      </w:r>
    </w:p>
    <w:p w14:paraId="5B16B167">
      <w:pPr>
        <w:spacing w:line="360" w:lineRule="auto"/>
        <w:ind w:firstLine="480" w:firstLineChars="200"/>
        <w:jc w:val="left"/>
        <w:rPr>
          <w:rFonts w:eastAsiaTheme="minorEastAsia"/>
          <w:sz w:val="24"/>
        </w:rPr>
      </w:pPr>
      <w:r>
        <w:rPr>
          <w:rFonts w:hint="eastAsia" w:eastAsiaTheme="minorEastAsia"/>
          <w:sz w:val="24"/>
        </w:rPr>
        <w:t>在对企业加强管理时，首先要加强排污限额管理，对各企业按总量控制原则，根据生产能力和生产效益进行排放量分配，配额确定后，保持一段时期不变，鼓励企业治理，治理成功后，多余的排放量额度允许用于扩大生产或有偿转让，环保管理部门应在政策上给予保证和保护。</w:t>
      </w:r>
    </w:p>
    <w:p w14:paraId="584597AC">
      <w:pPr>
        <w:spacing w:line="360" w:lineRule="auto"/>
        <w:ind w:firstLine="480" w:firstLineChars="200"/>
        <w:jc w:val="left"/>
        <w:rPr>
          <w:rFonts w:eastAsiaTheme="minorEastAsia"/>
          <w:sz w:val="24"/>
        </w:rPr>
      </w:pPr>
      <w:r>
        <w:rPr>
          <w:rFonts w:hint="eastAsia" w:eastAsiaTheme="minorEastAsia"/>
          <w:sz w:val="24"/>
        </w:rPr>
        <w:t>④合理设置防护距离</w:t>
      </w:r>
    </w:p>
    <w:p w14:paraId="30E6EB6F">
      <w:pPr>
        <w:spacing w:line="360" w:lineRule="auto"/>
        <w:ind w:firstLine="480" w:firstLineChars="200"/>
        <w:jc w:val="left"/>
        <w:rPr>
          <w:rFonts w:eastAsiaTheme="minorEastAsia"/>
          <w:sz w:val="24"/>
        </w:rPr>
      </w:pPr>
      <w:r>
        <w:rPr>
          <w:rFonts w:hint="eastAsia" w:eastAsiaTheme="minorEastAsia"/>
          <w:sz w:val="24"/>
        </w:rPr>
        <w:t>石材产业园在实施的过程中应当加强招商引资项目的管理，严格按照规划产业布局及功能分区布置，避免不同类型企业交叉分布；毗邻居民区的工业企业项目应做好大气污染防治工作，优化企业内部厂区平面布置，设置足够的大气环境防护距离和绿化带，避免造成企业与居民区、企业与企业间相互影响。配套建设的污水处理设施、污水泵站、垃圾转运站等，应根据工艺、规模要求设置合理的大气防护距离，防护距离内禁止建设居民区、学校、医院等敏感项目，已有项目必须采取措施或者实施搬迁等，减缓不良环境影响。</w:t>
      </w:r>
    </w:p>
    <w:p w14:paraId="7295841C">
      <w:pPr>
        <w:spacing w:line="360" w:lineRule="auto"/>
        <w:ind w:firstLine="480" w:firstLineChars="200"/>
        <w:jc w:val="left"/>
        <w:rPr>
          <w:rFonts w:eastAsiaTheme="minorEastAsia"/>
          <w:sz w:val="24"/>
        </w:rPr>
      </w:pPr>
      <w:r>
        <w:rPr>
          <w:rFonts w:hint="eastAsia" w:eastAsiaTheme="minorEastAsia"/>
          <w:sz w:val="24"/>
        </w:rPr>
        <w:t>（4）实施总量控制</w:t>
      </w:r>
    </w:p>
    <w:p w14:paraId="5AEFD4E9">
      <w:pPr>
        <w:spacing w:line="360" w:lineRule="auto"/>
        <w:ind w:firstLine="480" w:firstLineChars="200"/>
        <w:jc w:val="left"/>
        <w:rPr>
          <w:rFonts w:eastAsiaTheme="minorEastAsia"/>
          <w:sz w:val="24"/>
        </w:rPr>
      </w:pPr>
      <w:r>
        <w:rPr>
          <w:rFonts w:hint="eastAsia" w:eastAsiaTheme="minorEastAsia"/>
          <w:sz w:val="24"/>
        </w:rPr>
        <w:t>石材产业园的发展应满足总量控制要求，各地块新建企业和居民生活必须控制各种污染物排放量符合总量控制规定的排放限值。各类新建、扩建、改建和技术改造项目审批时确保大气污染物排放量控制在区域总量控制指标内。在实施“十四五”大气污染物总量控制规划目标的基础上，通过加大对污染企业治理及升级改造等措施进一步削减大气污染物排放量。</w:t>
      </w:r>
    </w:p>
    <w:p w14:paraId="73890368">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生活大气污染源减缓措施</w:t>
      </w:r>
    </w:p>
    <w:p w14:paraId="3DFF8188">
      <w:pPr>
        <w:spacing w:line="360" w:lineRule="auto"/>
        <w:ind w:firstLine="480" w:firstLineChars="200"/>
        <w:jc w:val="left"/>
        <w:rPr>
          <w:rFonts w:eastAsiaTheme="minorEastAsia"/>
          <w:sz w:val="24"/>
        </w:rPr>
      </w:pPr>
      <w:r>
        <w:rPr>
          <w:rFonts w:hint="eastAsia" w:eastAsiaTheme="minorEastAsia"/>
          <w:sz w:val="24"/>
        </w:rPr>
        <w:t>（1）加强管理，减轻油烟污染</w:t>
      </w:r>
    </w:p>
    <w:p w14:paraId="7AC92605">
      <w:pPr>
        <w:spacing w:line="360" w:lineRule="auto"/>
        <w:ind w:firstLine="480" w:firstLineChars="200"/>
        <w:jc w:val="left"/>
        <w:rPr>
          <w:rFonts w:eastAsiaTheme="minorEastAsia"/>
          <w:sz w:val="24"/>
        </w:rPr>
      </w:pPr>
      <w:r>
        <w:rPr>
          <w:rFonts w:hint="eastAsia" w:eastAsiaTheme="minorEastAsia"/>
          <w:sz w:val="24"/>
        </w:rPr>
        <w:t>规划园区内新、改、扩建的餐饮业和单位食堂，应全部使用清洁燃料（电、天然气、液化石油气等）；新建、在建地产项目要按照功能要求配套建设专用油烟管道（含住户），油烟经烟道高空排放。因地制宜，合理规划，建设餐饮娱乐业集中区，引导流动餐饮摊点进入集中区经营。开展餐饮油烟综合整理，加强油烟治理设施运行监管。排放油烟的餐饮服务场所全部按照高效油烟净化装置，处理后达标排放。推广使用进化型家用抽油烟机，新建住宅类小区住户安装油烟净化装置。</w:t>
      </w:r>
    </w:p>
    <w:p w14:paraId="656BE1F3">
      <w:pPr>
        <w:spacing w:line="360" w:lineRule="auto"/>
        <w:ind w:firstLine="480" w:firstLineChars="200"/>
        <w:jc w:val="left"/>
        <w:rPr>
          <w:rFonts w:eastAsiaTheme="minorEastAsia"/>
          <w:sz w:val="24"/>
        </w:rPr>
      </w:pPr>
      <w:r>
        <w:rPr>
          <w:rFonts w:hint="eastAsia" w:eastAsiaTheme="minorEastAsia"/>
          <w:sz w:val="24"/>
        </w:rPr>
        <w:t>（2）生活垃圾恶臭污染控制措施</w:t>
      </w:r>
    </w:p>
    <w:p w14:paraId="6659F04F">
      <w:pPr>
        <w:spacing w:line="360" w:lineRule="auto"/>
        <w:ind w:firstLine="480" w:firstLineChars="200"/>
        <w:jc w:val="left"/>
        <w:rPr>
          <w:rFonts w:eastAsiaTheme="minorEastAsia"/>
          <w:sz w:val="24"/>
        </w:rPr>
      </w:pPr>
      <w:r>
        <w:rPr>
          <w:rFonts w:hint="eastAsia" w:eastAsiaTheme="minorEastAsia"/>
          <w:sz w:val="24"/>
        </w:rPr>
        <w:t>规划区域垃圾转运站的选址应与居民区、商业区保持一定的距离并处于下风向位置，垃圾转运站的设计应符合相关要求，垃圾转运站与周围环境敏感点之间应设置绿化防护带并设置除臭防尘设施，臭气排口远离周围的环境敏感点。公共厕所设于公共区域，供商务生产、居住用地等人员使用，为了避免受影响的人群减少到最少，同时提高卫生水平，需要设置专门的清洁人员定时定期对公共厕所进行清洁管理，厕所应达到四壁、挡墙完好，蹲位台面完好，门窗完好地面净、小便池净、蹲位台面净、附属设施净、厕所环境净、无臭味、无蝇虫。</w:t>
      </w:r>
    </w:p>
    <w:p w14:paraId="61A6C69E">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交通大气污染源减缓措施</w:t>
      </w:r>
    </w:p>
    <w:p w14:paraId="51EBCF90">
      <w:pPr>
        <w:spacing w:line="360" w:lineRule="auto"/>
        <w:ind w:firstLine="480" w:firstLineChars="200"/>
        <w:jc w:val="left"/>
        <w:rPr>
          <w:rFonts w:eastAsiaTheme="minorEastAsia"/>
          <w:sz w:val="24"/>
        </w:rPr>
      </w:pPr>
      <w:r>
        <w:rPr>
          <w:rFonts w:hint="eastAsia" w:eastAsiaTheme="minorEastAsia"/>
          <w:sz w:val="24"/>
        </w:rPr>
        <w:t>（1）加强机动车环保管理：加快推进高排放机动车更新淘汰；全面开展机动车环保定期检验，不达标车辆不得发放环保和安全检验合格标志，不得上路行驶；加强机动车尾气的监测，结合车辆年审监测机动车尾气，同时不定期抽查监测上路车辆，对尾气排放超标车辆强制实施安装尾气净化装置或报废，确保汽车尾气排放达标率在80%以上。在不影响车辆正常行驶的地段，实行机动车辆停车怠速熄火；加强报废机动车辆管理，禁止报废车辆继续行驶使用。</w:t>
      </w:r>
    </w:p>
    <w:p w14:paraId="115B2ED4">
      <w:pPr>
        <w:spacing w:line="360" w:lineRule="auto"/>
        <w:ind w:firstLine="480" w:firstLineChars="200"/>
        <w:jc w:val="left"/>
        <w:rPr>
          <w:rFonts w:eastAsiaTheme="minorEastAsia"/>
          <w:sz w:val="24"/>
        </w:rPr>
      </w:pPr>
      <w:r>
        <w:rPr>
          <w:rFonts w:hint="eastAsia" w:eastAsiaTheme="minorEastAsia"/>
          <w:sz w:val="24"/>
        </w:rPr>
        <w:t>（2）提升车用燃料油品质，使用清洁能源：制定高的燃料标准，提高燃料油的品质；加强对车用油品质量监督管理检查，严厉打击非法生产、不合格油品行为；使用清洁燃料，降低柴油中的硫含量；使用液化石油气（LPG）、压缩天然气（CNG）等绿色环保新能源，制定实施新能源车辆示范运营工作方案。</w:t>
      </w:r>
    </w:p>
    <w:p w14:paraId="00BF4A86">
      <w:pPr>
        <w:spacing w:line="360" w:lineRule="auto"/>
        <w:ind w:firstLine="480" w:firstLineChars="200"/>
        <w:jc w:val="left"/>
        <w:rPr>
          <w:rFonts w:eastAsiaTheme="minorEastAsia"/>
          <w:sz w:val="24"/>
        </w:rPr>
      </w:pPr>
      <w:r>
        <w:rPr>
          <w:rFonts w:hint="eastAsia" w:eastAsiaTheme="minorEastAsia"/>
          <w:sz w:val="24"/>
        </w:rPr>
        <w:t>（3）发展绿色交通：推广新能源汽车。公交、环卫等行业优先使用新能源或者清洁能源汽车，新增的客运出租车使用新能源或清洁能源。加快加电站、充电桩（桩）等配套设施建设。优化城市路网，完善公共交通换乘系统，增设公共交通专用车道，提倡采用公共交通方式。</w:t>
      </w:r>
    </w:p>
    <w:p w14:paraId="39DEBAEB">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合理布置绿化区域，扩大绿化面积</w:t>
      </w:r>
    </w:p>
    <w:p w14:paraId="04F86260">
      <w:pPr>
        <w:spacing w:line="360" w:lineRule="auto"/>
        <w:ind w:firstLine="480" w:firstLineChars="200"/>
        <w:jc w:val="left"/>
        <w:rPr>
          <w:rFonts w:eastAsiaTheme="minorEastAsia"/>
          <w:sz w:val="24"/>
        </w:rPr>
      </w:pPr>
      <w:r>
        <w:rPr>
          <w:rFonts w:hint="eastAsia" w:eastAsiaTheme="minorEastAsia"/>
          <w:sz w:val="24"/>
        </w:rPr>
        <w:t>植物能吸收空气中的废气，因此扩大绿化面积，能增加产业园环境大气自净能力，改善大气质量。绿化应以保护和改善生态环境为出发点，应考虑在工业区与居住区之间设卫生防护林带；在产生有毒有害气体及烟（粉）的车间与要求清洁的车间或部门之间应设绿化隔离林带；在要求较洁净的工厂周围不宜采用有扬花、飞絮的树种；对树形、色彩的选择应与环境相协调，还应兼顾采光和通风的要求。绿化布置应与管线和道路布置密切结合，管线附近不宜栽种深根性树。</w:t>
      </w:r>
    </w:p>
    <w:p w14:paraId="16756553">
      <w:pPr>
        <w:keepNext/>
        <w:keepLines/>
        <w:widowControl/>
        <w:numPr>
          <w:ilvl w:val="2"/>
          <w:numId w:val="1"/>
        </w:numPr>
        <w:spacing w:before="120" w:after="120" w:line="360" w:lineRule="auto"/>
        <w:jc w:val="left"/>
        <w:outlineLvl w:val="2"/>
        <w:rPr>
          <w:rFonts w:eastAsiaTheme="minorEastAsia"/>
          <w:b/>
          <w:bCs/>
          <w:sz w:val="24"/>
        </w:rPr>
      </w:pPr>
      <w:bookmarkStart w:id="201" w:name="_Toc206495027"/>
      <w:r>
        <w:rPr>
          <w:rFonts w:hint="eastAsia" w:eastAsiaTheme="minorEastAsia"/>
          <w:b/>
          <w:bCs/>
          <w:sz w:val="24"/>
        </w:rPr>
        <w:t>地表水环境影响减缓措施</w:t>
      </w:r>
      <w:bookmarkEnd w:id="201"/>
    </w:p>
    <w:p w14:paraId="68CBA9D1">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工业废水减缓措施</w:t>
      </w:r>
    </w:p>
    <w:p w14:paraId="1CA08D87">
      <w:pPr>
        <w:spacing w:line="360" w:lineRule="auto"/>
        <w:ind w:firstLine="480" w:firstLineChars="200"/>
        <w:rPr>
          <w:rFonts w:eastAsiaTheme="minorEastAsia"/>
          <w:sz w:val="24"/>
        </w:rPr>
      </w:pPr>
      <w:r>
        <w:rPr>
          <w:rFonts w:hint="eastAsia" w:eastAsiaTheme="minorEastAsia"/>
          <w:sz w:val="24"/>
        </w:rPr>
        <w:t>（1）实行清污分流、雨污分流，建立完善的污水管网系统和雨水管网系统。产业园中石材加工企业生产废水应汇集至多格循环沉淀池处理后循环使用，严禁外排。各沉淀池底部和四周应采用现浇混凝土浇筑，池崖沿应不低于车间内地面标高，四周应设置1.2m高的护栏，应使用干湿分离设备对生产废水进行干湿分离，并确保分离后的废渣运至指定地点综合利用，废渣应全封闭装运。企业厂区内应根据规范要求设置化粪池，生活污水经化粪池处理后引入园区污水管道系统至污水处理厂集中处理。企业石材加工生产区地面初期雨水应收集处理后回用于厂区生产或洒水降尘。石材产业园石材加工企业外排生活污水应经预处理达到接管标准后方可排入乡镇污水处理厂。</w:t>
      </w:r>
    </w:p>
    <w:p w14:paraId="4EB8BB02">
      <w:pPr>
        <w:spacing w:line="360" w:lineRule="auto"/>
        <w:ind w:firstLine="480" w:firstLineChars="200"/>
        <w:rPr>
          <w:rFonts w:eastAsiaTheme="minorEastAsia"/>
          <w:sz w:val="24"/>
        </w:rPr>
      </w:pPr>
      <w:r>
        <w:rPr>
          <w:rFonts w:hint="eastAsia" w:eastAsiaTheme="minorEastAsia"/>
          <w:sz w:val="24"/>
        </w:rPr>
        <w:t>（2）合理安排开发建设时序，加强入园项目环境影响评价管理和“三同时”验收，石材产业园应优先开发污水收集管网完善的片区，限制管网不完善区域的项目建设，确有必要建设和投产的，生产废水应污水处理设施处理后回用，不外排，生活污水经预处理达到乡镇污水处理厂进水水质标准后排放至乡镇污水处理厂，不得自行设置排污口。</w:t>
      </w:r>
    </w:p>
    <w:p w14:paraId="57D0B36C">
      <w:pPr>
        <w:spacing w:line="360" w:lineRule="auto"/>
        <w:ind w:firstLine="480" w:firstLineChars="200"/>
        <w:rPr>
          <w:rFonts w:eastAsiaTheme="minorEastAsia"/>
          <w:sz w:val="24"/>
        </w:rPr>
      </w:pPr>
      <w:r>
        <w:rPr>
          <w:rFonts w:hint="eastAsia" w:eastAsiaTheme="minorEastAsia"/>
          <w:sz w:val="24"/>
        </w:rPr>
        <w:t>（3）提高改造优势产业。积极推动企业开展技术改造，淘汰落后技术和装备，调整产业结构，推进产品标准化生产，提升产业层次水平，减少结构性污染，整体推动行业结构优化调整。</w:t>
      </w:r>
    </w:p>
    <w:p w14:paraId="580CE5D7">
      <w:pPr>
        <w:spacing w:line="360" w:lineRule="auto"/>
        <w:ind w:firstLine="480" w:firstLineChars="200"/>
        <w:rPr>
          <w:rFonts w:eastAsiaTheme="minorEastAsia"/>
          <w:sz w:val="24"/>
        </w:rPr>
      </w:pPr>
      <w:r>
        <w:rPr>
          <w:rFonts w:hint="eastAsia" w:eastAsiaTheme="minorEastAsia"/>
          <w:sz w:val="24"/>
        </w:rPr>
        <w:t>（4）推广清洁生产技术，引导企业按照清洁生产的要求，节约水资源，提高水资源利用效率，推行工业污染和主要污染物减排等清洁生产技术改造项目，降低主要水污染物产生和排放量，加大工业节能节水工作力度，推广节水工艺和技术，进行中水回用，降低万元GDP水耗。</w:t>
      </w:r>
    </w:p>
    <w:p w14:paraId="3B8D407F">
      <w:pPr>
        <w:spacing w:line="360" w:lineRule="auto"/>
        <w:ind w:firstLine="480" w:firstLineChars="200"/>
        <w:rPr>
          <w:rFonts w:eastAsiaTheme="minorEastAsia"/>
          <w:sz w:val="24"/>
        </w:rPr>
      </w:pPr>
      <w:r>
        <w:rPr>
          <w:rFonts w:hint="eastAsia" w:eastAsiaTheme="minorEastAsia"/>
          <w:sz w:val="24"/>
        </w:rPr>
        <w:t>（5）加强监督管理，确保入驻企业的污水预处理设施正常运行，总排水口污染物浓度稳定达标排放。建设水文水质在线监测系统，及时掌握产业园出境、入境和重要控制断面的水文、水质变化情况，及时有效控制污染入河。</w:t>
      </w:r>
    </w:p>
    <w:p w14:paraId="6A639DE0">
      <w:pPr>
        <w:spacing w:line="360" w:lineRule="auto"/>
        <w:ind w:firstLine="480" w:firstLineChars="200"/>
        <w:rPr>
          <w:rFonts w:eastAsiaTheme="minorEastAsia"/>
          <w:sz w:val="24"/>
        </w:rPr>
      </w:pPr>
      <w:r>
        <w:rPr>
          <w:rFonts w:hint="eastAsia" w:eastAsiaTheme="minorEastAsia"/>
          <w:sz w:val="24"/>
        </w:rPr>
        <w:t>（6）严格控制石材产业园各企业工业废水水质，禁止产生重金属及持久性有机污染物废水企业入驻石材产业园，保证产业园区污水处理的正常和安全运行。</w:t>
      </w:r>
    </w:p>
    <w:p w14:paraId="6BC2F788">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生活污水减缓措施</w:t>
      </w:r>
    </w:p>
    <w:p w14:paraId="015AC0D1">
      <w:pPr>
        <w:spacing w:line="360" w:lineRule="auto"/>
        <w:ind w:firstLine="480" w:firstLineChars="200"/>
        <w:rPr>
          <w:rFonts w:eastAsiaTheme="minorEastAsia"/>
          <w:sz w:val="24"/>
        </w:rPr>
      </w:pPr>
      <w:r>
        <w:rPr>
          <w:rFonts w:hint="eastAsia" w:eastAsiaTheme="minorEastAsia"/>
          <w:sz w:val="24"/>
        </w:rPr>
        <w:t>目前，石材产业园规划区域内少量生活污水未经处理直接通过天然沟渠或涵管排入周边地表水体；使得周边河流域生态环境恶化。因此，评价要求产业园加大环保基础设施投资，加快园区生活污水收集管网建设，以尽快实现全面截污。</w:t>
      </w:r>
    </w:p>
    <w:p w14:paraId="14B6F2FA">
      <w:pPr>
        <w:spacing w:line="360" w:lineRule="auto"/>
        <w:ind w:firstLine="480" w:firstLineChars="200"/>
        <w:rPr>
          <w:rFonts w:eastAsiaTheme="minorEastAsia"/>
          <w:sz w:val="24"/>
        </w:rPr>
      </w:pPr>
      <w:r>
        <w:rPr>
          <w:rFonts w:hint="eastAsia" w:eastAsiaTheme="minorEastAsia"/>
          <w:sz w:val="24"/>
        </w:rPr>
        <w:t>石材产业园污水收集管网建成后，各类商铺、居民、企业的生活污水经化粪池预处理后排入市政污水管网；餐饮、食堂废水经隔油+化粪池处理后排入市政污水管网；区域降雨进入雨水管网。确保园区生活污水全部经收集引入乡镇污水处理厂进一步处理，达到《城镇污水处理厂污染物排放标准》（GB18918-2002）一级A标准排放，减少对周边地表水体的环境影响。</w:t>
      </w:r>
    </w:p>
    <w:p w14:paraId="5E0B86D5">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初期雨水减缓措施</w:t>
      </w:r>
    </w:p>
    <w:p w14:paraId="04165524">
      <w:pPr>
        <w:spacing w:line="360" w:lineRule="auto"/>
        <w:ind w:firstLine="480" w:firstLineChars="200"/>
        <w:rPr>
          <w:rFonts w:eastAsiaTheme="minorEastAsia"/>
          <w:sz w:val="24"/>
        </w:rPr>
      </w:pPr>
      <w:r>
        <w:rPr>
          <w:rFonts w:hint="eastAsia" w:eastAsiaTheme="minorEastAsia"/>
          <w:sz w:val="24"/>
        </w:rPr>
        <w:t>（1）石材产业园初期雨水控制</w:t>
      </w:r>
    </w:p>
    <w:p w14:paraId="349690C5">
      <w:pPr>
        <w:spacing w:line="360" w:lineRule="auto"/>
        <w:ind w:firstLine="480" w:firstLineChars="200"/>
        <w:rPr>
          <w:rFonts w:eastAsiaTheme="minorEastAsia"/>
          <w:sz w:val="24"/>
        </w:rPr>
      </w:pPr>
      <w:r>
        <w:rPr>
          <w:rFonts w:hint="eastAsia" w:eastAsiaTheme="minorEastAsia"/>
          <w:sz w:val="24"/>
        </w:rPr>
        <w:t>石材产业园规划实施期应最大程度减少对规划区原有排水系统和水环境的影响，新建地区综合径流系数的确定应以不对水生态造成严重影响为原则，避免产业园含高浓度SS的初期雨水直接排入周边地表水体。规划园区在地下水水位低、下渗条件良好的片区，应加大雨水促渗。</w:t>
      </w:r>
    </w:p>
    <w:p w14:paraId="7B0F1B54">
      <w:pPr>
        <w:spacing w:line="360" w:lineRule="auto"/>
        <w:ind w:firstLine="480" w:firstLineChars="200"/>
        <w:rPr>
          <w:rFonts w:eastAsiaTheme="minorEastAsia"/>
          <w:sz w:val="24"/>
        </w:rPr>
      </w:pPr>
      <w:r>
        <w:rPr>
          <w:rFonts w:hint="eastAsia" w:eastAsiaTheme="minorEastAsia"/>
          <w:sz w:val="24"/>
        </w:rPr>
        <w:t>充分利用天然土壤和绿地的含水性能，缓解市政排雨系统的压力，规划的居住用地可根据情况建设生态小区系统。雨水首先通过天然土壤渗入地下，当超过土壤的入渗能力时，则进入小区的滞留塘或洼地，滞留塘和洼地可根据绿地的耐淹水平设计，标准内降水径流可全部入渗，遇超标准降水，则通过溢流系统排入市政排水系统。</w:t>
      </w:r>
    </w:p>
    <w:p w14:paraId="252E49BC">
      <w:pPr>
        <w:spacing w:line="360" w:lineRule="auto"/>
        <w:ind w:firstLine="480" w:firstLineChars="200"/>
        <w:rPr>
          <w:rFonts w:eastAsiaTheme="minorEastAsia"/>
          <w:sz w:val="24"/>
        </w:rPr>
      </w:pPr>
      <w:r>
        <w:rPr>
          <w:rFonts w:hint="eastAsia" w:eastAsiaTheme="minorEastAsia"/>
          <w:sz w:val="24"/>
        </w:rPr>
        <w:t>在部分路段设置生态植草沟，收集片区雨水的同时，利用植草沟里植物有效过滤和分解雨水中的面源污染物，一方面大大减小市政管网投资，丰富了区域景观，另一方面能有效降低雨水中的面源污染。将道路两侧绿化带建设为生物滞留带，低于路面，采用道路立缘石豁口的方式将机动车道雨水径流引入绿化带，并设置过滤池对路面初期雨水进行截污；人非混行道雨水径流直接进入绿化带。</w:t>
      </w:r>
    </w:p>
    <w:p w14:paraId="3BD8E4FC">
      <w:pPr>
        <w:spacing w:line="360" w:lineRule="auto"/>
        <w:ind w:firstLine="480" w:firstLineChars="200"/>
        <w:rPr>
          <w:rFonts w:eastAsiaTheme="minorEastAsia"/>
          <w:sz w:val="24"/>
        </w:rPr>
      </w:pPr>
      <w:r>
        <w:rPr>
          <w:rFonts w:hint="eastAsia" w:eastAsiaTheme="minorEastAsia"/>
          <w:sz w:val="24"/>
        </w:rPr>
        <w:t>在雨水集中排放处有针对性的设置生态湿地，或采用初期雨水截污、沉淀等预处理措施，对规划区内初期雨水进行净化，减少雨水中的面源污染物对地表水体的污染。石材产业园应分片区对产业园规划区初期雨水进行收集处理，初期雨水处理系统应通过铺设专用地下管网，在下雨时段内将产业园区内道路、厂区地面、屋面的雨水收集到初期雨水处理中心的储水池，然后通过生产废水处理系统对污水进行达标处理，处理完的初期雨水回用企业生产用水，实现整个园区内的初期雨水循环利用，不对外排放。</w:t>
      </w:r>
    </w:p>
    <w:p w14:paraId="5C77AAC4">
      <w:pPr>
        <w:spacing w:line="360" w:lineRule="auto"/>
        <w:ind w:firstLine="480" w:firstLineChars="200"/>
        <w:rPr>
          <w:rFonts w:eastAsiaTheme="minorEastAsia"/>
          <w:sz w:val="24"/>
        </w:rPr>
      </w:pPr>
      <w:r>
        <w:rPr>
          <w:rFonts w:hint="eastAsia" w:eastAsiaTheme="minorEastAsia"/>
          <w:sz w:val="24"/>
        </w:rPr>
        <w:t>（2）企业初期雨水控制</w:t>
      </w:r>
    </w:p>
    <w:p w14:paraId="46D5C385">
      <w:pPr>
        <w:spacing w:line="360" w:lineRule="auto"/>
        <w:ind w:firstLine="480" w:firstLineChars="200"/>
        <w:rPr>
          <w:rFonts w:eastAsiaTheme="minorEastAsia"/>
          <w:sz w:val="24"/>
        </w:rPr>
      </w:pPr>
      <w:r>
        <w:rPr>
          <w:rFonts w:hint="eastAsia" w:eastAsiaTheme="minorEastAsia"/>
          <w:sz w:val="24"/>
        </w:rPr>
        <w:t>针对产业园内入驻的石材加工企业的生产区、堆场和框架式露天生产区地面初期雨水，应设置导流沟、截污渠和初期雨水收集池，雨水管应增加控制阀门以便对初期雨水进行截留，防止直接外排。厂区收集的初期雨水经沉淀处理后回用于生产或洒水降尘。石材产业园入驻的石材加工企业厂区必须建设完整成网的雨水收集系统，雨水截流沟宽不小于0.4m，深不小于0.5m。设置纵向标高时，围墙、大门及厂内所有范围的标高都应高于雨水收集池进水口的标高，且场地、绿化地倾斜度不小于0.5%。严禁从大门、围墙边直接排水，所有初期雨水必须汇入雨水收集池，平时应排空（抽至循环沉淀池循环使用）雨水收集池，下雨时收集。后期清洁雨水排入园区雨水管道系统，排雨水口应按规定设置。厂区车间、道路、堆场等周边均应设置排水沟，设置冲洗水管接头、电源接头，并购置可流动的高压水枪，每周至少冲洗一次。冲洗水进入沉淀池处理后综合利用。</w:t>
      </w:r>
    </w:p>
    <w:p w14:paraId="0476C09F">
      <w:pPr>
        <w:keepNext/>
        <w:keepLines/>
        <w:widowControl/>
        <w:numPr>
          <w:ilvl w:val="2"/>
          <w:numId w:val="1"/>
        </w:numPr>
        <w:spacing w:before="120" w:after="120" w:line="360" w:lineRule="auto"/>
        <w:jc w:val="left"/>
        <w:outlineLvl w:val="2"/>
        <w:rPr>
          <w:rFonts w:eastAsiaTheme="minorEastAsia"/>
          <w:b/>
          <w:bCs/>
          <w:sz w:val="24"/>
        </w:rPr>
      </w:pPr>
      <w:bookmarkStart w:id="202" w:name="_Toc206495028"/>
      <w:r>
        <w:rPr>
          <w:rFonts w:hint="eastAsia" w:eastAsiaTheme="minorEastAsia"/>
          <w:b/>
          <w:bCs/>
          <w:sz w:val="24"/>
        </w:rPr>
        <w:t>固体废物环境影响减缓措施</w:t>
      </w:r>
      <w:bookmarkEnd w:id="202"/>
    </w:p>
    <w:p w14:paraId="5461EA24">
      <w:pPr>
        <w:spacing w:line="360" w:lineRule="auto"/>
        <w:ind w:firstLine="480" w:firstLineChars="200"/>
        <w:rPr>
          <w:rFonts w:eastAsiaTheme="minorEastAsia"/>
          <w:sz w:val="24"/>
        </w:rPr>
      </w:pPr>
      <w:r>
        <w:rPr>
          <w:rFonts w:hint="eastAsia" w:eastAsiaTheme="minorEastAsia"/>
          <w:sz w:val="24"/>
        </w:rPr>
        <w:t>对产业园内的固体废弃物以“减量化、资源化、无害化”为处置目标，大力提升固体废弃物综合利用和安全处置水平，持续有效防治固体废弃物污染环境。规划期，实现规划区城市生活垃圾无害化处理率达到100%；废物收集系统和废物集中处置设施建设较为完善。</w:t>
      </w:r>
    </w:p>
    <w:p w14:paraId="152F6C67">
      <w:pPr>
        <w:spacing w:line="360" w:lineRule="auto"/>
        <w:ind w:firstLine="480" w:firstLineChars="200"/>
        <w:rPr>
          <w:rFonts w:eastAsiaTheme="minorEastAsia"/>
          <w:sz w:val="24"/>
        </w:rPr>
      </w:pPr>
      <w:r>
        <w:rPr>
          <w:rFonts w:hint="eastAsia" w:eastAsiaTheme="minorEastAsia"/>
          <w:sz w:val="24"/>
        </w:rPr>
        <w:t>（1）工业企业产生的一般工业固体废物，如：边角料及不合格产品、废钢砂等，统一收集后交专业回收公司回收处置。危险固体废物，例如废机油等交由有资质单位处理。一般工业固体废物暂存过程应满足相应防渗漏、防雨淋、防扬尘等环境保护要求，危废贮存必须按照《危险废物贮存污染控制标准》(GB18597-2023)，落实各项防扬散、防流失、防渗等措施。</w:t>
      </w:r>
    </w:p>
    <w:p w14:paraId="0682D139">
      <w:pPr>
        <w:spacing w:line="360" w:lineRule="auto"/>
        <w:ind w:firstLine="480" w:firstLineChars="200"/>
        <w:rPr>
          <w:rFonts w:eastAsiaTheme="minorEastAsia"/>
          <w:sz w:val="24"/>
        </w:rPr>
      </w:pPr>
      <w:r>
        <w:rPr>
          <w:rFonts w:hint="eastAsia" w:eastAsiaTheme="minorEastAsia"/>
          <w:sz w:val="24"/>
        </w:rPr>
        <w:t>（2）厨余垃圾和等有机垃圾的收集、运输、处置及其相关的管理活动，按照相关规定执行。在餐饮垃圾的清扫、收集、运输、处置活动中，禁止以下行为：将餐饮垃圾排入下水管道或以其他方式随意倾倒、抛酒、堆放；将餐饮垃圾提供给有《城市生活垃圾经营性清扫、收集、运输服务许可证》、《城市生活垃圾经营性处置服务许可证》的单位或个人进行处置；将未经无害化处理的餐饮垃圾直接作为畜禽饲料。</w:t>
      </w:r>
    </w:p>
    <w:p w14:paraId="61015905">
      <w:pPr>
        <w:spacing w:line="360" w:lineRule="auto"/>
        <w:ind w:firstLine="480" w:firstLineChars="200"/>
        <w:rPr>
          <w:rFonts w:eastAsiaTheme="minorEastAsia"/>
          <w:sz w:val="24"/>
        </w:rPr>
      </w:pPr>
      <w:r>
        <w:rPr>
          <w:rFonts w:hint="eastAsia" w:eastAsiaTheme="minorEastAsia"/>
          <w:sz w:val="24"/>
        </w:rPr>
        <w:t>（3）规划实施后将对生活垃圾进行分类处理，再由垃圾收集点分类收集后经垃圾收集站统一运往垃圾无害化处理场处理。</w:t>
      </w:r>
    </w:p>
    <w:p w14:paraId="60AC024C">
      <w:pPr>
        <w:spacing w:line="360" w:lineRule="auto"/>
        <w:ind w:firstLine="480" w:firstLineChars="200"/>
        <w:rPr>
          <w:rFonts w:eastAsiaTheme="minorEastAsia"/>
          <w:sz w:val="24"/>
        </w:rPr>
      </w:pPr>
      <w:r>
        <w:rPr>
          <w:rFonts w:hint="eastAsia" w:eastAsiaTheme="minorEastAsia"/>
          <w:sz w:val="24"/>
        </w:rPr>
        <w:t>（4）建筑垃圾的收集、运输和处置应由环卫部门统一管理和规划。运输建筑垃圾的车辆，必须按照规定的时间、路线和数量，将建筑垃圾封盖运到指定的建筑垃圾堆置场，并按要求倾倒。凡将建筑垃圾运入建筑垃圾堆置场消纳、处理的，应按规定缴纳处理费。对施工产生的余泥尽可能就地回填或申报有关管理部门及时运走，堆放到合适的地方。并注意清洁运输，防止运输过程中酒落。</w:t>
      </w:r>
    </w:p>
    <w:p w14:paraId="44787AE8">
      <w:pPr>
        <w:keepNext/>
        <w:keepLines/>
        <w:widowControl/>
        <w:numPr>
          <w:ilvl w:val="2"/>
          <w:numId w:val="1"/>
        </w:numPr>
        <w:spacing w:before="120" w:after="120" w:line="360" w:lineRule="auto"/>
        <w:jc w:val="left"/>
        <w:outlineLvl w:val="2"/>
        <w:rPr>
          <w:rFonts w:eastAsiaTheme="minorEastAsia"/>
          <w:b/>
          <w:bCs/>
          <w:sz w:val="24"/>
        </w:rPr>
      </w:pPr>
      <w:bookmarkStart w:id="203" w:name="_Toc206495029"/>
      <w:r>
        <w:rPr>
          <w:rFonts w:hint="eastAsia" w:eastAsiaTheme="minorEastAsia"/>
          <w:b/>
          <w:bCs/>
          <w:sz w:val="24"/>
        </w:rPr>
        <w:t>噪声环境影响减缓措施</w:t>
      </w:r>
      <w:bookmarkEnd w:id="203"/>
    </w:p>
    <w:p w14:paraId="32C4C2C9">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噪声控制原则</w:t>
      </w:r>
    </w:p>
    <w:p w14:paraId="5F80096A">
      <w:pPr>
        <w:spacing w:line="360" w:lineRule="auto"/>
        <w:ind w:firstLine="480" w:firstLineChars="200"/>
        <w:rPr>
          <w:rFonts w:eastAsiaTheme="minorEastAsia"/>
          <w:sz w:val="24"/>
        </w:rPr>
      </w:pPr>
      <w:r>
        <w:rPr>
          <w:rFonts w:hint="eastAsia" w:eastAsiaTheme="minorEastAsia"/>
          <w:sz w:val="24"/>
        </w:rPr>
        <w:t>石材产业园投入使用后噪声源包括园区内各公用设施运行产生的噪声、入驻企业运行产生的噪声及园区临近道路交通噪声。园区噪声控制原则如下：</w:t>
      </w:r>
    </w:p>
    <w:p w14:paraId="2D113538">
      <w:pPr>
        <w:spacing w:line="360" w:lineRule="auto"/>
        <w:ind w:firstLine="480" w:firstLineChars="200"/>
        <w:rPr>
          <w:rFonts w:eastAsiaTheme="minorEastAsia"/>
          <w:sz w:val="24"/>
        </w:rPr>
      </w:pPr>
      <w:r>
        <w:rPr>
          <w:rFonts w:hint="eastAsia" w:eastAsiaTheme="minorEastAsia"/>
          <w:sz w:val="24"/>
        </w:rPr>
        <w:t>（1）高噪声企业应采取有效的隔声降噪措施，减少工业噪声污染，并于周边声环境敏感目标保持一定的距离。</w:t>
      </w:r>
    </w:p>
    <w:p w14:paraId="327F7DA5">
      <w:pPr>
        <w:spacing w:line="360" w:lineRule="auto"/>
        <w:ind w:firstLine="480" w:firstLineChars="200"/>
        <w:rPr>
          <w:rFonts w:eastAsiaTheme="minorEastAsia"/>
          <w:sz w:val="24"/>
        </w:rPr>
      </w:pPr>
      <w:r>
        <w:rPr>
          <w:rFonts w:hint="eastAsia" w:eastAsiaTheme="minorEastAsia"/>
          <w:sz w:val="24"/>
        </w:rPr>
        <w:t>（2）园区应注意合理布局，将办公楼和宿舍楼尽量远离周边道路及内高噪声企业，临道路侧安装隔声窗。</w:t>
      </w:r>
    </w:p>
    <w:p w14:paraId="0DC03215">
      <w:pPr>
        <w:spacing w:line="360" w:lineRule="auto"/>
        <w:ind w:firstLine="480" w:firstLineChars="200"/>
        <w:rPr>
          <w:rFonts w:eastAsiaTheme="minorEastAsia"/>
          <w:sz w:val="24"/>
        </w:rPr>
      </w:pPr>
      <w:r>
        <w:rPr>
          <w:rFonts w:hint="eastAsia" w:eastAsiaTheme="minorEastAsia"/>
          <w:sz w:val="24"/>
        </w:rPr>
        <w:t>（3）园区应加强绿化建设，尽量种植常绿、密集、宽厚的林带，所选用的树种、株、行距等应考虑吸声、降噪的要求，减少交通噪声污染。</w:t>
      </w:r>
    </w:p>
    <w:p w14:paraId="25776C9E">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噪声源污染减缓措施</w:t>
      </w:r>
    </w:p>
    <w:p w14:paraId="6E4063A5">
      <w:pPr>
        <w:spacing w:line="360" w:lineRule="auto"/>
        <w:ind w:firstLine="480" w:firstLineChars="200"/>
        <w:rPr>
          <w:rFonts w:eastAsiaTheme="minorEastAsia"/>
          <w:sz w:val="24"/>
        </w:rPr>
      </w:pPr>
      <w:r>
        <w:rPr>
          <w:rFonts w:hint="eastAsia" w:eastAsiaTheme="minorEastAsia"/>
          <w:sz w:val="24"/>
        </w:rPr>
        <w:t>（1）工业企业噪声污染防治措施</w:t>
      </w:r>
    </w:p>
    <w:p w14:paraId="5AB4915E">
      <w:pPr>
        <w:spacing w:line="360" w:lineRule="auto"/>
        <w:ind w:firstLine="480" w:firstLineChars="200"/>
        <w:rPr>
          <w:rFonts w:eastAsiaTheme="minorEastAsia"/>
          <w:sz w:val="24"/>
        </w:rPr>
      </w:pPr>
      <w:r>
        <w:rPr>
          <w:rFonts w:hint="eastAsia" w:eastAsiaTheme="minorEastAsia"/>
          <w:sz w:val="24"/>
        </w:rPr>
        <w:t>①合理布局</w:t>
      </w:r>
    </w:p>
    <w:p w14:paraId="1E3BBC3D">
      <w:pPr>
        <w:spacing w:line="360" w:lineRule="auto"/>
        <w:ind w:firstLine="480" w:firstLineChars="200"/>
        <w:rPr>
          <w:rFonts w:eastAsiaTheme="minorEastAsia"/>
          <w:sz w:val="24"/>
        </w:rPr>
      </w:pPr>
      <w:r>
        <w:rPr>
          <w:rFonts w:hint="eastAsia" w:eastAsiaTheme="minorEastAsia"/>
          <w:sz w:val="24"/>
        </w:rPr>
        <w:t>高噪工业企业应布置在距离居民区较远的位置，厂区内总图布置，高噪设备或高噪声车间远离居民点，并充分利用厂房、建构筑物遮挡隔声，厂区内外道路植树绿化，以减轻噪声影响。严格限制在工业集中区域建设住宅区以及在住宅区中建设工业企业。</w:t>
      </w:r>
    </w:p>
    <w:p w14:paraId="05741E40">
      <w:pPr>
        <w:spacing w:line="360" w:lineRule="auto"/>
        <w:ind w:firstLine="480" w:firstLineChars="200"/>
        <w:rPr>
          <w:rFonts w:eastAsiaTheme="minorEastAsia"/>
          <w:sz w:val="24"/>
        </w:rPr>
      </w:pPr>
      <w:r>
        <w:rPr>
          <w:rFonts w:hint="eastAsia" w:eastAsiaTheme="minorEastAsia"/>
          <w:sz w:val="24"/>
        </w:rPr>
        <w:t>②控制噪声源</w:t>
      </w:r>
    </w:p>
    <w:p w14:paraId="7E262EF0">
      <w:pPr>
        <w:spacing w:line="360" w:lineRule="auto"/>
        <w:ind w:firstLine="480" w:firstLineChars="200"/>
        <w:rPr>
          <w:rFonts w:eastAsiaTheme="minorEastAsia"/>
          <w:sz w:val="24"/>
        </w:rPr>
      </w:pPr>
      <w:r>
        <w:rPr>
          <w:rFonts w:hint="eastAsia" w:eastAsiaTheme="minorEastAsia"/>
          <w:sz w:val="24"/>
        </w:rPr>
        <w:t>对改扩建或新建项目的新增噪声设备应选择低噪声先进设备，规划区域内的备用柴油发电机、水泵等高噪声设备应安装在室内，风机、冷却塔等与周围环境敏感点应保持足够的噪声衰减距离，因地制宜采取安装消音器、隔声罩、减震底座，建隔声间、隔声门窗，车间装设吸声材料等多种措施。</w:t>
      </w:r>
    </w:p>
    <w:p w14:paraId="3FEF3AAF">
      <w:pPr>
        <w:spacing w:line="360" w:lineRule="auto"/>
        <w:ind w:firstLine="480" w:firstLineChars="200"/>
        <w:rPr>
          <w:rFonts w:eastAsiaTheme="minorEastAsia"/>
          <w:sz w:val="24"/>
        </w:rPr>
      </w:pPr>
      <w:r>
        <w:rPr>
          <w:rFonts w:hint="eastAsia" w:eastAsiaTheme="minorEastAsia"/>
          <w:sz w:val="24"/>
        </w:rPr>
        <w:t>对新建有噪声源的项目执行环境影响评价制度，严格按照经批准的环境影响报告书（表）中规定的噪声污染防治措施进行实施。厂界噪声达到《工业企业厂界环境噪声排放标准》（GB12348-2008）3类标准要求；敏感点声环境质量满足《声环境质量标准》（GB 3096-2008）2类标准要求。</w:t>
      </w:r>
    </w:p>
    <w:p w14:paraId="2DB156F1">
      <w:pPr>
        <w:spacing w:line="360" w:lineRule="auto"/>
        <w:ind w:firstLine="480" w:firstLineChars="200"/>
        <w:rPr>
          <w:rFonts w:eastAsiaTheme="minorEastAsia"/>
          <w:sz w:val="24"/>
        </w:rPr>
      </w:pPr>
      <w:r>
        <w:rPr>
          <w:rFonts w:hint="eastAsia" w:eastAsiaTheme="minorEastAsia"/>
          <w:sz w:val="24"/>
        </w:rPr>
        <w:t>石材产业园石材加工企业生产车间应设置为标准钢架结构，边墙应全封闭直至地面，生产车间安装降噪设备，靠近村庄的企业围墙应设置密封式围墙。外观大方、美观。厂区内外建设绿化带，起到降噪防尘作用。</w:t>
      </w:r>
    </w:p>
    <w:p w14:paraId="4F19751E">
      <w:pPr>
        <w:spacing w:line="360" w:lineRule="auto"/>
        <w:ind w:firstLine="480" w:firstLineChars="200"/>
        <w:rPr>
          <w:rFonts w:eastAsiaTheme="minorEastAsia"/>
          <w:sz w:val="24"/>
        </w:rPr>
      </w:pPr>
      <w:r>
        <w:rPr>
          <w:rFonts w:hint="eastAsia" w:eastAsiaTheme="minorEastAsia"/>
          <w:sz w:val="24"/>
        </w:rPr>
        <w:t>③加强管理</w:t>
      </w:r>
    </w:p>
    <w:p w14:paraId="20F9EFC0">
      <w:pPr>
        <w:spacing w:line="360" w:lineRule="auto"/>
        <w:ind w:firstLine="480" w:firstLineChars="200"/>
        <w:rPr>
          <w:rFonts w:eastAsiaTheme="minorEastAsia"/>
          <w:sz w:val="24"/>
        </w:rPr>
      </w:pPr>
      <w:r>
        <w:rPr>
          <w:rFonts w:hint="eastAsia" w:eastAsiaTheme="minorEastAsia"/>
          <w:sz w:val="24"/>
        </w:rPr>
        <w:t>要求企业加强高噪声设备及其隔声降噪设施的运行管理，及时维护，使其经常处于正常运行状态。对高强度突发噪声，应避免在夜间进行。环境保护行政主管部门应建立噪声源档案，对产业园内的工业噪声源制定管理规划，督促企业落实噪声污染控制措施。</w:t>
      </w:r>
    </w:p>
    <w:p w14:paraId="48884FE9">
      <w:pPr>
        <w:spacing w:line="360" w:lineRule="auto"/>
        <w:ind w:firstLine="480" w:firstLineChars="200"/>
        <w:rPr>
          <w:rFonts w:eastAsiaTheme="minorEastAsia"/>
          <w:sz w:val="24"/>
        </w:rPr>
      </w:pPr>
      <w:r>
        <w:rPr>
          <w:rFonts w:hint="eastAsia" w:eastAsiaTheme="minorEastAsia"/>
          <w:sz w:val="24"/>
        </w:rPr>
        <w:t>（2）交通噪声污染防治措施</w:t>
      </w:r>
    </w:p>
    <w:p w14:paraId="3705C44A">
      <w:pPr>
        <w:spacing w:line="360" w:lineRule="auto"/>
        <w:ind w:firstLine="480" w:firstLineChars="200"/>
        <w:rPr>
          <w:rFonts w:eastAsiaTheme="minorEastAsia"/>
          <w:sz w:val="24"/>
        </w:rPr>
      </w:pPr>
      <w:r>
        <w:rPr>
          <w:rFonts w:hint="eastAsia" w:eastAsiaTheme="minorEastAsia"/>
          <w:sz w:val="24"/>
        </w:rPr>
        <w:t>交通噪声的防治需要从道路的规划设计、交通车辆行驶噪声的降低和交通噪声的管理三方面入手：</w:t>
      </w:r>
    </w:p>
    <w:p w14:paraId="4D04EFAC">
      <w:pPr>
        <w:spacing w:line="360" w:lineRule="auto"/>
        <w:ind w:firstLine="480" w:firstLineChars="200"/>
        <w:rPr>
          <w:rFonts w:eastAsiaTheme="minorEastAsia"/>
          <w:sz w:val="24"/>
        </w:rPr>
      </w:pPr>
      <w:r>
        <w:rPr>
          <w:rFonts w:hint="eastAsia" w:eastAsiaTheme="minorEastAsia"/>
          <w:sz w:val="24"/>
        </w:rPr>
        <w:t>①完善道路两侧绿化隔离带</w:t>
      </w:r>
    </w:p>
    <w:p w14:paraId="604232B3">
      <w:pPr>
        <w:spacing w:line="360" w:lineRule="auto"/>
        <w:ind w:firstLine="480" w:firstLineChars="200"/>
        <w:rPr>
          <w:rFonts w:eastAsiaTheme="minorEastAsia"/>
          <w:sz w:val="24"/>
        </w:rPr>
      </w:pPr>
      <w:r>
        <w:rPr>
          <w:rFonts w:hint="eastAsia" w:eastAsiaTheme="minorEastAsia"/>
          <w:sz w:val="24"/>
        </w:rPr>
        <w:t>规划区交通主次干道两侧均设置一定距离的绿化带，绿化种类以乔木、灌木为主，花卉草皮为辅，以吸尘降噪，美化环境。规划中对产业园内主要道路两侧防护绿地均有相应规划，规划实施过程中应按照规划进行，充分利用绿化带降低交通噪声影响</w:t>
      </w:r>
    </w:p>
    <w:p w14:paraId="2902DE5C">
      <w:pPr>
        <w:spacing w:line="360" w:lineRule="auto"/>
        <w:ind w:firstLine="480" w:firstLineChars="200"/>
        <w:rPr>
          <w:rFonts w:eastAsiaTheme="minorEastAsia"/>
          <w:sz w:val="24"/>
        </w:rPr>
      </w:pPr>
      <w:r>
        <w:rPr>
          <w:rFonts w:hint="eastAsia" w:eastAsiaTheme="minorEastAsia"/>
          <w:sz w:val="24"/>
        </w:rPr>
        <w:t>②控制车辆噪声源强</w:t>
      </w:r>
    </w:p>
    <w:p w14:paraId="000B889C">
      <w:pPr>
        <w:spacing w:line="360" w:lineRule="auto"/>
        <w:ind w:firstLine="480" w:firstLineChars="200"/>
        <w:rPr>
          <w:rFonts w:eastAsiaTheme="minorEastAsia"/>
          <w:sz w:val="24"/>
        </w:rPr>
      </w:pPr>
      <w:r>
        <w:rPr>
          <w:rFonts w:hint="eastAsia" w:eastAsiaTheme="minorEastAsia"/>
          <w:sz w:val="24"/>
        </w:rPr>
        <w:t>机动车辆是交通噪声的污染源，降低车辆的行驶噪声意义重大。根据我国《汽车加速行驶车外噪声限值及测量方法》（GB1495-2002），凡是噪声超过国家标准的车辆不得在道路上行驶；任何车辆都必须保持良好的运行状态，安装尾气管消声器。在敏感路段严格限制行车速度，特别是夜间的超速行驶，必要时加装电子测速仪。在噪声敏感建筑物集中区域和敏感时段通过采取限鸣（含禁鸣）、限行、限速等措施，降低交通噪声。</w:t>
      </w:r>
    </w:p>
    <w:p w14:paraId="7403650D">
      <w:pPr>
        <w:spacing w:line="360" w:lineRule="auto"/>
        <w:ind w:firstLine="480" w:firstLineChars="200"/>
        <w:rPr>
          <w:rFonts w:eastAsiaTheme="minorEastAsia"/>
          <w:sz w:val="24"/>
        </w:rPr>
      </w:pPr>
      <w:r>
        <w:rPr>
          <w:rFonts w:hint="eastAsia" w:eastAsiaTheme="minorEastAsia"/>
          <w:sz w:val="24"/>
        </w:rPr>
        <w:t>③采用改性沥青路面</w:t>
      </w:r>
    </w:p>
    <w:p w14:paraId="1B2A76A1">
      <w:pPr>
        <w:spacing w:line="360" w:lineRule="auto"/>
        <w:ind w:firstLine="480" w:firstLineChars="200"/>
        <w:rPr>
          <w:rFonts w:eastAsiaTheme="minorEastAsia"/>
          <w:sz w:val="24"/>
        </w:rPr>
      </w:pPr>
      <w:r>
        <w:rPr>
          <w:rFonts w:hint="eastAsia" w:eastAsiaTheme="minorEastAsia"/>
          <w:sz w:val="24"/>
        </w:rPr>
        <w:t>实践表明，相对混凝土路面来讲，沥青路面的减噪性能明显优于混凝土路面；而改性沥青的减噪性能更优于普通沥青。根据经验数值改性沥青路面较水泥路面噪声值可降低3至6B(A)，这将一定程度上降低交通噪声对周边环境的影响。</w:t>
      </w:r>
    </w:p>
    <w:p w14:paraId="12C4D5E4">
      <w:pPr>
        <w:spacing w:line="360" w:lineRule="auto"/>
        <w:ind w:firstLine="480" w:firstLineChars="200"/>
        <w:rPr>
          <w:rFonts w:eastAsiaTheme="minorEastAsia"/>
          <w:sz w:val="24"/>
        </w:rPr>
      </w:pPr>
      <w:r>
        <w:rPr>
          <w:rFonts w:hint="eastAsia" w:eastAsiaTheme="minorEastAsia"/>
          <w:sz w:val="24"/>
        </w:rPr>
        <w:t>④道路交通防治</w:t>
      </w:r>
    </w:p>
    <w:p w14:paraId="61D6FA9A">
      <w:pPr>
        <w:spacing w:line="360" w:lineRule="auto"/>
        <w:ind w:firstLine="480" w:firstLineChars="200"/>
        <w:rPr>
          <w:rFonts w:eastAsiaTheme="minorEastAsia"/>
          <w:sz w:val="24"/>
        </w:rPr>
      </w:pPr>
      <w:r>
        <w:rPr>
          <w:rFonts w:hint="eastAsia" w:eastAsiaTheme="minorEastAsia"/>
          <w:sz w:val="24"/>
        </w:rPr>
        <w:t>建设经过已有的噪声敏感建筑物的园区道路，有可能造成环境噪声污染的，应当设置声屏障或者采取其他有效的控制环境噪声污染的措施。</w:t>
      </w:r>
    </w:p>
    <w:p w14:paraId="122BE337">
      <w:pPr>
        <w:spacing w:line="360" w:lineRule="auto"/>
        <w:ind w:firstLine="480" w:firstLineChars="200"/>
        <w:rPr>
          <w:rFonts w:eastAsiaTheme="minorEastAsia"/>
          <w:sz w:val="24"/>
        </w:rPr>
      </w:pPr>
      <w:r>
        <w:rPr>
          <w:rFonts w:hint="eastAsia" w:eastAsiaTheme="minorEastAsia"/>
          <w:sz w:val="24"/>
        </w:rPr>
        <w:t>若在已有的道路两侧新建声环境敏感的建筑物，如居民楼、医院、学校等声环境保护目标，根据《中华人民共和国噪声污染防治法》(2021年12月24日第十三届全国人民代表大会常务委员会第三十二次会议通过)第二十六条：“建设噪声敏感建筑物，应当符合民用建筑隔声设计相关标准要求，不符合标准要求的，不得通过验收、交付使用；在交通干线两侧、工业企业周边等地方建设噪声敏感建筑物，还应当按照规定间隔一定距离，并采取减少振动、降低噪声的措施。如规划噪声敏感建筑物噪声超标，该规划环境保护目标的建设单位应当对噪声敏感建筑物进行建筑隔声设计，以符合其室内低于《建筑环境通用规范》(GB55016-2021)相关要求。</w:t>
      </w:r>
    </w:p>
    <w:p w14:paraId="7DDBDF51">
      <w:pPr>
        <w:spacing w:line="360" w:lineRule="auto"/>
        <w:ind w:firstLine="480" w:firstLineChars="200"/>
        <w:rPr>
          <w:rFonts w:eastAsiaTheme="minorEastAsia"/>
          <w:sz w:val="24"/>
        </w:rPr>
      </w:pPr>
      <w:r>
        <w:rPr>
          <w:rFonts w:hint="eastAsia" w:eastAsiaTheme="minorEastAsia"/>
          <w:sz w:val="24"/>
        </w:rPr>
        <w:t>制定相应的交通噪声管理办法，拖拉机、柴油三轮卡车和摩托车应限时、限线、限量在产业园内行驶，逐步淘汰上述高噪声车辆。加强道路交通管理，切实执行废旧机动车辆限期淘汰制度，噪声排放超标的机动车不准驶入园区道路，限期安装有效的消声装置；积极发展区内绿色公共交通。对路面加强维护保养，提高车辆通行能力和行车的平稳性；禁止鸣笛。</w:t>
      </w:r>
    </w:p>
    <w:p w14:paraId="23B79A07">
      <w:pPr>
        <w:spacing w:line="360" w:lineRule="auto"/>
        <w:ind w:firstLine="480" w:firstLineChars="200"/>
        <w:rPr>
          <w:rFonts w:eastAsiaTheme="minorEastAsia"/>
          <w:sz w:val="24"/>
        </w:rPr>
      </w:pPr>
      <w:r>
        <w:rPr>
          <w:rFonts w:hint="eastAsia" w:eastAsiaTheme="minorEastAsia"/>
          <w:sz w:val="24"/>
        </w:rPr>
        <w:t>④调整路边建筑布局</w:t>
      </w:r>
    </w:p>
    <w:p w14:paraId="74DCD5FC">
      <w:pPr>
        <w:spacing w:line="360" w:lineRule="auto"/>
        <w:ind w:firstLine="480" w:firstLineChars="200"/>
        <w:rPr>
          <w:rFonts w:eastAsiaTheme="minorEastAsia"/>
          <w:sz w:val="24"/>
        </w:rPr>
      </w:pPr>
      <w:r>
        <w:rPr>
          <w:rFonts w:hint="eastAsia" w:eastAsiaTheme="minorEastAsia"/>
          <w:sz w:val="24"/>
        </w:rPr>
        <w:t>临道路两侧的居民住宅楼，建筑设计时走向布局尽量与道路平行，以减少整个受交通噪声影响的住宅楼栋数，并要合理安排卧室、起居室的朝向和位置，并通过设计临街公共走廊、封闭阳台等控制措施尽可能避免交通噪声的影响。必要时可设置隔声窗。</w:t>
      </w:r>
    </w:p>
    <w:p w14:paraId="71713CA6">
      <w:pPr>
        <w:spacing w:line="360" w:lineRule="auto"/>
        <w:ind w:firstLine="480" w:firstLineChars="200"/>
        <w:rPr>
          <w:rFonts w:eastAsiaTheme="minorEastAsia"/>
          <w:sz w:val="24"/>
        </w:rPr>
      </w:pPr>
      <w:r>
        <w:rPr>
          <w:rFonts w:hint="eastAsia" w:eastAsiaTheme="minorEastAsia"/>
          <w:sz w:val="24"/>
        </w:rPr>
        <w:t>（3）社会生活噪声源控制措施</w:t>
      </w:r>
    </w:p>
    <w:p w14:paraId="7D916F7E">
      <w:pPr>
        <w:spacing w:line="360" w:lineRule="auto"/>
        <w:ind w:firstLine="480" w:firstLineChars="200"/>
        <w:rPr>
          <w:rFonts w:eastAsiaTheme="minorEastAsia"/>
          <w:sz w:val="24"/>
        </w:rPr>
      </w:pPr>
      <w:r>
        <w:rPr>
          <w:rFonts w:hint="eastAsia" w:eastAsiaTheme="minorEastAsia"/>
          <w:sz w:val="24"/>
        </w:rPr>
        <w:t>文化娱乐、体育、餐饮等场所的经营管理者应当采取有效措施，防止、减轻噪声污染。使用空调器、冷却塔、水泵、油烟净化器、风机、发电机、变压器、锅炉、装卸设备等可能产生社会生活噪声污染的设备、设施的企业事业单位和其他经营管理者等，应当采取优化布局、集中排放等措施，防止、减轻噪声污染。</w:t>
      </w:r>
    </w:p>
    <w:p w14:paraId="7F484390">
      <w:pPr>
        <w:spacing w:line="360" w:lineRule="auto"/>
        <w:ind w:firstLine="480" w:firstLineChars="200"/>
        <w:rPr>
          <w:rFonts w:eastAsiaTheme="minorEastAsia"/>
          <w:sz w:val="24"/>
        </w:rPr>
      </w:pPr>
      <w:r>
        <w:rPr>
          <w:rFonts w:hint="eastAsia" w:eastAsiaTheme="minorEastAsia"/>
          <w:sz w:val="24"/>
        </w:rPr>
        <w:t>禁止在商业经营活动中使用高音广播喇叭或者采用其他持续反复发出高噪声的方法进行广告宣传。对商业经营活动中产生的其他噪声，经营者应当采取有效措施，防止噪声污染。禁止在噪声敏感建筑物集中区域使用高音广播喇叭，但紧急情况以及地方人民政府规定的特殊情形除外。在街道、广场、公园等公共场所组织或者开展娱乐、健身等活动，应当遵守公共场所管理者有关活动区域、时段、音量等规定，采取有效措施，防止噪声污染；不得违反规定使用音响器材产生过大音量。公共场所管理者应当合理规定娱乐、健身等活动的区域、时段、音量，可以采取设置噪声自动监测和显示设施等措施加强管理。</w:t>
      </w:r>
    </w:p>
    <w:p w14:paraId="13365458">
      <w:pPr>
        <w:spacing w:line="360" w:lineRule="auto"/>
        <w:ind w:firstLine="480" w:firstLineChars="200"/>
        <w:rPr>
          <w:rFonts w:eastAsiaTheme="minorEastAsia"/>
          <w:sz w:val="24"/>
        </w:rPr>
      </w:pPr>
      <w:r>
        <w:rPr>
          <w:rFonts w:hint="eastAsia" w:eastAsiaTheme="minorEastAsia"/>
          <w:sz w:val="24"/>
        </w:rPr>
        <w:t>对已竣工交付使用的住宅楼、商铺、办公楼等建筑物进行室内装修活动，应当按照规定限定作业时间，采取有效措施，防止、减轻噪声污染。</w:t>
      </w:r>
    </w:p>
    <w:p w14:paraId="25C913D6">
      <w:pPr>
        <w:spacing w:line="360" w:lineRule="auto"/>
        <w:ind w:firstLine="480" w:firstLineChars="200"/>
        <w:rPr>
          <w:rFonts w:eastAsiaTheme="minorEastAsia"/>
          <w:sz w:val="24"/>
        </w:rPr>
      </w:pPr>
      <w:r>
        <w:rPr>
          <w:rFonts w:hint="eastAsia" w:eastAsiaTheme="minorEastAsia"/>
          <w:sz w:val="24"/>
        </w:rPr>
        <w:t>新建居民住房的房地产开发经营者应当在销售场所公示住房可能受到噪声影响的情况以及采取或者拟采取的防治措施，并纳入买卖合同。新建居民住房的房地产开发经营者应当在买卖合同中明确住房的共用设施设备位置和建筑隔声情况。</w:t>
      </w:r>
    </w:p>
    <w:p w14:paraId="7ACB2C4F">
      <w:pPr>
        <w:spacing w:line="360" w:lineRule="auto"/>
        <w:ind w:firstLine="480" w:firstLineChars="200"/>
        <w:rPr>
          <w:rFonts w:eastAsiaTheme="minorEastAsia"/>
          <w:sz w:val="24"/>
        </w:rPr>
      </w:pPr>
      <w:r>
        <w:rPr>
          <w:rFonts w:hint="eastAsia" w:eastAsiaTheme="minorEastAsia"/>
          <w:sz w:val="24"/>
        </w:rPr>
        <w:t>居民住宅区安装电梯、水泵、变压器等共用设施设备的，建设单位应当合理设置，采取减少振动、降低噪声的措施，符合民用建筑隔声设计相关标准要求。</w:t>
      </w:r>
    </w:p>
    <w:p w14:paraId="391F6D3F">
      <w:pPr>
        <w:keepNext/>
        <w:keepLines/>
        <w:widowControl/>
        <w:numPr>
          <w:ilvl w:val="2"/>
          <w:numId w:val="1"/>
        </w:numPr>
        <w:spacing w:before="120" w:after="120" w:line="360" w:lineRule="auto"/>
        <w:jc w:val="left"/>
        <w:outlineLvl w:val="2"/>
        <w:rPr>
          <w:rFonts w:eastAsiaTheme="minorEastAsia"/>
          <w:b/>
          <w:bCs/>
          <w:sz w:val="24"/>
        </w:rPr>
      </w:pPr>
      <w:bookmarkStart w:id="204" w:name="_Toc206495030"/>
      <w:r>
        <w:rPr>
          <w:rFonts w:hint="eastAsia" w:eastAsiaTheme="minorEastAsia"/>
          <w:b/>
          <w:bCs/>
          <w:sz w:val="24"/>
        </w:rPr>
        <w:t>生态保护对策与措施</w:t>
      </w:r>
      <w:bookmarkEnd w:id="204"/>
    </w:p>
    <w:p w14:paraId="7FF758B9">
      <w:pPr>
        <w:spacing w:line="360" w:lineRule="auto"/>
        <w:ind w:firstLine="480" w:firstLineChars="200"/>
        <w:rPr>
          <w:rFonts w:eastAsiaTheme="minorEastAsia"/>
          <w:sz w:val="24"/>
        </w:rPr>
      </w:pPr>
      <w:r>
        <w:rPr>
          <w:rFonts w:hint="eastAsia" w:eastAsiaTheme="minorEastAsia"/>
          <w:sz w:val="24"/>
        </w:rPr>
        <w:t>（1）构建区域内绿化及水系系统</w:t>
      </w:r>
    </w:p>
    <w:p w14:paraId="1FDE1583">
      <w:pPr>
        <w:spacing w:line="360" w:lineRule="auto"/>
        <w:ind w:firstLine="480" w:firstLineChars="200"/>
        <w:rPr>
          <w:rFonts w:eastAsiaTheme="minorEastAsia"/>
          <w:sz w:val="24"/>
        </w:rPr>
      </w:pPr>
      <w:r>
        <w:rPr>
          <w:rFonts w:hint="eastAsia" w:eastAsiaTheme="minorEastAsia"/>
          <w:sz w:val="24"/>
        </w:rPr>
        <w:t>植物不仅对二氧化碳、二氧化硫、氮氧化物、粉尘等大气污染物有吸附作用而且对噪声也有一定的吸收和阻隔作用。在规划区的开发过程中应加强区域绿化建设，尽可能营造一个美观舒适的环境，减少对区域环境的影响。</w:t>
      </w:r>
    </w:p>
    <w:p w14:paraId="2C227970">
      <w:pPr>
        <w:spacing w:line="360" w:lineRule="auto"/>
        <w:ind w:firstLine="480" w:firstLineChars="200"/>
        <w:rPr>
          <w:rFonts w:eastAsiaTheme="minorEastAsia"/>
          <w:sz w:val="24"/>
        </w:rPr>
      </w:pPr>
      <w:r>
        <w:rPr>
          <w:rFonts w:hint="eastAsia" w:eastAsiaTheme="minorEastAsia"/>
          <w:sz w:val="24"/>
        </w:rPr>
        <w:t>产业园区地块内的植被。施工时建议将地块内的较大的具有景观价值的植物个体尽量保留作为景观植物，尤其是乔木类群，减少后期景观建设的费用，实现生态施工。</w:t>
      </w:r>
    </w:p>
    <w:p w14:paraId="3CB33ECC">
      <w:pPr>
        <w:spacing w:line="360" w:lineRule="auto"/>
        <w:ind w:firstLine="480" w:firstLineChars="200"/>
        <w:rPr>
          <w:rFonts w:eastAsiaTheme="minorEastAsia"/>
          <w:sz w:val="24"/>
        </w:rPr>
      </w:pPr>
      <w:r>
        <w:rPr>
          <w:rFonts w:hint="eastAsia" w:eastAsiaTheme="minorEastAsia"/>
          <w:sz w:val="24"/>
        </w:rPr>
        <w:t>园林景观的生态化设计。在地块的园林景观营造中，建议践行生态化、低碳化设计的原则，包括：</w:t>
      </w:r>
    </w:p>
    <w:p w14:paraId="44F104AF">
      <w:pPr>
        <w:spacing w:line="360" w:lineRule="auto"/>
        <w:ind w:firstLine="480" w:firstLineChars="200"/>
        <w:rPr>
          <w:rFonts w:eastAsiaTheme="minorEastAsia"/>
          <w:sz w:val="24"/>
        </w:rPr>
      </w:pPr>
      <w:r>
        <w:rPr>
          <w:rFonts w:hint="eastAsia" w:eastAsiaTheme="minorEastAsia"/>
          <w:sz w:val="24"/>
        </w:rPr>
        <w:t>①乡土植物的利用。选择当地乡土植物进行绿化设计，杜绝采用外来物种。在多上植物中，应优先选择抗逆性强、耐虫害、水土保持能力强的灌木类型，减少再辅以合适的草本、乔木，减少日常维护成本。</w:t>
      </w:r>
    </w:p>
    <w:p w14:paraId="67F4D54E">
      <w:pPr>
        <w:spacing w:line="360" w:lineRule="auto"/>
        <w:ind w:firstLine="480" w:firstLineChars="200"/>
        <w:rPr>
          <w:rFonts w:eastAsiaTheme="minorEastAsia"/>
          <w:sz w:val="24"/>
        </w:rPr>
      </w:pPr>
      <w:r>
        <w:rPr>
          <w:rFonts w:hint="eastAsia" w:eastAsiaTheme="minorEastAsia"/>
          <w:sz w:val="24"/>
        </w:rPr>
        <w:t>②复合绿化。在具体的景观、绿化设计时，减少乔木-草坪这种单纯的模式，建议营造乔-灌-草立体结构模式，增强园林绿地的生态功能，防护绿地。以道路防护绿地为主。沿规划区道路系统两侧控制不低于10~30%的绿地率组成道路绿化隔离带，可有效隔离道路的景观及生态干扰。</w:t>
      </w:r>
    </w:p>
    <w:p w14:paraId="6167096E">
      <w:pPr>
        <w:spacing w:line="360" w:lineRule="auto"/>
        <w:ind w:firstLine="480" w:firstLineChars="200"/>
        <w:rPr>
          <w:rFonts w:eastAsiaTheme="minorEastAsia"/>
          <w:sz w:val="24"/>
        </w:rPr>
      </w:pPr>
      <w:r>
        <w:rPr>
          <w:rFonts w:hint="eastAsia" w:eastAsiaTheme="minorEastAsia"/>
          <w:sz w:val="24"/>
        </w:rPr>
        <w:t>特殊功能区绿化隔离带的建设：在停车场、污水泵站、公共厕所等公共建筑物周围，建设绿化隔离带。绿化隔离带的宽度以5~15 米为宜，种类应以乔木树种为主体，可达到隔声、降噪、减尘的防护效果。</w:t>
      </w:r>
    </w:p>
    <w:p w14:paraId="70F77DFA">
      <w:pPr>
        <w:spacing w:line="360" w:lineRule="auto"/>
        <w:ind w:firstLine="480" w:firstLineChars="200"/>
        <w:rPr>
          <w:rFonts w:eastAsiaTheme="minorEastAsia"/>
          <w:sz w:val="24"/>
        </w:rPr>
      </w:pPr>
      <w:r>
        <w:rPr>
          <w:rFonts w:hint="eastAsia" w:eastAsiaTheme="minorEastAsia"/>
          <w:sz w:val="24"/>
        </w:rPr>
        <w:t>（2）合理配置绿化树种</w:t>
      </w:r>
    </w:p>
    <w:p w14:paraId="656E656D">
      <w:pPr>
        <w:spacing w:line="360" w:lineRule="auto"/>
        <w:ind w:firstLine="480" w:firstLineChars="200"/>
        <w:rPr>
          <w:rFonts w:eastAsiaTheme="minorEastAsia"/>
          <w:sz w:val="24"/>
        </w:rPr>
      </w:pPr>
      <w:r>
        <w:rPr>
          <w:rFonts w:hint="eastAsia" w:eastAsiaTheme="minorEastAsia"/>
          <w:sz w:val="24"/>
        </w:rPr>
        <w:t>规划区后续开发利用园林绿化规划设计中应重视合理配置绿化树种。乔木具有比灌丛、草坪高得多的“绿量”，乔木的环境生态效应更为明显，因此，规划区的园林绿化体系应以抗污性较高的乔木树种为主体，以本土绿化植物为主，避免外来物种的入侵，并且以灌丛、草坪、花坛、垂直绿化建设相结合，观花、观叶、观果植物相结合，建设高生态功能的园林绿化体系，</w:t>
      </w:r>
    </w:p>
    <w:p w14:paraId="40BBAA15">
      <w:pPr>
        <w:spacing w:line="360" w:lineRule="auto"/>
        <w:ind w:firstLine="480" w:firstLineChars="200"/>
        <w:rPr>
          <w:rFonts w:eastAsiaTheme="minorEastAsia"/>
          <w:sz w:val="24"/>
        </w:rPr>
      </w:pPr>
      <w:r>
        <w:rPr>
          <w:rFonts w:hint="eastAsia" w:eastAsiaTheme="minorEastAsia"/>
          <w:sz w:val="24"/>
        </w:rPr>
        <w:t>（3）选择多种绿化形式</w:t>
      </w:r>
    </w:p>
    <w:p w14:paraId="78D8AEF7">
      <w:pPr>
        <w:spacing w:line="360" w:lineRule="auto"/>
        <w:ind w:firstLine="480" w:firstLineChars="200"/>
        <w:rPr>
          <w:rFonts w:eastAsiaTheme="minorEastAsia"/>
          <w:sz w:val="24"/>
        </w:rPr>
      </w:pPr>
      <w:r>
        <w:rPr>
          <w:rFonts w:hint="eastAsia" w:eastAsiaTheme="minorEastAsia"/>
          <w:sz w:val="24"/>
        </w:rPr>
        <w:t>规划区绿化应采取多种形式，如建设公园绿地、生产防护绿地、道路绿地、景观绿地等等，以提高绿地率；同时通过在区内实行空地绿化、立体种植或立体绿化，以高生态功能的植物代替低生态功能的植物，如乔术代替灌木、草本，选择不同林龄的乔、灌木树种，形成多层次、异龄的绿化体系，多方式、多层次满足生态系统功能。</w:t>
      </w:r>
    </w:p>
    <w:p w14:paraId="6214DF74">
      <w:pPr>
        <w:keepNext/>
        <w:keepLines/>
        <w:widowControl/>
        <w:numPr>
          <w:ilvl w:val="2"/>
          <w:numId w:val="1"/>
        </w:numPr>
        <w:spacing w:before="120" w:after="120" w:line="360" w:lineRule="auto"/>
        <w:jc w:val="left"/>
        <w:outlineLvl w:val="2"/>
        <w:rPr>
          <w:rFonts w:eastAsiaTheme="minorEastAsia"/>
          <w:b/>
          <w:bCs/>
          <w:sz w:val="24"/>
        </w:rPr>
      </w:pPr>
      <w:bookmarkStart w:id="205" w:name="_Toc206495031"/>
      <w:r>
        <w:rPr>
          <w:rFonts w:hint="eastAsia" w:eastAsiaTheme="minorEastAsia"/>
          <w:b/>
          <w:bCs/>
          <w:sz w:val="24"/>
        </w:rPr>
        <w:t>土壤环境影响减缓措施</w:t>
      </w:r>
      <w:bookmarkEnd w:id="205"/>
    </w:p>
    <w:p w14:paraId="3AB3EFC2">
      <w:pPr>
        <w:spacing w:line="360" w:lineRule="auto"/>
        <w:ind w:firstLine="480" w:firstLineChars="200"/>
        <w:rPr>
          <w:rFonts w:eastAsiaTheme="minorEastAsia"/>
          <w:sz w:val="24"/>
        </w:rPr>
      </w:pPr>
      <w:r>
        <w:rPr>
          <w:rFonts w:hint="eastAsia" w:eastAsiaTheme="minorEastAsia"/>
          <w:sz w:val="24"/>
        </w:rPr>
        <w:t>根据《土壤污染防治行动计划》，对区域制定土壤环保治理措施。</w:t>
      </w:r>
    </w:p>
    <w:p w14:paraId="4464D962">
      <w:pPr>
        <w:spacing w:line="360" w:lineRule="auto"/>
        <w:ind w:firstLine="480" w:firstLineChars="200"/>
        <w:rPr>
          <w:rFonts w:eastAsiaTheme="minorEastAsia"/>
          <w:sz w:val="24"/>
        </w:rPr>
      </w:pPr>
      <w:r>
        <w:rPr>
          <w:rFonts w:hint="eastAsia" w:eastAsiaTheme="minorEastAsia"/>
          <w:sz w:val="24"/>
        </w:rPr>
        <w:t>开展土壤污染调查，掌握土壤环境质量状况。深入开展土壤环境质量调查，并建立每 10 年开展一次的土壤环境质量状况定期调查制度；建设土壤环境质量监测网络；提升土壤环境信息化管理水平。</w:t>
      </w:r>
    </w:p>
    <w:p w14:paraId="5226E310">
      <w:pPr>
        <w:spacing w:line="360" w:lineRule="auto"/>
        <w:ind w:firstLine="480" w:firstLineChars="200"/>
        <w:rPr>
          <w:rFonts w:eastAsiaTheme="minorEastAsia"/>
          <w:sz w:val="24"/>
        </w:rPr>
      </w:pPr>
      <w:r>
        <w:rPr>
          <w:rFonts w:hint="eastAsia" w:eastAsiaTheme="minorEastAsia"/>
          <w:sz w:val="24"/>
        </w:rPr>
        <w:t>——实施建设用地准入管理，防范人居环境风险。分用途明确管理措施，逐步建立污染地块名录及其开发利用的负面清单；落实监管责任；严格用地准入。</w:t>
      </w:r>
    </w:p>
    <w:p w14:paraId="254080E1">
      <w:pPr>
        <w:spacing w:line="360" w:lineRule="auto"/>
        <w:ind w:firstLine="480" w:firstLineChars="200"/>
        <w:rPr>
          <w:rFonts w:eastAsiaTheme="minorEastAsia"/>
          <w:sz w:val="24"/>
        </w:rPr>
      </w:pPr>
      <w:r>
        <w:rPr>
          <w:rFonts w:hint="eastAsia" w:eastAsiaTheme="minorEastAsia"/>
          <w:sz w:val="24"/>
        </w:rPr>
        <w:t>——强化未污染土壤保护，严控新增土壤污染。结合推进新型城镇化、产业结构调整和化解过剩产能等，有序搬迁或依法关闭对土壤造成严重污染的现有企业。</w:t>
      </w:r>
    </w:p>
    <w:p w14:paraId="16E73583">
      <w:pPr>
        <w:spacing w:line="360" w:lineRule="auto"/>
        <w:ind w:firstLine="480" w:firstLineChars="200"/>
        <w:rPr>
          <w:rFonts w:eastAsiaTheme="minorEastAsia"/>
          <w:sz w:val="24"/>
        </w:rPr>
      </w:pPr>
      <w:r>
        <w:rPr>
          <w:rFonts w:hint="eastAsia" w:eastAsiaTheme="minorEastAsia"/>
          <w:sz w:val="24"/>
        </w:rPr>
        <w:t>——加强污染源监管，做好土壤污染预防工作。严控工矿污染，控制农业污染，减少生活污染。</w:t>
      </w:r>
    </w:p>
    <w:p w14:paraId="77FD05C7">
      <w:pPr>
        <w:spacing w:line="360" w:lineRule="auto"/>
        <w:ind w:firstLine="480" w:firstLineChars="200"/>
        <w:rPr>
          <w:rFonts w:eastAsiaTheme="minorEastAsia"/>
          <w:sz w:val="24"/>
        </w:rPr>
      </w:pPr>
      <w:r>
        <w:rPr>
          <w:rFonts w:hint="eastAsia" w:eastAsiaTheme="minorEastAsia"/>
          <w:sz w:val="24"/>
        </w:rPr>
        <w:t>——开展污染治理与修复，改善区域土壤环境质量。明确治理与修复主体，制定治理与修复规划，有序开展治理与修复，监督目标任务落实。</w:t>
      </w:r>
    </w:p>
    <w:p w14:paraId="66CCA118">
      <w:pPr>
        <w:spacing w:line="360" w:lineRule="auto"/>
        <w:ind w:firstLine="480" w:firstLineChars="200"/>
        <w:rPr>
          <w:rFonts w:eastAsiaTheme="minorEastAsia"/>
          <w:sz w:val="24"/>
        </w:rPr>
      </w:pPr>
      <w:r>
        <w:rPr>
          <w:rFonts w:hint="eastAsia" w:eastAsiaTheme="minorEastAsia"/>
          <w:sz w:val="24"/>
        </w:rPr>
        <w:t>——加大科技研发力度，推动环境保护产业发展。加强土壤污染防治研究，加大适用技术推广力度，推动治理与修复产业发展。</w:t>
      </w:r>
    </w:p>
    <w:p w14:paraId="3B33C667">
      <w:pPr>
        <w:spacing w:line="360" w:lineRule="auto"/>
        <w:ind w:firstLine="480" w:firstLineChars="200"/>
        <w:rPr>
          <w:rFonts w:eastAsiaTheme="minorEastAsia"/>
          <w:sz w:val="24"/>
        </w:rPr>
      </w:pPr>
      <w:r>
        <w:rPr>
          <w:rFonts w:hint="eastAsia" w:eastAsiaTheme="minorEastAsia"/>
          <w:sz w:val="24"/>
        </w:rPr>
        <w:t>——发挥政府主导作用，构建土壤环境治理体系。</w:t>
      </w:r>
    </w:p>
    <w:p w14:paraId="69B786A1">
      <w:pPr>
        <w:spacing w:line="360" w:lineRule="auto"/>
        <w:ind w:firstLine="480" w:firstLineChars="200"/>
        <w:rPr>
          <w:rFonts w:eastAsiaTheme="minorEastAsia"/>
          <w:sz w:val="24"/>
        </w:rPr>
      </w:pPr>
      <w:r>
        <w:rPr>
          <w:rFonts w:hint="eastAsia" w:eastAsiaTheme="minorEastAsia"/>
          <w:sz w:val="24"/>
        </w:rPr>
        <w:t>对园区内用地实行分类管理，根据质量调查与评估结果，应逐步建立污染地块名录和开发利用负面清单，合理确定每一块土地用途。</w:t>
      </w:r>
    </w:p>
    <w:p w14:paraId="07279500">
      <w:pPr>
        <w:spacing w:line="360" w:lineRule="auto"/>
        <w:ind w:firstLine="480" w:firstLineChars="200"/>
        <w:rPr>
          <w:rFonts w:eastAsiaTheme="minorEastAsia"/>
          <w:sz w:val="24"/>
        </w:rPr>
      </w:pPr>
      <w:r>
        <w:rPr>
          <w:rFonts w:hint="eastAsia" w:eastAsiaTheme="minorEastAsia"/>
          <w:sz w:val="24"/>
        </w:rPr>
        <w:t>结合国务院关于印发土壤污染防治行动计划的通知，建立调查评估制度，定期开展土壤环境质量调查评估，实施土壤环境影响评价制度，并提出防范土壤污染的具体措施，并制定土壤环境风险管控方案；需要建设的土壤污染防治设施，要与主体工程同时设计、同时施工、同时投产使用；有关环境保护部门要做好有关措施落实情况的监督管理工作。</w:t>
      </w:r>
    </w:p>
    <w:p w14:paraId="2619CDB1">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06" w:name="_Toc206495032"/>
      <w:r>
        <w:rPr>
          <w:rFonts w:hint="eastAsia" w:eastAsiaTheme="minorEastAsia"/>
          <w:b/>
          <w:bCs/>
          <w:sz w:val="30"/>
          <w:szCs w:val="28"/>
        </w:rPr>
        <w:t>环境管理措施</w:t>
      </w:r>
      <w:bookmarkEnd w:id="206"/>
    </w:p>
    <w:p w14:paraId="541AEDC5">
      <w:pPr>
        <w:keepNext/>
        <w:keepLines/>
        <w:widowControl/>
        <w:numPr>
          <w:ilvl w:val="2"/>
          <w:numId w:val="1"/>
        </w:numPr>
        <w:spacing w:before="120" w:after="120" w:line="360" w:lineRule="auto"/>
        <w:jc w:val="left"/>
        <w:outlineLvl w:val="2"/>
        <w:rPr>
          <w:rFonts w:eastAsiaTheme="minorEastAsia"/>
          <w:b/>
          <w:bCs/>
          <w:sz w:val="24"/>
        </w:rPr>
      </w:pPr>
      <w:bookmarkStart w:id="207" w:name="_Toc206495033"/>
      <w:r>
        <w:rPr>
          <w:rFonts w:hint="eastAsia" w:eastAsiaTheme="minorEastAsia"/>
          <w:b/>
          <w:bCs/>
          <w:sz w:val="24"/>
        </w:rPr>
        <w:t>建立健全园区环境管理体系</w:t>
      </w:r>
      <w:bookmarkEnd w:id="207"/>
    </w:p>
    <w:p w14:paraId="14BADED3">
      <w:pPr>
        <w:spacing w:line="360" w:lineRule="auto"/>
        <w:ind w:firstLine="480" w:firstLineChars="200"/>
        <w:jc w:val="left"/>
        <w:rPr>
          <w:rFonts w:eastAsiaTheme="minorEastAsia"/>
          <w:sz w:val="24"/>
        </w:rPr>
      </w:pPr>
      <w:r>
        <w:rPr>
          <w:rFonts w:hint="eastAsia" w:eastAsiaTheme="minorEastAsia"/>
          <w:sz w:val="24"/>
        </w:rPr>
        <w:t>为了使园区开发、区域循环经济的管理体制与园区环境保护成为一个有机整体，使园区开发活动的环境影响评价纳入园区开发活动的规划、实施、运行、监督、管理以及实施效果评价的全过程，有必要建立一套结构化的环境管理体系。结构化的管理体制是园区经济的实现形式和组织方式，必须依靠环境管理体系得以实现。</w:t>
      </w:r>
    </w:p>
    <w:p w14:paraId="75CE84D1">
      <w:pPr>
        <w:spacing w:line="360" w:lineRule="auto"/>
        <w:ind w:firstLine="480" w:firstLineChars="200"/>
        <w:jc w:val="left"/>
        <w:rPr>
          <w:rFonts w:eastAsiaTheme="minorEastAsia"/>
          <w:sz w:val="24"/>
        </w:rPr>
      </w:pPr>
      <w:r>
        <w:rPr>
          <w:rFonts w:hint="eastAsia" w:eastAsiaTheme="minorEastAsia"/>
          <w:sz w:val="24"/>
        </w:rPr>
        <w:t>建立园区环境管理体系在园区开发活动环境保护中的作用可归纳为：</w:t>
      </w:r>
    </w:p>
    <w:p w14:paraId="6A39A790">
      <w:pPr>
        <w:spacing w:line="360" w:lineRule="auto"/>
        <w:ind w:firstLine="480" w:firstLineChars="200"/>
        <w:jc w:val="left"/>
        <w:rPr>
          <w:rFonts w:eastAsiaTheme="minorEastAsia"/>
          <w:sz w:val="24"/>
        </w:rPr>
      </w:pPr>
      <w:r>
        <w:rPr>
          <w:rFonts w:hint="eastAsia" w:eastAsiaTheme="minorEastAsia"/>
          <w:sz w:val="24"/>
        </w:rPr>
        <w:t>（1）有助于将园区开发活动环境影响评价的结论纳入园区开发活动的规划、实施、监督和运行的全过程；</w:t>
      </w:r>
    </w:p>
    <w:p w14:paraId="0A9826AE">
      <w:pPr>
        <w:spacing w:line="360" w:lineRule="auto"/>
        <w:ind w:firstLine="480" w:firstLineChars="200"/>
        <w:jc w:val="left"/>
        <w:rPr>
          <w:rFonts w:eastAsiaTheme="minorEastAsia"/>
          <w:sz w:val="24"/>
        </w:rPr>
      </w:pPr>
      <w:r>
        <w:rPr>
          <w:rFonts w:hint="eastAsia" w:eastAsiaTheme="minorEastAsia"/>
          <w:sz w:val="24"/>
        </w:rPr>
        <w:t>（2）可帮助园区开发活动的管理者协调区域经济发展与园区环境保护的关系；</w:t>
      </w:r>
    </w:p>
    <w:p w14:paraId="2BBA2031">
      <w:pPr>
        <w:spacing w:line="360" w:lineRule="auto"/>
        <w:ind w:firstLine="480" w:firstLineChars="200"/>
        <w:jc w:val="left"/>
        <w:rPr>
          <w:rFonts w:eastAsiaTheme="minorEastAsia"/>
          <w:sz w:val="24"/>
        </w:rPr>
      </w:pPr>
      <w:r>
        <w:rPr>
          <w:rFonts w:hint="eastAsia" w:eastAsiaTheme="minorEastAsia"/>
          <w:sz w:val="24"/>
        </w:rPr>
        <w:t>（3）从运行机制上保障园区开发活动环境行为的持续改进；</w:t>
      </w:r>
    </w:p>
    <w:p w14:paraId="05967DC4">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建立环境管理体系</w:t>
      </w:r>
    </w:p>
    <w:p w14:paraId="4404E1C3">
      <w:pPr>
        <w:spacing w:line="360" w:lineRule="auto"/>
        <w:ind w:firstLine="480" w:firstLineChars="200"/>
        <w:jc w:val="left"/>
        <w:rPr>
          <w:rFonts w:eastAsiaTheme="minorEastAsia"/>
          <w:sz w:val="24"/>
        </w:rPr>
      </w:pPr>
      <w:r>
        <w:rPr>
          <w:rFonts w:hint="eastAsia" w:eastAsiaTheme="minorEastAsia"/>
          <w:sz w:val="24"/>
        </w:rPr>
        <w:t>环境管理体系是按照国际环境管理标准所建立的一个完整的环境管理系统，并以此为环境管理的手段，实行全面、系统化的管理。</w:t>
      </w:r>
    </w:p>
    <w:p w14:paraId="086F4AA1">
      <w:pPr>
        <w:spacing w:line="360" w:lineRule="auto"/>
        <w:ind w:firstLine="480" w:firstLineChars="200"/>
        <w:jc w:val="left"/>
        <w:rPr>
          <w:rFonts w:eastAsiaTheme="minorEastAsia"/>
          <w:sz w:val="24"/>
        </w:rPr>
      </w:pPr>
      <w:r>
        <w:rPr>
          <w:rFonts w:hint="eastAsia" w:eastAsiaTheme="minorEastAsia"/>
          <w:sz w:val="24"/>
        </w:rPr>
        <w:t>环境管理体系涉及的范围包括：园区发展规划的制定、基础设施建设、进区项目的审批、环境目标制定、清洁生产、税收及对企业各项环境管理、环境监督活动等。针对园区存在的主要环境问题，园区环境管理体系应包括以下具体内容：</w:t>
      </w:r>
    </w:p>
    <w:p w14:paraId="7A6123AE">
      <w:pPr>
        <w:spacing w:line="360" w:lineRule="auto"/>
        <w:ind w:firstLine="480" w:firstLineChars="200"/>
        <w:jc w:val="left"/>
        <w:rPr>
          <w:rFonts w:eastAsiaTheme="minorEastAsia"/>
          <w:sz w:val="24"/>
        </w:rPr>
      </w:pPr>
      <w:r>
        <w:rPr>
          <w:rFonts w:hint="eastAsia" w:eastAsiaTheme="minorEastAsia"/>
          <w:sz w:val="24"/>
        </w:rPr>
        <w:t>（1）制定园区环保法规：园区应根据国家和省现行的环保法律法规、政策、制度，结合园区实际情况，制定适合园区经济发展和环境管理需要的“环境保护规定”，规范人们在保护环境、防治污染等方面的行为，实现本环境规划中所提出的环境目标。</w:t>
      </w:r>
    </w:p>
    <w:p w14:paraId="1E4505FB">
      <w:pPr>
        <w:spacing w:line="360" w:lineRule="auto"/>
        <w:ind w:firstLine="480" w:firstLineChars="200"/>
        <w:jc w:val="left"/>
        <w:rPr>
          <w:rFonts w:eastAsiaTheme="minorEastAsia"/>
          <w:sz w:val="24"/>
        </w:rPr>
      </w:pPr>
      <w:r>
        <w:rPr>
          <w:rFonts w:hint="eastAsia" w:eastAsiaTheme="minorEastAsia"/>
          <w:sz w:val="24"/>
        </w:rPr>
        <w:t>（2）实行严格的项目审批制度：制定相应的项目审批、审核制度，在引进项目时，严格把好“技术含量高”和“环境友好”关。对不符合国家产业政策和发展方向的项目一律不引进。严格执行建设项目环境影响评价制度和“三同时”制度，实行项目的环保“一票否决”制，以达到从源头控制的目的。</w:t>
      </w:r>
    </w:p>
    <w:p w14:paraId="3A491762">
      <w:pPr>
        <w:spacing w:line="360" w:lineRule="auto"/>
        <w:ind w:firstLine="480" w:firstLineChars="200"/>
        <w:jc w:val="left"/>
        <w:rPr>
          <w:rFonts w:eastAsiaTheme="minorEastAsia"/>
          <w:sz w:val="24"/>
        </w:rPr>
      </w:pPr>
      <w:r>
        <w:rPr>
          <w:rFonts w:hint="eastAsia" w:eastAsiaTheme="minorEastAsia"/>
          <w:sz w:val="24"/>
        </w:rPr>
        <w:t>（3）切实落实环境保护目标责任制：根据环境规划总目标和污染物总量控制计划，按单位或企业层层分解，建立以企业及主管部门领导为核心的管理体系，明确各自的环境责任，以签订责任状的形式，将责任落实给企业领导者，达到目标管理的目的。</w:t>
      </w:r>
    </w:p>
    <w:p w14:paraId="69CAE006">
      <w:pPr>
        <w:spacing w:line="360" w:lineRule="auto"/>
        <w:ind w:firstLine="480" w:firstLineChars="200"/>
        <w:jc w:val="left"/>
        <w:rPr>
          <w:rFonts w:eastAsiaTheme="minorEastAsia"/>
          <w:sz w:val="24"/>
        </w:rPr>
      </w:pPr>
      <w:r>
        <w:rPr>
          <w:rFonts w:hint="eastAsia" w:eastAsiaTheme="minorEastAsia"/>
          <w:sz w:val="24"/>
        </w:rPr>
        <w:t>（4）健全污染治理设施管理制度：强化企业污染治理设施管理，制定各级岗位责任制，编制设备及工艺的操作规程，建立相应的管理</w:t>
      </w:r>
      <w:r>
        <w:rPr>
          <w:rFonts w:hint="eastAsia" w:eastAsiaTheme="minorEastAsia"/>
          <w:sz w:val="24"/>
          <w:lang w:eastAsia="zh-CN"/>
        </w:rPr>
        <w:t>台账</w:t>
      </w:r>
      <w:r>
        <w:rPr>
          <w:rFonts w:hint="eastAsia" w:eastAsiaTheme="minorEastAsia"/>
          <w:sz w:val="24"/>
        </w:rPr>
        <w:t>。不得擅自拆除或闲置已有的污染处理设施，严禁故意不正常使用污染处理设施。</w:t>
      </w:r>
    </w:p>
    <w:p w14:paraId="507A1BA6">
      <w:pPr>
        <w:spacing w:line="360" w:lineRule="auto"/>
        <w:ind w:firstLine="480" w:firstLineChars="200"/>
        <w:jc w:val="left"/>
        <w:rPr>
          <w:rFonts w:eastAsiaTheme="minorEastAsia"/>
          <w:sz w:val="24"/>
        </w:rPr>
      </w:pPr>
      <w:r>
        <w:rPr>
          <w:rFonts w:hint="eastAsia" w:eastAsiaTheme="minorEastAsia"/>
          <w:sz w:val="24"/>
        </w:rPr>
        <w:t>（5）严格落实各项环境制度：在项目筹备、实施、建设阶段，应严格执行“三同时”制度，确保污染处理设施能够和生产工艺“同时设计”、和项目“同时施工”、与项目生产做到“同时验收运行”，保证区域环境规划的落实。</w:t>
      </w:r>
    </w:p>
    <w:p w14:paraId="27FD401A">
      <w:pPr>
        <w:spacing w:line="360" w:lineRule="auto"/>
        <w:ind w:firstLine="480" w:firstLineChars="200"/>
        <w:jc w:val="left"/>
        <w:rPr>
          <w:rFonts w:eastAsiaTheme="minorEastAsia"/>
          <w:sz w:val="24"/>
        </w:rPr>
      </w:pPr>
      <w:r>
        <w:rPr>
          <w:rFonts w:hint="eastAsia" w:eastAsiaTheme="minorEastAsia"/>
          <w:sz w:val="24"/>
        </w:rPr>
        <w:t>（6）建立报告制度：区内所有排污企业均实行排污许可申报制度，并按照有关规定要求填写排污年报表，上报当地生态环境主管部门。在排污发生重大变化、污染治理设施发生改变或者拟实施新、改、扩建项目计划时，都必须向环境主管部门申报。</w:t>
      </w:r>
    </w:p>
    <w:p w14:paraId="7542BC19">
      <w:pPr>
        <w:spacing w:line="360" w:lineRule="auto"/>
        <w:ind w:firstLine="480" w:firstLineChars="200"/>
        <w:jc w:val="left"/>
        <w:rPr>
          <w:rFonts w:eastAsiaTheme="minorEastAsia"/>
          <w:sz w:val="24"/>
        </w:rPr>
      </w:pPr>
      <w:r>
        <w:rPr>
          <w:rFonts w:hint="eastAsia" w:eastAsiaTheme="minorEastAsia"/>
          <w:sz w:val="24"/>
        </w:rPr>
        <w:t>（7）制定环保奖惩制度：制定环保奖惩条例，鼓励清洁生产，限制和规范企业的环境行为。对于重视环境管理、节能降耗、减少污染物排放，污染治理效果好等利于环境改善的企业，采取一定的奖励措施，对环保观念淡薄、浪费能源与资源的企业则予以重罚。总结区内环境管理优秀的企业经验，给以奖励，并在区内积极推广。</w:t>
      </w:r>
    </w:p>
    <w:p w14:paraId="69DBAE2C">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成立专职的环境管理机构</w:t>
      </w:r>
    </w:p>
    <w:p w14:paraId="20BDBB8C">
      <w:pPr>
        <w:spacing w:line="360" w:lineRule="auto"/>
        <w:ind w:firstLine="480" w:firstLineChars="200"/>
        <w:jc w:val="left"/>
        <w:rPr>
          <w:rFonts w:eastAsiaTheme="minorEastAsia"/>
          <w:sz w:val="24"/>
        </w:rPr>
      </w:pPr>
      <w:r>
        <w:rPr>
          <w:rFonts w:hint="eastAsia" w:eastAsiaTheme="minorEastAsia"/>
          <w:sz w:val="24"/>
        </w:rPr>
        <w:t>园区应成立专职的环境管理机构，该机构应隶属于园区建设管理部门，并设专职人员负责，在随州市生态环境局随县分局的指导下开展园区的日常环境管理工作，具体负责园区环境保护的日常管理和监督以及事故应急处理等工作，并随时同上级环保部门联系，定时汇报情况，形成上下贯通的环境管理机构和网络，对出现的环境问题作出及时的反映和反馈。园区环保机构应负责以下事项：</w:t>
      </w:r>
    </w:p>
    <w:p w14:paraId="53E05798">
      <w:pPr>
        <w:spacing w:line="360" w:lineRule="auto"/>
        <w:ind w:firstLine="480" w:firstLineChars="200"/>
        <w:jc w:val="left"/>
        <w:rPr>
          <w:rFonts w:eastAsiaTheme="minorEastAsia"/>
          <w:sz w:val="24"/>
        </w:rPr>
      </w:pPr>
      <w:r>
        <w:rPr>
          <w:rFonts w:hint="eastAsia" w:eastAsiaTheme="minorEastAsia"/>
          <w:sz w:val="24"/>
        </w:rPr>
        <w:t>（1）制定园区环境管理和安全生产制度、章程，负责园区环境管理体系的建立和保持；</w:t>
      </w:r>
    </w:p>
    <w:p w14:paraId="3AE1CC51">
      <w:pPr>
        <w:spacing w:line="360" w:lineRule="auto"/>
        <w:ind w:firstLine="480" w:firstLineChars="200"/>
        <w:jc w:val="left"/>
        <w:rPr>
          <w:rFonts w:eastAsiaTheme="minorEastAsia"/>
          <w:sz w:val="24"/>
        </w:rPr>
      </w:pPr>
      <w:r>
        <w:rPr>
          <w:rFonts w:hint="eastAsia" w:eastAsiaTheme="minorEastAsia"/>
          <w:sz w:val="24"/>
        </w:rPr>
        <w:t>（2）协助地方环保局对区域环境质量情况进行监测及汇总，统计整理有关环境监测资料并上报地方环保部门；</w:t>
      </w:r>
    </w:p>
    <w:p w14:paraId="50660AF7">
      <w:pPr>
        <w:spacing w:line="360" w:lineRule="auto"/>
        <w:ind w:firstLine="480" w:firstLineChars="200"/>
        <w:jc w:val="left"/>
        <w:rPr>
          <w:rFonts w:eastAsiaTheme="minorEastAsia"/>
          <w:sz w:val="24"/>
        </w:rPr>
      </w:pPr>
      <w:r>
        <w:rPr>
          <w:rFonts w:hint="eastAsia" w:eastAsiaTheme="minorEastAsia"/>
          <w:sz w:val="24"/>
        </w:rPr>
        <w:t>（3）对区内企业“三废”排放、污染防治、环保设施的运行、维修等环境管理和各项环保制度的落实情况进行监督管理；</w:t>
      </w:r>
    </w:p>
    <w:p w14:paraId="1B91B7AB">
      <w:pPr>
        <w:spacing w:line="360" w:lineRule="auto"/>
        <w:ind w:firstLine="480" w:firstLineChars="200"/>
        <w:jc w:val="left"/>
        <w:rPr>
          <w:rFonts w:eastAsiaTheme="minorEastAsia"/>
          <w:sz w:val="24"/>
        </w:rPr>
      </w:pPr>
      <w:r>
        <w:rPr>
          <w:rFonts w:hint="eastAsia" w:eastAsiaTheme="minorEastAsia"/>
          <w:sz w:val="24"/>
        </w:rPr>
        <w:t>（4）协助地方生态环境局进行区内建设项目的环境影响申报、审批、“三同时”验收、排污申报登记等工作；</w:t>
      </w:r>
    </w:p>
    <w:p w14:paraId="32232E94">
      <w:pPr>
        <w:spacing w:line="360" w:lineRule="auto"/>
        <w:ind w:firstLine="480" w:firstLineChars="200"/>
        <w:jc w:val="left"/>
        <w:rPr>
          <w:rFonts w:eastAsiaTheme="minorEastAsia"/>
          <w:sz w:val="24"/>
        </w:rPr>
      </w:pPr>
      <w:r>
        <w:rPr>
          <w:rFonts w:hint="eastAsia" w:eastAsiaTheme="minorEastAsia"/>
          <w:sz w:val="24"/>
        </w:rPr>
        <w:t>（5）负责制定危险化学品储、运设备的应急处置方案，检查落实安全消防措施，开展环保安全管理教育和培训；并负责处理各类污染事故及火灾事故，组织抢救和善后处理。</w:t>
      </w:r>
    </w:p>
    <w:p w14:paraId="1D33E4FF">
      <w:pPr>
        <w:keepNext/>
        <w:keepLines/>
        <w:widowControl/>
        <w:numPr>
          <w:ilvl w:val="2"/>
          <w:numId w:val="1"/>
        </w:numPr>
        <w:spacing w:before="120" w:after="120" w:line="360" w:lineRule="auto"/>
        <w:jc w:val="left"/>
        <w:outlineLvl w:val="2"/>
        <w:rPr>
          <w:rFonts w:eastAsiaTheme="minorEastAsia"/>
          <w:b/>
          <w:bCs/>
          <w:sz w:val="24"/>
        </w:rPr>
      </w:pPr>
      <w:bookmarkStart w:id="208" w:name="_Toc206495034"/>
      <w:r>
        <w:rPr>
          <w:rFonts w:hint="eastAsia" w:eastAsiaTheme="minorEastAsia"/>
          <w:b/>
          <w:bCs/>
          <w:sz w:val="24"/>
        </w:rPr>
        <w:t>环境信息公开</w:t>
      </w:r>
      <w:bookmarkEnd w:id="208"/>
    </w:p>
    <w:p w14:paraId="50ECA259">
      <w:pPr>
        <w:spacing w:line="360" w:lineRule="auto"/>
        <w:ind w:firstLine="480" w:firstLineChars="200"/>
        <w:jc w:val="left"/>
        <w:rPr>
          <w:rFonts w:eastAsiaTheme="minorEastAsia"/>
          <w:sz w:val="24"/>
        </w:rPr>
      </w:pPr>
      <w:r>
        <w:rPr>
          <w:rFonts w:hint="eastAsia" w:eastAsiaTheme="minorEastAsia"/>
          <w:sz w:val="24"/>
        </w:rPr>
        <w:t>信息公开与公众参与是在企业、政府、公众之间就环境问题建立友好伙伴关系的重要环境管理手段。区内环境管理部门定时(如年度)编制园区的环境状况报告书，通过各种媒体和多种形式及时将区内环境信息向社会公布，充分尊重公众的环境知情权，鼓励公众参与、监督产业园的环境管理。在实施信息公开的基础上，提高公众环境意识，收集公众对园区环境、企业环境行为等各方面的反馈意见，在环境管理、政策制定时重视公众的意见和要求，保证走可持续发展的道路。在加强环保队伍建设的同时，应加强对园区公众的环境教育，开展专家讲座、环境专题报告和外出参观等多种形式的环境教育方式，普及环保知识、提高园区全体公众的环境保护意识。</w:t>
      </w:r>
    </w:p>
    <w:p w14:paraId="1F2074FB">
      <w:pPr>
        <w:keepNext/>
        <w:keepLines/>
        <w:widowControl/>
        <w:numPr>
          <w:ilvl w:val="2"/>
          <w:numId w:val="1"/>
        </w:numPr>
        <w:spacing w:before="120" w:after="120" w:line="360" w:lineRule="auto"/>
        <w:jc w:val="left"/>
        <w:outlineLvl w:val="2"/>
        <w:rPr>
          <w:rFonts w:eastAsiaTheme="minorEastAsia"/>
          <w:b/>
          <w:bCs/>
          <w:sz w:val="24"/>
        </w:rPr>
      </w:pPr>
      <w:bookmarkStart w:id="209" w:name="_Toc206495035"/>
      <w:r>
        <w:rPr>
          <w:rFonts w:hint="eastAsia" w:eastAsiaTheme="minorEastAsia"/>
          <w:b/>
          <w:bCs/>
          <w:sz w:val="24"/>
        </w:rPr>
        <w:t>区域环境管理职责建议</w:t>
      </w:r>
      <w:bookmarkEnd w:id="209"/>
    </w:p>
    <w:p w14:paraId="3925C239">
      <w:pPr>
        <w:spacing w:line="360" w:lineRule="auto"/>
        <w:ind w:firstLine="480" w:firstLineChars="200"/>
        <w:jc w:val="left"/>
        <w:rPr>
          <w:rFonts w:eastAsiaTheme="minorEastAsia"/>
          <w:sz w:val="24"/>
        </w:rPr>
      </w:pPr>
      <w:r>
        <w:rPr>
          <w:rFonts w:hint="eastAsia" w:eastAsiaTheme="minorEastAsia"/>
          <w:sz w:val="24"/>
        </w:rPr>
        <w:t>建议园区对企业清洁生产水平要求至少达到国内清洁先进水平，将区域产业进行统一规划建立循环经济产业链带动经济发展，按照规划确定的企业中水回用指标进行考核与管理。园区应将清洁生产、循环经济、中水回用、节能降耗、资源再利用等纳入入区企业的环境管理目标。</w:t>
      </w:r>
    </w:p>
    <w:p w14:paraId="4E0BF22A">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10" w:name="_Toc206495036"/>
      <w:r>
        <w:rPr>
          <w:rFonts w:hint="eastAsia" w:eastAsiaTheme="minorEastAsia"/>
          <w:b/>
          <w:bCs/>
          <w:sz w:val="30"/>
          <w:szCs w:val="28"/>
        </w:rPr>
        <w:t>清洁生产与循环经济要求</w:t>
      </w:r>
      <w:bookmarkEnd w:id="210"/>
    </w:p>
    <w:p w14:paraId="2B1C67FE">
      <w:pPr>
        <w:keepNext/>
        <w:keepLines/>
        <w:widowControl/>
        <w:numPr>
          <w:ilvl w:val="2"/>
          <w:numId w:val="1"/>
        </w:numPr>
        <w:spacing w:before="120" w:after="120" w:line="360" w:lineRule="auto"/>
        <w:jc w:val="left"/>
        <w:outlineLvl w:val="2"/>
        <w:rPr>
          <w:rFonts w:eastAsiaTheme="minorEastAsia"/>
          <w:b/>
          <w:bCs/>
          <w:sz w:val="24"/>
        </w:rPr>
      </w:pPr>
      <w:bookmarkStart w:id="211" w:name="_Toc206495037"/>
      <w:r>
        <w:rPr>
          <w:rFonts w:hint="eastAsia" w:eastAsiaTheme="minorEastAsia"/>
          <w:b/>
          <w:bCs/>
          <w:sz w:val="24"/>
        </w:rPr>
        <w:t>循环经济</w:t>
      </w:r>
      <w:bookmarkEnd w:id="211"/>
    </w:p>
    <w:p w14:paraId="60B30D1A">
      <w:pPr>
        <w:spacing w:line="360" w:lineRule="auto"/>
        <w:ind w:firstLine="480" w:firstLineChars="200"/>
        <w:rPr>
          <w:rFonts w:eastAsiaTheme="minorEastAsia"/>
          <w:sz w:val="24"/>
        </w:rPr>
      </w:pPr>
      <w:r>
        <w:rPr>
          <w:rFonts w:hint="eastAsia" w:eastAsiaTheme="minorEastAsia"/>
          <w:sz w:val="24"/>
        </w:rPr>
        <w:t>循环经济包括三大原则，即“减量化再利用”和“资源化”。园区应在总体规划以及下一步建设规划中加强对区内产业链的分析，合理布局，搭建完善、合理的循环经济构架。</w:t>
      </w:r>
    </w:p>
    <w:p w14:paraId="14C6ECCF">
      <w:pPr>
        <w:spacing w:line="360" w:lineRule="auto"/>
        <w:ind w:firstLine="480" w:firstLineChars="200"/>
        <w:rPr>
          <w:rFonts w:eastAsiaTheme="minorEastAsia"/>
          <w:sz w:val="24"/>
        </w:rPr>
      </w:pPr>
      <w:r>
        <w:rPr>
          <w:rFonts w:hint="eastAsia" w:eastAsiaTheme="minorEastAsia"/>
          <w:sz w:val="24"/>
        </w:rPr>
        <w:t>（1）建设资源循环型企业</w:t>
      </w:r>
    </w:p>
    <w:p w14:paraId="7B2B71BB">
      <w:pPr>
        <w:spacing w:line="360" w:lineRule="auto"/>
        <w:ind w:firstLine="480" w:firstLineChars="200"/>
        <w:rPr>
          <w:rFonts w:eastAsiaTheme="minorEastAsia"/>
          <w:sz w:val="24"/>
        </w:rPr>
      </w:pPr>
      <w:r>
        <w:rPr>
          <w:rFonts w:hint="eastAsia" w:eastAsiaTheme="minorEastAsia"/>
          <w:sz w:val="24"/>
        </w:rPr>
        <w:t>入区的企业应采用清洁生产技术，实行清洁生产审核，使单位产品能耗、物耗、水耗及污染物排放量达到国内同行业先进水平；提高工业用水重复率，实现废水资源化。</w:t>
      </w:r>
    </w:p>
    <w:p w14:paraId="39528BF1">
      <w:pPr>
        <w:spacing w:line="360" w:lineRule="auto"/>
        <w:ind w:firstLine="480" w:firstLineChars="200"/>
        <w:rPr>
          <w:rFonts w:eastAsiaTheme="minorEastAsia"/>
          <w:sz w:val="24"/>
        </w:rPr>
      </w:pPr>
      <w:r>
        <w:rPr>
          <w:rFonts w:hint="eastAsia" w:eastAsiaTheme="minorEastAsia"/>
          <w:sz w:val="24"/>
        </w:rPr>
        <w:t>（2）建设生态工业区</w:t>
      </w:r>
    </w:p>
    <w:p w14:paraId="6CB141F4">
      <w:pPr>
        <w:spacing w:line="360" w:lineRule="auto"/>
        <w:ind w:firstLine="480" w:firstLineChars="200"/>
        <w:rPr>
          <w:rFonts w:eastAsiaTheme="minorEastAsia"/>
          <w:sz w:val="24"/>
        </w:rPr>
      </w:pPr>
      <w:r>
        <w:rPr>
          <w:rFonts w:hint="eastAsia" w:eastAsiaTheme="minorEastAsia"/>
          <w:sz w:val="24"/>
        </w:rPr>
        <w:t>按照循环经济理念，调整园区产业结构和布局，推动产业升级，催生新的经济增长点，科学筛选和确定入区项目，对各入区项目的原材料、副产品和废物要认真研究，通过各个工艺过程的横向耦合和纵向闭合，实现物料的闭路循环各企业在实施清洁生产过程中要与企业产品结构调整、企业技术升级、企业资源综合利用等相结合；</w:t>
      </w:r>
    </w:p>
    <w:p w14:paraId="75641F2F">
      <w:pPr>
        <w:spacing w:line="360" w:lineRule="auto"/>
        <w:ind w:firstLine="480" w:firstLineChars="200"/>
        <w:rPr>
          <w:rFonts w:eastAsiaTheme="minorEastAsia"/>
          <w:sz w:val="24"/>
        </w:rPr>
      </w:pPr>
      <w:r>
        <w:rPr>
          <w:rFonts w:hint="eastAsia" w:eastAsiaTheme="minorEastAsia"/>
          <w:sz w:val="24"/>
        </w:rPr>
        <w:t>根据不同行业、产品、工艺的用能质量要求，规划和设计能源梯度利用流程，使能源在产业链中得到充分利用；建立信息交换中心，及时向企业提供废物最小化、污染防治、清洁生产和提高能源效率等信息，实现信息共享。</w:t>
      </w:r>
    </w:p>
    <w:p w14:paraId="6A292BCF">
      <w:pPr>
        <w:spacing w:line="360" w:lineRule="auto"/>
        <w:ind w:firstLine="480" w:firstLineChars="200"/>
        <w:rPr>
          <w:rFonts w:eastAsiaTheme="minorEastAsia"/>
          <w:sz w:val="24"/>
        </w:rPr>
      </w:pPr>
      <w:r>
        <w:rPr>
          <w:rFonts w:hint="eastAsia" w:eastAsiaTheme="minorEastAsia"/>
          <w:sz w:val="24"/>
        </w:rPr>
        <w:t>（3）建议</w:t>
      </w:r>
    </w:p>
    <w:p w14:paraId="1C4DDE14">
      <w:pPr>
        <w:spacing w:line="360" w:lineRule="auto"/>
        <w:ind w:firstLine="480" w:firstLineChars="200"/>
        <w:rPr>
          <w:rFonts w:eastAsiaTheme="minorEastAsia"/>
          <w:sz w:val="24"/>
        </w:rPr>
      </w:pPr>
      <w:r>
        <w:rPr>
          <w:rFonts w:hint="eastAsia" w:eastAsiaTheme="minorEastAsia"/>
          <w:sz w:val="24"/>
        </w:rPr>
        <w:t>针对区域发展的特点，对园区发展循环经济，环评提出以下建议：①对于入驻企业，应按照清洁生产的要求，采用新的设计和技术，将单位产品的各项消耗和污染物的排放量限定在先进标准许可范围之内，实现企业层面的资源、能源的循环利用。②加强对原辅材料、水资源等消耗定额的管理，实现资源的高效利用和副产物的循环利用，努力提髙资源的产出效益，加强生产废弃物管理，提高企业“三废”综合利用率。③应充分考虑各类项目在生产过程中产生的副产品和废弃物的综合利用，形成较为合理的循环产业经济结构。④应按照产业链发展的需求，将有关联的产业链组合，通过企业和产业间的废物交换、循环利用和清洁生产，减少或杜绝废弃物的排放，实现规划区的经济循环。⑤与周边规划区形成一定产业链，上下游产业对接，提升区域产业的成本优势，实现规划区外的经济循环。⑥应在下一步建设规划中加强对产业链的分析，合理布局，搭建完善、合理的循循环经济构架。</w:t>
      </w:r>
    </w:p>
    <w:p w14:paraId="68D93EA7">
      <w:pPr>
        <w:keepNext/>
        <w:keepLines/>
        <w:widowControl/>
        <w:numPr>
          <w:ilvl w:val="2"/>
          <w:numId w:val="1"/>
        </w:numPr>
        <w:spacing w:before="120" w:after="120" w:line="360" w:lineRule="auto"/>
        <w:jc w:val="left"/>
        <w:outlineLvl w:val="2"/>
        <w:rPr>
          <w:rFonts w:eastAsiaTheme="minorEastAsia"/>
          <w:b/>
          <w:bCs/>
          <w:sz w:val="24"/>
        </w:rPr>
      </w:pPr>
      <w:bookmarkStart w:id="212" w:name="_Toc206495038"/>
      <w:r>
        <w:rPr>
          <w:rFonts w:hint="eastAsia" w:eastAsiaTheme="minorEastAsia"/>
          <w:b/>
          <w:bCs/>
          <w:sz w:val="24"/>
        </w:rPr>
        <w:t>入驻企业清洁生产要求</w:t>
      </w:r>
      <w:bookmarkEnd w:id="212"/>
    </w:p>
    <w:p w14:paraId="04F16344">
      <w:pPr>
        <w:spacing w:line="360" w:lineRule="auto"/>
        <w:ind w:firstLine="480" w:firstLineChars="200"/>
        <w:rPr>
          <w:rFonts w:eastAsiaTheme="minorEastAsia"/>
          <w:sz w:val="24"/>
        </w:rPr>
      </w:pPr>
      <w:r>
        <w:rPr>
          <w:rFonts w:hint="eastAsia" w:eastAsiaTheme="minorEastAsia"/>
          <w:sz w:val="24"/>
        </w:rPr>
        <w:t>园区产业发展以石材加工产业、绿色循环产业项目为主，入区企业必须采用国际或国内先进水平的生产工艺、设备及污染治理技术，能耗、物耗、水耗等均应达到相应行业的清洁生产水平二级或国内先进水平。</w:t>
      </w:r>
    </w:p>
    <w:p w14:paraId="2938EA6E">
      <w:pPr>
        <w:spacing w:line="360" w:lineRule="auto"/>
        <w:ind w:firstLine="480" w:firstLineChars="200"/>
        <w:rPr>
          <w:rFonts w:eastAsiaTheme="minorEastAsia"/>
          <w:sz w:val="24"/>
        </w:rPr>
      </w:pPr>
      <w:r>
        <w:rPr>
          <w:rFonts w:hint="eastAsia" w:eastAsiaTheme="minorEastAsia"/>
          <w:sz w:val="24"/>
        </w:rPr>
        <w:t>生产工艺：要求采用国、内外成熟的清洁生产技术，减少污染物的产生量，主要经济技术指标达到国内一流、国际先进水平。</w:t>
      </w:r>
    </w:p>
    <w:p w14:paraId="3B94D608">
      <w:pPr>
        <w:spacing w:line="360" w:lineRule="auto"/>
        <w:ind w:firstLine="480" w:firstLineChars="200"/>
        <w:rPr>
          <w:rFonts w:eastAsiaTheme="minorEastAsia"/>
          <w:sz w:val="24"/>
        </w:rPr>
      </w:pPr>
      <w:r>
        <w:rPr>
          <w:rFonts w:hint="eastAsia" w:eastAsiaTheme="minorEastAsia"/>
          <w:sz w:val="24"/>
        </w:rPr>
        <w:t>生产设备：要求采用国际先进、国内一流的生产设备，生产设备的自消耗率低、清洁程度髙、基本上杜绝跑、冒、滴、漏、能耗消耗低、污染物排放量小、自动化程度高。</w:t>
      </w:r>
    </w:p>
    <w:p w14:paraId="023A99B0">
      <w:pPr>
        <w:spacing w:line="360" w:lineRule="auto"/>
        <w:ind w:firstLine="480" w:firstLineChars="200"/>
        <w:rPr>
          <w:rFonts w:eastAsiaTheme="minorEastAsia"/>
          <w:sz w:val="24"/>
        </w:rPr>
      </w:pPr>
      <w:r>
        <w:rPr>
          <w:rFonts w:hint="eastAsia" w:eastAsiaTheme="minorEastAsia"/>
          <w:sz w:val="24"/>
        </w:rPr>
        <w:t>产品、能耗指标：要求片区内生产产品除满足相应的企业、行业标准外，还均应满足国内产品标准要求。片内引进的项目需符合区域“清洁生产” 准入原则要求的基本条件。</w:t>
      </w:r>
    </w:p>
    <w:p w14:paraId="13159864">
      <w:pPr>
        <w:spacing w:line="360" w:lineRule="auto"/>
        <w:ind w:firstLine="480" w:firstLineChars="200"/>
        <w:rPr>
          <w:rFonts w:eastAsiaTheme="minorEastAsia"/>
          <w:sz w:val="24"/>
        </w:rPr>
      </w:pPr>
      <w:r>
        <w:rPr>
          <w:rFonts w:hint="eastAsia" w:eastAsiaTheme="minorEastAsia"/>
          <w:sz w:val="24"/>
        </w:rPr>
        <w:t>清洁生产管理：人员管理是实施清洁生产的重要方面。清洁生产管理是以预防为主、节能降耗和实现可持续发展为宗旨。</w:t>
      </w:r>
    </w:p>
    <w:p w14:paraId="2BCC81D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13" w:name="_Toc206495039"/>
      <w:bookmarkStart w:id="214" w:name="_Hlk170468086"/>
      <w:r>
        <w:rPr>
          <w:rFonts w:hint="eastAsia" w:eastAsiaTheme="minorEastAsia"/>
          <w:b/>
          <w:bCs/>
          <w:sz w:val="30"/>
          <w:szCs w:val="28"/>
        </w:rPr>
        <w:t>生态环境准入</w:t>
      </w:r>
      <w:bookmarkEnd w:id="213"/>
      <w:bookmarkEnd w:id="214"/>
    </w:p>
    <w:p w14:paraId="100A30E7">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根据《关于规划环境影响评价加强空间管制、总量管控和环境准入的指导意见（试行）》（环办环评〔2016〕14号）、《“生态保护红线、环境质量底线、资源利用上线和环境准入负面清单”编制技术指南（试行）》（环办环评〔2017〕99号）、《中共中央国务院关于加快推进生态文明建设的意见》及《省环保厅办公室关于进一步做好全省开发区、工业园区规划环境影响评价工作的通知》（鄂环办〔2018〕15号）等要求，结合园区现状调查结果以及优化调整方案，提出规划园区 生态环境准入要求。</w:t>
      </w:r>
    </w:p>
    <w:p w14:paraId="5B3F2B96">
      <w:pPr>
        <w:keepNext/>
        <w:keepLines/>
        <w:widowControl/>
        <w:numPr>
          <w:ilvl w:val="2"/>
          <w:numId w:val="1"/>
        </w:numPr>
        <w:spacing w:before="120" w:after="120" w:line="360" w:lineRule="auto"/>
        <w:jc w:val="left"/>
        <w:outlineLvl w:val="2"/>
        <w:rPr>
          <w:rFonts w:eastAsiaTheme="minorEastAsia"/>
          <w:b/>
          <w:bCs/>
          <w:sz w:val="24"/>
        </w:rPr>
      </w:pPr>
      <w:bookmarkStart w:id="215" w:name="_Toc206495040"/>
      <w:r>
        <w:rPr>
          <w:rFonts w:hint="eastAsia" w:eastAsiaTheme="minorEastAsia"/>
          <w:b/>
          <w:bCs/>
          <w:sz w:val="24"/>
        </w:rPr>
        <w:t>生态保护红线</w:t>
      </w:r>
      <w:bookmarkEnd w:id="215"/>
    </w:p>
    <w:p w14:paraId="7DE1176C">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（1）工作要求</w:t>
      </w:r>
    </w:p>
    <w:p w14:paraId="6A5486FC">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按照“生态功能不降低、面积不减少，性质不改变”的原则，参照《随州市“三区三线”划定工作报告》中划分的随州市生态保护红线，划定生态空间。对生态保护红线区实施最严格的保护措施，原则上禁止一切与保护无关的项目准入。</w:t>
      </w:r>
    </w:p>
    <w:p w14:paraId="35194BDB">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（2）生态保护红线管控</w:t>
      </w:r>
    </w:p>
    <w:p w14:paraId="1F1244A0">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根据《省人民政府关于发布湖北省生态保护红线的通知》（鄂政发[2018]30号）：湖北省生态保护红线总面积4.15万平方公里，占全省面积的22.30%。湖北省生态保护红线总体呈现“四屏三江一区”基本格局。“四屏”指鄂西南武陵山区、鄂西北秦巴山区、鄂东南幕阜山区、鄂东北大别山区四个生态屏障，主要生态功能为水源涵养、生物多样性维护和水土保持；“三江”指长江、汉江和清江干流的重要水域及岸线；“一区”指江汉平原为主的重要湖泊湿地，主要生态功能为生物多样性维护和洪水调蓄。</w:t>
      </w:r>
    </w:p>
    <w:p w14:paraId="1948F9CD">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鄂北岗地水土保持生态保护红线。红线面积占该区国土面积的5.74%，主要分布在随州市全境和襄阳市、荆门市、孝感市的局部地方，主要包含京山对节白蜡省级自然保护区、中华山国家级森林公园、钟祥莫愁湖国家湿地公园、随州大洪山省级地质公园、大洪山国家级风景名胜区、惠亭水库中华鳖国家级水产种质资源保护区等保护地及生态功能极重要区与生态环境极敏感区。</w:t>
      </w:r>
    </w:p>
    <w:p w14:paraId="0FA656D2">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生态保护红线原则上按禁止开发区域的要求进行管理。遵循生态优先、严格管控、奖惩并重的原则，严禁不符合主体功能定位的各类开发活动。根据主导生态功能定位，实施差别化管理，确保生态保护红线生态功能不降低、面积不减少、性质不改变。</w:t>
      </w:r>
    </w:p>
    <w:p w14:paraId="04B93767">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2021年6月25日，随州市人民政府发布了</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要严格落实生态环境法律法规标准和相关政策要求，以维护区域生态功能和解决突出环境问题为导向，基于生态保护红线、环境质量底线、资源利用上线，配合完善并落实省域、市域及各类环境管控单元的生态环境分区管控体系。规划发展区域入驻项目应符合生态保护红线要求。</w:t>
      </w:r>
    </w:p>
    <w:p w14:paraId="780DCAF3">
      <w:pPr>
        <w:keepNext/>
        <w:keepLines/>
        <w:widowControl/>
        <w:numPr>
          <w:ilvl w:val="2"/>
          <w:numId w:val="1"/>
        </w:numPr>
        <w:spacing w:before="120" w:after="120" w:line="360" w:lineRule="auto"/>
        <w:jc w:val="left"/>
        <w:outlineLvl w:val="2"/>
        <w:rPr>
          <w:rFonts w:eastAsiaTheme="minorEastAsia"/>
          <w:b/>
          <w:bCs/>
          <w:sz w:val="24"/>
        </w:rPr>
      </w:pPr>
      <w:bookmarkStart w:id="216" w:name="_Toc206495041"/>
      <w:r>
        <w:rPr>
          <w:rFonts w:hint="eastAsia" w:eastAsiaTheme="minorEastAsia"/>
          <w:b/>
          <w:bCs/>
          <w:sz w:val="24"/>
        </w:rPr>
        <w:t>环境质量底线</w:t>
      </w:r>
      <w:bookmarkEnd w:id="216"/>
    </w:p>
    <w:p w14:paraId="4C158C7A">
      <w:pPr>
        <w:widowControl/>
        <w:adjustRightInd w:val="0"/>
        <w:snapToGrid w:val="0"/>
        <w:spacing w:line="360" w:lineRule="auto"/>
        <w:ind w:firstLine="480" w:firstLineChars="200"/>
        <w:rPr>
          <w:sz w:val="24"/>
        </w:rPr>
      </w:pPr>
      <w:r>
        <w:rPr>
          <w:rFonts w:hint="eastAsia" w:eastAsiaTheme="minorEastAsia"/>
          <w:sz w:val="24"/>
        </w:rPr>
        <w:t>（1）</w:t>
      </w:r>
      <w:r>
        <w:rPr>
          <w:rFonts w:hint="eastAsia"/>
          <w:sz w:val="24"/>
        </w:rPr>
        <w:t>水环境质量底线</w:t>
      </w:r>
    </w:p>
    <w:p w14:paraId="1001E111">
      <w:pPr>
        <w:widowControl/>
        <w:adjustRightInd w:val="0"/>
        <w:snapToGrid w:val="0"/>
        <w:spacing w:line="360" w:lineRule="auto"/>
        <w:ind w:firstLine="480" w:firstLineChars="200"/>
        <w:rPr>
          <w:sz w:val="24"/>
        </w:rPr>
      </w:pPr>
      <w:r>
        <w:rPr>
          <w:rFonts w:hint="eastAsia"/>
          <w:sz w:val="24"/>
        </w:rPr>
        <w:t>根据区域地表水环境功能区划，规划区</w:t>
      </w:r>
      <w:r>
        <w:rPr>
          <w:rFonts w:hint="eastAsia" w:eastAsiaTheme="minorEastAsia"/>
          <w:sz w:val="24"/>
        </w:rPr>
        <w:t>溠水、厥水河、漂水、游河</w:t>
      </w:r>
      <w:r>
        <w:rPr>
          <w:rFonts w:hint="eastAsia"/>
          <w:sz w:val="24"/>
        </w:rPr>
        <w:t>执行《地表水环境质量标准》（GB3838-2002）Ⅲ类标准。区域水环境质量底线确定为《地表水环境质量标准》（GB3838-2002）Ⅲ类标准。</w:t>
      </w:r>
    </w:p>
    <w:p w14:paraId="21AFE9B8">
      <w:pPr>
        <w:widowControl/>
        <w:adjustRightInd w:val="0"/>
        <w:snapToGrid w:val="0"/>
        <w:spacing w:line="360" w:lineRule="auto"/>
        <w:ind w:firstLine="480" w:firstLineChars="200"/>
        <w:rPr>
          <w:rFonts w:eastAsiaTheme="minorEastAsia"/>
          <w:kern w:val="20"/>
          <w:sz w:val="24"/>
        </w:rPr>
      </w:pPr>
      <w:r>
        <w:rPr>
          <w:rFonts w:hint="eastAsia" w:eastAsiaTheme="minorEastAsia"/>
          <w:kern w:val="20"/>
          <w:sz w:val="24"/>
        </w:rPr>
        <w:t>（2）大气环境质量底线</w:t>
      </w:r>
    </w:p>
    <w:p w14:paraId="3B38D70B">
      <w:pPr>
        <w:widowControl/>
        <w:adjustRightInd w:val="0"/>
        <w:snapToGrid w:val="0"/>
        <w:spacing w:line="360" w:lineRule="auto"/>
        <w:ind w:firstLine="480" w:firstLineChars="200"/>
        <w:rPr>
          <w:rFonts w:eastAsiaTheme="minorEastAsia"/>
          <w:kern w:val="20"/>
          <w:sz w:val="24"/>
        </w:rPr>
      </w:pPr>
      <w:r>
        <w:rPr>
          <w:rFonts w:hint="eastAsia" w:eastAsiaTheme="minorEastAsia"/>
          <w:kern w:val="20"/>
          <w:sz w:val="24"/>
        </w:rPr>
        <w:t>规划范围内环境空气功能区为《环境空气质量标准》（GB3095-2012）中的二类区，2035年区域大气环境质量底线确定为SO</w:t>
      </w:r>
      <w:r>
        <w:rPr>
          <w:rFonts w:hint="eastAsia" w:eastAsiaTheme="minorEastAsia"/>
          <w:kern w:val="20"/>
          <w:sz w:val="24"/>
          <w:vertAlign w:val="subscript"/>
        </w:rPr>
        <w:t xml:space="preserve">2 </w:t>
      </w:r>
      <w:r>
        <w:rPr>
          <w:rFonts w:hint="eastAsia" w:eastAsiaTheme="minorEastAsia"/>
          <w:kern w:val="20"/>
          <w:sz w:val="24"/>
        </w:rPr>
        <w:t>60μg/m</w:t>
      </w:r>
      <w:r>
        <w:rPr>
          <w:rFonts w:eastAsiaTheme="minorEastAsia"/>
          <w:kern w:val="20"/>
          <w:sz w:val="24"/>
        </w:rPr>
        <w:t>³</w:t>
      </w:r>
      <w:r>
        <w:rPr>
          <w:rFonts w:hint="eastAsia" w:eastAsiaTheme="minorEastAsia"/>
          <w:kern w:val="20"/>
          <w:sz w:val="24"/>
        </w:rPr>
        <w:t>、NO</w:t>
      </w:r>
      <w:r>
        <w:rPr>
          <w:rFonts w:hint="eastAsia" w:eastAsiaTheme="minorEastAsia"/>
          <w:kern w:val="20"/>
          <w:sz w:val="24"/>
          <w:vertAlign w:val="subscript"/>
        </w:rPr>
        <w:t>2</w:t>
      </w:r>
      <w:r>
        <w:rPr>
          <w:rFonts w:hint="eastAsia" w:eastAsiaTheme="minorEastAsia"/>
          <w:kern w:val="20"/>
          <w:sz w:val="24"/>
        </w:rPr>
        <w:t xml:space="preserve"> 40μg/m</w:t>
      </w:r>
      <w:r>
        <w:rPr>
          <w:rFonts w:eastAsiaTheme="minorEastAsia"/>
          <w:kern w:val="20"/>
          <w:sz w:val="24"/>
        </w:rPr>
        <w:t>³</w:t>
      </w:r>
      <w:r>
        <w:rPr>
          <w:rFonts w:hint="eastAsia" w:eastAsiaTheme="minorEastAsia"/>
          <w:kern w:val="20"/>
          <w:sz w:val="24"/>
        </w:rPr>
        <w:t>、PM</w:t>
      </w:r>
      <w:r>
        <w:rPr>
          <w:rFonts w:hint="eastAsia" w:eastAsiaTheme="minorEastAsia"/>
          <w:kern w:val="20"/>
          <w:sz w:val="24"/>
          <w:vertAlign w:val="subscript"/>
        </w:rPr>
        <w:t>10</w:t>
      </w:r>
      <w:r>
        <w:rPr>
          <w:rFonts w:hint="eastAsia" w:eastAsiaTheme="minorEastAsia"/>
          <w:kern w:val="20"/>
          <w:sz w:val="24"/>
        </w:rPr>
        <w:t xml:space="preserve"> 70μg/m</w:t>
      </w:r>
      <w:r>
        <w:rPr>
          <w:rFonts w:eastAsiaTheme="minorEastAsia"/>
          <w:kern w:val="20"/>
          <w:sz w:val="24"/>
        </w:rPr>
        <w:t>³</w:t>
      </w:r>
      <w:r>
        <w:rPr>
          <w:rFonts w:hint="eastAsia" w:eastAsiaTheme="minorEastAsia"/>
          <w:kern w:val="20"/>
          <w:sz w:val="24"/>
        </w:rPr>
        <w:t>、PM</w:t>
      </w:r>
      <w:r>
        <w:rPr>
          <w:rFonts w:hint="eastAsia" w:eastAsiaTheme="minorEastAsia"/>
          <w:kern w:val="20"/>
          <w:sz w:val="24"/>
          <w:vertAlign w:val="subscript"/>
        </w:rPr>
        <w:t>2.5</w:t>
      </w:r>
      <w:r>
        <w:rPr>
          <w:rFonts w:hint="eastAsia" w:eastAsiaTheme="minorEastAsia"/>
          <w:kern w:val="20"/>
          <w:sz w:val="24"/>
        </w:rPr>
        <w:t>35μg/m</w:t>
      </w:r>
      <w:r>
        <w:rPr>
          <w:rFonts w:eastAsiaTheme="minorEastAsia"/>
          <w:kern w:val="20"/>
          <w:sz w:val="24"/>
        </w:rPr>
        <w:t>³</w:t>
      </w:r>
      <w:r>
        <w:rPr>
          <w:rFonts w:hint="eastAsia" w:eastAsiaTheme="minorEastAsia"/>
          <w:kern w:val="20"/>
          <w:sz w:val="24"/>
        </w:rPr>
        <w:t>。</w:t>
      </w:r>
    </w:p>
    <w:p w14:paraId="42C77FCC">
      <w:pPr>
        <w:widowControl/>
        <w:adjustRightInd w:val="0"/>
        <w:snapToGrid w:val="0"/>
        <w:spacing w:line="360" w:lineRule="auto"/>
        <w:ind w:firstLine="480" w:firstLineChars="200"/>
        <w:rPr>
          <w:rFonts w:eastAsiaTheme="minorEastAsia"/>
          <w:sz w:val="24"/>
        </w:rPr>
      </w:pPr>
      <w:r>
        <w:rPr>
          <w:rFonts w:hint="eastAsia" w:eastAsiaTheme="minorEastAsia"/>
          <w:sz w:val="24"/>
        </w:rPr>
        <w:t>（3）土壤环境质量底线</w:t>
      </w:r>
    </w:p>
    <w:p w14:paraId="6751DCAF">
      <w:pPr>
        <w:widowControl/>
        <w:adjustRightInd w:val="0"/>
        <w:snapToGrid w:val="0"/>
        <w:spacing w:line="360" w:lineRule="auto"/>
        <w:ind w:firstLine="480" w:firstLineChars="200"/>
        <w:rPr>
          <w:rFonts w:eastAsiaTheme="minorEastAsia"/>
          <w:sz w:val="24"/>
        </w:rPr>
      </w:pPr>
      <w:r>
        <w:rPr>
          <w:rFonts w:hint="eastAsia" w:eastAsiaTheme="minorEastAsia"/>
          <w:sz w:val="24"/>
        </w:rPr>
        <w:t>土壤环境各指标低于《土壤环境质量 农用地土壤污染风险管控标准（试行）》（GB15618-2018）、《土壤环境质量 建设用地土壤污染风险管控标准（试行）》（GB36600-2018）土壤风险筛选值。园区土壤状况满足质量底线要求。</w:t>
      </w:r>
    </w:p>
    <w:p w14:paraId="6347BDE7">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（4）环境质量底线清单</w:t>
      </w:r>
    </w:p>
    <w:p w14:paraId="754AE1EA">
      <w:pPr>
        <w:widowControl/>
        <w:adjustRightInd w:val="0"/>
        <w:snapToGrid w:val="0"/>
        <w:spacing w:line="360" w:lineRule="auto"/>
        <w:ind w:firstLine="480" w:firstLineChars="200"/>
        <w:rPr>
          <w:rFonts w:eastAsiaTheme="minorEastAsia"/>
          <w:sz w:val="24"/>
        </w:rPr>
      </w:pPr>
      <w:r>
        <w:rPr>
          <w:rFonts w:hint="eastAsia" w:eastAsiaTheme="minorEastAsia"/>
          <w:sz w:val="24"/>
        </w:rPr>
        <w:t>在园区项目实施过程要以环境质量为底线，加快配套环境保护设施建设，加强入园企业环境监督管理，确保区域环境质量状况不恶化并逐步改善。</w:t>
      </w:r>
    </w:p>
    <w:p w14:paraId="43D1F58E">
      <w:pPr>
        <w:widowControl/>
        <w:adjustRightInd w:val="0"/>
        <w:snapToGrid w:val="0"/>
        <w:spacing w:line="360" w:lineRule="auto"/>
        <w:ind w:firstLine="480" w:firstLineChars="200"/>
        <w:rPr>
          <w:rFonts w:eastAsiaTheme="minorEastAsia"/>
          <w:sz w:val="24"/>
        </w:rPr>
      </w:pPr>
      <w:r>
        <w:rPr>
          <w:rFonts w:hint="eastAsia" w:eastAsiaTheme="minorEastAsia"/>
          <w:sz w:val="24"/>
        </w:rPr>
        <w:t>园区环境质量底线建议清单见下表。</w:t>
      </w:r>
    </w:p>
    <w:p w14:paraId="5266BAC6">
      <w:pPr>
        <w:spacing w:line="360" w:lineRule="auto"/>
        <w:ind w:firstLine="422" w:firstLineChars="200"/>
        <w:jc w:val="center"/>
        <w:rPr>
          <w:b/>
          <w:szCs w:val="21"/>
        </w:rPr>
      </w:pPr>
      <w:r>
        <w:rPr>
          <w:rFonts w:hint="eastAsia"/>
          <w:b/>
          <w:szCs w:val="21"/>
        </w:rPr>
        <w:t>表7.4.3-2    园区环境质量底线清单表</w:t>
      </w:r>
      <w:r>
        <w:rPr>
          <w:b/>
          <w:szCs w:val="21"/>
        </w:rPr>
        <w:t xml:space="preserve"> </w:t>
      </w:r>
    </w:p>
    <w:tbl>
      <w:tblPr>
        <w:tblStyle w:val="8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7"/>
        <w:gridCol w:w="662"/>
        <w:gridCol w:w="357"/>
        <w:gridCol w:w="1390"/>
        <w:gridCol w:w="1842"/>
        <w:gridCol w:w="1717"/>
        <w:gridCol w:w="1033"/>
      </w:tblGrid>
      <w:tr w14:paraId="325C7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7"/>
            <w:vAlign w:val="center"/>
          </w:tcPr>
          <w:p w14:paraId="7C8977C5">
            <w:pPr>
              <w:pStyle w:val="45"/>
              <w:spacing w:line="320" w:lineRule="exact"/>
              <w:contextualSpacing/>
              <w:jc w:val="center"/>
              <w:rPr>
                <w:rFonts w:ascii="Times New Roman" w:hAnsi="Times New Roman" w:cs="Times New Roman"/>
                <w:szCs w:val="21"/>
              </w:rPr>
            </w:pPr>
            <w:bookmarkStart w:id="217" w:name="_Hlk169019797"/>
            <w:r>
              <w:rPr>
                <w:rFonts w:hint="eastAsia" w:ascii="Times New Roman" w:hAnsi="Times New Roman" w:cs="Times New Roman"/>
                <w:szCs w:val="21"/>
              </w:rPr>
              <w:t>大气环境质量（单位：</w:t>
            </w:r>
            <w:r>
              <w:rPr>
                <w:rFonts w:ascii="Times New Roman" w:hAnsi="Times New Roman" w:cs="Times New Roman"/>
                <w:szCs w:val="21"/>
              </w:rPr>
              <w:t>mg/m³</w:t>
            </w:r>
            <w:r>
              <w:rPr>
                <w:rFonts w:hint="eastAsia" w:ascii="Times New Roman" w:hAnsi="Times New Roman" w:cs="Times New Roman"/>
                <w:szCs w:val="21"/>
              </w:rPr>
              <w:t>）</w:t>
            </w:r>
          </w:p>
        </w:tc>
      </w:tr>
      <w:tr w14:paraId="1248F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546" w:type="dxa"/>
            <w:gridSpan w:val="3"/>
            <w:tcBorders>
              <w:right w:val="single" w:color="auto" w:sz="4" w:space="0"/>
            </w:tcBorders>
            <w:vAlign w:val="center"/>
          </w:tcPr>
          <w:p w14:paraId="278C15E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项目</w:t>
            </w:r>
          </w:p>
        </w:tc>
        <w:tc>
          <w:tcPr>
            <w:tcW w:w="1390" w:type="dxa"/>
            <w:tcBorders>
              <w:left w:val="single" w:color="auto" w:sz="4" w:space="0"/>
            </w:tcBorders>
            <w:vAlign w:val="center"/>
          </w:tcPr>
          <w:p w14:paraId="1266E6B9">
            <w:pPr>
              <w:pStyle w:val="45"/>
              <w:spacing w:line="320" w:lineRule="exact"/>
              <w:contextualSpacing/>
              <w:jc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10</w:t>
            </w:r>
          </w:p>
        </w:tc>
        <w:tc>
          <w:tcPr>
            <w:tcW w:w="1842" w:type="dxa"/>
            <w:tcBorders>
              <w:right w:val="single" w:color="auto" w:sz="4" w:space="0"/>
            </w:tcBorders>
            <w:vAlign w:val="center"/>
          </w:tcPr>
          <w:p w14:paraId="489DB065">
            <w:pPr>
              <w:pStyle w:val="45"/>
              <w:spacing w:line="320" w:lineRule="exact"/>
              <w:contextualSpacing/>
              <w:jc w:val="center"/>
              <w:rPr>
                <w:rFonts w:ascii="Times New Roman" w:hAnsi="Times New Roman" w:cs="Times New Roman"/>
                <w:szCs w:val="21"/>
              </w:rPr>
            </w:pPr>
            <w:r>
              <w:rPr>
                <w:rFonts w:ascii="Times New Roman" w:hAnsi="Times New Roman" w:cs="Times New Roman"/>
                <w:szCs w:val="21"/>
              </w:rPr>
              <w:t>PM</w:t>
            </w:r>
            <w:r>
              <w:rPr>
                <w:rFonts w:ascii="Times New Roman" w:hAnsi="Times New Roman" w:cs="Times New Roman"/>
                <w:szCs w:val="21"/>
                <w:vertAlign w:val="subscript"/>
              </w:rPr>
              <w:t>2.5</w:t>
            </w:r>
          </w:p>
        </w:tc>
        <w:tc>
          <w:tcPr>
            <w:tcW w:w="1717" w:type="dxa"/>
            <w:tcBorders>
              <w:left w:val="single" w:color="auto" w:sz="4" w:space="0"/>
              <w:right w:val="single" w:color="auto" w:sz="4" w:space="0"/>
            </w:tcBorders>
            <w:vAlign w:val="center"/>
          </w:tcPr>
          <w:p w14:paraId="3D1EF083">
            <w:pPr>
              <w:pStyle w:val="45"/>
              <w:spacing w:line="320" w:lineRule="exact"/>
              <w:contextualSpacing/>
              <w:jc w:val="center"/>
              <w:rPr>
                <w:rFonts w:ascii="Times New Roman" w:hAnsi="Times New Roman" w:cs="Times New Roman"/>
                <w:szCs w:val="21"/>
              </w:rPr>
            </w:pPr>
            <w:r>
              <w:rPr>
                <w:rFonts w:ascii="Times New Roman" w:hAnsi="Times New Roman" w:cs="Times New Roman"/>
                <w:szCs w:val="21"/>
              </w:rPr>
              <w:t>SO</w:t>
            </w:r>
            <w:r>
              <w:rPr>
                <w:rFonts w:ascii="Times New Roman" w:hAnsi="Times New Roman" w:cs="Times New Roman"/>
                <w:szCs w:val="21"/>
                <w:vertAlign w:val="subscript"/>
              </w:rPr>
              <w:t>2</w:t>
            </w:r>
          </w:p>
        </w:tc>
        <w:tc>
          <w:tcPr>
            <w:tcW w:w="1033" w:type="dxa"/>
            <w:tcBorders>
              <w:left w:val="single" w:color="auto" w:sz="4" w:space="0"/>
            </w:tcBorders>
            <w:vAlign w:val="center"/>
          </w:tcPr>
          <w:p w14:paraId="008B9910">
            <w:pPr>
              <w:pStyle w:val="45"/>
              <w:spacing w:line="320" w:lineRule="exact"/>
              <w:contextualSpacing/>
              <w:jc w:val="center"/>
              <w:rPr>
                <w:rFonts w:ascii="Times New Roman" w:hAnsi="Times New Roman" w:cs="Times New Roman"/>
                <w:szCs w:val="21"/>
              </w:rPr>
            </w:pPr>
            <w:r>
              <w:rPr>
                <w:rFonts w:ascii="Times New Roman" w:hAnsi="Times New Roman" w:cs="Times New Roman"/>
                <w:szCs w:val="21"/>
              </w:rPr>
              <w:t>NO</w:t>
            </w:r>
            <w:r>
              <w:rPr>
                <w:rFonts w:ascii="Times New Roman" w:hAnsi="Times New Roman" w:cs="Times New Roman"/>
                <w:szCs w:val="21"/>
                <w:vertAlign w:val="subscript"/>
              </w:rPr>
              <w:t>2</w:t>
            </w:r>
          </w:p>
        </w:tc>
      </w:tr>
      <w:tr w14:paraId="02B3F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527" w:type="dxa"/>
            <w:tcBorders>
              <w:right w:val="single" w:color="auto" w:sz="4" w:space="0"/>
            </w:tcBorders>
            <w:vAlign w:val="center"/>
          </w:tcPr>
          <w:p w14:paraId="7ED2FA4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现状</w:t>
            </w:r>
          </w:p>
        </w:tc>
        <w:tc>
          <w:tcPr>
            <w:tcW w:w="1019" w:type="dxa"/>
            <w:gridSpan w:val="2"/>
            <w:tcBorders>
              <w:left w:val="single" w:color="auto" w:sz="4" w:space="0"/>
              <w:right w:val="single" w:color="auto" w:sz="4" w:space="0"/>
            </w:tcBorders>
            <w:vAlign w:val="center"/>
          </w:tcPr>
          <w:p w14:paraId="4BFAC8D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2024年</w:t>
            </w:r>
          </w:p>
        </w:tc>
        <w:tc>
          <w:tcPr>
            <w:tcW w:w="1390" w:type="dxa"/>
            <w:tcBorders>
              <w:left w:val="single" w:color="auto" w:sz="4" w:space="0"/>
            </w:tcBorders>
            <w:vAlign w:val="center"/>
          </w:tcPr>
          <w:p w14:paraId="731ADC0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0.054</w:t>
            </w:r>
          </w:p>
        </w:tc>
        <w:tc>
          <w:tcPr>
            <w:tcW w:w="1842" w:type="dxa"/>
            <w:tcBorders>
              <w:right w:val="single" w:color="auto" w:sz="4" w:space="0"/>
            </w:tcBorders>
            <w:vAlign w:val="center"/>
          </w:tcPr>
          <w:p w14:paraId="55D932B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0.039</w:t>
            </w:r>
          </w:p>
        </w:tc>
        <w:tc>
          <w:tcPr>
            <w:tcW w:w="1717" w:type="dxa"/>
            <w:tcBorders>
              <w:left w:val="single" w:color="auto" w:sz="4" w:space="0"/>
              <w:right w:val="single" w:color="auto" w:sz="4" w:space="0"/>
            </w:tcBorders>
            <w:vAlign w:val="center"/>
          </w:tcPr>
          <w:p w14:paraId="4E6D754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0.008</w:t>
            </w:r>
          </w:p>
        </w:tc>
        <w:tc>
          <w:tcPr>
            <w:tcW w:w="1033" w:type="dxa"/>
            <w:tcBorders>
              <w:left w:val="single" w:color="auto" w:sz="4" w:space="0"/>
            </w:tcBorders>
            <w:vAlign w:val="center"/>
          </w:tcPr>
          <w:p w14:paraId="3206056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0.016</w:t>
            </w:r>
          </w:p>
        </w:tc>
      </w:tr>
      <w:tr w14:paraId="119C9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527" w:type="dxa"/>
            <w:tcBorders>
              <w:right w:val="single" w:color="auto" w:sz="4" w:space="0"/>
            </w:tcBorders>
            <w:vAlign w:val="center"/>
          </w:tcPr>
          <w:p w14:paraId="6DFEDAD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环境质量底线</w:t>
            </w:r>
          </w:p>
        </w:tc>
        <w:tc>
          <w:tcPr>
            <w:tcW w:w="1019" w:type="dxa"/>
            <w:gridSpan w:val="2"/>
            <w:tcBorders>
              <w:left w:val="single" w:color="auto" w:sz="4" w:space="0"/>
              <w:right w:val="single" w:color="auto" w:sz="4" w:space="0"/>
            </w:tcBorders>
            <w:vAlign w:val="center"/>
          </w:tcPr>
          <w:p w14:paraId="199541B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2035年</w:t>
            </w:r>
          </w:p>
        </w:tc>
        <w:tc>
          <w:tcPr>
            <w:tcW w:w="1390" w:type="dxa"/>
            <w:tcBorders>
              <w:left w:val="single" w:color="auto" w:sz="4" w:space="0"/>
            </w:tcBorders>
            <w:vAlign w:val="center"/>
          </w:tcPr>
          <w:p w14:paraId="5BEB15E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0.070</w:t>
            </w:r>
          </w:p>
        </w:tc>
        <w:tc>
          <w:tcPr>
            <w:tcW w:w="1842" w:type="dxa"/>
            <w:tcBorders>
              <w:right w:val="single" w:color="auto" w:sz="4" w:space="0"/>
            </w:tcBorders>
            <w:vAlign w:val="center"/>
          </w:tcPr>
          <w:p w14:paraId="181228A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0.035</w:t>
            </w:r>
          </w:p>
        </w:tc>
        <w:tc>
          <w:tcPr>
            <w:tcW w:w="1717" w:type="dxa"/>
            <w:tcBorders>
              <w:left w:val="single" w:color="auto" w:sz="4" w:space="0"/>
              <w:right w:val="single" w:color="auto" w:sz="4" w:space="0"/>
            </w:tcBorders>
            <w:vAlign w:val="center"/>
          </w:tcPr>
          <w:p w14:paraId="5320CA2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0.060</w:t>
            </w:r>
          </w:p>
        </w:tc>
        <w:tc>
          <w:tcPr>
            <w:tcW w:w="1033" w:type="dxa"/>
            <w:tcBorders>
              <w:left w:val="single" w:color="auto" w:sz="4" w:space="0"/>
            </w:tcBorders>
            <w:vAlign w:val="center"/>
          </w:tcPr>
          <w:p w14:paraId="04BF699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0.040</w:t>
            </w:r>
          </w:p>
        </w:tc>
      </w:tr>
      <w:tr w14:paraId="51931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7"/>
            <w:vAlign w:val="center"/>
          </w:tcPr>
          <w:p w14:paraId="0920D50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地表水环境质量</w:t>
            </w:r>
          </w:p>
        </w:tc>
      </w:tr>
      <w:tr w14:paraId="3AFEC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1067BFF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水体</w:t>
            </w:r>
          </w:p>
        </w:tc>
        <w:tc>
          <w:tcPr>
            <w:tcW w:w="1747" w:type="dxa"/>
            <w:gridSpan w:val="2"/>
            <w:tcBorders>
              <w:left w:val="single" w:color="auto" w:sz="4" w:space="0"/>
            </w:tcBorders>
            <w:vAlign w:val="center"/>
          </w:tcPr>
          <w:p w14:paraId="487C640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水质现状</w:t>
            </w:r>
          </w:p>
        </w:tc>
        <w:tc>
          <w:tcPr>
            <w:tcW w:w="1842" w:type="dxa"/>
            <w:tcBorders>
              <w:right w:val="single" w:color="auto" w:sz="4" w:space="0"/>
            </w:tcBorders>
            <w:vAlign w:val="center"/>
          </w:tcPr>
          <w:p w14:paraId="239CB88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环境质量底线</w:t>
            </w:r>
          </w:p>
        </w:tc>
        <w:tc>
          <w:tcPr>
            <w:tcW w:w="2750" w:type="dxa"/>
            <w:gridSpan w:val="2"/>
            <w:tcBorders>
              <w:left w:val="single" w:color="auto" w:sz="4" w:space="0"/>
            </w:tcBorders>
            <w:vAlign w:val="center"/>
          </w:tcPr>
          <w:p w14:paraId="094DC1C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备注</w:t>
            </w:r>
          </w:p>
        </w:tc>
      </w:tr>
      <w:tr w14:paraId="7C5DC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0122E66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溠水、厥水河、漂水、游河</w:t>
            </w:r>
          </w:p>
        </w:tc>
        <w:tc>
          <w:tcPr>
            <w:tcW w:w="1747" w:type="dxa"/>
            <w:gridSpan w:val="2"/>
            <w:tcBorders>
              <w:left w:val="single" w:color="auto" w:sz="4" w:space="0"/>
            </w:tcBorders>
            <w:vAlign w:val="center"/>
          </w:tcPr>
          <w:p w14:paraId="6F3311C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Ⅲ类</w:t>
            </w:r>
          </w:p>
        </w:tc>
        <w:tc>
          <w:tcPr>
            <w:tcW w:w="1842" w:type="dxa"/>
            <w:tcBorders>
              <w:right w:val="single" w:color="auto" w:sz="4" w:space="0"/>
            </w:tcBorders>
            <w:vAlign w:val="center"/>
          </w:tcPr>
          <w:p w14:paraId="5180DEF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Ⅲ类</w:t>
            </w:r>
          </w:p>
        </w:tc>
        <w:tc>
          <w:tcPr>
            <w:tcW w:w="2750" w:type="dxa"/>
            <w:gridSpan w:val="2"/>
            <w:tcBorders>
              <w:left w:val="single" w:color="auto" w:sz="4" w:space="0"/>
            </w:tcBorders>
            <w:vAlign w:val="center"/>
          </w:tcPr>
          <w:p w14:paraId="6DB5EE0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纳污水体</w:t>
            </w:r>
          </w:p>
        </w:tc>
      </w:tr>
      <w:tr w14:paraId="796F9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7"/>
            <w:vAlign w:val="center"/>
          </w:tcPr>
          <w:p w14:paraId="40C987A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地下水环境质量</w:t>
            </w:r>
          </w:p>
        </w:tc>
      </w:tr>
      <w:tr w14:paraId="229E5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01E6814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评价区</w:t>
            </w:r>
          </w:p>
        </w:tc>
        <w:tc>
          <w:tcPr>
            <w:tcW w:w="1747" w:type="dxa"/>
            <w:gridSpan w:val="2"/>
            <w:tcBorders>
              <w:left w:val="single" w:color="auto" w:sz="4" w:space="0"/>
            </w:tcBorders>
            <w:vAlign w:val="center"/>
          </w:tcPr>
          <w:p w14:paraId="783B731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水质现状</w:t>
            </w:r>
          </w:p>
        </w:tc>
        <w:tc>
          <w:tcPr>
            <w:tcW w:w="1842" w:type="dxa"/>
            <w:tcBorders>
              <w:right w:val="single" w:color="auto" w:sz="4" w:space="0"/>
            </w:tcBorders>
            <w:vAlign w:val="center"/>
          </w:tcPr>
          <w:p w14:paraId="5FF0BE8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环境质量底线</w:t>
            </w:r>
          </w:p>
        </w:tc>
        <w:tc>
          <w:tcPr>
            <w:tcW w:w="2750" w:type="dxa"/>
            <w:gridSpan w:val="2"/>
            <w:tcBorders>
              <w:left w:val="single" w:color="auto" w:sz="4" w:space="0"/>
            </w:tcBorders>
            <w:vAlign w:val="center"/>
          </w:tcPr>
          <w:p w14:paraId="6061BBB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备注</w:t>
            </w:r>
          </w:p>
        </w:tc>
      </w:tr>
      <w:tr w14:paraId="2E8FD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195BECA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水文地质单元</w:t>
            </w:r>
          </w:p>
        </w:tc>
        <w:tc>
          <w:tcPr>
            <w:tcW w:w="1747" w:type="dxa"/>
            <w:gridSpan w:val="2"/>
            <w:tcBorders>
              <w:left w:val="single" w:color="auto" w:sz="4" w:space="0"/>
            </w:tcBorders>
            <w:vAlign w:val="center"/>
          </w:tcPr>
          <w:p w14:paraId="442292A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Ⅲ类</w:t>
            </w:r>
          </w:p>
        </w:tc>
        <w:tc>
          <w:tcPr>
            <w:tcW w:w="1842" w:type="dxa"/>
            <w:tcBorders>
              <w:right w:val="single" w:color="auto" w:sz="4" w:space="0"/>
            </w:tcBorders>
            <w:vAlign w:val="center"/>
          </w:tcPr>
          <w:p w14:paraId="5AD5BC8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Ⅲ类</w:t>
            </w:r>
          </w:p>
        </w:tc>
        <w:tc>
          <w:tcPr>
            <w:tcW w:w="2750" w:type="dxa"/>
            <w:gridSpan w:val="2"/>
            <w:tcBorders>
              <w:left w:val="single" w:color="auto" w:sz="4" w:space="0"/>
            </w:tcBorders>
            <w:vAlign w:val="center"/>
          </w:tcPr>
          <w:p w14:paraId="0142CE9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规划所在水文地质单元</w:t>
            </w:r>
          </w:p>
        </w:tc>
      </w:tr>
      <w:tr w14:paraId="69748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7"/>
            <w:vAlign w:val="center"/>
          </w:tcPr>
          <w:p w14:paraId="3D935D2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声环境质量</w:t>
            </w:r>
          </w:p>
        </w:tc>
      </w:tr>
      <w:tr w14:paraId="7F10A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53CE86E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评价区</w:t>
            </w:r>
          </w:p>
        </w:tc>
        <w:tc>
          <w:tcPr>
            <w:tcW w:w="1747" w:type="dxa"/>
            <w:gridSpan w:val="2"/>
            <w:tcBorders>
              <w:left w:val="single" w:color="auto" w:sz="4" w:space="0"/>
            </w:tcBorders>
            <w:vAlign w:val="center"/>
          </w:tcPr>
          <w:p w14:paraId="0980BD9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声环境现状</w:t>
            </w:r>
          </w:p>
        </w:tc>
        <w:tc>
          <w:tcPr>
            <w:tcW w:w="1842" w:type="dxa"/>
            <w:tcBorders>
              <w:right w:val="single" w:color="auto" w:sz="4" w:space="0"/>
            </w:tcBorders>
            <w:vAlign w:val="center"/>
          </w:tcPr>
          <w:p w14:paraId="2F7584C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环境质量底线</w:t>
            </w:r>
          </w:p>
        </w:tc>
        <w:tc>
          <w:tcPr>
            <w:tcW w:w="2750" w:type="dxa"/>
            <w:gridSpan w:val="2"/>
            <w:tcBorders>
              <w:left w:val="single" w:color="auto" w:sz="4" w:space="0"/>
            </w:tcBorders>
            <w:vAlign w:val="center"/>
          </w:tcPr>
          <w:p w14:paraId="1A5CD1E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备注</w:t>
            </w:r>
          </w:p>
        </w:tc>
      </w:tr>
      <w:tr w14:paraId="61E8A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77F4786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产业园内</w:t>
            </w:r>
          </w:p>
        </w:tc>
        <w:tc>
          <w:tcPr>
            <w:tcW w:w="1747" w:type="dxa"/>
            <w:gridSpan w:val="2"/>
            <w:tcBorders>
              <w:left w:val="single" w:color="auto" w:sz="4" w:space="0"/>
            </w:tcBorders>
            <w:vAlign w:val="center"/>
          </w:tcPr>
          <w:p w14:paraId="721AAE3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2类、3类、4a类</w:t>
            </w:r>
          </w:p>
        </w:tc>
        <w:tc>
          <w:tcPr>
            <w:tcW w:w="1842" w:type="dxa"/>
            <w:tcBorders>
              <w:right w:val="single" w:color="auto" w:sz="4" w:space="0"/>
            </w:tcBorders>
            <w:vAlign w:val="center"/>
          </w:tcPr>
          <w:p w14:paraId="11319B9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2类、3类、4a类</w:t>
            </w:r>
          </w:p>
        </w:tc>
        <w:tc>
          <w:tcPr>
            <w:tcW w:w="2750" w:type="dxa"/>
            <w:gridSpan w:val="2"/>
            <w:tcBorders>
              <w:left w:val="single" w:color="auto" w:sz="4" w:space="0"/>
            </w:tcBorders>
            <w:vAlign w:val="center"/>
          </w:tcPr>
          <w:p w14:paraId="7C2F553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规划所在区域</w:t>
            </w:r>
          </w:p>
        </w:tc>
      </w:tr>
      <w:tr w14:paraId="44B41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8528" w:type="dxa"/>
            <w:gridSpan w:val="7"/>
            <w:vAlign w:val="center"/>
          </w:tcPr>
          <w:p w14:paraId="22A9A23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土壤环境质量</w:t>
            </w:r>
          </w:p>
        </w:tc>
      </w:tr>
      <w:tr w14:paraId="02AD8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189" w:type="dxa"/>
            <w:gridSpan w:val="2"/>
            <w:tcBorders>
              <w:right w:val="single" w:color="auto" w:sz="4" w:space="0"/>
            </w:tcBorders>
            <w:vAlign w:val="center"/>
          </w:tcPr>
          <w:p w14:paraId="17272FC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评价区</w:t>
            </w:r>
          </w:p>
        </w:tc>
        <w:tc>
          <w:tcPr>
            <w:tcW w:w="1747" w:type="dxa"/>
            <w:gridSpan w:val="2"/>
            <w:tcBorders>
              <w:left w:val="single" w:color="auto" w:sz="4" w:space="0"/>
            </w:tcBorders>
            <w:vAlign w:val="center"/>
          </w:tcPr>
          <w:p w14:paraId="50DC1EC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土壤现状</w:t>
            </w:r>
          </w:p>
        </w:tc>
        <w:tc>
          <w:tcPr>
            <w:tcW w:w="1842" w:type="dxa"/>
            <w:tcBorders>
              <w:right w:val="single" w:color="auto" w:sz="4" w:space="0"/>
            </w:tcBorders>
            <w:vAlign w:val="center"/>
          </w:tcPr>
          <w:p w14:paraId="39C2673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环境质量底线</w:t>
            </w:r>
          </w:p>
        </w:tc>
        <w:tc>
          <w:tcPr>
            <w:tcW w:w="2750" w:type="dxa"/>
            <w:gridSpan w:val="2"/>
            <w:tcBorders>
              <w:left w:val="single" w:color="auto" w:sz="4" w:space="0"/>
            </w:tcBorders>
            <w:vAlign w:val="center"/>
          </w:tcPr>
          <w:p w14:paraId="465C5EC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备注</w:t>
            </w:r>
          </w:p>
        </w:tc>
      </w:tr>
      <w:tr w14:paraId="558CC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2189" w:type="dxa"/>
            <w:gridSpan w:val="2"/>
            <w:vMerge w:val="restart"/>
            <w:tcBorders>
              <w:right w:val="single" w:color="auto" w:sz="4" w:space="0"/>
            </w:tcBorders>
            <w:vAlign w:val="center"/>
          </w:tcPr>
          <w:p w14:paraId="46B5488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规划园区内及附近区域</w:t>
            </w:r>
          </w:p>
        </w:tc>
        <w:tc>
          <w:tcPr>
            <w:tcW w:w="1747" w:type="dxa"/>
            <w:gridSpan w:val="2"/>
            <w:tcBorders>
              <w:left w:val="single" w:color="auto" w:sz="4" w:space="0"/>
              <w:bottom w:val="single" w:color="auto" w:sz="4" w:space="0"/>
            </w:tcBorders>
            <w:vAlign w:val="center"/>
          </w:tcPr>
          <w:p w14:paraId="31A893AC">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建设用地第二类用地</w:t>
            </w:r>
          </w:p>
        </w:tc>
        <w:tc>
          <w:tcPr>
            <w:tcW w:w="1842" w:type="dxa"/>
            <w:tcBorders>
              <w:bottom w:val="single" w:color="auto" w:sz="4" w:space="0"/>
              <w:right w:val="single" w:color="auto" w:sz="4" w:space="0"/>
            </w:tcBorders>
            <w:vAlign w:val="center"/>
          </w:tcPr>
          <w:p w14:paraId="36966FE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满足第二类用地筛选值</w:t>
            </w:r>
          </w:p>
        </w:tc>
        <w:tc>
          <w:tcPr>
            <w:tcW w:w="2750" w:type="dxa"/>
            <w:gridSpan w:val="2"/>
            <w:tcBorders>
              <w:left w:val="single" w:color="auto" w:sz="4" w:space="0"/>
              <w:bottom w:val="single" w:color="auto" w:sz="4" w:space="0"/>
            </w:tcBorders>
            <w:vAlign w:val="center"/>
          </w:tcPr>
          <w:p w14:paraId="6AC8D653">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区域工业用地</w:t>
            </w:r>
          </w:p>
        </w:tc>
      </w:tr>
      <w:tr w14:paraId="153AE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2189" w:type="dxa"/>
            <w:gridSpan w:val="2"/>
            <w:vMerge w:val="continue"/>
            <w:tcBorders>
              <w:right w:val="single" w:color="auto" w:sz="4" w:space="0"/>
            </w:tcBorders>
            <w:vAlign w:val="center"/>
          </w:tcPr>
          <w:p w14:paraId="1F43820B">
            <w:pPr>
              <w:pStyle w:val="45"/>
              <w:spacing w:line="320" w:lineRule="exact"/>
              <w:contextualSpacing/>
              <w:jc w:val="center"/>
              <w:rPr>
                <w:rFonts w:ascii="Times New Roman" w:hAnsi="Times New Roman" w:cs="Times New Roman"/>
                <w:szCs w:val="21"/>
              </w:rPr>
            </w:pPr>
          </w:p>
        </w:tc>
        <w:tc>
          <w:tcPr>
            <w:tcW w:w="1747" w:type="dxa"/>
            <w:gridSpan w:val="2"/>
            <w:tcBorders>
              <w:left w:val="single" w:color="auto" w:sz="4" w:space="0"/>
              <w:bottom w:val="single" w:color="auto" w:sz="4" w:space="0"/>
            </w:tcBorders>
            <w:vAlign w:val="center"/>
          </w:tcPr>
          <w:p w14:paraId="69FFC07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建设用地第一类用地</w:t>
            </w:r>
          </w:p>
        </w:tc>
        <w:tc>
          <w:tcPr>
            <w:tcW w:w="1842" w:type="dxa"/>
            <w:tcBorders>
              <w:bottom w:val="single" w:color="auto" w:sz="4" w:space="0"/>
              <w:right w:val="single" w:color="auto" w:sz="4" w:space="0"/>
            </w:tcBorders>
            <w:vAlign w:val="center"/>
          </w:tcPr>
          <w:p w14:paraId="7D98E73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满足第一类用地筛选值</w:t>
            </w:r>
          </w:p>
        </w:tc>
        <w:tc>
          <w:tcPr>
            <w:tcW w:w="2750" w:type="dxa"/>
            <w:gridSpan w:val="2"/>
            <w:tcBorders>
              <w:left w:val="single" w:color="auto" w:sz="4" w:space="0"/>
              <w:bottom w:val="single" w:color="auto" w:sz="4" w:space="0"/>
            </w:tcBorders>
            <w:vAlign w:val="center"/>
          </w:tcPr>
          <w:p w14:paraId="53B38B8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区域居民区用地</w:t>
            </w:r>
          </w:p>
        </w:tc>
      </w:tr>
      <w:tr w14:paraId="0C47C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 w:hRule="atLeast"/>
          <w:jc w:val="center"/>
        </w:trPr>
        <w:tc>
          <w:tcPr>
            <w:tcW w:w="2189" w:type="dxa"/>
            <w:gridSpan w:val="2"/>
            <w:vMerge w:val="continue"/>
            <w:tcBorders>
              <w:right w:val="single" w:color="auto" w:sz="4" w:space="0"/>
            </w:tcBorders>
            <w:vAlign w:val="center"/>
          </w:tcPr>
          <w:p w14:paraId="722DFC6A">
            <w:pPr>
              <w:pStyle w:val="45"/>
              <w:spacing w:line="320" w:lineRule="exact"/>
              <w:contextualSpacing/>
              <w:jc w:val="center"/>
              <w:rPr>
                <w:rFonts w:ascii="Times New Roman" w:hAnsi="Times New Roman" w:cs="Times New Roman"/>
                <w:szCs w:val="21"/>
              </w:rPr>
            </w:pPr>
          </w:p>
        </w:tc>
        <w:tc>
          <w:tcPr>
            <w:tcW w:w="1747" w:type="dxa"/>
            <w:gridSpan w:val="2"/>
            <w:tcBorders>
              <w:top w:val="single" w:color="auto" w:sz="4" w:space="0"/>
              <w:left w:val="single" w:color="auto" w:sz="4" w:space="0"/>
            </w:tcBorders>
            <w:vAlign w:val="center"/>
          </w:tcPr>
          <w:p w14:paraId="280DB5F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农用地</w:t>
            </w:r>
          </w:p>
        </w:tc>
        <w:tc>
          <w:tcPr>
            <w:tcW w:w="1842" w:type="dxa"/>
            <w:tcBorders>
              <w:top w:val="single" w:color="auto" w:sz="4" w:space="0"/>
              <w:right w:val="single" w:color="auto" w:sz="4" w:space="0"/>
            </w:tcBorders>
            <w:vAlign w:val="center"/>
          </w:tcPr>
          <w:p w14:paraId="2F83E32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满足农用地筛选值</w:t>
            </w:r>
          </w:p>
        </w:tc>
        <w:tc>
          <w:tcPr>
            <w:tcW w:w="2750" w:type="dxa"/>
            <w:gridSpan w:val="2"/>
            <w:tcBorders>
              <w:top w:val="single" w:color="auto" w:sz="4" w:space="0"/>
              <w:left w:val="single" w:color="auto" w:sz="4" w:space="0"/>
            </w:tcBorders>
            <w:vAlign w:val="center"/>
          </w:tcPr>
          <w:p w14:paraId="2865CF86">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区域农用地</w:t>
            </w:r>
          </w:p>
        </w:tc>
      </w:tr>
      <w:bookmarkEnd w:id="217"/>
    </w:tbl>
    <w:p w14:paraId="10F293DF">
      <w:pPr>
        <w:widowControl/>
        <w:adjustRightInd w:val="0"/>
        <w:snapToGrid w:val="0"/>
        <w:spacing w:line="360" w:lineRule="auto"/>
        <w:ind w:firstLine="480" w:firstLineChars="200"/>
        <w:rPr>
          <w:rFonts w:eastAsiaTheme="minorEastAsia"/>
          <w:sz w:val="24"/>
        </w:rPr>
      </w:pPr>
      <w:r>
        <w:rPr>
          <w:rFonts w:hint="eastAsia" w:eastAsiaTheme="minorEastAsia"/>
          <w:sz w:val="24"/>
        </w:rPr>
        <w:t>（5）污染物排放总量管控限制</w:t>
      </w:r>
    </w:p>
    <w:p w14:paraId="60B55257">
      <w:pPr>
        <w:spacing w:line="360" w:lineRule="auto"/>
        <w:ind w:firstLine="480" w:firstLineChars="200"/>
        <w:rPr>
          <w:rFonts w:eastAsiaTheme="minorEastAsia"/>
          <w:sz w:val="24"/>
        </w:rPr>
      </w:pPr>
      <w:r>
        <w:rPr>
          <w:rFonts w:hint="eastAsia" w:eastAsiaTheme="minorEastAsia"/>
          <w:sz w:val="24"/>
        </w:rPr>
        <w:t>据《随州市生态环境保护“十四五”规划》，十四五期间全市氮氧化物、挥发性有机物、化学需氧量、氨氪减排量分别达到1800吨、700吨、5200吨、160吨。由于随县石材产业发展规划属于宏观性规划，具体规划项目、园区规划建设及实施有较大的不确定性，因此，项目的总量控制指标需在建设项目环评阶段按照国家发布的核算指南详细核算，结合所在地环境容量状况实行替代。</w:t>
      </w:r>
    </w:p>
    <w:p w14:paraId="0290526F">
      <w:pPr>
        <w:widowControl/>
        <w:adjustRightInd w:val="0"/>
        <w:snapToGrid w:val="0"/>
        <w:spacing w:line="360" w:lineRule="auto"/>
        <w:ind w:firstLine="480" w:firstLineChars="200"/>
        <w:rPr>
          <w:b/>
          <w:szCs w:val="21"/>
        </w:rPr>
      </w:pPr>
      <w:r>
        <w:rPr>
          <w:rFonts w:hint="eastAsia" w:eastAsiaTheme="minorEastAsia"/>
          <w:sz w:val="24"/>
        </w:rPr>
        <w:t>石材产业要积极落实污染防治攻坚方案，将污染物排放总量控制要求作为建设项目环境影响评价审批的重要条件。区域新改扩建项目涉及新增的主要污染物总量（颗粒物、SO</w:t>
      </w:r>
      <w:r>
        <w:rPr>
          <w:rFonts w:hint="eastAsia" w:eastAsiaTheme="minorEastAsia"/>
          <w:sz w:val="24"/>
          <w:vertAlign w:val="subscript"/>
        </w:rPr>
        <w:t>2</w:t>
      </w:r>
      <w:r>
        <w:rPr>
          <w:rFonts w:hint="eastAsia" w:eastAsiaTheme="minorEastAsia"/>
          <w:sz w:val="24"/>
        </w:rPr>
        <w:t>、NOx、COD、氨氮）应由建设单位按要求向管理部门申请调剂，其中SO</w:t>
      </w:r>
      <w:r>
        <w:rPr>
          <w:rFonts w:hint="eastAsia" w:eastAsiaTheme="minorEastAsia"/>
          <w:sz w:val="24"/>
          <w:vertAlign w:val="subscript"/>
        </w:rPr>
        <w:t>2</w:t>
      </w:r>
      <w:r>
        <w:rPr>
          <w:rFonts w:hint="eastAsia" w:eastAsiaTheme="minorEastAsia"/>
          <w:sz w:val="24"/>
        </w:rPr>
        <w:t>、NOx、COD、氨氮应通过排污权交易平台购买。</w:t>
      </w:r>
    </w:p>
    <w:p w14:paraId="1440CF34">
      <w:pPr>
        <w:keepNext/>
        <w:keepLines/>
        <w:widowControl/>
        <w:numPr>
          <w:ilvl w:val="2"/>
          <w:numId w:val="1"/>
        </w:numPr>
        <w:spacing w:before="120" w:after="120" w:line="360" w:lineRule="auto"/>
        <w:jc w:val="left"/>
        <w:outlineLvl w:val="2"/>
        <w:rPr>
          <w:rFonts w:eastAsiaTheme="minorEastAsia"/>
          <w:b/>
          <w:bCs/>
          <w:sz w:val="24"/>
        </w:rPr>
      </w:pPr>
      <w:bookmarkStart w:id="218" w:name="_Toc206495042"/>
      <w:r>
        <w:rPr>
          <w:rFonts w:hint="eastAsia" w:eastAsiaTheme="minorEastAsia"/>
          <w:b/>
          <w:bCs/>
          <w:sz w:val="24"/>
        </w:rPr>
        <w:t>资源利用上线</w:t>
      </w:r>
      <w:bookmarkEnd w:id="218"/>
    </w:p>
    <w:p w14:paraId="7E3012E8">
      <w:pPr>
        <w:widowControl/>
        <w:adjustRightInd w:val="0"/>
        <w:snapToGrid w:val="0"/>
        <w:spacing w:line="360" w:lineRule="auto"/>
        <w:ind w:firstLine="480" w:firstLineChars="200"/>
        <w:rPr>
          <w:rFonts w:eastAsiaTheme="minorEastAsia"/>
          <w:sz w:val="24"/>
        </w:rPr>
      </w:pPr>
      <w:r>
        <w:rPr>
          <w:rFonts w:hint="eastAsia" w:eastAsiaTheme="minorEastAsia"/>
          <w:sz w:val="24"/>
        </w:rPr>
        <w:t>园区发展过程中，在项目及生产工艺引入方面，应严格执行“单位工业增加值能耗、单位工业增加值新鲜水耗”等物耗要求，并尽量在引入项目时，引入同一产业链各环节类别项目，以形成完成的产业链条，利于区域资源的集约利用。根据资源环境承载力分析，区域水资源及土地利用资源总量能够支撑规划用水量、土地建设需求基础。</w:t>
      </w:r>
    </w:p>
    <w:p w14:paraId="7B4C7988">
      <w:pPr>
        <w:keepNext/>
        <w:keepLines/>
        <w:widowControl/>
        <w:numPr>
          <w:ilvl w:val="2"/>
          <w:numId w:val="1"/>
        </w:numPr>
        <w:spacing w:before="120" w:after="120" w:line="360" w:lineRule="auto"/>
        <w:jc w:val="left"/>
        <w:outlineLvl w:val="2"/>
        <w:rPr>
          <w:rFonts w:eastAsiaTheme="minorEastAsia"/>
          <w:b/>
          <w:bCs/>
          <w:sz w:val="24"/>
        </w:rPr>
      </w:pPr>
      <w:bookmarkStart w:id="219" w:name="_Toc206495043"/>
      <w:r>
        <w:rPr>
          <w:rFonts w:hint="eastAsia" w:eastAsiaTheme="minorEastAsia"/>
          <w:b/>
          <w:bCs/>
          <w:sz w:val="24"/>
        </w:rPr>
        <w:t>环境准入条件及负面清单</w:t>
      </w:r>
      <w:bookmarkEnd w:id="219"/>
    </w:p>
    <w:p w14:paraId="2D35C4BE">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环境准入条件</w:t>
      </w:r>
    </w:p>
    <w:p w14:paraId="48AACFC5">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对于园区新引进的项目，应本着“高水平、高起点”、“有所为，有所不为”的原则，提出环保准入门槛。结合周边地区的发展，项目引进以在园区及周边地区经济带推进循环经济为最高原则，逐步从“资源消费－产品—废物排放”的传统经济开放型物质流动模式中解脱出来，向“资源消费－产品—再生资源”的循环经济环闭型物质流动模式靠拢。为便于操作，拟从生态环境保护角度，将未来入区项目分为鼓励入区项目、限制入区项目和禁止入区项目三类。对于不属于上述三类列为允许类项目，结合该区域特点建立负面清单管理制度，对涉及气污染物总量排放较大的项目进行管理。</w:t>
      </w:r>
    </w:p>
    <w:p w14:paraId="0F45CFB8">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（1）鼓励引进和优先发展的项目</w:t>
      </w:r>
    </w:p>
    <w:p w14:paraId="115BE9E2">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①以园区确定的主导产业及其配套产业等符合产业政策和规划的行业；</w:t>
      </w:r>
    </w:p>
    <w:p w14:paraId="239591CA">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②用水、节水、排水设计等清洁生产标准达到或优于国家先进水平的项目；</w:t>
      </w:r>
    </w:p>
    <w:p w14:paraId="4622369C">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③优先引入低染污、低能耗、高效益，遵循清洁生产及循环经济的项目。</w:t>
      </w:r>
    </w:p>
    <w:p w14:paraId="18643180">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（2）允许类</w:t>
      </w:r>
    </w:p>
    <w:p w14:paraId="0C727348">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原则上未被列入上述鼓励类、负面清单的属允许发展类，但在具体实施过程中切不可盲目引进项目，应注意按如下原则要求：</w:t>
      </w:r>
    </w:p>
    <w:p w14:paraId="7F9CCCA1">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对于不属于园区拟引进的主导产业的建设项目，若与区域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p>
    <w:p w14:paraId="3525A933">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环境准入负面清单</w:t>
      </w:r>
    </w:p>
    <w:p w14:paraId="20C4CF99">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（1）总体原则</w:t>
      </w:r>
    </w:p>
    <w:p w14:paraId="122D7D06">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①不符合国家行业准入条件的项目，列入国家产能过剩的项目，列入产业结构指导目录限制及禁止类的项目。</w:t>
      </w:r>
    </w:p>
    <w:p w14:paraId="079655EC">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②不符合国家环保法律法规、各类污染防治规划及要求的项目。</w:t>
      </w:r>
    </w:p>
    <w:p w14:paraId="5A9EE92F">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③清洁生产水平不能达到行业清洁生产标准二级标准要求或低于全国同类企业平均清洁生产水平的项目。</w:t>
      </w:r>
    </w:p>
    <w:p w14:paraId="40DBA9D0">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④经环保论证与周边企业、规划用地等环境不相容的项目。</w:t>
      </w:r>
    </w:p>
    <w:p w14:paraId="5C8524FC">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⑤禁止引入</w:t>
      </w:r>
      <w:r>
        <w:rPr>
          <w:rFonts w:hint="eastAsia" w:eastAsiaTheme="minorEastAsia"/>
          <w:sz w:val="24"/>
        </w:rPr>
        <w:t>《市人民政府关于印发随州市“三线一单”生态环境分区管控实施方案的通知》</w:t>
      </w:r>
      <w:r>
        <w:rPr>
          <w:rFonts w:hint="eastAsia" w:eastAsiaTheme="minorEastAsia"/>
          <w:bCs/>
          <w:snapToGrid w:val="0"/>
          <w:kern w:val="0"/>
          <w:sz w:val="24"/>
          <w:szCs w:val="20"/>
        </w:rPr>
        <w:t>中明确禁止引入的项目（若文件进行更新调整，则按照更新后版本执行）。</w:t>
      </w:r>
    </w:p>
    <w:p w14:paraId="5C07B56F">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⑥其他与主导产业要求不符的项目。</w:t>
      </w:r>
    </w:p>
    <w:p w14:paraId="4F4CC2C4">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（2）负面清单</w:t>
      </w:r>
    </w:p>
    <w:p w14:paraId="73E108CA">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结合</w:t>
      </w:r>
      <w:r>
        <w:rPr>
          <w:rFonts w:hint="eastAsia" w:eastAsiaTheme="minorEastAsia"/>
          <w:sz w:val="24"/>
        </w:rPr>
        <w:t>《市人民政府关于印发随州市“三线一单”生态环境分区管控实施方案的通知》</w:t>
      </w:r>
      <w:r>
        <w:rPr>
          <w:rFonts w:hint="eastAsia" w:eastAsiaTheme="minorEastAsia"/>
          <w:kern w:val="0"/>
          <w:sz w:val="24"/>
        </w:rPr>
        <w:t>（随政发[2021]10号）及园区规划的主导产业</w:t>
      </w:r>
      <w:r>
        <w:rPr>
          <w:rFonts w:hint="eastAsia" w:eastAsiaTheme="minorEastAsia"/>
          <w:bCs/>
          <w:snapToGrid w:val="0"/>
          <w:kern w:val="0"/>
          <w:sz w:val="24"/>
          <w:szCs w:val="20"/>
        </w:rPr>
        <w:t>，提出如下产业园环境准入负面清单。</w:t>
      </w:r>
    </w:p>
    <w:p w14:paraId="7F006C50">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入驻园区项目建设首先应符合《产业结构调整指导目录(2024年本)》、《产业转移指导目录(2018年本)》、《鼓励外商投资产业目录(2022年版》、《环境保护综合名录(2021年版)》等国家产业政策的要求，其次要符合湖北省及随州市制定的相关产业政策的要求。清单中包括两类，一类是禁止类，涉及的项目禁止新建、改扩建；另一类是限制类，意为有条件发展的项目。</w:t>
      </w:r>
    </w:p>
    <w:p w14:paraId="04DA848C">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规划区域环境准入负面清单见下表。</w:t>
      </w:r>
    </w:p>
    <w:p w14:paraId="18F99845">
      <w:pPr>
        <w:spacing w:line="360" w:lineRule="auto"/>
        <w:ind w:firstLine="422" w:firstLineChars="200"/>
        <w:jc w:val="center"/>
        <w:rPr>
          <w:rFonts w:eastAsiaTheme="minorEastAsia"/>
          <w:b/>
          <w:bCs/>
          <w:sz w:val="24"/>
        </w:rPr>
      </w:pPr>
      <w:r>
        <w:rPr>
          <w:rFonts w:hint="eastAsia"/>
          <w:b/>
          <w:szCs w:val="21"/>
        </w:rPr>
        <w:t>表7.4.4-1  规划区域环境准入负面清单规划优化调整建议清单</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6796"/>
        <w:gridCol w:w="1077"/>
      </w:tblGrid>
      <w:tr w14:paraId="316F0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384" w:type="pct"/>
            <w:vAlign w:val="center"/>
          </w:tcPr>
          <w:p w14:paraId="7E9F217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分类</w:t>
            </w:r>
          </w:p>
        </w:tc>
        <w:tc>
          <w:tcPr>
            <w:tcW w:w="3983" w:type="pct"/>
            <w:tcBorders>
              <w:right w:val="single" w:color="auto" w:sz="4" w:space="0"/>
            </w:tcBorders>
            <w:vAlign w:val="center"/>
          </w:tcPr>
          <w:p w14:paraId="186D7A0B">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行业清单</w:t>
            </w:r>
          </w:p>
        </w:tc>
        <w:tc>
          <w:tcPr>
            <w:tcW w:w="631" w:type="pct"/>
            <w:tcBorders>
              <w:left w:val="single" w:color="auto" w:sz="4" w:space="0"/>
            </w:tcBorders>
            <w:vAlign w:val="center"/>
          </w:tcPr>
          <w:p w14:paraId="6D6171D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制定依据</w:t>
            </w:r>
          </w:p>
        </w:tc>
      </w:tr>
      <w:tr w14:paraId="2C040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7" w:hRule="atLeast"/>
          <w:jc w:val="center"/>
        </w:trPr>
        <w:tc>
          <w:tcPr>
            <w:tcW w:w="384" w:type="pct"/>
            <w:vAlign w:val="center"/>
          </w:tcPr>
          <w:p w14:paraId="593A988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禁止类</w:t>
            </w:r>
          </w:p>
        </w:tc>
        <w:tc>
          <w:tcPr>
            <w:tcW w:w="3983" w:type="pct"/>
            <w:tcBorders>
              <w:right w:val="single" w:color="auto" w:sz="4" w:space="0"/>
            </w:tcBorders>
            <w:vAlign w:val="center"/>
          </w:tcPr>
          <w:p w14:paraId="581CBCA8">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1.禁止引入不符合产业园产业定位且不利于构建园区主导产业链的项目的行业。</w:t>
            </w:r>
          </w:p>
          <w:p w14:paraId="1B6F49C1">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2.禁止新建、改扩建国家产业政策明令淘汰的产品、技术、工艺、设备及行为的项目。禁止新建国家产业政策明令限制的产品、技术、工艺、设备及行为的项目。</w:t>
            </w:r>
          </w:p>
          <w:p w14:paraId="62AF6DF9">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3.禁止新建、扩建法律法规和相关政策明令禁止的落后产能项目。禁止新建、改建、扩建未公告产能置换方案的炼钢、炼铁、水泥熟料、平板玻璃、电解铝等产能严重过剩行业项目。</w:t>
            </w:r>
          </w:p>
          <w:p w14:paraId="0A5BD19B">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4.禁止高能耗、高污染行业项目。</w:t>
            </w:r>
          </w:p>
          <w:p w14:paraId="08C7D2A1">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5.禁止露天焚烧沥青、油毡、橡胶、塑料、皮革、垃圾以及其他产生有毒有害烟尘和恶臭气体的物质。</w:t>
            </w:r>
          </w:p>
          <w:p w14:paraId="61FED0F7">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6.禁止建设涉及重金属污染物排放的项目。</w:t>
            </w:r>
          </w:p>
          <w:p w14:paraId="6FBB5197">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7.不得新建燃煤锅炉。</w:t>
            </w:r>
          </w:p>
          <w:p w14:paraId="3C962E20">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8.禁止小生产规模板材项目、禁止不采用湿切工艺、废水无沉淀处理工艺、打磨无除尘设施的项目引入。</w:t>
            </w:r>
          </w:p>
          <w:p w14:paraId="2ADABA78">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9.禁止建设涉及重金属污染物排放的项目。</w:t>
            </w:r>
          </w:p>
          <w:p w14:paraId="4D8F64C5">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10.禁止在永久基本农田范围内投资建设除国家重大战略资源勘查项目、生态保护修复和环境治理项目、重大基础设施项目、军事国防项目以及农民基本生产生活等必要的民生项目以外的项目。除《自然资源部关于做好占用永久基本农田重大建设项目用地预审的通知》(自然资规[2018]3号)确定的六类重大建设项目，以及深度贫困地区、集中连片特困地区、国家扶贫开发工作重点县、省级以下基础设施、易地扶贫搬迁、民生发展等建设项目外，各类非农建设项目严禁占用永久基本农田。</w:t>
            </w:r>
          </w:p>
          <w:p w14:paraId="422D5D4C">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11.在永久基本农田集中区域，不得新建可能造成土壤污染的建设项目；已经建成的，应当限期关闭拆除。</w:t>
            </w:r>
          </w:p>
          <w:p w14:paraId="3ABAC486">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12.在农产品产地外围隔离带内，禁止新建、改建、扩建有色金属、制革、石油、矿山、煤炭、焦化、化工、医药、铅酸蓄电池和电镀等土壤污染高风险行业企业及排放重金属污染物的项目，严格控制城镇开发建设。对农产品产地区域和外围隔离带已建企业应限期关停搬迁。</w:t>
            </w:r>
          </w:p>
          <w:p w14:paraId="5EEBCF5B">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13.农业种植禁止使用剧毒、高残留的农药、兽药。</w:t>
            </w:r>
          </w:p>
        </w:tc>
        <w:tc>
          <w:tcPr>
            <w:tcW w:w="631" w:type="pct"/>
            <w:vMerge w:val="restart"/>
            <w:tcBorders>
              <w:left w:val="single" w:color="auto" w:sz="4" w:space="0"/>
            </w:tcBorders>
            <w:vAlign w:val="center"/>
          </w:tcPr>
          <w:p w14:paraId="6752904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规划区域确定的产业发展导向；《产业结构调整指导目录(2024年本)》；《环境保护综合名录(2021年版)》；其他水、大气、土壤污染防治政策要求。</w:t>
            </w:r>
          </w:p>
        </w:tc>
      </w:tr>
      <w:tr w14:paraId="3C63E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384" w:type="pct"/>
            <w:vAlign w:val="center"/>
          </w:tcPr>
          <w:p w14:paraId="19323B89">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限制类</w:t>
            </w:r>
          </w:p>
        </w:tc>
        <w:tc>
          <w:tcPr>
            <w:tcW w:w="3983" w:type="pct"/>
            <w:tcBorders>
              <w:right w:val="single" w:color="auto" w:sz="4" w:space="0"/>
            </w:tcBorders>
            <w:vAlign w:val="center"/>
          </w:tcPr>
          <w:p w14:paraId="004C5490">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1.涉及国家和地方现行产业政策中限制类项目。</w:t>
            </w:r>
          </w:p>
          <w:p w14:paraId="52FB0505">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2.限制引入《环境保护综合名录（2021 年版）》高污染或高风险产品项目。</w:t>
            </w:r>
          </w:p>
        </w:tc>
        <w:tc>
          <w:tcPr>
            <w:tcW w:w="631" w:type="pct"/>
            <w:vMerge w:val="continue"/>
            <w:tcBorders>
              <w:left w:val="single" w:color="auto" w:sz="4" w:space="0"/>
            </w:tcBorders>
            <w:vAlign w:val="center"/>
          </w:tcPr>
          <w:p w14:paraId="461EE997">
            <w:pPr>
              <w:pStyle w:val="45"/>
              <w:spacing w:line="320" w:lineRule="exact"/>
              <w:contextualSpacing/>
              <w:jc w:val="center"/>
              <w:rPr>
                <w:rFonts w:ascii="Times New Roman" w:hAnsi="Times New Roman" w:cs="Times New Roman"/>
                <w:szCs w:val="21"/>
              </w:rPr>
            </w:pPr>
          </w:p>
        </w:tc>
      </w:tr>
    </w:tbl>
    <w:p w14:paraId="5FF86CC1">
      <w:pPr>
        <w:widowControl/>
        <w:adjustRightInd w:val="0"/>
        <w:snapToGrid w:val="0"/>
        <w:spacing w:line="360" w:lineRule="auto"/>
        <w:ind w:firstLine="480" w:firstLineChars="200"/>
        <w:rPr>
          <w:rFonts w:eastAsiaTheme="minorEastAsia"/>
          <w:kern w:val="0"/>
          <w:sz w:val="24"/>
        </w:rPr>
      </w:pPr>
    </w:p>
    <w:p w14:paraId="34761684">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220" w:name="_Toc206495044"/>
      <w:bookmarkStart w:id="221" w:name="_Toc169517201"/>
      <w:r>
        <w:rPr>
          <w:rFonts w:hint="eastAsia" w:eastAsiaTheme="minorEastAsia"/>
          <w:kern w:val="2"/>
          <w:sz w:val="36"/>
          <w:szCs w:val="36"/>
        </w:rPr>
        <w:t>项目环评要求与环境影响跟踪评价</w:t>
      </w:r>
      <w:bookmarkEnd w:id="220"/>
      <w:bookmarkEnd w:id="221"/>
    </w:p>
    <w:p w14:paraId="014EDD8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22" w:name="_Toc206495045"/>
      <w:r>
        <w:rPr>
          <w:rFonts w:hint="eastAsia" w:eastAsiaTheme="minorEastAsia"/>
          <w:b/>
          <w:bCs/>
          <w:sz w:val="30"/>
          <w:szCs w:val="28"/>
        </w:rPr>
        <w:t>项目环评要求</w:t>
      </w:r>
      <w:bookmarkEnd w:id="222"/>
    </w:p>
    <w:p w14:paraId="01A7CBC4">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中华人民共和国环境影响评价法》明确规定“建设项目的环境影响评价，应当避免与规划的环境影响评价相重复”，“已经进行了环境影响评价的规划所包含的具体建设项目，其环境影响评价内容可适当简化”。</w:t>
      </w:r>
    </w:p>
    <w:p w14:paraId="05F44271">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由于本次产业发展规划属于宏观性规划，涉及范围较大，对项目环境影响评价内容简化不具有指导意义，项目环评阶段需加强生态保护红线、环境质量底线、大气污染、水污染、固体废物等污染影响及防治措施、环境风险方面的论证，提出相应的预防措施和污染防治措施。</w:t>
      </w:r>
    </w:p>
    <w:p w14:paraId="388943C9">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（1）与产业政策、环保政策的符合性</w:t>
      </w:r>
    </w:p>
    <w:p w14:paraId="45F5E82E">
      <w:pPr>
        <w:widowControl/>
        <w:adjustRightInd w:val="0"/>
        <w:snapToGrid w:val="0"/>
        <w:spacing w:line="360" w:lineRule="auto"/>
        <w:ind w:firstLine="480" w:firstLineChars="200"/>
        <w:rPr>
          <w:rFonts w:eastAsiaTheme="minorEastAsia"/>
          <w:sz w:val="24"/>
        </w:rPr>
      </w:pPr>
      <w:r>
        <w:rPr>
          <w:rFonts w:hint="eastAsia" w:eastAsiaTheme="minorEastAsia"/>
          <w:kern w:val="0"/>
          <w:sz w:val="24"/>
        </w:rPr>
        <w:t>应符合</w:t>
      </w:r>
      <w:r>
        <w:rPr>
          <w:rFonts w:hint="eastAsia"/>
          <w:color w:val="000000"/>
          <w:sz w:val="24"/>
        </w:rPr>
        <w:t>《产业结构调整指导目录（2024 年本）》</w:t>
      </w:r>
      <w:r>
        <w:rPr>
          <w:rFonts w:hint="eastAsia" w:eastAsiaTheme="minorEastAsia"/>
          <w:kern w:val="0"/>
          <w:sz w:val="24"/>
        </w:rPr>
        <w:t>相关规定，如遇国家修订调整，从其新规定；</w:t>
      </w:r>
      <w:r>
        <w:rPr>
          <w:rFonts w:hint="eastAsia" w:eastAsiaTheme="minorEastAsia"/>
          <w:sz w:val="24"/>
        </w:rPr>
        <w:t>符合有关“建材行业”发展的相关规定，国家、湖北省相继出台的一系列有关的生态环境政策、规划，如生态环境保护</w:t>
      </w:r>
      <w:r>
        <w:rPr>
          <w:rFonts w:hint="eastAsia" w:eastAsiaTheme="minorEastAsia"/>
          <w:sz w:val="24"/>
          <w:lang w:eastAsia="zh-CN"/>
        </w:rPr>
        <w:t>“十四五”规划</w:t>
      </w:r>
      <w:r>
        <w:rPr>
          <w:rFonts w:hint="eastAsia" w:eastAsiaTheme="minorEastAsia"/>
          <w:sz w:val="24"/>
        </w:rPr>
        <w:t>、空气质量改善</w:t>
      </w:r>
      <w:r>
        <w:rPr>
          <w:rFonts w:hint="eastAsia" w:eastAsiaTheme="minorEastAsia"/>
          <w:sz w:val="24"/>
          <w:lang w:eastAsia="zh-CN"/>
        </w:rPr>
        <w:t>“十四五”规划</w:t>
      </w:r>
      <w:r>
        <w:rPr>
          <w:rFonts w:hint="eastAsia" w:eastAsiaTheme="minorEastAsia"/>
          <w:sz w:val="24"/>
        </w:rPr>
        <w:t>等。</w:t>
      </w:r>
    </w:p>
    <w:p w14:paraId="36B2F65D">
      <w:pPr>
        <w:spacing w:line="360" w:lineRule="auto"/>
        <w:ind w:firstLine="480" w:firstLineChars="200"/>
        <w:jc w:val="left"/>
        <w:rPr>
          <w:rFonts w:eastAsiaTheme="minorEastAsia"/>
          <w:sz w:val="24"/>
        </w:rPr>
      </w:pPr>
      <w:r>
        <w:rPr>
          <w:rFonts w:hint="eastAsia" w:eastAsiaTheme="minorEastAsia"/>
          <w:sz w:val="24"/>
        </w:rPr>
        <w:t>（2）相关规划的协调性</w:t>
      </w:r>
    </w:p>
    <w:p w14:paraId="254567EA">
      <w:pPr>
        <w:spacing w:line="360" w:lineRule="auto"/>
        <w:ind w:firstLine="480" w:firstLineChars="200"/>
        <w:jc w:val="left"/>
        <w:rPr>
          <w:rFonts w:eastAsiaTheme="minorEastAsia"/>
          <w:sz w:val="24"/>
        </w:rPr>
      </w:pPr>
      <w:r>
        <w:rPr>
          <w:rFonts w:hint="eastAsia" w:eastAsiaTheme="minorEastAsia"/>
          <w:sz w:val="24"/>
        </w:rPr>
        <w:t>分析项目与所在地国土空间规划、产业布局规划、生态环境保护相关专项规划等及相关规划环评的协调性。</w:t>
      </w:r>
    </w:p>
    <w:p w14:paraId="1CAC0F9B">
      <w:pPr>
        <w:spacing w:line="360" w:lineRule="auto"/>
        <w:ind w:firstLine="480" w:firstLineChars="200"/>
        <w:jc w:val="left"/>
        <w:rPr>
          <w:rFonts w:eastAsiaTheme="minorEastAsia"/>
          <w:sz w:val="24"/>
        </w:rPr>
      </w:pPr>
      <w:r>
        <w:rPr>
          <w:rFonts w:hint="eastAsia" w:eastAsiaTheme="minorEastAsia"/>
          <w:sz w:val="24"/>
        </w:rPr>
        <w:t>分析与规划环评中提出的环境准入条件、环境准入负面清单等规划要求，入区项目应符合规划环评提出的生态环境准入要求，并符合规划产业布局要求。</w:t>
      </w:r>
    </w:p>
    <w:p w14:paraId="04B752D2">
      <w:pPr>
        <w:spacing w:line="360" w:lineRule="auto"/>
        <w:ind w:firstLine="480" w:firstLineChars="200"/>
        <w:jc w:val="left"/>
        <w:rPr>
          <w:rFonts w:eastAsiaTheme="minorEastAsia"/>
          <w:sz w:val="24"/>
        </w:rPr>
      </w:pPr>
      <w:r>
        <w:rPr>
          <w:rFonts w:hint="eastAsia" w:eastAsiaTheme="minorEastAsia"/>
          <w:sz w:val="24"/>
        </w:rPr>
        <w:t>（3）环境影响预测分析</w:t>
      </w:r>
    </w:p>
    <w:p w14:paraId="388F8682">
      <w:pPr>
        <w:spacing w:line="360" w:lineRule="auto"/>
        <w:ind w:firstLine="480" w:firstLineChars="200"/>
        <w:jc w:val="left"/>
        <w:rPr>
          <w:rFonts w:eastAsiaTheme="minorEastAsia"/>
          <w:sz w:val="24"/>
        </w:rPr>
      </w:pPr>
      <w:r>
        <w:rPr>
          <w:rFonts w:hint="eastAsia" w:eastAsiaTheme="minorEastAsia"/>
          <w:sz w:val="24"/>
        </w:rPr>
        <w:t>开展环境影响因素识别、区域环境现状评价、环境影响预测评价，重点进行产业政策符合性分析，加强关注厂址选址的有关要求、污染特点及治理要求、污染物排放及总量控制要求、清洁生产的有关要求。</w:t>
      </w:r>
    </w:p>
    <w:p w14:paraId="0EBD1DEE">
      <w:pPr>
        <w:spacing w:line="360" w:lineRule="auto"/>
        <w:ind w:firstLine="480" w:firstLineChars="200"/>
        <w:jc w:val="left"/>
        <w:rPr>
          <w:rFonts w:eastAsiaTheme="minorEastAsia"/>
          <w:sz w:val="24"/>
        </w:rPr>
      </w:pPr>
      <w:r>
        <w:rPr>
          <w:rFonts w:hint="eastAsia" w:eastAsiaTheme="minorEastAsia"/>
          <w:sz w:val="24"/>
        </w:rPr>
        <w:t>（4）重视污染物排放总量控制</w:t>
      </w:r>
    </w:p>
    <w:p w14:paraId="55BA8D4E">
      <w:pPr>
        <w:spacing w:line="360" w:lineRule="auto"/>
        <w:ind w:firstLine="480" w:firstLineChars="200"/>
        <w:jc w:val="left"/>
        <w:rPr>
          <w:rFonts w:eastAsiaTheme="minorEastAsia"/>
          <w:sz w:val="24"/>
        </w:rPr>
      </w:pPr>
      <w:r>
        <w:rPr>
          <w:rFonts w:hint="eastAsia" w:eastAsiaTheme="minorEastAsia"/>
          <w:sz w:val="24"/>
        </w:rPr>
        <w:t>环境影响评价重点把握大气污染物、水污染物排放总量是否满足区域总量控制限制要求，在具体项目环境评价时需要审慎考虑污染物排放总量，合理决定和利用总量指标，以达到经济发展和环境保护相协调的原则。</w:t>
      </w:r>
    </w:p>
    <w:p w14:paraId="6350E43B">
      <w:pPr>
        <w:spacing w:line="360" w:lineRule="auto"/>
        <w:ind w:firstLine="480" w:firstLineChars="200"/>
        <w:jc w:val="left"/>
        <w:rPr>
          <w:rFonts w:eastAsiaTheme="minorEastAsia"/>
          <w:sz w:val="24"/>
        </w:rPr>
      </w:pPr>
      <w:r>
        <w:rPr>
          <w:rFonts w:hint="eastAsia" w:eastAsiaTheme="minorEastAsia"/>
          <w:sz w:val="24"/>
        </w:rPr>
        <w:t>（5）做好项目环评与企业主动验收、排污许可申请衔接</w:t>
      </w:r>
    </w:p>
    <w:p w14:paraId="36575025">
      <w:pPr>
        <w:spacing w:line="360" w:lineRule="auto"/>
        <w:ind w:firstLine="480" w:firstLineChars="200"/>
        <w:jc w:val="left"/>
        <w:rPr>
          <w:rFonts w:eastAsiaTheme="minorEastAsia"/>
          <w:sz w:val="24"/>
        </w:rPr>
      </w:pPr>
      <w:r>
        <w:rPr>
          <w:rFonts w:hint="eastAsia" w:eastAsiaTheme="minorEastAsia"/>
          <w:sz w:val="24"/>
        </w:rPr>
        <w:t>项目环评报告应明确企业严格按照《建设项目竣工环境保护验收暂行办法》(国规环评[2017]4号)、《关于做好环境影响评价制度与排污许可制衔接相关工作的通知》规定的程序和标准进行自主验收和排污许可证申请。建设项目配套建设的环境保护设施经验收合格后，其主体工程方可投入生产或者使用；未经验收或者验收不合格的，不得投入生产或者使用。另外，建设单位应当在项目产生实际污染物排放之前，按照国家排污许可有关管理规定及《固定污染源排污许可分类管理名录(2019年版)》的规定办理排污许可手续，不得无证排污或不按证排污。</w:t>
      </w:r>
    </w:p>
    <w:p w14:paraId="4481FC85">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23" w:name="_Toc206495046"/>
      <w:r>
        <w:rPr>
          <w:rFonts w:hint="eastAsia" w:eastAsiaTheme="minorEastAsia"/>
          <w:b/>
          <w:bCs/>
          <w:sz w:val="30"/>
          <w:szCs w:val="28"/>
        </w:rPr>
        <w:t>园区环境管理</w:t>
      </w:r>
      <w:bookmarkEnd w:id="223"/>
    </w:p>
    <w:p w14:paraId="75931431">
      <w:pPr>
        <w:keepNext/>
        <w:keepLines/>
        <w:widowControl/>
        <w:numPr>
          <w:ilvl w:val="2"/>
          <w:numId w:val="1"/>
        </w:numPr>
        <w:spacing w:before="120" w:after="120" w:line="360" w:lineRule="auto"/>
        <w:jc w:val="left"/>
        <w:outlineLvl w:val="2"/>
        <w:rPr>
          <w:rFonts w:eastAsiaTheme="minorEastAsia"/>
          <w:b/>
          <w:bCs/>
          <w:sz w:val="24"/>
        </w:rPr>
      </w:pPr>
      <w:bookmarkStart w:id="224" w:name="_Toc206495047"/>
      <w:r>
        <w:rPr>
          <w:rFonts w:hint="eastAsia" w:eastAsiaTheme="minorEastAsia"/>
          <w:b/>
          <w:bCs/>
          <w:sz w:val="24"/>
        </w:rPr>
        <w:t>环境管理目标</w:t>
      </w:r>
      <w:bookmarkEnd w:id="224"/>
    </w:p>
    <w:p w14:paraId="6409AA23">
      <w:pPr>
        <w:spacing w:line="360" w:lineRule="auto"/>
        <w:ind w:firstLine="480" w:firstLineChars="200"/>
        <w:jc w:val="left"/>
        <w:rPr>
          <w:rFonts w:eastAsiaTheme="minorEastAsia"/>
          <w:sz w:val="24"/>
        </w:rPr>
      </w:pPr>
      <w:r>
        <w:rPr>
          <w:rFonts w:hint="eastAsia" w:eastAsiaTheme="minorEastAsia"/>
          <w:sz w:val="24"/>
        </w:rPr>
        <w:t>（1）全面推进以环境质量为目标的污染物总量控制，着力推进产业园建设步伐；促进环境保护，环境建设与国民经济持续、稳定、协调发展；</w:t>
      </w:r>
    </w:p>
    <w:p w14:paraId="2FEE897D">
      <w:pPr>
        <w:spacing w:line="360" w:lineRule="auto"/>
        <w:ind w:firstLine="480" w:firstLineChars="200"/>
        <w:jc w:val="left"/>
        <w:rPr>
          <w:rFonts w:eastAsiaTheme="minorEastAsia"/>
          <w:sz w:val="24"/>
        </w:rPr>
      </w:pPr>
      <w:r>
        <w:rPr>
          <w:rFonts w:hint="eastAsia" w:eastAsiaTheme="minorEastAsia"/>
          <w:sz w:val="24"/>
        </w:rPr>
        <w:t>（2）建立公众参与机制，严格依法管理环境，实现产业园环境质量按功能分区达标；</w:t>
      </w:r>
    </w:p>
    <w:p w14:paraId="7A649FE5">
      <w:pPr>
        <w:spacing w:line="360" w:lineRule="auto"/>
        <w:ind w:firstLine="480" w:firstLineChars="200"/>
        <w:jc w:val="left"/>
        <w:rPr>
          <w:rFonts w:eastAsiaTheme="minorEastAsia"/>
          <w:sz w:val="24"/>
        </w:rPr>
      </w:pPr>
      <w:r>
        <w:rPr>
          <w:rFonts w:hint="eastAsia" w:eastAsiaTheme="minorEastAsia"/>
          <w:sz w:val="24"/>
        </w:rPr>
        <w:t>（3）严格控制新污染源，对入区企业“三同时”执行率达到100%；</w:t>
      </w:r>
    </w:p>
    <w:p w14:paraId="73E41B36">
      <w:pPr>
        <w:spacing w:line="360" w:lineRule="auto"/>
        <w:ind w:firstLine="480" w:firstLineChars="200"/>
        <w:jc w:val="left"/>
        <w:rPr>
          <w:rFonts w:eastAsiaTheme="minorEastAsia"/>
          <w:sz w:val="24"/>
        </w:rPr>
      </w:pPr>
      <w:r>
        <w:rPr>
          <w:rFonts w:hint="eastAsia" w:eastAsiaTheme="minorEastAsia"/>
          <w:sz w:val="24"/>
        </w:rPr>
        <w:t>（4）抓经济结构调整契机，全面推进工业清洁生产，大力推行循环经济；</w:t>
      </w:r>
    </w:p>
    <w:p w14:paraId="224D4553">
      <w:pPr>
        <w:spacing w:line="360" w:lineRule="auto"/>
        <w:ind w:firstLine="480" w:firstLineChars="200"/>
        <w:jc w:val="left"/>
        <w:rPr>
          <w:rFonts w:eastAsiaTheme="minorEastAsia"/>
          <w:sz w:val="24"/>
        </w:rPr>
      </w:pPr>
      <w:r>
        <w:rPr>
          <w:rFonts w:hint="eastAsia" w:eastAsiaTheme="minorEastAsia"/>
          <w:sz w:val="24"/>
        </w:rPr>
        <w:t>（5）坚持生态保护与污染防治并重、生态建设与生态保护并举，着力推进产业园建设步伐；</w:t>
      </w:r>
    </w:p>
    <w:p w14:paraId="71B2FE7B">
      <w:pPr>
        <w:spacing w:line="360" w:lineRule="auto"/>
        <w:ind w:firstLine="480" w:firstLineChars="200"/>
        <w:jc w:val="left"/>
        <w:rPr>
          <w:rFonts w:eastAsiaTheme="minorEastAsia"/>
          <w:sz w:val="24"/>
        </w:rPr>
      </w:pPr>
      <w:r>
        <w:rPr>
          <w:rFonts w:hint="eastAsia" w:eastAsiaTheme="minorEastAsia"/>
          <w:sz w:val="24"/>
        </w:rPr>
        <w:t>（6）加强环境管理能力建设，提高环境管理现代化水平。</w:t>
      </w:r>
    </w:p>
    <w:p w14:paraId="5D2B053A">
      <w:pPr>
        <w:keepNext/>
        <w:keepLines/>
        <w:widowControl/>
        <w:numPr>
          <w:ilvl w:val="2"/>
          <w:numId w:val="1"/>
        </w:numPr>
        <w:spacing w:before="120" w:after="120" w:line="360" w:lineRule="auto"/>
        <w:jc w:val="left"/>
        <w:outlineLvl w:val="2"/>
        <w:rPr>
          <w:rFonts w:eastAsiaTheme="minorEastAsia"/>
          <w:b/>
          <w:bCs/>
          <w:sz w:val="24"/>
        </w:rPr>
      </w:pPr>
      <w:bookmarkStart w:id="225" w:name="_Toc206495048"/>
      <w:r>
        <w:rPr>
          <w:rFonts w:hint="eastAsia" w:eastAsiaTheme="minorEastAsia"/>
          <w:b/>
          <w:bCs/>
          <w:sz w:val="24"/>
        </w:rPr>
        <w:t>环境管理机构与职责</w:t>
      </w:r>
      <w:bookmarkEnd w:id="225"/>
    </w:p>
    <w:p w14:paraId="5DE17822">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环境管理机构设置</w:t>
      </w:r>
    </w:p>
    <w:p w14:paraId="442C4721">
      <w:pPr>
        <w:spacing w:line="360" w:lineRule="auto"/>
        <w:ind w:firstLine="480" w:firstLineChars="200"/>
        <w:jc w:val="left"/>
        <w:rPr>
          <w:rFonts w:eastAsiaTheme="minorEastAsia"/>
          <w:sz w:val="24"/>
        </w:rPr>
      </w:pPr>
      <w:r>
        <w:rPr>
          <w:rFonts w:hint="eastAsia" w:eastAsiaTheme="minorEastAsia"/>
          <w:sz w:val="24"/>
        </w:rPr>
        <w:t>园区建设期和建成营运期的环境管理工作，是该区域主管部门的重要职能。为使园区开发与区域环境保护成为一个有机整体，实现区域的环境保护目标，必须制定环境管理制度。应设置专门的环境管理机构，下设环保职能科室，应由一名副主任分管环保职能科室，环保职能科室应配备相应的具有环保专业知识的专职人员，负责区域环境管理的日常工作。</w:t>
      </w:r>
    </w:p>
    <w:p w14:paraId="2315E443">
      <w:pPr>
        <w:spacing w:line="360" w:lineRule="auto"/>
        <w:ind w:firstLine="480" w:firstLineChars="200"/>
        <w:jc w:val="left"/>
        <w:rPr>
          <w:rFonts w:eastAsiaTheme="minorEastAsia"/>
          <w:sz w:val="24"/>
        </w:rPr>
      </w:pPr>
      <w:r>
        <w:rPr>
          <w:rFonts w:hint="eastAsia" w:eastAsiaTheme="minorEastAsia"/>
          <w:sz w:val="24"/>
        </w:rPr>
        <w:t>石材产业园区管理部门应全面履行国家和地方制定的环境保护法规、政策，有效地保护产业园的环境质量，合理开发和利用环境资源。</w:t>
      </w:r>
    </w:p>
    <w:p w14:paraId="4C9202D2">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环境管理机构职责</w:t>
      </w:r>
    </w:p>
    <w:p w14:paraId="6238FBC8">
      <w:pPr>
        <w:spacing w:line="360" w:lineRule="auto"/>
        <w:ind w:firstLine="480" w:firstLineChars="200"/>
        <w:jc w:val="left"/>
        <w:rPr>
          <w:rFonts w:eastAsiaTheme="minorEastAsia"/>
          <w:sz w:val="24"/>
        </w:rPr>
      </w:pPr>
      <w:r>
        <w:rPr>
          <w:rFonts w:hint="eastAsia" w:eastAsiaTheme="minorEastAsia"/>
          <w:sz w:val="24"/>
        </w:rPr>
        <w:t>（1）认真贯彻执行国家、湖北省及随州市颁布的有关环境保护法律、法规和标准，协助产业园最高管理者协调产业园开发活动与环境保护活动；</w:t>
      </w:r>
    </w:p>
    <w:p w14:paraId="7966AC21">
      <w:pPr>
        <w:spacing w:line="360" w:lineRule="auto"/>
        <w:ind w:firstLine="480" w:firstLineChars="200"/>
        <w:jc w:val="left"/>
        <w:rPr>
          <w:rFonts w:eastAsiaTheme="minorEastAsia"/>
          <w:sz w:val="24"/>
        </w:rPr>
      </w:pPr>
      <w:r>
        <w:rPr>
          <w:rFonts w:hint="eastAsia" w:eastAsiaTheme="minorEastAsia"/>
          <w:sz w:val="24"/>
        </w:rPr>
        <w:t>（2）协助产业园最高管理者制定产业园环境方针；制定产业园环境管理目标、指标和环境管理方案，包括监控计划等；</w:t>
      </w:r>
    </w:p>
    <w:p w14:paraId="57087175">
      <w:pPr>
        <w:spacing w:line="360" w:lineRule="auto"/>
        <w:ind w:firstLine="480" w:firstLineChars="200"/>
        <w:jc w:val="left"/>
        <w:rPr>
          <w:rFonts w:eastAsiaTheme="minorEastAsia"/>
          <w:sz w:val="24"/>
        </w:rPr>
      </w:pPr>
      <w:r>
        <w:rPr>
          <w:rFonts w:hint="eastAsia" w:eastAsiaTheme="minorEastAsia"/>
          <w:sz w:val="24"/>
        </w:rPr>
        <w:t>（3）负责监督与实施产业园环境管理方案；负责制定和建立产业园内有关环保的制度与政策；负责产业园的环境统计工作、污染源建档，并编制环境监测等报告；</w:t>
      </w:r>
    </w:p>
    <w:p w14:paraId="4545B76A">
      <w:pPr>
        <w:spacing w:line="360" w:lineRule="auto"/>
        <w:ind w:firstLine="480" w:firstLineChars="200"/>
        <w:jc w:val="left"/>
        <w:rPr>
          <w:rFonts w:eastAsiaTheme="minorEastAsia"/>
          <w:sz w:val="24"/>
        </w:rPr>
      </w:pPr>
      <w:r>
        <w:rPr>
          <w:rFonts w:hint="eastAsia" w:eastAsiaTheme="minorEastAsia"/>
          <w:sz w:val="24"/>
        </w:rPr>
        <w:t>（4）协助和监督入区企业“环境影响评价”、“三同时”“排污许可”的实施；建立企业环保设施档案，定期检查，确保其正常运行。</w:t>
      </w:r>
    </w:p>
    <w:p w14:paraId="6ACAB645">
      <w:pPr>
        <w:spacing w:line="360" w:lineRule="auto"/>
        <w:ind w:firstLine="480" w:firstLineChars="200"/>
        <w:jc w:val="left"/>
        <w:rPr>
          <w:rFonts w:eastAsiaTheme="minorEastAsia"/>
          <w:sz w:val="24"/>
        </w:rPr>
      </w:pPr>
      <w:r>
        <w:rPr>
          <w:rFonts w:hint="eastAsia" w:eastAsiaTheme="minorEastAsia"/>
          <w:sz w:val="24"/>
        </w:rPr>
        <w:t>（5）负责监督产业园环保公用设施的运行、维修，以确保其正常稳定运行；协调各企业单位之间环保设施的共用，提高应急事故处理能力；</w:t>
      </w:r>
    </w:p>
    <w:p w14:paraId="221A2E7B">
      <w:pPr>
        <w:spacing w:line="360" w:lineRule="auto"/>
        <w:ind w:firstLine="480" w:firstLineChars="200"/>
        <w:jc w:val="left"/>
        <w:rPr>
          <w:rFonts w:eastAsiaTheme="minorEastAsia"/>
          <w:sz w:val="24"/>
        </w:rPr>
      </w:pPr>
      <w:r>
        <w:rPr>
          <w:rFonts w:hint="eastAsia" w:eastAsiaTheme="minorEastAsia"/>
          <w:sz w:val="24"/>
        </w:rPr>
        <w:t>（6）负责对产业园开发活动者进行环境教育与培训；</w:t>
      </w:r>
    </w:p>
    <w:p w14:paraId="3BCA17A5">
      <w:pPr>
        <w:spacing w:line="360" w:lineRule="auto"/>
        <w:ind w:firstLine="480" w:firstLineChars="200"/>
        <w:jc w:val="left"/>
        <w:rPr>
          <w:rFonts w:eastAsiaTheme="minorEastAsia"/>
          <w:sz w:val="24"/>
        </w:rPr>
      </w:pPr>
      <w:r>
        <w:rPr>
          <w:rFonts w:hint="eastAsia" w:eastAsiaTheme="minorEastAsia"/>
          <w:sz w:val="24"/>
        </w:rPr>
        <w:t>（7）负责有关环境事务方面的对外联络，如及时了解政府有关部门的相关环境政策和法规的颁布与修改，并及时贯彻和执行，负责对公众的联络、解释、答复和协调有关产业园涉及公众利益的活动及相应措施；</w:t>
      </w:r>
    </w:p>
    <w:p w14:paraId="1ED0E761">
      <w:pPr>
        <w:spacing w:line="360" w:lineRule="auto"/>
        <w:ind w:firstLine="480" w:firstLineChars="200"/>
        <w:jc w:val="left"/>
        <w:rPr>
          <w:rFonts w:eastAsiaTheme="minorEastAsia"/>
          <w:sz w:val="24"/>
        </w:rPr>
      </w:pPr>
      <w:r>
        <w:rPr>
          <w:rFonts w:hint="eastAsia" w:eastAsiaTheme="minorEastAsia"/>
          <w:sz w:val="24"/>
        </w:rPr>
        <w:t>（8）建立产业园内各企业危险废物的贮存、申报、经营许可、转移、排放制度；</w:t>
      </w:r>
    </w:p>
    <w:p w14:paraId="2D2E49F3">
      <w:pPr>
        <w:spacing w:line="360" w:lineRule="auto"/>
        <w:ind w:firstLine="480" w:firstLineChars="200"/>
        <w:jc w:val="left"/>
        <w:rPr>
          <w:rFonts w:eastAsiaTheme="minorEastAsia"/>
          <w:sz w:val="24"/>
        </w:rPr>
      </w:pPr>
      <w:r>
        <w:rPr>
          <w:rFonts w:hint="eastAsia" w:eastAsiaTheme="minorEastAsia"/>
          <w:sz w:val="24"/>
        </w:rPr>
        <w:t>（9）努力促进产业园按照 ISO14000标准建立环境管理体系。</w:t>
      </w:r>
    </w:p>
    <w:p w14:paraId="4E127C97">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现状项目的环境管理</w:t>
      </w:r>
    </w:p>
    <w:p w14:paraId="75CB9E51">
      <w:pPr>
        <w:spacing w:line="360" w:lineRule="auto"/>
        <w:ind w:firstLine="480" w:firstLineChars="200"/>
        <w:jc w:val="left"/>
        <w:rPr>
          <w:rFonts w:eastAsiaTheme="minorEastAsia"/>
          <w:sz w:val="24"/>
        </w:rPr>
      </w:pPr>
      <w:r>
        <w:rPr>
          <w:rFonts w:hint="eastAsia" w:eastAsiaTheme="minorEastAsia"/>
          <w:sz w:val="24"/>
        </w:rPr>
        <w:t>做好对现状企业的环境监管工作，督促现有企业完善“环境影响评价”、“三同时”“排污许可”的实施，对各企业环保设施运营情况进行不定期检查，保证各企业各项污染物能够做到稳定达标排放，对存在问题的企业排污环节，提出整改措施并限期完成。</w:t>
      </w:r>
    </w:p>
    <w:p w14:paraId="3D9ADCB4">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新建项目的环境管理</w:t>
      </w:r>
    </w:p>
    <w:p w14:paraId="529C39D0">
      <w:pPr>
        <w:spacing w:line="360" w:lineRule="auto"/>
        <w:ind w:firstLine="480" w:firstLineChars="200"/>
        <w:jc w:val="left"/>
        <w:rPr>
          <w:rFonts w:eastAsiaTheme="minorEastAsia"/>
          <w:sz w:val="24"/>
        </w:rPr>
      </w:pPr>
      <w:r>
        <w:rPr>
          <w:rFonts w:hint="eastAsia" w:eastAsiaTheme="minorEastAsia"/>
          <w:sz w:val="24"/>
        </w:rPr>
        <w:t>（1）“三同时”制度</w:t>
      </w:r>
    </w:p>
    <w:p w14:paraId="1A41831D">
      <w:pPr>
        <w:spacing w:line="360" w:lineRule="auto"/>
        <w:ind w:firstLine="480" w:firstLineChars="200"/>
        <w:jc w:val="left"/>
        <w:rPr>
          <w:rFonts w:eastAsiaTheme="minorEastAsia"/>
          <w:sz w:val="24"/>
        </w:rPr>
      </w:pPr>
      <w:r>
        <w:rPr>
          <w:rFonts w:hint="eastAsia" w:eastAsiaTheme="minorEastAsia"/>
          <w:sz w:val="24"/>
        </w:rPr>
        <w:t>“三同时”制度规定新建项目要有环境保护设施，并与主体工程同时设计、同时施工、同时投产。产业园全部生活污水统一收集至乡镇污水处理厂处理，为了确保污水处理设施的正常运转，项目污水在进污水处理厂处理前，应严格按照允许进入污水处理厂的水质标准进行治理和管理。对环境空气污染源、噪声排放源的治理及固体废物的处置，则应严格执行“三同时”制度。</w:t>
      </w:r>
    </w:p>
    <w:p w14:paraId="2E71FCF2">
      <w:pPr>
        <w:spacing w:line="360" w:lineRule="auto"/>
        <w:ind w:firstLine="480" w:firstLineChars="200"/>
        <w:jc w:val="left"/>
        <w:rPr>
          <w:rFonts w:eastAsiaTheme="minorEastAsia"/>
          <w:sz w:val="24"/>
        </w:rPr>
      </w:pPr>
      <w:r>
        <w:rPr>
          <w:rFonts w:hint="eastAsia" w:eastAsiaTheme="minorEastAsia"/>
          <w:sz w:val="24"/>
        </w:rPr>
        <w:t>（2）排污收费制度</w:t>
      </w:r>
    </w:p>
    <w:p w14:paraId="6A770AB9">
      <w:pPr>
        <w:spacing w:line="360" w:lineRule="auto"/>
        <w:ind w:firstLine="480" w:firstLineChars="200"/>
        <w:jc w:val="left"/>
        <w:rPr>
          <w:rFonts w:eastAsiaTheme="minorEastAsia"/>
          <w:sz w:val="24"/>
        </w:rPr>
      </w:pPr>
      <w:r>
        <w:rPr>
          <w:rFonts w:hint="eastAsia" w:eastAsiaTheme="minorEastAsia"/>
          <w:sz w:val="24"/>
        </w:rPr>
        <w:t>根据国家有关政策，结合产业园项目运作的特点，在执行排污收费时，对于水污染收费应按区域污水管理运行要求进行管理和收费，对于空气污染的排污收费应按国家有关法规的要求进行。</w:t>
      </w:r>
    </w:p>
    <w:p w14:paraId="5284E34A">
      <w:pPr>
        <w:spacing w:line="360" w:lineRule="auto"/>
        <w:ind w:firstLine="480" w:firstLineChars="200"/>
        <w:jc w:val="left"/>
        <w:rPr>
          <w:rFonts w:eastAsiaTheme="minorEastAsia"/>
          <w:sz w:val="24"/>
        </w:rPr>
      </w:pPr>
      <w:r>
        <w:rPr>
          <w:rFonts w:hint="eastAsia" w:eastAsiaTheme="minorEastAsia"/>
          <w:sz w:val="24"/>
        </w:rPr>
        <w:t>（3）环境影响评价制度</w:t>
      </w:r>
    </w:p>
    <w:p w14:paraId="5C476841">
      <w:pPr>
        <w:spacing w:line="360" w:lineRule="auto"/>
        <w:ind w:firstLine="480" w:firstLineChars="200"/>
        <w:jc w:val="left"/>
        <w:rPr>
          <w:rFonts w:eastAsiaTheme="minorEastAsia"/>
          <w:sz w:val="24"/>
        </w:rPr>
      </w:pPr>
      <w:r>
        <w:rPr>
          <w:rFonts w:hint="eastAsia" w:eastAsiaTheme="minorEastAsia"/>
          <w:sz w:val="24"/>
        </w:rPr>
        <w:t>对所有进区的单个新建项目均应按照《中华人民共和国环境影响评价法》和《建设项目环境保护管理条例》的有关规定，根据不同情况进行环境影响评价，报具有审批权限的环保部门审批。</w:t>
      </w:r>
    </w:p>
    <w:p w14:paraId="21CDB1A9">
      <w:pPr>
        <w:spacing w:line="360" w:lineRule="auto"/>
        <w:ind w:firstLine="480" w:firstLineChars="200"/>
        <w:jc w:val="left"/>
        <w:rPr>
          <w:rFonts w:eastAsiaTheme="minorEastAsia"/>
          <w:sz w:val="24"/>
        </w:rPr>
      </w:pPr>
      <w:r>
        <w:rPr>
          <w:rFonts w:hint="eastAsia" w:eastAsiaTheme="minorEastAsia"/>
          <w:sz w:val="24"/>
        </w:rPr>
        <w:t>（4）污染物排放许可证制度和排污申报登记制度</w:t>
      </w:r>
    </w:p>
    <w:p w14:paraId="33AC818F">
      <w:pPr>
        <w:spacing w:line="360" w:lineRule="auto"/>
        <w:ind w:firstLine="480" w:firstLineChars="200"/>
        <w:jc w:val="left"/>
        <w:rPr>
          <w:rFonts w:eastAsiaTheme="minorEastAsia"/>
          <w:sz w:val="24"/>
        </w:rPr>
      </w:pPr>
      <w:r>
        <w:rPr>
          <w:rFonts w:hint="eastAsia" w:eastAsiaTheme="minorEastAsia"/>
          <w:sz w:val="24"/>
        </w:rPr>
        <w:t>排污许可证制度以污染物总量控制为基础，规定排污单位许可排放污染物种类，许可污染物的排放量，排放去向等。</w:t>
      </w:r>
    </w:p>
    <w:p w14:paraId="0ED81B3F">
      <w:pPr>
        <w:spacing w:line="360" w:lineRule="auto"/>
        <w:ind w:firstLine="480" w:firstLineChars="200"/>
        <w:jc w:val="left"/>
        <w:rPr>
          <w:rFonts w:eastAsiaTheme="minorEastAsia"/>
          <w:sz w:val="24"/>
        </w:rPr>
      </w:pPr>
      <w:r>
        <w:rPr>
          <w:rFonts w:hint="eastAsia" w:eastAsiaTheme="minorEastAsia"/>
          <w:sz w:val="24"/>
        </w:rPr>
        <w:t>（5）项目选址的建议</w:t>
      </w:r>
    </w:p>
    <w:p w14:paraId="0AAA0B0C">
      <w:pPr>
        <w:spacing w:line="360" w:lineRule="auto"/>
        <w:ind w:firstLine="480" w:firstLineChars="200"/>
        <w:jc w:val="left"/>
        <w:rPr>
          <w:rFonts w:eastAsiaTheme="minorEastAsia"/>
          <w:sz w:val="24"/>
        </w:rPr>
      </w:pPr>
      <w:r>
        <w:rPr>
          <w:rFonts w:hint="eastAsia" w:eastAsiaTheme="minorEastAsia"/>
          <w:sz w:val="24"/>
        </w:rPr>
        <w:t>入区项目选址应符合产业园用地规划，遵循工业布局规划，注意工业区与周边居住区、宿舍区之间设置合理的防护距离。</w:t>
      </w:r>
    </w:p>
    <w:p w14:paraId="6B9849A3">
      <w:pPr>
        <w:spacing w:line="360" w:lineRule="auto"/>
        <w:ind w:firstLine="480" w:firstLineChars="200"/>
        <w:jc w:val="left"/>
        <w:rPr>
          <w:rFonts w:eastAsiaTheme="minorEastAsia"/>
          <w:sz w:val="24"/>
        </w:rPr>
      </w:pPr>
      <w:r>
        <w:rPr>
          <w:rFonts w:hint="eastAsia" w:eastAsiaTheme="minorEastAsia"/>
          <w:sz w:val="24"/>
        </w:rPr>
        <w:t>（6）适时推进环境监理制度</w:t>
      </w:r>
    </w:p>
    <w:p w14:paraId="792101D4">
      <w:pPr>
        <w:spacing w:line="360" w:lineRule="auto"/>
        <w:ind w:firstLine="480" w:firstLineChars="200"/>
        <w:jc w:val="left"/>
        <w:rPr>
          <w:rFonts w:eastAsiaTheme="minorEastAsia"/>
          <w:sz w:val="24"/>
        </w:rPr>
      </w:pPr>
      <w:r>
        <w:rPr>
          <w:rFonts w:hint="eastAsia" w:eastAsiaTheme="minorEastAsia"/>
          <w:sz w:val="24"/>
        </w:rPr>
        <w:t>构建建设项目环境监理体系，对区内建设项目施行环境监理，落实环境保护措施，防止环境污染与生态破坏，确保项目建设满足工程竣工环境保护验收要求；对未按有关环境保护要求施工的，应责令建设单位限期整改，造成生态破坏的，应采取补救措施或予以恢复。</w:t>
      </w:r>
    </w:p>
    <w:p w14:paraId="7A017946">
      <w:pPr>
        <w:keepNext/>
        <w:keepLines/>
        <w:widowControl/>
        <w:numPr>
          <w:ilvl w:val="2"/>
          <w:numId w:val="1"/>
        </w:numPr>
        <w:spacing w:before="120" w:after="120" w:line="360" w:lineRule="auto"/>
        <w:jc w:val="left"/>
        <w:outlineLvl w:val="2"/>
        <w:rPr>
          <w:rFonts w:eastAsiaTheme="minorEastAsia"/>
          <w:b/>
          <w:bCs/>
          <w:sz w:val="24"/>
        </w:rPr>
      </w:pPr>
      <w:bookmarkStart w:id="226" w:name="_Toc206495049"/>
      <w:r>
        <w:rPr>
          <w:rFonts w:hint="eastAsia" w:eastAsiaTheme="minorEastAsia"/>
          <w:b/>
          <w:bCs/>
          <w:sz w:val="24"/>
        </w:rPr>
        <w:t>环境管理制度</w:t>
      </w:r>
      <w:bookmarkEnd w:id="226"/>
    </w:p>
    <w:p w14:paraId="50BFF634">
      <w:pPr>
        <w:spacing w:line="360" w:lineRule="auto"/>
        <w:ind w:firstLine="480" w:firstLineChars="200"/>
        <w:jc w:val="left"/>
        <w:rPr>
          <w:rFonts w:eastAsiaTheme="minorEastAsia"/>
          <w:sz w:val="24"/>
        </w:rPr>
      </w:pPr>
      <w:r>
        <w:rPr>
          <w:rFonts w:hint="eastAsia" w:eastAsiaTheme="minorEastAsia"/>
          <w:sz w:val="24"/>
        </w:rPr>
        <w:t>建立完善的环境管理体系，健全内部环境管理制度，加强日常环境管理工作，杜绝环境污染事故的发生，保护环境。</w:t>
      </w:r>
    </w:p>
    <w:p w14:paraId="7F2BFD21">
      <w:pPr>
        <w:spacing w:line="360" w:lineRule="auto"/>
        <w:ind w:firstLine="480" w:firstLineChars="200"/>
        <w:jc w:val="left"/>
        <w:rPr>
          <w:rFonts w:eastAsiaTheme="minorEastAsia"/>
          <w:sz w:val="24"/>
        </w:rPr>
      </w:pPr>
      <w:r>
        <w:rPr>
          <w:rFonts w:hint="eastAsia" w:eastAsiaTheme="minorEastAsia"/>
          <w:sz w:val="24"/>
        </w:rPr>
        <w:t>做好环境教育和宣传工作，提高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主管部门的管理、监督和指导。同时进入产业园内项目必须同时履行以下制度：</w:t>
      </w:r>
    </w:p>
    <w:p w14:paraId="0ACF86CB">
      <w:pPr>
        <w:spacing w:line="360" w:lineRule="auto"/>
        <w:ind w:firstLine="480" w:firstLineChars="200"/>
        <w:jc w:val="left"/>
        <w:rPr>
          <w:rFonts w:eastAsiaTheme="minorEastAsia"/>
          <w:sz w:val="24"/>
        </w:rPr>
      </w:pPr>
      <w:r>
        <w:rPr>
          <w:rFonts w:hint="eastAsia" w:eastAsiaTheme="minorEastAsia"/>
          <w:sz w:val="24"/>
        </w:rPr>
        <w:t>（1）“三同时”制度</w:t>
      </w:r>
    </w:p>
    <w:p w14:paraId="13B97557">
      <w:pPr>
        <w:spacing w:line="360" w:lineRule="auto"/>
        <w:ind w:firstLine="480" w:firstLineChars="200"/>
        <w:jc w:val="left"/>
        <w:rPr>
          <w:rFonts w:eastAsiaTheme="minorEastAsia"/>
          <w:sz w:val="24"/>
        </w:rPr>
      </w:pPr>
      <w:r>
        <w:rPr>
          <w:rFonts w:hint="eastAsia" w:eastAsiaTheme="minorEastAsia"/>
          <w:sz w:val="24"/>
        </w:rPr>
        <w:t>“三同时”制度规定新建项目要有环境保护设施，并与主体工程同时设计、同时施工、同时投产，新建项目在对污水处理、环境空气污染源、噪声排放源的治理及固体废物的处置，则应严格执行“三同时”制度。</w:t>
      </w:r>
    </w:p>
    <w:p w14:paraId="363C154E">
      <w:pPr>
        <w:spacing w:line="360" w:lineRule="auto"/>
        <w:ind w:firstLine="480" w:firstLineChars="200"/>
        <w:jc w:val="left"/>
        <w:rPr>
          <w:rFonts w:eastAsiaTheme="minorEastAsia"/>
          <w:sz w:val="24"/>
        </w:rPr>
      </w:pPr>
      <w:r>
        <w:rPr>
          <w:rFonts w:hint="eastAsia" w:eastAsiaTheme="minorEastAsia"/>
          <w:sz w:val="24"/>
        </w:rPr>
        <w:t>（2）环境影响评价制度</w:t>
      </w:r>
    </w:p>
    <w:p w14:paraId="4E4237B0">
      <w:pPr>
        <w:spacing w:line="360" w:lineRule="auto"/>
        <w:ind w:firstLine="480" w:firstLineChars="200"/>
        <w:jc w:val="left"/>
        <w:rPr>
          <w:rFonts w:eastAsiaTheme="minorEastAsia"/>
          <w:sz w:val="24"/>
        </w:rPr>
      </w:pPr>
      <w:r>
        <w:rPr>
          <w:rFonts w:hint="eastAsia" w:eastAsiaTheme="minorEastAsia"/>
          <w:sz w:val="24"/>
        </w:rPr>
        <w:t>规划区新建、改扩建项目按照国家和地方有关规定履行环境影响评价制度。</w:t>
      </w:r>
    </w:p>
    <w:p w14:paraId="7DA144C6">
      <w:pPr>
        <w:spacing w:line="360" w:lineRule="auto"/>
        <w:ind w:firstLine="480" w:firstLineChars="200"/>
        <w:jc w:val="left"/>
        <w:rPr>
          <w:rFonts w:eastAsiaTheme="minorEastAsia"/>
          <w:sz w:val="24"/>
        </w:rPr>
      </w:pPr>
      <w:r>
        <w:rPr>
          <w:rFonts w:hint="eastAsia" w:eastAsiaTheme="minorEastAsia"/>
          <w:sz w:val="24"/>
        </w:rPr>
        <w:t>（3）建立污染物排放许可证制度</w:t>
      </w:r>
    </w:p>
    <w:p w14:paraId="623740DF">
      <w:pPr>
        <w:spacing w:line="360" w:lineRule="auto"/>
        <w:ind w:firstLine="480" w:firstLineChars="200"/>
        <w:jc w:val="left"/>
        <w:rPr>
          <w:rFonts w:eastAsiaTheme="minorEastAsia"/>
          <w:sz w:val="24"/>
        </w:rPr>
      </w:pPr>
      <w:r>
        <w:rPr>
          <w:rFonts w:hint="eastAsia" w:eastAsiaTheme="minorEastAsia"/>
          <w:sz w:val="24"/>
        </w:rPr>
        <w:t>按照《固定污染源排污许可分类管理名录》（2019年版）规定的类别要求申领排污许可证或排污登记，不得无证排污或者不按证排污。</w:t>
      </w:r>
    </w:p>
    <w:p w14:paraId="2984C6CA">
      <w:pPr>
        <w:spacing w:line="360" w:lineRule="auto"/>
        <w:ind w:firstLine="480" w:firstLineChars="200"/>
        <w:jc w:val="left"/>
        <w:rPr>
          <w:rFonts w:eastAsiaTheme="minorEastAsia"/>
          <w:sz w:val="24"/>
        </w:rPr>
      </w:pPr>
      <w:r>
        <w:rPr>
          <w:rFonts w:hint="eastAsia" w:eastAsiaTheme="minorEastAsia"/>
          <w:sz w:val="24"/>
        </w:rPr>
        <w:t>（4）鼓励开展清洁生产审计及ISO14000管理体系建设</w:t>
      </w:r>
    </w:p>
    <w:p w14:paraId="7F75037B">
      <w:pPr>
        <w:spacing w:line="360" w:lineRule="auto"/>
        <w:ind w:firstLine="480" w:firstLineChars="200"/>
        <w:jc w:val="left"/>
        <w:rPr>
          <w:rFonts w:eastAsiaTheme="minorEastAsia"/>
          <w:sz w:val="24"/>
        </w:rPr>
      </w:pPr>
      <w:r>
        <w:rPr>
          <w:rFonts w:hint="eastAsia" w:eastAsiaTheme="minorEastAsia"/>
          <w:sz w:val="24"/>
        </w:rPr>
        <w:t>为了有效减少本规划可能产生的环境影响，实现规划区域内的环境保护与经济建设的可持续协调发展，鼓励规划区域内建立完善的ISO14000环境管理体系健全内部环境管理制度，加强日常环境管理工作。</w:t>
      </w:r>
    </w:p>
    <w:p w14:paraId="62A941F8">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27" w:name="_Toc206495050"/>
      <w:r>
        <w:rPr>
          <w:rFonts w:hint="eastAsia" w:eastAsiaTheme="minorEastAsia"/>
          <w:b/>
          <w:bCs/>
          <w:sz w:val="30"/>
          <w:szCs w:val="28"/>
        </w:rPr>
        <w:t>环境影响跟踪评价</w:t>
      </w:r>
      <w:bookmarkEnd w:id="227"/>
    </w:p>
    <w:p w14:paraId="39663180">
      <w:pPr>
        <w:spacing w:line="360" w:lineRule="auto"/>
        <w:ind w:firstLine="480" w:firstLineChars="200"/>
        <w:jc w:val="left"/>
        <w:rPr>
          <w:rFonts w:eastAsiaTheme="minorEastAsia"/>
          <w:sz w:val="24"/>
        </w:rPr>
      </w:pPr>
      <w:r>
        <w:rPr>
          <w:rFonts w:hint="eastAsia" w:eastAsiaTheme="minorEastAsia"/>
          <w:sz w:val="24"/>
        </w:rPr>
        <w:t>跟踪评价是应对规划不确定性的有效手段之一，是指在规划的实施过程中对规划已经及正在造成的环境影响进行实地的监测、分析和评价的过程，用以检验规划环境影响评价的准确性以及不良环境影响减缓措施的有效性，并根据评价结果，提出不良环境影响减缓措施的改进意见，以及规划方案修订或终止其实施的建议。</w:t>
      </w:r>
    </w:p>
    <w:p w14:paraId="4C51F497">
      <w:pPr>
        <w:keepNext/>
        <w:keepLines/>
        <w:widowControl/>
        <w:numPr>
          <w:ilvl w:val="2"/>
          <w:numId w:val="1"/>
        </w:numPr>
        <w:spacing w:before="120" w:after="120" w:line="360" w:lineRule="auto"/>
        <w:jc w:val="left"/>
        <w:outlineLvl w:val="2"/>
        <w:rPr>
          <w:rFonts w:eastAsiaTheme="minorEastAsia"/>
          <w:b/>
          <w:bCs/>
          <w:sz w:val="24"/>
        </w:rPr>
      </w:pPr>
      <w:bookmarkStart w:id="228" w:name="_Toc206495051"/>
      <w:r>
        <w:rPr>
          <w:rFonts w:hint="eastAsia" w:eastAsiaTheme="minorEastAsia"/>
          <w:b/>
          <w:bCs/>
          <w:sz w:val="24"/>
        </w:rPr>
        <w:t>跟踪评价方案</w:t>
      </w:r>
      <w:bookmarkEnd w:id="228"/>
    </w:p>
    <w:p w14:paraId="6FE7F522">
      <w:pPr>
        <w:spacing w:line="360" w:lineRule="auto"/>
        <w:ind w:firstLine="480" w:firstLineChars="200"/>
        <w:jc w:val="left"/>
        <w:rPr>
          <w:rFonts w:eastAsiaTheme="minorEastAsia"/>
          <w:sz w:val="24"/>
        </w:rPr>
      </w:pPr>
      <w:r>
        <w:rPr>
          <w:rFonts w:hint="eastAsia" w:eastAsiaTheme="minorEastAsia"/>
          <w:sz w:val="24"/>
        </w:rPr>
        <w:t>根据《中华人民共和国环境影响评价法》第十五条：“对环境有重大影响的规划实施后，编制机关应当及时组织环境影响的跟踪评价，并将环评结果报告审批机关；发现有明显不良环境影响的，应当及时提出改进措施”。国外经验和国内实践表明，环境影响跟踪评价对于提高环境影响评价的有效性，对项目决策和环境管理均具有非常重要的作用。</w:t>
      </w:r>
    </w:p>
    <w:p w14:paraId="09C1BD6D">
      <w:pPr>
        <w:spacing w:line="360" w:lineRule="auto"/>
        <w:ind w:firstLine="480" w:firstLineChars="200"/>
        <w:jc w:val="left"/>
        <w:rPr>
          <w:rFonts w:eastAsiaTheme="minorEastAsia"/>
          <w:sz w:val="24"/>
        </w:rPr>
      </w:pPr>
      <w:r>
        <w:rPr>
          <w:rFonts w:hint="eastAsia" w:eastAsiaTheme="minorEastAsia"/>
          <w:sz w:val="24"/>
        </w:rPr>
        <w:t>由于园区建设因政策、计划、规划等战略决策的实施与建设项目比较具有很大的不确定性，根据园区规划的实施阶段及评价时段的划分，规划发生重大调整或修订的，应当依法重新或补充开展规划环评工作。对可能导致区域环境质量下降、生态功能退化，实施五年以上且未发生重大调整的规划，产业园区管理机构应及时开展环境影响跟踪评价工作，编制规划环境影响跟踪评价报告。</w:t>
      </w:r>
    </w:p>
    <w:p w14:paraId="501E0C88">
      <w:pPr>
        <w:spacing w:line="360" w:lineRule="auto"/>
        <w:ind w:firstLine="480" w:firstLineChars="200"/>
        <w:jc w:val="left"/>
        <w:rPr>
          <w:rFonts w:eastAsiaTheme="minorEastAsia"/>
          <w:sz w:val="24"/>
        </w:rPr>
      </w:pPr>
      <w:r>
        <w:rPr>
          <w:rFonts w:hint="eastAsia" w:eastAsiaTheme="minorEastAsia"/>
          <w:sz w:val="24"/>
        </w:rPr>
        <w:t>跟踪环境影响评价主要目的是对区域开发任务实施后的环境影响及防范措施的有效性进行跟踪监测和验证性评价，并提出补救方案和措施，评价结论应报告相关审批部门和生态环境主管部门。对于跟踪环境影响评价，建议包括以下内容：</w:t>
      </w:r>
    </w:p>
    <w:p w14:paraId="314EDD79">
      <w:pPr>
        <w:spacing w:line="360" w:lineRule="auto"/>
        <w:ind w:firstLine="480" w:firstLineChars="200"/>
        <w:jc w:val="left"/>
        <w:rPr>
          <w:rFonts w:eastAsiaTheme="minorEastAsia"/>
          <w:sz w:val="24"/>
        </w:rPr>
      </w:pPr>
      <w:r>
        <w:rPr>
          <w:rFonts w:hint="eastAsia" w:eastAsiaTheme="minorEastAsia"/>
          <w:sz w:val="24"/>
        </w:rPr>
        <w:t>（1）区域开发的实际进展和实施内容评价。对照园区总体规划，分析实际开发内容与时间进度是否与规划一致，存在的主要差异和导致原因。</w:t>
      </w:r>
    </w:p>
    <w:p w14:paraId="688E1372">
      <w:pPr>
        <w:spacing w:line="360" w:lineRule="auto"/>
        <w:ind w:firstLine="480" w:firstLineChars="200"/>
        <w:jc w:val="left"/>
        <w:rPr>
          <w:rFonts w:eastAsiaTheme="minorEastAsia"/>
          <w:sz w:val="24"/>
        </w:rPr>
      </w:pPr>
      <w:r>
        <w:rPr>
          <w:rFonts w:hint="eastAsia" w:eastAsiaTheme="minorEastAsia"/>
          <w:sz w:val="24"/>
        </w:rPr>
        <w:t>（2）区域环境质量现状评价。对环境质量现状进行监测，监测点位、监测因子选择通常与环境影响评价相一致，比较园区规划实施前后环境质量的变化情况，与环境影响预测结果相比较，评价区域开发环境影响是否在原有的预期值内。</w:t>
      </w:r>
    </w:p>
    <w:p w14:paraId="62D22210">
      <w:pPr>
        <w:spacing w:line="360" w:lineRule="auto"/>
        <w:ind w:firstLine="480" w:firstLineChars="200"/>
        <w:jc w:val="left"/>
        <w:rPr>
          <w:rFonts w:eastAsiaTheme="minorEastAsia"/>
          <w:sz w:val="24"/>
        </w:rPr>
      </w:pPr>
      <w:r>
        <w:rPr>
          <w:rFonts w:hint="eastAsia" w:eastAsiaTheme="minorEastAsia"/>
          <w:sz w:val="24"/>
        </w:rPr>
        <w:t>（3）生态环境保护与环境影响减缓措施的有效性评价。评价环境影响报告书中提出的生态环境保护方面是否落实到位、各环境影响减缓措施是否合理、适用、有效，在区域开发过程中实际采纳情况等。</w:t>
      </w:r>
    </w:p>
    <w:p w14:paraId="4AED4AC8">
      <w:pPr>
        <w:spacing w:line="360" w:lineRule="auto"/>
        <w:ind w:firstLine="480" w:firstLineChars="200"/>
        <w:jc w:val="left"/>
        <w:rPr>
          <w:rFonts w:eastAsiaTheme="minorEastAsia"/>
          <w:sz w:val="24"/>
        </w:rPr>
      </w:pPr>
      <w:r>
        <w:rPr>
          <w:rFonts w:hint="eastAsia" w:eastAsiaTheme="minorEastAsia"/>
          <w:sz w:val="24"/>
        </w:rPr>
        <w:t>（4）公众意见调查。对政府相关职能部门充分征求意见，听取职能部门对区域规划实施的实际看法和建议，同时应征求区内公众对规划实施所产生的环境影响的意见。</w:t>
      </w:r>
    </w:p>
    <w:p w14:paraId="7D3BD809">
      <w:pPr>
        <w:spacing w:line="360" w:lineRule="auto"/>
        <w:ind w:firstLine="480" w:firstLineChars="200"/>
        <w:jc w:val="left"/>
        <w:rPr>
          <w:rFonts w:eastAsiaTheme="minorEastAsia"/>
          <w:sz w:val="24"/>
        </w:rPr>
      </w:pPr>
      <w:r>
        <w:rPr>
          <w:rFonts w:hint="eastAsia" w:eastAsiaTheme="minorEastAsia"/>
          <w:sz w:val="24"/>
        </w:rPr>
        <w:t>（5）环境管理和监测评价。评价是否按照环境影响报告书中规定的监测点、监测时段、监测因子进行采样，所获取的监测数据是否有代表性、准确性、精密性和完整性，环境管理措施是否可行等。</w:t>
      </w:r>
    </w:p>
    <w:p w14:paraId="5F2EA92C">
      <w:pPr>
        <w:spacing w:line="360" w:lineRule="auto"/>
        <w:ind w:firstLine="480" w:firstLineChars="200"/>
        <w:jc w:val="left"/>
        <w:rPr>
          <w:rFonts w:eastAsiaTheme="minorEastAsia"/>
          <w:sz w:val="24"/>
        </w:rPr>
      </w:pPr>
      <w:r>
        <w:rPr>
          <w:rFonts w:hint="eastAsia" w:eastAsiaTheme="minorEastAsia"/>
          <w:sz w:val="24"/>
        </w:rPr>
        <w:t>（6）跟踪评价结论。总结规划实施过程中存在的主要环境问题，确定为进一步提高规划的环境效益所需的改进措施，对今后的环境管理提出建议。</w:t>
      </w:r>
    </w:p>
    <w:p w14:paraId="22F45F86">
      <w:pPr>
        <w:keepNext/>
        <w:keepLines/>
        <w:widowControl/>
        <w:numPr>
          <w:ilvl w:val="2"/>
          <w:numId w:val="1"/>
        </w:numPr>
        <w:spacing w:before="120" w:after="120" w:line="360" w:lineRule="auto"/>
        <w:jc w:val="left"/>
        <w:outlineLvl w:val="2"/>
        <w:rPr>
          <w:rFonts w:eastAsiaTheme="minorEastAsia"/>
          <w:b/>
          <w:bCs/>
          <w:sz w:val="24"/>
        </w:rPr>
      </w:pPr>
      <w:bookmarkStart w:id="229" w:name="_Toc206495052"/>
      <w:r>
        <w:rPr>
          <w:rFonts w:hint="eastAsia" w:eastAsiaTheme="minorEastAsia"/>
          <w:b/>
          <w:bCs/>
          <w:sz w:val="24"/>
        </w:rPr>
        <w:t>园区跟踪评价计划</w:t>
      </w:r>
      <w:bookmarkEnd w:id="229"/>
    </w:p>
    <w:p w14:paraId="34A06C4B">
      <w:pPr>
        <w:spacing w:line="360" w:lineRule="auto"/>
        <w:ind w:firstLine="480" w:firstLineChars="200"/>
        <w:jc w:val="left"/>
        <w:rPr>
          <w:rFonts w:eastAsiaTheme="minorEastAsia"/>
          <w:sz w:val="24"/>
        </w:rPr>
      </w:pPr>
      <w:r>
        <w:rPr>
          <w:rFonts w:hint="eastAsia" w:eastAsiaTheme="minorEastAsia"/>
          <w:sz w:val="24"/>
        </w:rPr>
        <w:t>根据规划区域本轮规划方案，本次评价提出规划实施后需对以下内容落实情况进行跟踪评价，规划环评计划的具体内容见下表。</w:t>
      </w:r>
    </w:p>
    <w:p w14:paraId="12E4C5AE">
      <w:pPr>
        <w:spacing w:line="360" w:lineRule="auto"/>
        <w:ind w:firstLine="422"/>
        <w:jc w:val="center"/>
        <w:rPr>
          <w:rFonts w:eastAsiaTheme="minorEastAsia"/>
          <w:b/>
          <w:szCs w:val="21"/>
        </w:rPr>
      </w:pPr>
      <w:r>
        <w:rPr>
          <w:rFonts w:hint="eastAsia" w:eastAsiaTheme="minorEastAsia"/>
          <w:b/>
          <w:szCs w:val="21"/>
        </w:rPr>
        <w:t>表8.3.2-1 本次规划园区跟踪评价计划表</w:t>
      </w:r>
    </w:p>
    <w:tbl>
      <w:tblPr>
        <w:tblStyle w:val="8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42"/>
        <w:gridCol w:w="4253"/>
        <w:gridCol w:w="2821"/>
      </w:tblGrid>
      <w:tr w14:paraId="24715F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shd w:val="clear" w:color="auto" w:fill="auto"/>
            <w:noWrap/>
            <w:vAlign w:val="center"/>
          </w:tcPr>
          <w:p w14:paraId="5AC9CA2A">
            <w:pPr>
              <w:widowControl/>
              <w:spacing w:line="320" w:lineRule="exact"/>
              <w:ind w:left="-25" w:right="-25"/>
              <w:jc w:val="center"/>
              <w:rPr>
                <w:rFonts w:eastAsiaTheme="minorEastAsia"/>
                <w:szCs w:val="21"/>
              </w:rPr>
            </w:pPr>
            <w:r>
              <w:rPr>
                <w:rFonts w:hint="eastAsia" w:eastAsiaTheme="minorEastAsia"/>
                <w:szCs w:val="21"/>
              </w:rPr>
              <w:t>要素</w:t>
            </w:r>
          </w:p>
        </w:tc>
        <w:tc>
          <w:tcPr>
            <w:tcW w:w="4253" w:type="dxa"/>
            <w:shd w:val="clear" w:color="auto" w:fill="auto"/>
            <w:noWrap/>
            <w:vAlign w:val="center"/>
          </w:tcPr>
          <w:p w14:paraId="60020E10">
            <w:pPr>
              <w:widowControl/>
              <w:spacing w:line="320" w:lineRule="exact"/>
              <w:ind w:left="-25" w:right="-25"/>
              <w:jc w:val="center"/>
              <w:rPr>
                <w:rFonts w:eastAsiaTheme="minorEastAsia"/>
                <w:szCs w:val="21"/>
              </w:rPr>
            </w:pPr>
            <w:r>
              <w:rPr>
                <w:rFonts w:hint="eastAsia" w:eastAsiaTheme="minorEastAsia"/>
                <w:szCs w:val="21"/>
              </w:rPr>
              <w:t>跟踪监测内容</w:t>
            </w:r>
          </w:p>
        </w:tc>
        <w:tc>
          <w:tcPr>
            <w:tcW w:w="2821" w:type="dxa"/>
            <w:shd w:val="clear" w:color="auto" w:fill="auto"/>
            <w:noWrap/>
            <w:vAlign w:val="center"/>
          </w:tcPr>
          <w:p w14:paraId="19F9D08D">
            <w:pPr>
              <w:widowControl/>
              <w:spacing w:line="320" w:lineRule="exact"/>
              <w:ind w:left="-25" w:right="-25"/>
              <w:jc w:val="center"/>
              <w:rPr>
                <w:rFonts w:eastAsiaTheme="minorEastAsia"/>
                <w:szCs w:val="21"/>
              </w:rPr>
            </w:pPr>
            <w:r>
              <w:rPr>
                <w:rFonts w:hint="eastAsia" w:eastAsiaTheme="minorEastAsia"/>
                <w:szCs w:val="21"/>
              </w:rPr>
              <w:t>跟踪实施阶段</w:t>
            </w:r>
          </w:p>
        </w:tc>
      </w:tr>
      <w:tr w14:paraId="1905F7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shd w:val="clear" w:color="auto" w:fill="auto"/>
            <w:noWrap/>
            <w:vAlign w:val="center"/>
          </w:tcPr>
          <w:p w14:paraId="380A1F45">
            <w:pPr>
              <w:widowControl/>
              <w:spacing w:line="320" w:lineRule="exact"/>
              <w:ind w:left="-25" w:right="-25"/>
              <w:jc w:val="center"/>
              <w:rPr>
                <w:rFonts w:eastAsiaTheme="minorEastAsia"/>
                <w:szCs w:val="21"/>
              </w:rPr>
            </w:pPr>
            <w:r>
              <w:rPr>
                <w:rFonts w:hint="eastAsia" w:eastAsiaTheme="minorEastAsia"/>
                <w:szCs w:val="21"/>
              </w:rPr>
              <w:t>土地</w:t>
            </w:r>
          </w:p>
        </w:tc>
        <w:tc>
          <w:tcPr>
            <w:tcW w:w="4253" w:type="dxa"/>
            <w:shd w:val="clear" w:color="auto" w:fill="auto"/>
            <w:noWrap/>
            <w:vAlign w:val="center"/>
          </w:tcPr>
          <w:p w14:paraId="640E2FF8">
            <w:pPr>
              <w:widowControl/>
              <w:spacing w:line="320" w:lineRule="exact"/>
              <w:ind w:left="-25" w:right="-25"/>
              <w:jc w:val="center"/>
              <w:rPr>
                <w:rFonts w:eastAsiaTheme="minorEastAsia"/>
                <w:szCs w:val="21"/>
              </w:rPr>
            </w:pPr>
            <w:r>
              <w:rPr>
                <w:rFonts w:hint="eastAsia" w:eastAsiaTheme="minorEastAsia"/>
                <w:szCs w:val="21"/>
              </w:rPr>
              <w:t>园区规划用地内现有非建设用地须依法做好报批工作，严格按程序办理土地利用性质变更手续，在依法取得合法手续前，不得开发利用。</w:t>
            </w:r>
          </w:p>
        </w:tc>
        <w:tc>
          <w:tcPr>
            <w:tcW w:w="2821" w:type="dxa"/>
            <w:shd w:val="clear" w:color="auto" w:fill="auto"/>
            <w:noWrap/>
            <w:vAlign w:val="center"/>
          </w:tcPr>
          <w:p w14:paraId="35204FD3">
            <w:pPr>
              <w:widowControl/>
              <w:spacing w:line="320" w:lineRule="exact"/>
              <w:ind w:left="-25" w:right="-25"/>
              <w:jc w:val="center"/>
              <w:rPr>
                <w:rFonts w:eastAsiaTheme="minorEastAsia"/>
                <w:szCs w:val="21"/>
              </w:rPr>
            </w:pPr>
            <w:r>
              <w:rPr>
                <w:rFonts w:hint="eastAsia" w:eastAsiaTheme="minorEastAsia"/>
                <w:szCs w:val="21"/>
              </w:rPr>
              <w:t>在建设项目环境影响评价中落实。</w:t>
            </w:r>
          </w:p>
        </w:tc>
      </w:tr>
      <w:tr w14:paraId="57FCC9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restart"/>
            <w:shd w:val="clear" w:color="auto" w:fill="auto"/>
            <w:noWrap/>
            <w:vAlign w:val="center"/>
          </w:tcPr>
          <w:p w14:paraId="5BDD3701">
            <w:pPr>
              <w:widowControl/>
              <w:spacing w:line="320" w:lineRule="exact"/>
              <w:ind w:left="-25" w:right="-25"/>
              <w:jc w:val="center"/>
              <w:rPr>
                <w:rFonts w:eastAsiaTheme="minorEastAsia"/>
                <w:szCs w:val="21"/>
              </w:rPr>
            </w:pPr>
            <w:r>
              <w:rPr>
                <w:rFonts w:hint="eastAsia" w:eastAsiaTheme="minorEastAsia"/>
                <w:szCs w:val="21"/>
              </w:rPr>
              <w:t>水资源</w:t>
            </w:r>
          </w:p>
        </w:tc>
        <w:tc>
          <w:tcPr>
            <w:tcW w:w="4253" w:type="dxa"/>
            <w:shd w:val="clear" w:color="auto" w:fill="auto"/>
            <w:noWrap/>
            <w:vAlign w:val="center"/>
          </w:tcPr>
          <w:p w14:paraId="188123AA">
            <w:pPr>
              <w:widowControl/>
              <w:spacing w:line="320" w:lineRule="exact"/>
              <w:ind w:left="-25" w:right="-25"/>
              <w:jc w:val="center"/>
              <w:rPr>
                <w:rFonts w:eastAsiaTheme="minorEastAsia"/>
                <w:szCs w:val="21"/>
              </w:rPr>
            </w:pPr>
            <w:r>
              <w:rPr>
                <w:rFonts w:hint="eastAsia" w:eastAsiaTheme="minorEastAsia"/>
                <w:szCs w:val="21"/>
              </w:rPr>
              <w:t>完善园区供排水管网。</w:t>
            </w:r>
          </w:p>
        </w:tc>
        <w:tc>
          <w:tcPr>
            <w:tcW w:w="2821" w:type="dxa"/>
            <w:shd w:val="clear" w:color="auto" w:fill="auto"/>
            <w:noWrap/>
            <w:vAlign w:val="center"/>
          </w:tcPr>
          <w:p w14:paraId="62DD9655">
            <w:pPr>
              <w:widowControl/>
              <w:spacing w:line="320" w:lineRule="exact"/>
              <w:ind w:left="-25" w:right="-25"/>
              <w:jc w:val="center"/>
              <w:rPr>
                <w:rFonts w:eastAsiaTheme="minorEastAsia"/>
                <w:szCs w:val="21"/>
              </w:rPr>
            </w:pPr>
            <w:r>
              <w:rPr>
                <w:rFonts w:hint="eastAsia" w:eastAsiaTheme="minorEastAsia"/>
                <w:szCs w:val="21"/>
              </w:rPr>
              <w:t>在园区规划实施中落实。</w:t>
            </w:r>
          </w:p>
        </w:tc>
      </w:tr>
      <w:tr w14:paraId="5B1BEE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10DDAC3A">
            <w:pPr>
              <w:widowControl/>
              <w:spacing w:line="320" w:lineRule="exact"/>
              <w:ind w:left="-25" w:right="-25"/>
              <w:jc w:val="center"/>
              <w:rPr>
                <w:rFonts w:eastAsiaTheme="minorEastAsia"/>
                <w:szCs w:val="21"/>
              </w:rPr>
            </w:pPr>
          </w:p>
        </w:tc>
        <w:tc>
          <w:tcPr>
            <w:tcW w:w="4253" w:type="dxa"/>
            <w:shd w:val="clear" w:color="auto" w:fill="auto"/>
            <w:noWrap/>
            <w:vAlign w:val="center"/>
          </w:tcPr>
          <w:p w14:paraId="48D5180B">
            <w:pPr>
              <w:widowControl/>
              <w:spacing w:line="320" w:lineRule="exact"/>
              <w:ind w:left="-25" w:right="-25"/>
              <w:jc w:val="center"/>
              <w:rPr>
                <w:rFonts w:eastAsiaTheme="minorEastAsia"/>
                <w:szCs w:val="21"/>
              </w:rPr>
            </w:pPr>
            <w:r>
              <w:rPr>
                <w:rFonts w:hint="eastAsia" w:eastAsiaTheme="minorEastAsia"/>
                <w:szCs w:val="21"/>
              </w:rPr>
              <w:t>单位产品水耗指标达到清洁生产先进水平。</w:t>
            </w:r>
          </w:p>
        </w:tc>
        <w:tc>
          <w:tcPr>
            <w:tcW w:w="2821" w:type="dxa"/>
            <w:shd w:val="clear" w:color="auto" w:fill="auto"/>
            <w:noWrap/>
            <w:vAlign w:val="center"/>
          </w:tcPr>
          <w:p w14:paraId="647E9B04">
            <w:pPr>
              <w:widowControl/>
              <w:spacing w:line="320" w:lineRule="exact"/>
              <w:ind w:left="-25" w:right="-25"/>
              <w:jc w:val="center"/>
              <w:rPr>
                <w:rFonts w:eastAsiaTheme="minorEastAsia"/>
                <w:szCs w:val="21"/>
              </w:rPr>
            </w:pPr>
            <w:r>
              <w:rPr>
                <w:rFonts w:hint="eastAsia" w:eastAsiaTheme="minorEastAsia"/>
                <w:szCs w:val="21"/>
              </w:rPr>
              <w:t>在建设项目环境影响评价中落实。</w:t>
            </w:r>
          </w:p>
        </w:tc>
      </w:tr>
      <w:tr w14:paraId="59046F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shd w:val="clear" w:color="auto" w:fill="auto"/>
            <w:noWrap/>
            <w:vAlign w:val="center"/>
          </w:tcPr>
          <w:p w14:paraId="4B085DF5">
            <w:pPr>
              <w:widowControl/>
              <w:spacing w:line="320" w:lineRule="exact"/>
              <w:ind w:left="-25" w:right="-25"/>
              <w:jc w:val="center"/>
              <w:rPr>
                <w:rFonts w:eastAsiaTheme="minorEastAsia"/>
                <w:szCs w:val="21"/>
              </w:rPr>
            </w:pPr>
            <w:r>
              <w:rPr>
                <w:rFonts w:hint="eastAsia" w:eastAsiaTheme="minorEastAsia"/>
                <w:szCs w:val="21"/>
              </w:rPr>
              <w:t>能源</w:t>
            </w:r>
          </w:p>
        </w:tc>
        <w:tc>
          <w:tcPr>
            <w:tcW w:w="4253" w:type="dxa"/>
            <w:shd w:val="clear" w:color="auto" w:fill="auto"/>
            <w:noWrap/>
            <w:vAlign w:val="center"/>
          </w:tcPr>
          <w:p w14:paraId="042C83AA">
            <w:pPr>
              <w:widowControl/>
              <w:spacing w:line="320" w:lineRule="exact"/>
              <w:ind w:left="-25" w:right="-25"/>
              <w:jc w:val="center"/>
              <w:rPr>
                <w:rFonts w:eastAsiaTheme="minorEastAsia"/>
                <w:szCs w:val="21"/>
              </w:rPr>
            </w:pPr>
            <w:r>
              <w:rPr>
                <w:rFonts w:hint="eastAsia" w:eastAsiaTheme="minorEastAsia"/>
                <w:szCs w:val="21"/>
              </w:rPr>
              <w:t>能源为电、液化石油气及天然气。</w:t>
            </w:r>
          </w:p>
        </w:tc>
        <w:tc>
          <w:tcPr>
            <w:tcW w:w="2821" w:type="dxa"/>
            <w:shd w:val="clear" w:color="auto" w:fill="auto"/>
            <w:noWrap/>
            <w:vAlign w:val="center"/>
          </w:tcPr>
          <w:p w14:paraId="24AA7CD6">
            <w:pPr>
              <w:widowControl/>
              <w:spacing w:line="320" w:lineRule="exact"/>
              <w:ind w:left="-25" w:right="-25"/>
              <w:jc w:val="center"/>
              <w:rPr>
                <w:rFonts w:eastAsiaTheme="minorEastAsia"/>
                <w:szCs w:val="21"/>
              </w:rPr>
            </w:pPr>
            <w:r>
              <w:rPr>
                <w:rFonts w:hint="eastAsia" w:eastAsiaTheme="minorEastAsia"/>
                <w:szCs w:val="21"/>
              </w:rPr>
              <w:t>在建设项目环境影响评价中落实。</w:t>
            </w:r>
          </w:p>
        </w:tc>
      </w:tr>
      <w:tr w14:paraId="6C9329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restart"/>
            <w:shd w:val="clear" w:color="auto" w:fill="auto"/>
            <w:noWrap/>
            <w:vAlign w:val="center"/>
          </w:tcPr>
          <w:p w14:paraId="2625C700">
            <w:pPr>
              <w:widowControl/>
              <w:spacing w:line="320" w:lineRule="exact"/>
              <w:ind w:left="-25" w:right="-25"/>
              <w:jc w:val="center"/>
              <w:rPr>
                <w:rFonts w:eastAsiaTheme="minorEastAsia"/>
                <w:szCs w:val="21"/>
              </w:rPr>
            </w:pPr>
            <w:r>
              <w:rPr>
                <w:rFonts w:hint="eastAsia" w:eastAsiaTheme="minorEastAsia"/>
                <w:szCs w:val="21"/>
              </w:rPr>
              <w:t>地表水环境</w:t>
            </w:r>
          </w:p>
        </w:tc>
        <w:tc>
          <w:tcPr>
            <w:tcW w:w="4253" w:type="dxa"/>
            <w:shd w:val="clear" w:color="auto" w:fill="auto"/>
            <w:noWrap/>
            <w:vAlign w:val="center"/>
          </w:tcPr>
          <w:p w14:paraId="2E5F350F">
            <w:pPr>
              <w:widowControl/>
              <w:spacing w:line="320" w:lineRule="exact"/>
              <w:ind w:left="-25" w:right="-25"/>
              <w:jc w:val="center"/>
              <w:rPr>
                <w:rFonts w:eastAsiaTheme="minorEastAsia"/>
                <w:szCs w:val="21"/>
              </w:rPr>
            </w:pPr>
            <w:r>
              <w:rPr>
                <w:rFonts w:hint="eastAsia" w:eastAsiaTheme="minorEastAsia"/>
                <w:szCs w:val="21"/>
              </w:rPr>
              <w:t>单位产品污染物排放量指标达到国内同行业先进水平。</w:t>
            </w:r>
          </w:p>
        </w:tc>
        <w:tc>
          <w:tcPr>
            <w:tcW w:w="2821" w:type="dxa"/>
            <w:shd w:val="clear" w:color="auto" w:fill="auto"/>
            <w:noWrap/>
            <w:vAlign w:val="center"/>
          </w:tcPr>
          <w:p w14:paraId="7F44123E">
            <w:pPr>
              <w:widowControl/>
              <w:spacing w:line="320" w:lineRule="exact"/>
              <w:ind w:left="-25" w:right="-25"/>
              <w:jc w:val="center"/>
              <w:rPr>
                <w:rFonts w:eastAsiaTheme="minorEastAsia"/>
                <w:szCs w:val="21"/>
              </w:rPr>
            </w:pPr>
            <w:r>
              <w:rPr>
                <w:rFonts w:hint="eastAsia" w:eastAsiaTheme="minorEastAsia"/>
                <w:szCs w:val="21"/>
              </w:rPr>
              <w:t>在建设项目环境影响评价中落实。</w:t>
            </w:r>
          </w:p>
        </w:tc>
      </w:tr>
      <w:tr w14:paraId="63EBB8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41D2D434">
            <w:pPr>
              <w:widowControl/>
              <w:spacing w:line="320" w:lineRule="exact"/>
              <w:ind w:left="-25" w:right="-25"/>
              <w:jc w:val="center"/>
              <w:rPr>
                <w:rFonts w:eastAsiaTheme="minorEastAsia"/>
                <w:szCs w:val="21"/>
              </w:rPr>
            </w:pPr>
          </w:p>
        </w:tc>
        <w:tc>
          <w:tcPr>
            <w:tcW w:w="4253" w:type="dxa"/>
            <w:shd w:val="clear" w:color="auto" w:fill="auto"/>
            <w:noWrap/>
            <w:vAlign w:val="center"/>
          </w:tcPr>
          <w:p w14:paraId="75C874CD">
            <w:pPr>
              <w:widowControl/>
              <w:spacing w:line="320" w:lineRule="exact"/>
              <w:ind w:left="-25" w:right="-25"/>
              <w:jc w:val="center"/>
              <w:rPr>
                <w:rFonts w:eastAsiaTheme="minorEastAsia"/>
                <w:szCs w:val="21"/>
              </w:rPr>
            </w:pPr>
            <w:r>
              <w:rPr>
                <w:rFonts w:hint="eastAsia" w:eastAsiaTheme="minorEastAsia"/>
                <w:szCs w:val="21"/>
              </w:rPr>
              <w:t>园区加快建设排水管网，实施生活污水收集管网全覆盖。</w:t>
            </w:r>
          </w:p>
        </w:tc>
        <w:tc>
          <w:tcPr>
            <w:tcW w:w="2821" w:type="dxa"/>
            <w:shd w:val="clear" w:color="auto" w:fill="auto"/>
            <w:noWrap/>
            <w:vAlign w:val="center"/>
          </w:tcPr>
          <w:p w14:paraId="21854145">
            <w:pPr>
              <w:widowControl/>
              <w:spacing w:line="320" w:lineRule="exact"/>
              <w:ind w:left="-25" w:right="-25"/>
              <w:jc w:val="center"/>
              <w:rPr>
                <w:rFonts w:eastAsiaTheme="minorEastAsia"/>
                <w:szCs w:val="21"/>
              </w:rPr>
            </w:pPr>
            <w:r>
              <w:rPr>
                <w:rFonts w:hint="eastAsia" w:eastAsiaTheme="minorEastAsia"/>
                <w:szCs w:val="21"/>
              </w:rPr>
              <w:t>在园区建设规划中落实。</w:t>
            </w:r>
          </w:p>
        </w:tc>
      </w:tr>
      <w:tr w14:paraId="22F1D2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79A81C17">
            <w:pPr>
              <w:widowControl/>
              <w:spacing w:line="320" w:lineRule="exact"/>
              <w:ind w:left="-25" w:right="-25"/>
              <w:jc w:val="center"/>
              <w:rPr>
                <w:rFonts w:eastAsiaTheme="minorEastAsia"/>
                <w:szCs w:val="21"/>
              </w:rPr>
            </w:pPr>
          </w:p>
        </w:tc>
        <w:tc>
          <w:tcPr>
            <w:tcW w:w="4253" w:type="dxa"/>
            <w:shd w:val="clear" w:color="auto" w:fill="auto"/>
            <w:noWrap/>
            <w:vAlign w:val="center"/>
          </w:tcPr>
          <w:p w14:paraId="4BF4E298">
            <w:pPr>
              <w:widowControl/>
              <w:spacing w:line="320" w:lineRule="exact"/>
              <w:ind w:left="-25" w:right="-25"/>
              <w:jc w:val="center"/>
              <w:rPr>
                <w:rFonts w:eastAsiaTheme="minorEastAsia"/>
                <w:szCs w:val="21"/>
              </w:rPr>
            </w:pPr>
            <w:r>
              <w:rPr>
                <w:rFonts w:hint="eastAsia" w:eastAsiaTheme="minorEastAsia"/>
                <w:szCs w:val="21"/>
              </w:rPr>
              <w:t>控制园区废水污染物排放总量。</w:t>
            </w:r>
          </w:p>
        </w:tc>
        <w:tc>
          <w:tcPr>
            <w:tcW w:w="2821" w:type="dxa"/>
            <w:shd w:val="clear" w:color="auto" w:fill="auto"/>
            <w:noWrap/>
            <w:vAlign w:val="center"/>
          </w:tcPr>
          <w:p w14:paraId="465831F8">
            <w:pPr>
              <w:widowControl/>
              <w:spacing w:line="320" w:lineRule="exact"/>
              <w:ind w:left="-25" w:right="-25"/>
              <w:jc w:val="center"/>
              <w:rPr>
                <w:rFonts w:eastAsiaTheme="minorEastAsia"/>
                <w:szCs w:val="21"/>
              </w:rPr>
            </w:pPr>
            <w:r>
              <w:rPr>
                <w:rFonts w:hint="eastAsia" w:eastAsiaTheme="minorEastAsia"/>
                <w:szCs w:val="21"/>
              </w:rPr>
              <w:t>在园区环境管理中落实。</w:t>
            </w:r>
          </w:p>
        </w:tc>
      </w:tr>
      <w:tr w14:paraId="418F8E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restart"/>
            <w:shd w:val="clear" w:color="auto" w:fill="auto"/>
            <w:noWrap/>
            <w:vAlign w:val="center"/>
          </w:tcPr>
          <w:p w14:paraId="602154E7">
            <w:pPr>
              <w:widowControl/>
              <w:spacing w:line="320" w:lineRule="exact"/>
              <w:ind w:left="-25" w:right="-25"/>
              <w:jc w:val="center"/>
              <w:rPr>
                <w:rFonts w:eastAsiaTheme="minorEastAsia"/>
                <w:szCs w:val="21"/>
              </w:rPr>
            </w:pPr>
            <w:r>
              <w:rPr>
                <w:rFonts w:hint="eastAsia" w:eastAsiaTheme="minorEastAsia"/>
                <w:szCs w:val="21"/>
              </w:rPr>
              <w:t>大气环境</w:t>
            </w:r>
          </w:p>
        </w:tc>
        <w:tc>
          <w:tcPr>
            <w:tcW w:w="4253" w:type="dxa"/>
            <w:shd w:val="clear" w:color="auto" w:fill="auto"/>
            <w:noWrap/>
            <w:vAlign w:val="center"/>
          </w:tcPr>
          <w:p w14:paraId="1FCFBDE8">
            <w:pPr>
              <w:widowControl/>
              <w:spacing w:line="320" w:lineRule="exact"/>
              <w:ind w:left="-25" w:right="-25"/>
              <w:jc w:val="center"/>
              <w:rPr>
                <w:rFonts w:eastAsiaTheme="minorEastAsia"/>
                <w:szCs w:val="21"/>
              </w:rPr>
            </w:pPr>
            <w:r>
              <w:rPr>
                <w:rFonts w:hint="eastAsia" w:eastAsiaTheme="minorEastAsia"/>
                <w:szCs w:val="21"/>
              </w:rPr>
              <w:t>控制园区大气污染物排放总量。</w:t>
            </w:r>
          </w:p>
        </w:tc>
        <w:tc>
          <w:tcPr>
            <w:tcW w:w="2821" w:type="dxa"/>
            <w:shd w:val="clear" w:color="auto" w:fill="auto"/>
            <w:noWrap/>
            <w:vAlign w:val="center"/>
          </w:tcPr>
          <w:p w14:paraId="1424F1F1">
            <w:pPr>
              <w:widowControl/>
              <w:spacing w:line="320" w:lineRule="exact"/>
              <w:ind w:left="-25" w:right="-25"/>
              <w:jc w:val="center"/>
              <w:rPr>
                <w:rFonts w:eastAsiaTheme="minorEastAsia"/>
                <w:szCs w:val="21"/>
              </w:rPr>
            </w:pPr>
            <w:r>
              <w:rPr>
                <w:rFonts w:hint="eastAsia" w:eastAsiaTheme="minorEastAsia"/>
                <w:szCs w:val="21"/>
              </w:rPr>
              <w:t>在园区环境管理中落实。</w:t>
            </w:r>
          </w:p>
        </w:tc>
      </w:tr>
      <w:tr w14:paraId="585E32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62E29F55">
            <w:pPr>
              <w:widowControl/>
              <w:spacing w:line="320" w:lineRule="exact"/>
              <w:ind w:left="-25" w:right="-25"/>
              <w:jc w:val="center"/>
              <w:rPr>
                <w:rFonts w:eastAsiaTheme="minorEastAsia"/>
                <w:szCs w:val="21"/>
              </w:rPr>
            </w:pPr>
          </w:p>
        </w:tc>
        <w:tc>
          <w:tcPr>
            <w:tcW w:w="4253" w:type="dxa"/>
            <w:shd w:val="clear" w:color="auto" w:fill="auto"/>
            <w:noWrap/>
            <w:vAlign w:val="center"/>
          </w:tcPr>
          <w:p w14:paraId="4A361142">
            <w:pPr>
              <w:widowControl/>
              <w:spacing w:line="320" w:lineRule="exact"/>
              <w:ind w:left="-25" w:right="-25"/>
              <w:jc w:val="center"/>
              <w:rPr>
                <w:rFonts w:eastAsiaTheme="minorEastAsia"/>
                <w:szCs w:val="21"/>
              </w:rPr>
            </w:pPr>
            <w:r>
              <w:rPr>
                <w:rFonts w:hint="eastAsia" w:eastAsiaTheme="minorEastAsia"/>
                <w:szCs w:val="21"/>
              </w:rPr>
              <w:t>在园区范围内设置常规大气监测点位。</w:t>
            </w:r>
          </w:p>
        </w:tc>
        <w:tc>
          <w:tcPr>
            <w:tcW w:w="2821" w:type="dxa"/>
            <w:shd w:val="clear" w:color="auto" w:fill="auto"/>
            <w:noWrap/>
            <w:vAlign w:val="center"/>
          </w:tcPr>
          <w:p w14:paraId="4B5D3986">
            <w:pPr>
              <w:widowControl/>
              <w:spacing w:line="320" w:lineRule="exact"/>
              <w:ind w:left="-25" w:right="-25"/>
              <w:jc w:val="center"/>
              <w:rPr>
                <w:rFonts w:eastAsiaTheme="minorEastAsia"/>
                <w:szCs w:val="21"/>
              </w:rPr>
            </w:pPr>
            <w:r>
              <w:rPr>
                <w:rFonts w:hint="eastAsia" w:eastAsiaTheme="minorEastAsia"/>
                <w:szCs w:val="21"/>
              </w:rPr>
              <w:t>在园区环境管理中落实。</w:t>
            </w:r>
          </w:p>
        </w:tc>
      </w:tr>
      <w:tr w14:paraId="699C3F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restart"/>
            <w:shd w:val="clear" w:color="auto" w:fill="auto"/>
            <w:noWrap/>
            <w:vAlign w:val="center"/>
          </w:tcPr>
          <w:p w14:paraId="08D3CEA9">
            <w:pPr>
              <w:widowControl/>
              <w:spacing w:line="320" w:lineRule="exact"/>
              <w:ind w:left="-25" w:right="-25"/>
              <w:jc w:val="center"/>
              <w:rPr>
                <w:rFonts w:eastAsiaTheme="minorEastAsia"/>
                <w:szCs w:val="21"/>
              </w:rPr>
            </w:pPr>
            <w:r>
              <w:rPr>
                <w:rFonts w:hint="eastAsia" w:eastAsiaTheme="minorEastAsia"/>
                <w:szCs w:val="21"/>
              </w:rPr>
              <w:t>固体废物</w:t>
            </w:r>
          </w:p>
        </w:tc>
        <w:tc>
          <w:tcPr>
            <w:tcW w:w="4253" w:type="dxa"/>
            <w:shd w:val="clear" w:color="auto" w:fill="auto"/>
            <w:noWrap/>
            <w:vAlign w:val="center"/>
          </w:tcPr>
          <w:p w14:paraId="696D4739">
            <w:pPr>
              <w:widowControl/>
              <w:spacing w:line="320" w:lineRule="exact"/>
              <w:ind w:left="-25" w:right="-25"/>
              <w:jc w:val="center"/>
              <w:rPr>
                <w:rFonts w:eastAsiaTheme="minorEastAsia"/>
                <w:szCs w:val="21"/>
              </w:rPr>
            </w:pPr>
            <w:r>
              <w:rPr>
                <w:rFonts w:hint="eastAsia" w:eastAsiaTheme="minorEastAsia"/>
                <w:szCs w:val="21"/>
              </w:rPr>
              <w:t>安排相应的贮存、处置能力建设。</w:t>
            </w:r>
          </w:p>
        </w:tc>
        <w:tc>
          <w:tcPr>
            <w:tcW w:w="2821" w:type="dxa"/>
            <w:shd w:val="clear" w:color="auto" w:fill="auto"/>
            <w:noWrap/>
            <w:vAlign w:val="center"/>
          </w:tcPr>
          <w:p w14:paraId="47FC3112">
            <w:pPr>
              <w:widowControl/>
              <w:spacing w:line="320" w:lineRule="exact"/>
              <w:ind w:left="-25" w:right="-25"/>
              <w:jc w:val="center"/>
              <w:rPr>
                <w:rFonts w:eastAsiaTheme="minorEastAsia"/>
                <w:szCs w:val="21"/>
              </w:rPr>
            </w:pPr>
            <w:r>
              <w:rPr>
                <w:rFonts w:hint="eastAsia" w:eastAsiaTheme="minorEastAsia"/>
                <w:szCs w:val="21"/>
              </w:rPr>
              <w:t>园区规划中落实。</w:t>
            </w:r>
          </w:p>
        </w:tc>
      </w:tr>
      <w:tr w14:paraId="010A66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4DC49E25">
            <w:pPr>
              <w:widowControl/>
              <w:spacing w:line="320" w:lineRule="exact"/>
              <w:ind w:left="-25" w:right="-25"/>
              <w:jc w:val="center"/>
              <w:rPr>
                <w:rFonts w:eastAsiaTheme="minorEastAsia"/>
                <w:szCs w:val="21"/>
              </w:rPr>
            </w:pPr>
          </w:p>
        </w:tc>
        <w:tc>
          <w:tcPr>
            <w:tcW w:w="4253" w:type="dxa"/>
            <w:shd w:val="clear" w:color="auto" w:fill="auto"/>
            <w:noWrap/>
            <w:vAlign w:val="center"/>
          </w:tcPr>
          <w:p w14:paraId="3AB96556">
            <w:pPr>
              <w:widowControl/>
              <w:spacing w:line="320" w:lineRule="exact"/>
              <w:ind w:left="-25" w:right="-25"/>
              <w:jc w:val="center"/>
              <w:rPr>
                <w:rFonts w:eastAsiaTheme="minorEastAsia"/>
                <w:szCs w:val="21"/>
              </w:rPr>
            </w:pPr>
            <w:r>
              <w:rPr>
                <w:rFonts w:hint="eastAsia" w:eastAsiaTheme="minorEastAsia"/>
                <w:szCs w:val="21"/>
              </w:rPr>
              <w:t>规划安排合利用项目，对废物进行综合利用。</w:t>
            </w:r>
          </w:p>
        </w:tc>
        <w:tc>
          <w:tcPr>
            <w:tcW w:w="2821" w:type="dxa"/>
            <w:shd w:val="clear" w:color="auto" w:fill="auto"/>
            <w:noWrap/>
            <w:vAlign w:val="center"/>
          </w:tcPr>
          <w:p w14:paraId="13795F3D">
            <w:pPr>
              <w:widowControl/>
              <w:spacing w:line="320" w:lineRule="exact"/>
              <w:ind w:left="-25" w:right="-25"/>
              <w:jc w:val="center"/>
              <w:rPr>
                <w:rFonts w:eastAsiaTheme="minorEastAsia"/>
                <w:szCs w:val="21"/>
              </w:rPr>
            </w:pPr>
            <w:r>
              <w:rPr>
                <w:rFonts w:hint="eastAsia" w:eastAsiaTheme="minorEastAsia"/>
                <w:szCs w:val="21"/>
              </w:rPr>
              <w:t>在建设项目环境影响评价中落实。</w:t>
            </w:r>
          </w:p>
        </w:tc>
      </w:tr>
      <w:tr w14:paraId="6DCE52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restart"/>
            <w:shd w:val="clear" w:color="auto" w:fill="auto"/>
            <w:noWrap/>
            <w:vAlign w:val="center"/>
          </w:tcPr>
          <w:p w14:paraId="66A37F04">
            <w:pPr>
              <w:widowControl/>
              <w:spacing w:line="320" w:lineRule="exact"/>
              <w:ind w:left="-25" w:right="-25"/>
              <w:jc w:val="center"/>
              <w:rPr>
                <w:rFonts w:eastAsiaTheme="minorEastAsia"/>
                <w:szCs w:val="21"/>
              </w:rPr>
            </w:pPr>
            <w:r>
              <w:rPr>
                <w:rFonts w:hint="eastAsia" w:eastAsiaTheme="minorEastAsia"/>
                <w:szCs w:val="21"/>
              </w:rPr>
              <w:t>环境风险</w:t>
            </w:r>
          </w:p>
        </w:tc>
        <w:tc>
          <w:tcPr>
            <w:tcW w:w="4253" w:type="dxa"/>
            <w:shd w:val="clear" w:color="auto" w:fill="auto"/>
            <w:noWrap/>
            <w:vAlign w:val="center"/>
          </w:tcPr>
          <w:p w14:paraId="08F3AA36">
            <w:pPr>
              <w:widowControl/>
              <w:spacing w:line="320" w:lineRule="exact"/>
              <w:ind w:left="-25" w:right="-25"/>
              <w:jc w:val="center"/>
              <w:rPr>
                <w:rFonts w:eastAsiaTheme="minorEastAsia"/>
                <w:szCs w:val="21"/>
              </w:rPr>
            </w:pPr>
            <w:r>
              <w:rPr>
                <w:rFonts w:hint="eastAsia" w:eastAsiaTheme="minorEastAsia"/>
                <w:szCs w:val="21"/>
              </w:rPr>
              <w:t>合理布置具有环境风险的项目。</w:t>
            </w:r>
          </w:p>
        </w:tc>
        <w:tc>
          <w:tcPr>
            <w:tcW w:w="2821" w:type="dxa"/>
            <w:shd w:val="clear" w:color="auto" w:fill="auto"/>
            <w:noWrap/>
            <w:vAlign w:val="center"/>
          </w:tcPr>
          <w:p w14:paraId="334FAFF6">
            <w:pPr>
              <w:widowControl/>
              <w:spacing w:line="320" w:lineRule="exact"/>
              <w:ind w:left="-25" w:right="-25"/>
              <w:jc w:val="center"/>
              <w:rPr>
                <w:rFonts w:eastAsiaTheme="minorEastAsia"/>
                <w:szCs w:val="21"/>
              </w:rPr>
            </w:pPr>
            <w:r>
              <w:rPr>
                <w:rFonts w:hint="eastAsia" w:eastAsiaTheme="minorEastAsia"/>
                <w:szCs w:val="21"/>
              </w:rPr>
              <w:t>在园区建设项目规划、建设项目环境响评价中落实。</w:t>
            </w:r>
          </w:p>
        </w:tc>
      </w:tr>
      <w:tr w14:paraId="72803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vMerge w:val="continue"/>
            <w:shd w:val="clear" w:color="auto" w:fill="auto"/>
            <w:noWrap/>
            <w:vAlign w:val="center"/>
          </w:tcPr>
          <w:p w14:paraId="705534B4">
            <w:pPr>
              <w:widowControl/>
              <w:spacing w:line="320" w:lineRule="exact"/>
              <w:ind w:left="-25" w:right="-25"/>
              <w:jc w:val="center"/>
              <w:rPr>
                <w:rFonts w:eastAsiaTheme="minorEastAsia"/>
                <w:szCs w:val="21"/>
              </w:rPr>
            </w:pPr>
          </w:p>
        </w:tc>
        <w:tc>
          <w:tcPr>
            <w:tcW w:w="4253" w:type="dxa"/>
            <w:shd w:val="clear" w:color="auto" w:fill="auto"/>
            <w:noWrap/>
            <w:vAlign w:val="center"/>
          </w:tcPr>
          <w:p w14:paraId="47B8B659">
            <w:pPr>
              <w:widowControl/>
              <w:spacing w:line="320" w:lineRule="exact"/>
              <w:ind w:left="-25" w:right="-25"/>
              <w:jc w:val="center"/>
              <w:rPr>
                <w:rFonts w:eastAsiaTheme="minorEastAsia"/>
                <w:szCs w:val="21"/>
              </w:rPr>
            </w:pPr>
            <w:r>
              <w:rPr>
                <w:rFonts w:hint="eastAsia" w:eastAsiaTheme="minorEastAsia"/>
                <w:szCs w:val="21"/>
              </w:rPr>
              <w:t>规划建设接纳事故应急中污染消防水的蓄水池和配套设施，建设环境风险防范体系。</w:t>
            </w:r>
          </w:p>
        </w:tc>
        <w:tc>
          <w:tcPr>
            <w:tcW w:w="2821" w:type="dxa"/>
            <w:shd w:val="clear" w:color="auto" w:fill="auto"/>
            <w:noWrap/>
            <w:vAlign w:val="center"/>
          </w:tcPr>
          <w:p w14:paraId="3BDFFD77">
            <w:pPr>
              <w:widowControl/>
              <w:spacing w:line="320" w:lineRule="exact"/>
              <w:ind w:left="-25" w:right="-25"/>
              <w:jc w:val="center"/>
              <w:rPr>
                <w:rFonts w:eastAsiaTheme="minorEastAsia"/>
                <w:szCs w:val="21"/>
              </w:rPr>
            </w:pPr>
            <w:r>
              <w:rPr>
                <w:rFonts w:hint="eastAsia" w:eastAsiaTheme="minorEastAsia"/>
                <w:szCs w:val="21"/>
              </w:rPr>
              <w:t>在园区建设中落实。</w:t>
            </w:r>
          </w:p>
        </w:tc>
      </w:tr>
      <w:tr w14:paraId="24C32D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42" w:type="dxa"/>
            <w:shd w:val="clear" w:color="auto" w:fill="auto"/>
            <w:noWrap/>
            <w:vAlign w:val="center"/>
          </w:tcPr>
          <w:p w14:paraId="12490A3B">
            <w:pPr>
              <w:widowControl/>
              <w:spacing w:line="320" w:lineRule="exact"/>
              <w:ind w:left="-25" w:right="-25"/>
              <w:jc w:val="center"/>
              <w:rPr>
                <w:rFonts w:eastAsiaTheme="minorEastAsia"/>
                <w:szCs w:val="21"/>
              </w:rPr>
            </w:pPr>
            <w:r>
              <w:rPr>
                <w:rFonts w:hint="eastAsia" w:eastAsiaTheme="minorEastAsia"/>
                <w:szCs w:val="21"/>
              </w:rPr>
              <w:t>社会环境</w:t>
            </w:r>
          </w:p>
        </w:tc>
        <w:tc>
          <w:tcPr>
            <w:tcW w:w="4253" w:type="dxa"/>
            <w:shd w:val="clear" w:color="auto" w:fill="auto"/>
            <w:noWrap/>
            <w:vAlign w:val="center"/>
          </w:tcPr>
          <w:p w14:paraId="03CDF65D">
            <w:pPr>
              <w:widowControl/>
              <w:spacing w:line="320" w:lineRule="exact"/>
              <w:ind w:left="-25" w:right="-25"/>
              <w:jc w:val="center"/>
              <w:rPr>
                <w:rFonts w:eastAsiaTheme="minorEastAsia"/>
                <w:szCs w:val="21"/>
              </w:rPr>
            </w:pPr>
            <w:r>
              <w:rPr>
                <w:rFonts w:hint="eastAsia" w:eastAsiaTheme="minorEastAsia"/>
                <w:szCs w:val="21"/>
              </w:rPr>
              <w:t>失地农民再就业安排。</w:t>
            </w:r>
          </w:p>
        </w:tc>
        <w:tc>
          <w:tcPr>
            <w:tcW w:w="2821" w:type="dxa"/>
            <w:shd w:val="clear" w:color="auto" w:fill="auto"/>
            <w:noWrap/>
            <w:vAlign w:val="center"/>
          </w:tcPr>
          <w:p w14:paraId="29221699">
            <w:pPr>
              <w:widowControl/>
              <w:spacing w:line="320" w:lineRule="exact"/>
              <w:ind w:left="-25" w:right="-25"/>
              <w:jc w:val="center"/>
              <w:rPr>
                <w:rFonts w:eastAsiaTheme="minorEastAsia"/>
                <w:szCs w:val="21"/>
              </w:rPr>
            </w:pPr>
            <w:r>
              <w:rPr>
                <w:rFonts w:hint="eastAsia" w:eastAsiaTheme="minorEastAsia"/>
                <w:szCs w:val="21"/>
              </w:rPr>
              <w:t>在园区规划实施中落实。</w:t>
            </w:r>
          </w:p>
        </w:tc>
      </w:tr>
    </w:tbl>
    <w:p w14:paraId="26D132A5">
      <w:pPr>
        <w:keepNext/>
        <w:keepLines/>
        <w:widowControl/>
        <w:numPr>
          <w:ilvl w:val="2"/>
          <w:numId w:val="1"/>
        </w:numPr>
        <w:spacing w:before="120" w:after="120" w:line="360" w:lineRule="auto"/>
        <w:jc w:val="left"/>
        <w:outlineLvl w:val="2"/>
        <w:rPr>
          <w:rFonts w:eastAsiaTheme="minorEastAsia"/>
          <w:b/>
          <w:bCs/>
          <w:sz w:val="24"/>
        </w:rPr>
      </w:pPr>
      <w:bookmarkStart w:id="230" w:name="_Toc206495053"/>
      <w:r>
        <w:rPr>
          <w:rFonts w:hint="eastAsia" w:eastAsiaTheme="minorEastAsia"/>
          <w:b/>
          <w:bCs/>
          <w:sz w:val="24"/>
        </w:rPr>
        <w:t>环境监测计划</w:t>
      </w:r>
      <w:bookmarkEnd w:id="230"/>
    </w:p>
    <w:p w14:paraId="4ACC52DE">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环境监测目的</w:t>
      </w:r>
    </w:p>
    <w:p w14:paraId="41571393">
      <w:pPr>
        <w:spacing w:line="360" w:lineRule="auto"/>
        <w:ind w:firstLine="480" w:firstLineChars="200"/>
        <w:jc w:val="left"/>
        <w:rPr>
          <w:rFonts w:eastAsiaTheme="minorEastAsia"/>
          <w:sz w:val="24"/>
        </w:rPr>
      </w:pPr>
      <w:r>
        <w:rPr>
          <w:rFonts w:hint="eastAsia" w:eastAsiaTheme="minorEastAsia"/>
          <w:sz w:val="24"/>
        </w:rPr>
        <w:t>通过对区域及周边敏感区域环境进行监测，随时掌握区域内各环境因子的变化情况，及时发现环境问题；通过对监测资料进行分析，检查本报告书中提出的各项环保措施的落实情况，并根据监测结果调整环保措施；为区域的环境建设、监督管理提供依据；使园区生态环境呈良性循环；简化入驻企业环境质量监测的工作。</w:t>
      </w:r>
    </w:p>
    <w:p w14:paraId="0A9939DE">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环境监测体系</w:t>
      </w:r>
    </w:p>
    <w:p w14:paraId="55E59702">
      <w:pPr>
        <w:spacing w:line="360" w:lineRule="auto"/>
        <w:ind w:firstLine="480" w:firstLineChars="200"/>
        <w:jc w:val="left"/>
        <w:rPr>
          <w:rFonts w:eastAsiaTheme="minorEastAsia"/>
          <w:sz w:val="24"/>
        </w:rPr>
      </w:pPr>
      <w:r>
        <w:rPr>
          <w:rFonts w:hint="eastAsia" w:eastAsiaTheme="minorEastAsia"/>
          <w:sz w:val="24"/>
        </w:rPr>
        <w:t>为了实现产业园环境目标，规划园区需要建立有效的环境监控体系。该体系的主要功能为监测园区环境质量的时空变化；判断生产活动对环境的影响范围和程度；确定园区环境污染控制对策的效果；根据监测数据及其它环境资料，分析研究污染物的稀释扩散规律：为进区新建企业的环境影响预测提供基础资料；为园区的环境管理部门收集环境信息；为园区下一步开发，加强环境保护提供可靠的适时资料。</w:t>
      </w:r>
    </w:p>
    <w:p w14:paraId="590A916A">
      <w:pPr>
        <w:spacing w:line="360" w:lineRule="auto"/>
        <w:ind w:firstLine="480" w:firstLineChars="200"/>
        <w:jc w:val="left"/>
        <w:rPr>
          <w:rFonts w:eastAsiaTheme="minorEastAsia"/>
          <w:sz w:val="24"/>
        </w:rPr>
      </w:pPr>
      <w:r>
        <w:rPr>
          <w:rFonts w:hint="eastAsia" w:eastAsiaTheme="minorEastAsia"/>
          <w:sz w:val="24"/>
        </w:rPr>
        <w:t>园区环境监测体系由园区管委会负责创建，环境监测应委托当地有资质的环境监测机构实施。</w:t>
      </w:r>
    </w:p>
    <w:p w14:paraId="49BF46DB">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环境监测要素和实施机构</w:t>
      </w:r>
    </w:p>
    <w:p w14:paraId="21E05DE5">
      <w:pPr>
        <w:spacing w:line="360" w:lineRule="auto"/>
        <w:ind w:firstLine="480" w:firstLineChars="200"/>
        <w:jc w:val="left"/>
        <w:rPr>
          <w:rFonts w:eastAsiaTheme="minorEastAsia"/>
          <w:sz w:val="24"/>
        </w:rPr>
      </w:pPr>
      <w:r>
        <w:rPr>
          <w:rFonts w:hint="eastAsia" w:eastAsiaTheme="minorEastAsia"/>
          <w:sz w:val="24"/>
        </w:rPr>
        <w:t>（1）环境监测要素</w:t>
      </w:r>
    </w:p>
    <w:p w14:paraId="4ED669DB">
      <w:pPr>
        <w:spacing w:line="360" w:lineRule="auto"/>
        <w:ind w:firstLine="480" w:firstLineChars="200"/>
        <w:jc w:val="left"/>
        <w:rPr>
          <w:rFonts w:eastAsiaTheme="minorEastAsia"/>
          <w:sz w:val="24"/>
        </w:rPr>
      </w:pPr>
      <w:r>
        <w:rPr>
          <w:rFonts w:hint="eastAsia" w:eastAsiaTheme="minorEastAsia"/>
          <w:sz w:val="24"/>
        </w:rPr>
        <w:t>根据国家规定的环境质量标准和产业园规划项目的排污特征及将来的发展规划，确定环境监测的要素为环境空气、地表水、地下水及环境噪声。</w:t>
      </w:r>
    </w:p>
    <w:p w14:paraId="5DA7F94D">
      <w:pPr>
        <w:spacing w:line="360" w:lineRule="auto"/>
        <w:ind w:firstLine="480" w:firstLineChars="200"/>
        <w:jc w:val="left"/>
        <w:rPr>
          <w:rFonts w:eastAsiaTheme="minorEastAsia"/>
          <w:sz w:val="24"/>
        </w:rPr>
      </w:pPr>
      <w:r>
        <w:rPr>
          <w:rFonts w:hint="eastAsia" w:eastAsiaTheme="minorEastAsia"/>
          <w:sz w:val="24"/>
        </w:rPr>
        <w:t>（2）环境监测实施机构</w:t>
      </w:r>
    </w:p>
    <w:p w14:paraId="5BAA6E99">
      <w:pPr>
        <w:spacing w:line="360" w:lineRule="auto"/>
        <w:ind w:firstLine="480" w:firstLineChars="200"/>
        <w:jc w:val="left"/>
        <w:rPr>
          <w:rFonts w:eastAsiaTheme="minorEastAsia"/>
          <w:sz w:val="24"/>
        </w:rPr>
      </w:pPr>
      <w:r>
        <w:rPr>
          <w:rFonts w:hint="eastAsia" w:eastAsiaTheme="minorEastAsia"/>
          <w:sz w:val="24"/>
        </w:rPr>
        <w:t>区内环境监测、特殊污染监测、监督管理监测可委托有资质的环境监测机构承担，企业内污染源监测可由企业内部的相关环保部门负责，特征污染物监测也可协调企业进行。入区各工业企业应配备相应的监测仪器，具备特征污染物自主监测能力。</w:t>
      </w:r>
    </w:p>
    <w:p w14:paraId="7A9D1842">
      <w:pPr>
        <w:pStyle w:val="6"/>
        <w:keepLines w:val="0"/>
        <w:numPr>
          <w:ilvl w:val="3"/>
          <w:numId w:val="1"/>
        </w:numPr>
        <w:tabs>
          <w:tab w:val="left" w:pos="24"/>
          <w:tab w:val="left" w:pos="576"/>
          <w:tab w:val="left" w:pos="1557"/>
        </w:tabs>
        <w:adjustRightInd w:val="0"/>
        <w:spacing w:before="120" w:beforeLines="50" w:after="120" w:afterLines="50" w:line="360" w:lineRule="auto"/>
        <w:jc w:val="left"/>
        <w:textAlignment w:val="baseline"/>
        <w:rPr>
          <w:rFonts w:ascii="Times New Roman" w:hAnsi="Times New Roman" w:cs="Times New Roman" w:eastAsiaTheme="minorEastAsia"/>
          <w:b w:val="0"/>
          <w:sz w:val="24"/>
          <w:szCs w:val="24"/>
        </w:rPr>
      </w:pPr>
      <w:r>
        <w:rPr>
          <w:rFonts w:hint="eastAsia" w:ascii="Times New Roman" w:hAnsi="Times New Roman" w:cs="Times New Roman" w:eastAsiaTheme="minorEastAsia"/>
          <w:b w:val="0"/>
          <w:sz w:val="24"/>
          <w:szCs w:val="24"/>
        </w:rPr>
        <w:t>环境监测计划</w:t>
      </w:r>
    </w:p>
    <w:p w14:paraId="1BBC9D7D">
      <w:pPr>
        <w:spacing w:line="360" w:lineRule="auto"/>
        <w:ind w:firstLine="480" w:firstLineChars="200"/>
        <w:rPr>
          <w:rFonts w:eastAsiaTheme="minorEastAsia"/>
          <w:bCs/>
          <w:sz w:val="24"/>
        </w:rPr>
      </w:pPr>
      <w:r>
        <w:rPr>
          <w:rFonts w:hint="eastAsia" w:eastAsiaTheme="minorEastAsia"/>
          <w:bCs/>
          <w:sz w:val="24"/>
        </w:rPr>
        <w:t>通过对区域环境进行监测，及时掌握区域内各环境因子的变化情况，及时发现环境问题；通过对监测资料进行分析，检查报告书中提出的各项环保措施的落实情况，并根据监测结果调整环保措施；为区域的生态环境建设、环境监督管理提供依据。</w:t>
      </w:r>
    </w:p>
    <w:p w14:paraId="50A54BB7">
      <w:pPr>
        <w:spacing w:line="360" w:lineRule="auto"/>
        <w:ind w:firstLine="480" w:firstLineChars="200"/>
        <w:rPr>
          <w:rFonts w:eastAsiaTheme="minorEastAsia"/>
          <w:bCs/>
          <w:sz w:val="24"/>
        </w:rPr>
      </w:pPr>
      <w:r>
        <w:rPr>
          <w:rFonts w:hint="eastAsia" w:eastAsiaTheme="minorEastAsia"/>
          <w:bCs/>
          <w:sz w:val="24"/>
        </w:rPr>
        <w:t>（1）水环境监测</w:t>
      </w:r>
    </w:p>
    <w:p w14:paraId="0CE9EDCB">
      <w:pPr>
        <w:spacing w:line="360" w:lineRule="auto"/>
        <w:ind w:firstLine="480" w:firstLineChars="200"/>
        <w:rPr>
          <w:rFonts w:eastAsiaTheme="minorEastAsia"/>
          <w:bCs/>
          <w:sz w:val="24"/>
        </w:rPr>
      </w:pPr>
      <w:r>
        <w:rPr>
          <w:rFonts w:hint="eastAsia" w:eastAsiaTheme="minorEastAsia"/>
          <w:bCs/>
          <w:sz w:val="24"/>
        </w:rPr>
        <w:t>水环境监测充分利用各地布设的现有监测点位和断面，每年应按规范对水体进行常规监测项目的监测。在建材企业集中区域及周边设置 2~3 口地下水监测井，定期监测地下水水质和地下水水位变化情况。</w:t>
      </w:r>
    </w:p>
    <w:p w14:paraId="4B39A01F">
      <w:pPr>
        <w:spacing w:line="360" w:lineRule="auto"/>
        <w:ind w:firstLine="480" w:firstLineChars="200"/>
        <w:rPr>
          <w:rFonts w:eastAsiaTheme="minorEastAsia"/>
          <w:bCs/>
          <w:sz w:val="24"/>
        </w:rPr>
      </w:pPr>
      <w:r>
        <w:rPr>
          <w:rFonts w:hint="eastAsia" w:eastAsiaTheme="minorEastAsia"/>
          <w:bCs/>
          <w:sz w:val="24"/>
        </w:rPr>
        <w:t>（2）大气环境监测</w:t>
      </w:r>
    </w:p>
    <w:p w14:paraId="208ED4CE">
      <w:pPr>
        <w:spacing w:line="360" w:lineRule="auto"/>
        <w:ind w:firstLine="480" w:firstLineChars="200"/>
        <w:rPr>
          <w:rFonts w:eastAsiaTheme="minorEastAsia"/>
          <w:bCs/>
          <w:sz w:val="24"/>
        </w:rPr>
      </w:pPr>
      <w:r>
        <w:rPr>
          <w:rFonts w:hint="eastAsia" w:eastAsiaTheme="minorEastAsia"/>
          <w:bCs/>
          <w:sz w:val="24"/>
        </w:rPr>
        <w:t>①污染源监测</w:t>
      </w:r>
    </w:p>
    <w:p w14:paraId="13C7EB35">
      <w:pPr>
        <w:spacing w:line="360" w:lineRule="auto"/>
        <w:ind w:firstLine="480" w:firstLineChars="200"/>
        <w:rPr>
          <w:rFonts w:eastAsiaTheme="minorEastAsia"/>
          <w:bCs/>
          <w:sz w:val="24"/>
        </w:rPr>
      </w:pPr>
      <w:r>
        <w:rPr>
          <w:rFonts w:hint="eastAsia" w:eastAsiaTheme="minorEastAsia"/>
          <w:bCs/>
          <w:sz w:val="24"/>
        </w:rPr>
        <w:t>有组织排放监测：在废气排放口设监测点位。</w:t>
      </w:r>
    </w:p>
    <w:p w14:paraId="241BB016">
      <w:pPr>
        <w:spacing w:line="360" w:lineRule="auto"/>
        <w:ind w:firstLine="480" w:firstLineChars="200"/>
        <w:rPr>
          <w:rFonts w:eastAsiaTheme="minorEastAsia"/>
          <w:bCs/>
          <w:sz w:val="24"/>
        </w:rPr>
      </w:pPr>
      <w:r>
        <w:rPr>
          <w:rFonts w:hint="eastAsia" w:eastAsiaTheme="minorEastAsia"/>
          <w:bCs/>
          <w:sz w:val="24"/>
        </w:rPr>
        <w:t>无组织排放监测：在无组织排放源上风向设参照点，下风向设监控点。</w:t>
      </w:r>
    </w:p>
    <w:p w14:paraId="49478FAF">
      <w:pPr>
        <w:spacing w:line="360" w:lineRule="auto"/>
        <w:ind w:firstLine="480" w:firstLineChars="200"/>
        <w:rPr>
          <w:rFonts w:eastAsiaTheme="minorEastAsia"/>
          <w:bCs/>
          <w:sz w:val="24"/>
        </w:rPr>
      </w:pPr>
      <w:r>
        <w:rPr>
          <w:rFonts w:hint="eastAsia" w:eastAsiaTheme="minorEastAsia"/>
          <w:bCs/>
          <w:sz w:val="24"/>
        </w:rPr>
        <w:t>②空气质量监测</w:t>
      </w:r>
    </w:p>
    <w:p w14:paraId="266D49B9">
      <w:pPr>
        <w:spacing w:line="360" w:lineRule="auto"/>
        <w:ind w:firstLine="480" w:firstLineChars="200"/>
        <w:rPr>
          <w:rFonts w:eastAsiaTheme="minorEastAsia"/>
          <w:bCs/>
          <w:sz w:val="24"/>
        </w:rPr>
      </w:pPr>
      <w:r>
        <w:rPr>
          <w:rFonts w:hint="eastAsia" w:eastAsiaTheme="minorEastAsia"/>
          <w:bCs/>
          <w:sz w:val="24"/>
        </w:rPr>
        <w:t>监测点位置按各功能区在园区上风向、下风向和内部设点监测，反映不同区域的环境空气质量情况。主要监测项目包括TSP、NOx、PM</w:t>
      </w:r>
      <w:r>
        <w:rPr>
          <w:rFonts w:hint="eastAsia" w:eastAsiaTheme="minorEastAsia"/>
          <w:bCs/>
          <w:sz w:val="24"/>
          <w:vertAlign w:val="subscript"/>
        </w:rPr>
        <w:t xml:space="preserve">10 </w:t>
      </w:r>
      <w:r>
        <w:rPr>
          <w:rFonts w:hint="eastAsia" w:eastAsiaTheme="minorEastAsia"/>
          <w:bCs/>
          <w:sz w:val="24"/>
        </w:rPr>
        <w:t>、PM</w:t>
      </w:r>
      <w:r>
        <w:rPr>
          <w:rFonts w:hint="eastAsia" w:eastAsiaTheme="minorEastAsia"/>
          <w:bCs/>
          <w:sz w:val="24"/>
          <w:vertAlign w:val="subscript"/>
        </w:rPr>
        <w:t>2.5</w:t>
      </w:r>
      <w:r>
        <w:rPr>
          <w:rFonts w:hint="eastAsia" w:eastAsiaTheme="minorEastAsia"/>
          <w:bCs/>
          <w:sz w:val="24"/>
        </w:rPr>
        <w:t>、NO</w:t>
      </w:r>
      <w:r>
        <w:rPr>
          <w:rFonts w:hint="eastAsia" w:eastAsiaTheme="minorEastAsia"/>
          <w:bCs/>
          <w:sz w:val="24"/>
          <w:vertAlign w:val="subscript"/>
        </w:rPr>
        <w:t>2</w:t>
      </w:r>
      <w:r>
        <w:rPr>
          <w:rFonts w:hint="eastAsia" w:eastAsiaTheme="minorEastAsia"/>
          <w:bCs/>
          <w:sz w:val="24"/>
        </w:rPr>
        <w:t>、SO</w:t>
      </w:r>
      <w:r>
        <w:rPr>
          <w:rFonts w:hint="eastAsia" w:eastAsiaTheme="minorEastAsia"/>
          <w:bCs/>
          <w:sz w:val="24"/>
          <w:vertAlign w:val="subscript"/>
        </w:rPr>
        <w:t>2</w:t>
      </w:r>
      <w:r>
        <w:rPr>
          <w:rFonts w:hint="eastAsia" w:eastAsiaTheme="minorEastAsia"/>
          <w:bCs/>
          <w:sz w:val="24"/>
        </w:rPr>
        <w:t>。其他特征污染物视入区项目特性而定。常规监测项目每年监测一次。</w:t>
      </w:r>
    </w:p>
    <w:p w14:paraId="0008B4B4">
      <w:pPr>
        <w:spacing w:line="360" w:lineRule="auto"/>
        <w:ind w:firstLine="480" w:firstLineChars="200"/>
        <w:rPr>
          <w:rFonts w:eastAsiaTheme="minorEastAsia"/>
          <w:bCs/>
          <w:sz w:val="24"/>
        </w:rPr>
      </w:pPr>
      <w:r>
        <w:rPr>
          <w:rFonts w:hint="eastAsia" w:eastAsiaTheme="minorEastAsia"/>
          <w:bCs/>
          <w:sz w:val="24"/>
        </w:rPr>
        <w:t>充分利用各地布设的空气质量自动监测站点，加强实施监测，及时掌握空气质量变化情况。</w:t>
      </w:r>
    </w:p>
    <w:p w14:paraId="3EF51946">
      <w:pPr>
        <w:spacing w:line="360" w:lineRule="auto"/>
        <w:ind w:firstLine="480" w:firstLineChars="200"/>
        <w:rPr>
          <w:rFonts w:eastAsiaTheme="minorEastAsia"/>
          <w:bCs/>
          <w:sz w:val="24"/>
        </w:rPr>
      </w:pPr>
      <w:r>
        <w:rPr>
          <w:rFonts w:hint="eastAsia" w:eastAsiaTheme="minorEastAsia"/>
          <w:bCs/>
          <w:sz w:val="24"/>
        </w:rPr>
        <w:t>（3）声环境监测</w:t>
      </w:r>
    </w:p>
    <w:p w14:paraId="7E670B60">
      <w:pPr>
        <w:spacing w:line="360" w:lineRule="auto"/>
        <w:ind w:firstLine="480" w:firstLineChars="200"/>
        <w:rPr>
          <w:rFonts w:eastAsiaTheme="minorEastAsia"/>
          <w:bCs/>
          <w:sz w:val="24"/>
        </w:rPr>
      </w:pPr>
      <w:r>
        <w:rPr>
          <w:rFonts w:hint="eastAsia" w:eastAsiaTheme="minorEastAsia"/>
          <w:bCs/>
          <w:sz w:val="24"/>
        </w:rPr>
        <w:t>①噪声源监测</w:t>
      </w:r>
    </w:p>
    <w:p w14:paraId="3B749A2B">
      <w:pPr>
        <w:spacing w:line="360" w:lineRule="auto"/>
        <w:ind w:firstLine="480" w:firstLineChars="200"/>
        <w:rPr>
          <w:rFonts w:eastAsiaTheme="minorEastAsia"/>
          <w:bCs/>
          <w:sz w:val="24"/>
        </w:rPr>
      </w:pPr>
      <w:r>
        <w:rPr>
          <w:rFonts w:hint="eastAsia" w:eastAsiaTheme="minorEastAsia"/>
          <w:bCs/>
          <w:sz w:val="24"/>
        </w:rPr>
        <w:t>监测点位置包括声源 1m 处监测点、厂界四周监测点，反映噪声源的强度和厂界声环境达标情况。</w:t>
      </w:r>
    </w:p>
    <w:p w14:paraId="5C36D65A">
      <w:pPr>
        <w:spacing w:line="360" w:lineRule="auto"/>
        <w:ind w:firstLine="480" w:firstLineChars="200"/>
        <w:rPr>
          <w:rFonts w:eastAsiaTheme="minorEastAsia"/>
          <w:bCs/>
          <w:sz w:val="24"/>
        </w:rPr>
      </w:pPr>
      <w:r>
        <w:rPr>
          <w:rFonts w:hint="eastAsia" w:eastAsiaTheme="minorEastAsia"/>
          <w:bCs/>
          <w:sz w:val="24"/>
        </w:rPr>
        <w:t>②声环境质量监测</w:t>
      </w:r>
    </w:p>
    <w:p w14:paraId="5B69417C">
      <w:pPr>
        <w:spacing w:line="360" w:lineRule="auto"/>
        <w:ind w:firstLine="480" w:firstLineChars="200"/>
        <w:rPr>
          <w:rFonts w:eastAsiaTheme="minorEastAsia"/>
          <w:bCs/>
          <w:sz w:val="24"/>
        </w:rPr>
      </w:pPr>
      <w:r>
        <w:rPr>
          <w:rFonts w:hint="eastAsia" w:eastAsiaTheme="minorEastAsia"/>
          <w:bCs/>
          <w:sz w:val="24"/>
        </w:rPr>
        <w:t>每季度监测一次，每次监测分昼间和夜间，统计 L10、L50、L90、Leq。</w:t>
      </w:r>
    </w:p>
    <w:p w14:paraId="47FB2A48">
      <w:pPr>
        <w:spacing w:line="360" w:lineRule="auto"/>
        <w:ind w:firstLine="480" w:firstLineChars="200"/>
        <w:rPr>
          <w:rFonts w:eastAsiaTheme="minorEastAsia"/>
          <w:bCs/>
          <w:sz w:val="24"/>
        </w:rPr>
      </w:pPr>
      <w:r>
        <w:rPr>
          <w:rFonts w:hint="eastAsia" w:eastAsiaTheme="minorEastAsia"/>
          <w:bCs/>
          <w:sz w:val="24"/>
        </w:rPr>
        <w:t>（4） 土壤环境监测</w:t>
      </w:r>
    </w:p>
    <w:p w14:paraId="1EEA656F">
      <w:pPr>
        <w:spacing w:line="360" w:lineRule="auto"/>
        <w:ind w:firstLine="480" w:firstLineChars="200"/>
        <w:rPr>
          <w:rFonts w:eastAsiaTheme="minorEastAsia"/>
          <w:bCs/>
          <w:sz w:val="24"/>
        </w:rPr>
      </w:pPr>
      <w:r>
        <w:rPr>
          <w:rFonts w:hint="eastAsia" w:eastAsiaTheme="minorEastAsia"/>
          <w:bCs/>
          <w:sz w:val="24"/>
        </w:rPr>
        <w:t>为了充分了解土壤环境质量状况和企业生产对土壤环境质量的影响状况，定期组织开展土壤环境质量调查，防范工矿企业用地新增土壤污染。结合重点行业企业用地调查成果，完善土壤污染重点监管单位名录。</w:t>
      </w:r>
    </w:p>
    <w:p w14:paraId="3806AB78">
      <w:pPr>
        <w:spacing w:line="360" w:lineRule="auto"/>
        <w:ind w:firstLine="480" w:firstLineChars="200"/>
        <w:rPr>
          <w:rFonts w:eastAsiaTheme="minorEastAsia"/>
          <w:bCs/>
          <w:sz w:val="24"/>
        </w:rPr>
      </w:pPr>
      <w:r>
        <w:rPr>
          <w:rFonts w:hint="eastAsia" w:eastAsiaTheme="minorEastAsia"/>
          <w:bCs/>
          <w:sz w:val="24"/>
        </w:rPr>
        <w:t>开展典型在产企业（园区）土壤污染风险管控试点。定期对土壤污染重点监管单位和地下水重点污染源周边土壤和地下水开展监督性监测。督促企业落实土壤及地下水环境自行监测、污染隐患排查、有毒有害物质排放报告等制度。</w:t>
      </w:r>
    </w:p>
    <w:p w14:paraId="091791CB">
      <w:pPr>
        <w:spacing w:line="360" w:lineRule="auto"/>
        <w:ind w:firstLine="480" w:firstLineChars="200"/>
        <w:rPr>
          <w:rFonts w:eastAsiaTheme="minorEastAsia"/>
          <w:bCs/>
          <w:sz w:val="24"/>
        </w:rPr>
      </w:pPr>
      <w:r>
        <w:rPr>
          <w:rFonts w:hint="eastAsia" w:eastAsiaTheme="minorEastAsia"/>
          <w:bCs/>
          <w:sz w:val="24"/>
        </w:rPr>
        <w:t>（5）环境监测的实施</w:t>
      </w:r>
    </w:p>
    <w:p w14:paraId="0019F451">
      <w:pPr>
        <w:spacing w:line="360" w:lineRule="auto"/>
        <w:ind w:firstLine="480" w:firstLineChars="200"/>
        <w:rPr>
          <w:rFonts w:eastAsiaTheme="minorEastAsia"/>
          <w:bCs/>
          <w:sz w:val="24"/>
        </w:rPr>
      </w:pPr>
      <w:r>
        <w:rPr>
          <w:rFonts w:hint="eastAsia" w:eastAsiaTheme="minorEastAsia"/>
          <w:bCs/>
          <w:sz w:val="24"/>
        </w:rPr>
        <w:t>环境监测由经国家计量认证，具有资质的专业监测部门实施。各地人民政府、企业所在园区管理部门、排污企业保障监测经费及时到位。</w:t>
      </w:r>
    </w:p>
    <w:p w14:paraId="392AC588">
      <w:pPr>
        <w:spacing w:line="360" w:lineRule="auto"/>
        <w:ind w:firstLine="480" w:firstLineChars="200"/>
        <w:jc w:val="left"/>
        <w:rPr>
          <w:rFonts w:eastAsiaTheme="minorEastAsia"/>
          <w:sz w:val="24"/>
        </w:rPr>
      </w:pPr>
    </w:p>
    <w:p w14:paraId="0B0CD97B">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231" w:name="_Toc206495054"/>
      <w:r>
        <w:rPr>
          <w:rFonts w:hint="eastAsia" w:eastAsiaTheme="minorEastAsia"/>
          <w:kern w:val="2"/>
          <w:sz w:val="36"/>
          <w:szCs w:val="36"/>
        </w:rPr>
        <w:t>公众参与</w:t>
      </w:r>
      <w:bookmarkEnd w:id="231"/>
    </w:p>
    <w:p w14:paraId="5E483D9E">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32" w:name="_Toc206495055"/>
      <w:r>
        <w:rPr>
          <w:rFonts w:hint="eastAsia" w:eastAsiaTheme="minorEastAsia"/>
          <w:b/>
          <w:bCs/>
          <w:sz w:val="30"/>
          <w:szCs w:val="28"/>
        </w:rPr>
        <w:t>公众参与的意义</w:t>
      </w:r>
      <w:bookmarkEnd w:id="232"/>
    </w:p>
    <w:p w14:paraId="467CD79C">
      <w:pPr>
        <w:spacing w:line="360" w:lineRule="auto"/>
        <w:ind w:firstLine="480" w:firstLineChars="200"/>
        <w:jc w:val="left"/>
        <w:rPr>
          <w:rFonts w:eastAsiaTheme="minorEastAsia"/>
          <w:sz w:val="24"/>
        </w:rPr>
      </w:pPr>
      <w:r>
        <w:rPr>
          <w:rFonts w:hint="eastAsia" w:eastAsiaTheme="minorEastAsia"/>
          <w:sz w:val="24"/>
        </w:rPr>
        <w:t>公众参与是环境影响评价的重要部分，实施公众参与是必要的，它的作用在于：</w:t>
      </w:r>
    </w:p>
    <w:p w14:paraId="742C2134">
      <w:pPr>
        <w:spacing w:line="360" w:lineRule="auto"/>
        <w:ind w:firstLine="480" w:firstLineChars="200"/>
        <w:jc w:val="left"/>
        <w:rPr>
          <w:rFonts w:eastAsiaTheme="minorEastAsia"/>
          <w:sz w:val="24"/>
        </w:rPr>
      </w:pPr>
      <w:r>
        <w:rPr>
          <w:rFonts w:hint="eastAsia" w:eastAsiaTheme="minorEastAsia"/>
          <w:sz w:val="24"/>
        </w:rPr>
        <w:t>（1）公众参与过程中，把规划可能引起的有关环境问题告诉公众，可以让公众了解项目，取得公众的理解与支持，使项目能被公众充分认可，同时提高了公众的环境保护意识。</w:t>
      </w:r>
    </w:p>
    <w:p w14:paraId="13CD4327">
      <w:pPr>
        <w:spacing w:line="360" w:lineRule="auto"/>
        <w:ind w:firstLine="480" w:firstLineChars="200"/>
        <w:jc w:val="left"/>
        <w:rPr>
          <w:rFonts w:eastAsiaTheme="minorEastAsia"/>
          <w:sz w:val="24"/>
        </w:rPr>
      </w:pPr>
      <w:r>
        <w:rPr>
          <w:rFonts w:hint="eastAsia" w:eastAsiaTheme="minorEastAsia"/>
          <w:sz w:val="24"/>
        </w:rPr>
        <w:t>（2）受规划区建设影响的公众对和规划区建设有关的环境问题以及相应的环境影响的感受是直接的，也是较敏感的，往往会意识到某些重大环境问题和环境影响，会对环保措施的可行性提出有益的看法，有利于规划的完善及环境影响评价工作的进行。</w:t>
      </w:r>
    </w:p>
    <w:p w14:paraId="098C8D21">
      <w:pPr>
        <w:spacing w:line="360" w:lineRule="auto"/>
        <w:ind w:firstLine="480" w:firstLineChars="200"/>
        <w:jc w:val="left"/>
        <w:rPr>
          <w:rFonts w:eastAsiaTheme="minorEastAsia"/>
          <w:sz w:val="24"/>
        </w:rPr>
      </w:pPr>
      <w:r>
        <w:rPr>
          <w:rFonts w:hint="eastAsia" w:eastAsiaTheme="minorEastAsia"/>
          <w:sz w:val="24"/>
        </w:rPr>
        <w:t>（3）通过公众参与，可获知公众对产业发展规划的各种看法、意见，为维护公众的切身利益找到依据，在环评过程中充分采纳可行性建议，减少由于二者缺乏联系而使公众产生的担忧，尽可能降低对公众利益的不利影响。</w:t>
      </w:r>
    </w:p>
    <w:p w14:paraId="751803D1">
      <w:pPr>
        <w:spacing w:line="360" w:lineRule="auto"/>
        <w:ind w:firstLine="480" w:firstLineChars="200"/>
        <w:jc w:val="left"/>
        <w:rPr>
          <w:rFonts w:eastAsiaTheme="minorEastAsia"/>
          <w:sz w:val="24"/>
        </w:rPr>
      </w:pPr>
      <w:r>
        <w:rPr>
          <w:rFonts w:hint="eastAsia" w:eastAsiaTheme="minorEastAsia"/>
          <w:sz w:val="24"/>
        </w:rPr>
        <w:t>（4）在环境影响评价的评估工作中，主要依靠公众监督的作用。公众的积极参与，是环境管理机制的重要组成部分，有利于保护生态环境，提高项目的环境效益和经济效益，提高环境质量，确保可持续发展战略的实施。</w:t>
      </w:r>
    </w:p>
    <w:p w14:paraId="0B94D41E">
      <w:pPr>
        <w:spacing w:line="360" w:lineRule="auto"/>
        <w:ind w:firstLine="480" w:firstLineChars="200"/>
        <w:jc w:val="left"/>
        <w:rPr>
          <w:rFonts w:eastAsiaTheme="minorEastAsia"/>
          <w:sz w:val="24"/>
        </w:rPr>
      </w:pPr>
      <w:r>
        <w:rPr>
          <w:rFonts w:hint="eastAsia" w:eastAsiaTheme="minorEastAsia"/>
          <w:sz w:val="24"/>
        </w:rPr>
        <w:t>按照《环境影响评价公众参与办法》的相关要求，园区规划环评采用了以下方法和途径开展了公众参与调查工作：①网上信息首次信息公告及征求意见稿公示；②现场张贴公示；③登报公示；④征求相关部门意见。</w:t>
      </w:r>
    </w:p>
    <w:p w14:paraId="11ACFFD4">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33" w:name="_Toc206495056"/>
      <w:r>
        <w:rPr>
          <w:rFonts w:hint="eastAsia" w:eastAsiaTheme="minorEastAsia"/>
          <w:b/>
          <w:bCs/>
          <w:sz w:val="30"/>
          <w:szCs w:val="28"/>
        </w:rPr>
        <w:t>首次环境影响评价信息公开情况</w:t>
      </w:r>
      <w:bookmarkEnd w:id="233"/>
    </w:p>
    <w:p w14:paraId="7955AC5E">
      <w:pPr>
        <w:keepNext/>
        <w:keepLines/>
        <w:widowControl/>
        <w:numPr>
          <w:ilvl w:val="2"/>
          <w:numId w:val="1"/>
        </w:numPr>
        <w:spacing w:before="120" w:after="120" w:line="360" w:lineRule="auto"/>
        <w:jc w:val="left"/>
        <w:outlineLvl w:val="2"/>
        <w:rPr>
          <w:rFonts w:eastAsiaTheme="minorEastAsia"/>
          <w:b/>
          <w:bCs/>
          <w:sz w:val="24"/>
        </w:rPr>
      </w:pPr>
      <w:bookmarkStart w:id="234" w:name="_Toc206495057"/>
      <w:r>
        <w:rPr>
          <w:rFonts w:hint="eastAsia" w:eastAsiaTheme="minorEastAsia"/>
          <w:b/>
          <w:bCs/>
          <w:sz w:val="24"/>
        </w:rPr>
        <w:t>公开内容及日期</w:t>
      </w:r>
      <w:bookmarkEnd w:id="234"/>
    </w:p>
    <w:p w14:paraId="0A37AAE9">
      <w:pPr>
        <w:spacing w:line="360" w:lineRule="auto"/>
        <w:ind w:firstLine="480" w:firstLineChars="200"/>
        <w:rPr>
          <w:rFonts w:eastAsiaTheme="minorEastAsia"/>
          <w:sz w:val="24"/>
        </w:rPr>
      </w:pPr>
      <w:r>
        <w:rPr>
          <w:rFonts w:hint="eastAsia" w:eastAsiaTheme="minorEastAsia"/>
          <w:sz w:val="24"/>
        </w:rPr>
        <w:t>随县石材产业管理办公室于2025年7月委托环评单位对产业发展规划进行环境影响评价，并根据《环境影响评价公众参与办法》（生态环境部令第4号）的要求于2025年7月29日将产业发展规划的环境影响评价基本信息进行公示，公开的信息包括以下几个方面：</w:t>
      </w:r>
    </w:p>
    <w:p w14:paraId="28FEE9C4">
      <w:pPr>
        <w:spacing w:line="360" w:lineRule="auto"/>
        <w:ind w:firstLine="480" w:firstLineChars="200"/>
        <w:jc w:val="left"/>
        <w:rPr>
          <w:rFonts w:eastAsiaTheme="minorEastAsia"/>
          <w:sz w:val="24"/>
        </w:rPr>
      </w:pPr>
      <w:r>
        <w:rPr>
          <w:rFonts w:hint="eastAsia" w:eastAsiaTheme="minorEastAsia"/>
          <w:sz w:val="24"/>
        </w:rPr>
        <w:t>（一）规划名称、选址、建设内容等基本情况；</w:t>
      </w:r>
    </w:p>
    <w:p w14:paraId="69181878">
      <w:pPr>
        <w:spacing w:line="360" w:lineRule="auto"/>
        <w:ind w:firstLine="480" w:firstLineChars="200"/>
        <w:jc w:val="left"/>
        <w:rPr>
          <w:rFonts w:eastAsiaTheme="minorEastAsia"/>
          <w:sz w:val="24"/>
        </w:rPr>
      </w:pPr>
      <w:r>
        <w:rPr>
          <w:rFonts w:hint="eastAsia" w:eastAsiaTheme="minorEastAsia"/>
          <w:sz w:val="24"/>
        </w:rPr>
        <w:t>（二）建设单位名称和联系方式；</w:t>
      </w:r>
    </w:p>
    <w:p w14:paraId="04252FB2">
      <w:pPr>
        <w:spacing w:line="360" w:lineRule="auto"/>
        <w:ind w:firstLine="480" w:firstLineChars="200"/>
        <w:jc w:val="left"/>
        <w:rPr>
          <w:rFonts w:eastAsiaTheme="minorEastAsia"/>
          <w:sz w:val="24"/>
        </w:rPr>
      </w:pPr>
      <w:r>
        <w:rPr>
          <w:rFonts w:hint="eastAsia" w:eastAsiaTheme="minorEastAsia"/>
          <w:sz w:val="24"/>
        </w:rPr>
        <w:t>（三）环境影响报告书编制单位的名称；</w:t>
      </w:r>
    </w:p>
    <w:p w14:paraId="658D8C0C">
      <w:pPr>
        <w:spacing w:line="360" w:lineRule="auto"/>
        <w:ind w:firstLine="480" w:firstLineChars="200"/>
        <w:jc w:val="left"/>
        <w:rPr>
          <w:rFonts w:eastAsiaTheme="minorEastAsia"/>
          <w:sz w:val="24"/>
        </w:rPr>
      </w:pPr>
      <w:r>
        <w:rPr>
          <w:rFonts w:hint="eastAsia" w:eastAsiaTheme="minorEastAsia"/>
          <w:sz w:val="24"/>
        </w:rPr>
        <w:t>（四）公众意见表的网络链接；</w:t>
      </w:r>
    </w:p>
    <w:p w14:paraId="37B7D6EA">
      <w:pPr>
        <w:spacing w:line="360" w:lineRule="auto"/>
        <w:ind w:firstLine="480" w:firstLineChars="200"/>
        <w:jc w:val="left"/>
        <w:rPr>
          <w:rFonts w:eastAsiaTheme="minorEastAsia"/>
          <w:sz w:val="24"/>
        </w:rPr>
      </w:pPr>
      <w:r>
        <w:rPr>
          <w:rFonts w:hint="eastAsia" w:eastAsiaTheme="minorEastAsia"/>
          <w:sz w:val="24"/>
        </w:rPr>
        <w:t>（五）提交公众意见表的方式和途径。</w:t>
      </w:r>
    </w:p>
    <w:p w14:paraId="3458BF33">
      <w:pPr>
        <w:keepNext/>
        <w:keepLines/>
        <w:widowControl/>
        <w:numPr>
          <w:ilvl w:val="2"/>
          <w:numId w:val="1"/>
        </w:numPr>
        <w:spacing w:before="120" w:after="120" w:line="360" w:lineRule="auto"/>
        <w:jc w:val="left"/>
        <w:outlineLvl w:val="2"/>
        <w:rPr>
          <w:rFonts w:eastAsiaTheme="minorEastAsia"/>
          <w:b/>
          <w:bCs/>
          <w:sz w:val="24"/>
        </w:rPr>
      </w:pPr>
      <w:bookmarkStart w:id="235" w:name="_Toc206495058"/>
      <w:r>
        <w:rPr>
          <w:rFonts w:hint="eastAsia" w:eastAsiaTheme="minorEastAsia"/>
          <w:b/>
          <w:bCs/>
          <w:sz w:val="24"/>
        </w:rPr>
        <w:t>公开方式</w:t>
      </w:r>
      <w:bookmarkEnd w:id="235"/>
    </w:p>
    <w:p w14:paraId="3D00F474">
      <w:pPr>
        <w:kinsoku w:val="0"/>
        <w:wordWrap w:val="0"/>
        <w:spacing w:line="360" w:lineRule="auto"/>
        <w:ind w:firstLine="480" w:firstLineChars="200"/>
        <w:jc w:val="left"/>
        <w:rPr>
          <w:rFonts w:eastAsiaTheme="minorEastAsia"/>
          <w:sz w:val="24"/>
        </w:rPr>
      </w:pPr>
      <w:r>
        <w:rPr>
          <w:rFonts w:hint="eastAsia" w:eastAsiaTheme="minorEastAsia"/>
          <w:sz w:val="24"/>
        </w:rPr>
        <w:t>根据《环境影响评价公众参与办法》（生态环境部令第4号）的要求，随县石材产业管理办公室于2025年7月29日将规划的环境影响评价基本信息在随县人民政府网站（http://www.zgsuixian.gov.cn/zwgk/zc/qtzd/tzgg/202507/t20250730_1352066.shtml）上予以公示，第一次公示情况见下图。</w:t>
      </w:r>
    </w:p>
    <w:p w14:paraId="045BFB63">
      <w:pPr>
        <w:spacing w:line="360" w:lineRule="auto"/>
        <w:jc w:val="center"/>
        <w:rPr>
          <w:rFonts w:eastAsiaTheme="minorEastAsia"/>
          <w:sz w:val="24"/>
        </w:rPr>
      </w:pPr>
      <w:r>
        <w:drawing>
          <wp:inline distT="0" distB="0" distL="114300" distR="114300">
            <wp:extent cx="5276215" cy="3899535"/>
            <wp:effectExtent l="0" t="0" r="635" b="57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6"/>
                    <a:stretch>
                      <a:fillRect/>
                    </a:stretch>
                  </pic:blipFill>
                  <pic:spPr>
                    <a:xfrm>
                      <a:off x="0" y="0"/>
                      <a:ext cx="5276215" cy="3899535"/>
                    </a:xfrm>
                    <a:prstGeom prst="rect">
                      <a:avLst/>
                    </a:prstGeom>
                    <a:noFill/>
                    <a:ln>
                      <a:noFill/>
                    </a:ln>
                  </pic:spPr>
                </pic:pic>
              </a:graphicData>
            </a:graphic>
          </wp:inline>
        </w:drawing>
      </w:r>
      <w:r>
        <w:drawing>
          <wp:inline distT="0" distB="0" distL="114300" distR="114300">
            <wp:extent cx="5273040" cy="3265805"/>
            <wp:effectExtent l="0" t="0" r="3810" b="1079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7"/>
                    <a:stretch>
                      <a:fillRect/>
                    </a:stretch>
                  </pic:blipFill>
                  <pic:spPr>
                    <a:xfrm>
                      <a:off x="0" y="0"/>
                      <a:ext cx="5273040" cy="3265805"/>
                    </a:xfrm>
                    <a:prstGeom prst="rect">
                      <a:avLst/>
                    </a:prstGeom>
                    <a:noFill/>
                    <a:ln>
                      <a:noFill/>
                    </a:ln>
                  </pic:spPr>
                </pic:pic>
              </a:graphicData>
            </a:graphic>
          </wp:inline>
        </w:drawing>
      </w:r>
    </w:p>
    <w:p w14:paraId="375A6572">
      <w:pPr>
        <w:spacing w:line="360" w:lineRule="auto"/>
        <w:jc w:val="center"/>
        <w:rPr>
          <w:rFonts w:eastAsiaTheme="minorEastAsia"/>
          <w:b/>
          <w:bCs/>
          <w:szCs w:val="21"/>
        </w:rPr>
      </w:pPr>
      <w:r>
        <w:rPr>
          <w:rFonts w:hint="eastAsia" w:eastAsiaTheme="minorEastAsia"/>
          <w:b/>
          <w:bCs/>
          <w:szCs w:val="21"/>
        </w:rPr>
        <w:t>图9.2.2-1   首次公示截图</w:t>
      </w:r>
    </w:p>
    <w:p w14:paraId="1E4411E1">
      <w:pPr>
        <w:keepNext/>
        <w:keepLines/>
        <w:widowControl/>
        <w:numPr>
          <w:ilvl w:val="2"/>
          <w:numId w:val="1"/>
        </w:numPr>
        <w:spacing w:before="120" w:after="120" w:line="360" w:lineRule="auto"/>
        <w:jc w:val="left"/>
        <w:outlineLvl w:val="2"/>
        <w:rPr>
          <w:rFonts w:eastAsiaTheme="minorEastAsia"/>
          <w:b/>
          <w:bCs/>
          <w:sz w:val="24"/>
        </w:rPr>
      </w:pPr>
      <w:bookmarkStart w:id="236" w:name="_Toc206495059"/>
      <w:r>
        <w:rPr>
          <w:rFonts w:hint="eastAsia" w:eastAsiaTheme="minorEastAsia"/>
          <w:b/>
          <w:bCs/>
          <w:sz w:val="24"/>
        </w:rPr>
        <w:t>公众意见情况</w:t>
      </w:r>
      <w:bookmarkEnd w:id="236"/>
    </w:p>
    <w:p w14:paraId="6949F334">
      <w:pPr>
        <w:spacing w:line="360" w:lineRule="auto"/>
        <w:ind w:firstLine="480" w:firstLineChars="200"/>
        <w:jc w:val="left"/>
        <w:rPr>
          <w:rFonts w:eastAsiaTheme="minorEastAsia"/>
          <w:sz w:val="24"/>
        </w:rPr>
      </w:pPr>
      <w:r>
        <w:rPr>
          <w:rFonts w:hint="eastAsia" w:eastAsiaTheme="minorEastAsia"/>
          <w:sz w:val="24"/>
        </w:rPr>
        <w:t>公示期间，我单位未收到公众及单位对本项目建设的反馈意见！</w:t>
      </w:r>
    </w:p>
    <w:p w14:paraId="5FFA45EE">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37" w:name="_Toc206495060"/>
      <w:bookmarkStart w:id="238" w:name="_Toc168673978"/>
      <w:r>
        <w:rPr>
          <w:rFonts w:hint="eastAsia" w:eastAsiaTheme="minorEastAsia"/>
          <w:b/>
          <w:bCs/>
          <w:sz w:val="30"/>
          <w:szCs w:val="28"/>
        </w:rPr>
        <w:t>征求意见稿公示情况</w:t>
      </w:r>
      <w:bookmarkEnd w:id="237"/>
      <w:bookmarkEnd w:id="238"/>
    </w:p>
    <w:p w14:paraId="30BB1696">
      <w:pPr>
        <w:keepNext/>
        <w:keepLines/>
        <w:widowControl/>
        <w:numPr>
          <w:ilvl w:val="2"/>
          <w:numId w:val="1"/>
        </w:numPr>
        <w:spacing w:before="120" w:after="120" w:line="360" w:lineRule="auto"/>
        <w:jc w:val="left"/>
        <w:outlineLvl w:val="2"/>
        <w:rPr>
          <w:rFonts w:eastAsiaTheme="minorEastAsia"/>
          <w:b/>
          <w:bCs/>
          <w:sz w:val="24"/>
        </w:rPr>
      </w:pPr>
      <w:bookmarkStart w:id="239" w:name="_Toc206495061"/>
      <w:bookmarkStart w:id="240" w:name="_Toc168673979"/>
      <w:r>
        <w:rPr>
          <w:rFonts w:hint="eastAsia" w:eastAsiaTheme="minorEastAsia"/>
          <w:b/>
          <w:bCs/>
          <w:sz w:val="24"/>
        </w:rPr>
        <w:t>公开内容及日期</w:t>
      </w:r>
      <w:bookmarkEnd w:id="239"/>
      <w:bookmarkEnd w:id="240"/>
    </w:p>
    <w:p w14:paraId="1273920D">
      <w:pPr>
        <w:spacing w:line="360" w:lineRule="auto"/>
        <w:ind w:firstLine="480" w:firstLineChars="200"/>
        <w:jc w:val="left"/>
        <w:rPr>
          <w:rFonts w:eastAsiaTheme="minorEastAsia"/>
          <w:sz w:val="24"/>
        </w:rPr>
      </w:pPr>
      <w:r>
        <w:rPr>
          <w:rFonts w:hint="eastAsia" w:eastAsiaTheme="minorEastAsia"/>
          <w:sz w:val="24"/>
        </w:rPr>
        <w:t>根据《环境影响评价公众参与办法》(生态环境部令第4号)，在产业发展规划征求意见稿形成后，公开的信息包括以下几个方面：</w:t>
      </w:r>
    </w:p>
    <w:p w14:paraId="5FBD0B77">
      <w:pPr>
        <w:spacing w:line="360" w:lineRule="auto"/>
        <w:ind w:firstLine="480" w:firstLineChars="200"/>
        <w:jc w:val="left"/>
        <w:rPr>
          <w:rFonts w:eastAsiaTheme="minorEastAsia"/>
          <w:sz w:val="24"/>
        </w:rPr>
      </w:pPr>
      <w:r>
        <w:rPr>
          <w:rFonts w:hint="eastAsia" w:eastAsiaTheme="minorEastAsia"/>
          <w:sz w:val="24"/>
        </w:rPr>
        <w:t>（一）环境影响报告书征求意见稿全文的网络链接及查阅纸质报告书的方式和途径；</w:t>
      </w:r>
    </w:p>
    <w:p w14:paraId="513EC1FC">
      <w:pPr>
        <w:spacing w:line="360" w:lineRule="auto"/>
        <w:ind w:firstLine="480" w:firstLineChars="200"/>
        <w:jc w:val="left"/>
        <w:rPr>
          <w:rFonts w:eastAsiaTheme="minorEastAsia"/>
          <w:sz w:val="24"/>
        </w:rPr>
      </w:pPr>
      <w:r>
        <w:rPr>
          <w:rFonts w:hint="eastAsia" w:eastAsiaTheme="minorEastAsia"/>
          <w:sz w:val="24"/>
        </w:rPr>
        <w:t>（二）征求意见的公众范围；</w:t>
      </w:r>
    </w:p>
    <w:p w14:paraId="1BFCF0A8">
      <w:pPr>
        <w:spacing w:line="360" w:lineRule="auto"/>
        <w:ind w:firstLine="480" w:firstLineChars="200"/>
        <w:jc w:val="left"/>
        <w:rPr>
          <w:rFonts w:eastAsiaTheme="minorEastAsia"/>
          <w:sz w:val="24"/>
        </w:rPr>
      </w:pPr>
      <w:r>
        <w:rPr>
          <w:rFonts w:hint="eastAsia" w:eastAsiaTheme="minorEastAsia"/>
          <w:sz w:val="24"/>
        </w:rPr>
        <w:t>（三）公众意见表的网络链接；</w:t>
      </w:r>
    </w:p>
    <w:p w14:paraId="4FE909B3">
      <w:pPr>
        <w:spacing w:line="360" w:lineRule="auto"/>
        <w:ind w:firstLine="480" w:firstLineChars="200"/>
        <w:jc w:val="left"/>
        <w:rPr>
          <w:rFonts w:eastAsiaTheme="minorEastAsia"/>
          <w:sz w:val="24"/>
        </w:rPr>
      </w:pPr>
      <w:r>
        <w:rPr>
          <w:rFonts w:hint="eastAsia" w:eastAsiaTheme="minorEastAsia"/>
          <w:sz w:val="24"/>
        </w:rPr>
        <w:t>（四）公众提出意见的方式和途径；</w:t>
      </w:r>
    </w:p>
    <w:p w14:paraId="1D59DE06">
      <w:pPr>
        <w:spacing w:line="360" w:lineRule="auto"/>
        <w:ind w:firstLine="480" w:firstLineChars="200"/>
        <w:jc w:val="left"/>
        <w:rPr>
          <w:rFonts w:eastAsiaTheme="minorEastAsia"/>
          <w:sz w:val="24"/>
        </w:rPr>
      </w:pPr>
      <w:r>
        <w:rPr>
          <w:rFonts w:hint="eastAsia" w:eastAsiaTheme="minorEastAsia"/>
          <w:sz w:val="24"/>
        </w:rPr>
        <w:t>（五）公众提出意见的起止时间。</w:t>
      </w:r>
    </w:p>
    <w:p w14:paraId="6FB86522">
      <w:pPr>
        <w:keepNext/>
        <w:keepLines/>
        <w:widowControl/>
        <w:numPr>
          <w:ilvl w:val="2"/>
          <w:numId w:val="1"/>
        </w:numPr>
        <w:spacing w:before="120" w:after="120" w:line="360" w:lineRule="auto"/>
        <w:jc w:val="left"/>
        <w:outlineLvl w:val="2"/>
        <w:rPr>
          <w:rFonts w:eastAsiaTheme="minorEastAsia"/>
          <w:b/>
          <w:bCs/>
          <w:sz w:val="24"/>
        </w:rPr>
      </w:pPr>
      <w:bookmarkStart w:id="241" w:name="_Toc206495062"/>
      <w:bookmarkStart w:id="242" w:name="_Toc168673980"/>
      <w:r>
        <w:rPr>
          <w:rFonts w:hint="eastAsia" w:eastAsiaTheme="minorEastAsia"/>
          <w:b/>
          <w:bCs/>
          <w:sz w:val="24"/>
        </w:rPr>
        <w:t>网络公开</w:t>
      </w:r>
      <w:bookmarkEnd w:id="241"/>
      <w:bookmarkEnd w:id="242"/>
    </w:p>
    <w:p w14:paraId="0E4519F3">
      <w:pPr>
        <w:wordWrap w:val="0"/>
        <w:spacing w:line="360" w:lineRule="auto"/>
        <w:ind w:firstLine="480" w:firstLineChars="200"/>
        <w:jc w:val="left"/>
        <w:rPr>
          <w:rFonts w:eastAsiaTheme="minorEastAsia"/>
          <w:color w:val="FF0000"/>
          <w:sz w:val="24"/>
        </w:rPr>
      </w:pPr>
      <w:r>
        <w:rPr>
          <w:rFonts w:hint="eastAsia" w:eastAsiaTheme="minorEastAsia"/>
          <w:sz w:val="24"/>
        </w:rPr>
        <w:t>随县石材产业管理办公室于</w:t>
      </w:r>
      <w:r>
        <w:rPr>
          <w:rFonts w:hint="eastAsia" w:eastAsiaTheme="minorEastAsia"/>
          <w:color w:val="FF0000"/>
          <w:sz w:val="24"/>
        </w:rPr>
        <w:t>2025年8月8日将规划的环境影响评价基本信息在随县人民政府网站（</w:t>
      </w:r>
      <w:r>
        <w:rPr>
          <w:rFonts w:eastAsiaTheme="minorEastAsia"/>
          <w:color w:val="FF0000"/>
          <w:sz w:val="24"/>
        </w:rPr>
        <w:t>http://www.zgsuixian.gov.cn/jcxxgk/bmxxgk/xzrzyhghj/zc_18881/qtzdgkwj_18882/tzgg_56799/202408/t20240808_1244126.shtml</w:t>
      </w:r>
      <w:r>
        <w:rPr>
          <w:rFonts w:hint="eastAsia" w:eastAsiaTheme="minorEastAsia"/>
          <w:color w:val="FF0000"/>
          <w:sz w:val="24"/>
        </w:rPr>
        <w:t>）上予以公示，公示情况见下图。公示期为10个工作日。</w:t>
      </w:r>
    </w:p>
    <w:p w14:paraId="2B2F062A">
      <w:pPr>
        <w:spacing w:line="360" w:lineRule="auto"/>
        <w:jc w:val="center"/>
        <w:rPr>
          <w:rFonts w:eastAsiaTheme="minorEastAsia"/>
          <w:sz w:val="24"/>
        </w:rPr>
      </w:pPr>
    </w:p>
    <w:p w14:paraId="14B64AA2">
      <w:pPr>
        <w:spacing w:line="360" w:lineRule="auto"/>
        <w:jc w:val="center"/>
        <w:rPr>
          <w:rFonts w:eastAsiaTheme="minorEastAsia"/>
          <w:b/>
          <w:bCs/>
          <w:szCs w:val="21"/>
        </w:rPr>
      </w:pPr>
      <w:r>
        <w:rPr>
          <w:rFonts w:hint="eastAsia" w:eastAsiaTheme="minorEastAsia"/>
          <w:b/>
          <w:bCs/>
          <w:szCs w:val="21"/>
        </w:rPr>
        <w:t>图9.3.2-1   规划环评在随县人民政府公示网站截图</w:t>
      </w:r>
    </w:p>
    <w:p w14:paraId="60324C0B">
      <w:pPr>
        <w:spacing w:line="360" w:lineRule="auto"/>
        <w:ind w:firstLine="480" w:firstLineChars="200"/>
        <w:jc w:val="left"/>
        <w:rPr>
          <w:rFonts w:eastAsiaTheme="minorEastAsia"/>
          <w:sz w:val="24"/>
        </w:rPr>
      </w:pPr>
      <w:r>
        <w:rPr>
          <w:rFonts w:hint="eastAsia" w:eastAsiaTheme="minorEastAsia"/>
          <w:sz w:val="24"/>
        </w:rPr>
        <w:t>根据《环境影响评价公众参与办法》(生态环境部令第4号)：建设单位应当通过其网站、建设项目所在地公共媒体网站或者建设项目所在地相关政府网站（以下统称网络平台），公开项目相关信息。本次规划选择的随县人民政府网站网站符合该办法要求。</w:t>
      </w:r>
    </w:p>
    <w:p w14:paraId="053D7BAD">
      <w:pPr>
        <w:keepNext/>
        <w:keepLines/>
        <w:widowControl/>
        <w:numPr>
          <w:ilvl w:val="2"/>
          <w:numId w:val="1"/>
        </w:numPr>
        <w:spacing w:before="120" w:after="120" w:line="360" w:lineRule="auto"/>
        <w:jc w:val="left"/>
        <w:outlineLvl w:val="2"/>
        <w:rPr>
          <w:rFonts w:eastAsiaTheme="minorEastAsia"/>
          <w:b/>
          <w:bCs/>
          <w:sz w:val="24"/>
        </w:rPr>
      </w:pPr>
      <w:bookmarkStart w:id="243" w:name="_Toc168673981"/>
      <w:bookmarkStart w:id="244" w:name="_Toc206495063"/>
      <w:r>
        <w:rPr>
          <w:rFonts w:hint="eastAsia" w:eastAsiaTheme="minorEastAsia"/>
          <w:b/>
          <w:bCs/>
          <w:sz w:val="24"/>
        </w:rPr>
        <w:t>报纸公示</w:t>
      </w:r>
      <w:bookmarkEnd w:id="243"/>
      <w:bookmarkEnd w:id="244"/>
    </w:p>
    <w:p w14:paraId="4E39EE40">
      <w:pPr>
        <w:spacing w:line="360" w:lineRule="auto"/>
        <w:ind w:firstLine="480" w:firstLineChars="200"/>
        <w:jc w:val="left"/>
        <w:rPr>
          <w:rFonts w:eastAsiaTheme="minorEastAsia"/>
          <w:sz w:val="24"/>
        </w:rPr>
      </w:pPr>
      <w:r>
        <w:rPr>
          <w:rFonts w:hint="eastAsia" w:eastAsiaTheme="minorEastAsia"/>
          <w:sz w:val="24"/>
        </w:rPr>
        <w:t>除在随县人民政府网站网站公示外，建设单位还分别于</w:t>
      </w:r>
      <w:r>
        <w:rPr>
          <w:rFonts w:hint="eastAsia" w:eastAsiaTheme="minorEastAsia"/>
          <w:color w:val="FF0000"/>
          <w:sz w:val="24"/>
        </w:rPr>
        <w:t>2025年8月13日、8月15日在湖北日报</w:t>
      </w:r>
      <w:r>
        <w:rPr>
          <w:rFonts w:hint="eastAsia" w:eastAsiaTheme="minorEastAsia"/>
          <w:sz w:val="24"/>
        </w:rPr>
        <w:t>对规划信息进行了两次公示，公布了规划基本情况、规划环境影响评价报告书征求意见稿链接、提出意见的方式和途径等相关信息。</w:t>
      </w:r>
    </w:p>
    <w:p w14:paraId="34FCA906">
      <w:pPr>
        <w:spacing w:line="360" w:lineRule="auto"/>
        <w:ind w:firstLine="480" w:firstLineChars="200"/>
        <w:jc w:val="left"/>
        <w:rPr>
          <w:rFonts w:eastAsiaTheme="minorEastAsia"/>
          <w:sz w:val="24"/>
        </w:rPr>
      </w:pPr>
    </w:p>
    <w:p w14:paraId="5C67F47A">
      <w:pPr>
        <w:spacing w:line="360" w:lineRule="auto"/>
        <w:jc w:val="center"/>
        <w:rPr>
          <w:rFonts w:eastAsiaTheme="minorEastAsia"/>
          <w:sz w:val="24"/>
        </w:rPr>
      </w:pPr>
    </w:p>
    <w:p w14:paraId="2F3E2C07">
      <w:pPr>
        <w:spacing w:line="360" w:lineRule="auto"/>
        <w:jc w:val="center"/>
        <w:rPr>
          <w:rFonts w:eastAsiaTheme="minorEastAsia"/>
          <w:sz w:val="24"/>
        </w:rPr>
      </w:pPr>
    </w:p>
    <w:p w14:paraId="7B986FFB">
      <w:pPr>
        <w:spacing w:line="360" w:lineRule="auto"/>
        <w:jc w:val="center"/>
        <w:rPr>
          <w:rFonts w:eastAsiaTheme="minorEastAsia"/>
          <w:b/>
          <w:bCs/>
          <w:szCs w:val="21"/>
        </w:rPr>
      </w:pPr>
      <w:r>
        <w:rPr>
          <w:rFonts w:hint="eastAsia" w:eastAsiaTheme="minorEastAsia"/>
          <w:b/>
          <w:bCs/>
          <w:szCs w:val="21"/>
        </w:rPr>
        <w:t>图9.3.3-2    2025年8月13日湖北日报公示版面</w:t>
      </w:r>
    </w:p>
    <w:p w14:paraId="69FD6EEB">
      <w:pPr>
        <w:spacing w:line="360" w:lineRule="auto"/>
        <w:jc w:val="center"/>
        <w:rPr>
          <w:rFonts w:eastAsiaTheme="minorEastAsia"/>
          <w:b/>
          <w:bCs/>
          <w:szCs w:val="21"/>
          <w:highlight w:val="yellow"/>
        </w:rPr>
      </w:pPr>
      <w:r>
        <w:rPr>
          <w:rFonts w:hint="eastAsia" w:eastAsiaTheme="minorEastAsia"/>
          <w:sz w:val="24"/>
        </w:rPr>
        <mc:AlternateContent>
          <mc:Choice Requires="wps">
            <w:drawing>
              <wp:anchor distT="0" distB="0" distL="114300" distR="114300" simplePos="0" relativeHeight="251659264" behindDoc="0" locked="0" layoutInCell="1" allowOverlap="1">
                <wp:simplePos x="0" y="0"/>
                <wp:positionH relativeFrom="column">
                  <wp:posOffset>1430655</wp:posOffset>
                </wp:positionH>
                <wp:positionV relativeFrom="paragraph">
                  <wp:posOffset>5138420</wp:posOffset>
                </wp:positionV>
                <wp:extent cx="586105" cy="1471295"/>
                <wp:effectExtent l="19050" t="19050" r="24130" b="14605"/>
                <wp:wrapNone/>
                <wp:docPr id="267608509" name="矩形 2"/>
                <wp:cNvGraphicFramePr/>
                <a:graphic xmlns:a="http://schemas.openxmlformats.org/drawingml/2006/main">
                  <a:graphicData uri="http://schemas.microsoft.com/office/word/2010/wordprocessingShape">
                    <wps:wsp>
                      <wps:cNvSpPr/>
                      <wps:spPr>
                        <a:xfrm>
                          <a:off x="0" y="0"/>
                          <a:ext cx="585788" cy="1471612"/>
                        </a:xfrm>
                        <a:prstGeom prst="rect">
                          <a:avLst/>
                        </a:prstGeom>
                        <a:noFill/>
                        <a:ln w="381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12.65pt;margin-top:404.6pt;height:115.85pt;width:46.15pt;z-index:251659264;v-text-anchor:middle;mso-width-relative:page;mso-height-relative:page;" filled="f" stroked="t" coordsize="21600,21600" o:gfxdata="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474NgAAAAMAQAADwAAAAAAAAABACAAAAAiAAAAZHJzL2Rv&#10;d25yZXYueG1sUEsBAhQAFAAAAAgAh07iQDEhNPVzAgAA0wQAAA4AAAAAAAAAAQAgAAAAJwEAAGRy&#10;cy9lMm9Eb2MueG1sUEsFBgAAAAAGAAYAWQEAAAwGAAAAAA==&#10;">
                <v:fill on="f" focussize="0,0"/>
                <v:stroke weight="3pt" color="#0000FF [3204]" miterlimit="8" joinstyle="miter"/>
                <v:imagedata o:title=""/>
                <o:lock v:ext="edit" aspectratio="f"/>
              </v:rect>
            </w:pict>
          </mc:Fallback>
        </mc:AlternateContent>
      </w:r>
    </w:p>
    <w:p w14:paraId="53093D0B">
      <w:pPr>
        <w:spacing w:line="360" w:lineRule="auto"/>
        <w:jc w:val="center"/>
        <w:rPr>
          <w:rFonts w:eastAsiaTheme="minorEastAsia"/>
          <w:sz w:val="24"/>
        </w:rPr>
      </w:pPr>
    </w:p>
    <w:p w14:paraId="796D2F75">
      <w:pPr>
        <w:spacing w:line="360" w:lineRule="auto"/>
        <w:jc w:val="center"/>
        <w:rPr>
          <w:rFonts w:eastAsiaTheme="minorEastAsia"/>
          <w:b/>
          <w:bCs/>
          <w:szCs w:val="21"/>
          <w:highlight w:val="yellow"/>
        </w:rPr>
      </w:pPr>
      <w:r>
        <w:rPr>
          <w:rFonts w:hint="eastAsia" w:eastAsiaTheme="minorEastAsia"/>
          <w:b/>
          <w:bCs/>
          <w:szCs w:val="21"/>
        </w:rPr>
        <w:t>图9.3.3-3   2025年8月15日湖北日报公示版面</w:t>
      </w:r>
    </w:p>
    <w:p w14:paraId="5D462356">
      <w:pPr>
        <w:keepNext/>
        <w:keepLines/>
        <w:widowControl/>
        <w:numPr>
          <w:ilvl w:val="2"/>
          <w:numId w:val="1"/>
        </w:numPr>
        <w:spacing w:before="120" w:after="120" w:line="360" w:lineRule="auto"/>
        <w:jc w:val="left"/>
        <w:outlineLvl w:val="2"/>
        <w:rPr>
          <w:rFonts w:eastAsiaTheme="minorEastAsia"/>
          <w:b/>
          <w:bCs/>
          <w:sz w:val="24"/>
        </w:rPr>
      </w:pPr>
      <w:bookmarkStart w:id="245" w:name="_Toc168673982"/>
      <w:bookmarkStart w:id="246" w:name="_Toc206495064"/>
      <w:r>
        <w:rPr>
          <w:rFonts w:hint="eastAsia" w:eastAsiaTheme="minorEastAsia"/>
          <w:b/>
          <w:bCs/>
          <w:sz w:val="24"/>
        </w:rPr>
        <w:t>张贴公告</w:t>
      </w:r>
      <w:bookmarkEnd w:id="245"/>
      <w:bookmarkEnd w:id="246"/>
    </w:p>
    <w:p w14:paraId="577AC818">
      <w:pPr>
        <w:spacing w:line="360" w:lineRule="auto"/>
        <w:ind w:firstLine="480" w:firstLineChars="200"/>
        <w:jc w:val="left"/>
        <w:rPr>
          <w:rFonts w:eastAsiaTheme="minorEastAsia"/>
          <w:sz w:val="24"/>
        </w:rPr>
      </w:pPr>
      <w:r>
        <w:rPr>
          <w:rFonts w:hint="eastAsia" w:eastAsiaTheme="minorEastAsia"/>
          <w:sz w:val="24"/>
        </w:rPr>
        <w:t>除网络和报纸公示外，建设单位</w:t>
      </w:r>
      <w:r>
        <w:rPr>
          <w:rFonts w:hint="eastAsia" w:eastAsiaTheme="minorEastAsia"/>
          <w:color w:val="FF0000"/>
          <w:sz w:val="24"/>
        </w:rPr>
        <w:t>于2025年8月8日通过</w:t>
      </w:r>
      <w:r>
        <w:rPr>
          <w:rFonts w:hint="eastAsia" w:eastAsiaTheme="minorEastAsia"/>
          <w:sz w:val="24"/>
        </w:rPr>
        <w:t>张贴公告的方式将本规划的环境影响评价基本信息在规划所在地附近居民点处予以公示，公示情况见下图。公示期为10个工作日。</w:t>
      </w:r>
    </w:p>
    <w:tbl>
      <w:tblPr>
        <w:tblStyle w:val="88"/>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5"/>
        <w:gridCol w:w="4431"/>
      </w:tblGrid>
      <w:tr w14:paraId="3157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tcBorders>
              <w:top w:val="single" w:color="auto" w:sz="4" w:space="0"/>
              <w:left w:val="single" w:color="auto" w:sz="4" w:space="0"/>
              <w:bottom w:val="single" w:color="auto" w:sz="4" w:space="0"/>
              <w:right w:val="single" w:color="auto" w:sz="4" w:space="0"/>
            </w:tcBorders>
            <w:vAlign w:val="center"/>
          </w:tcPr>
          <w:p w14:paraId="689FCA33">
            <w:pPr>
              <w:overflowPunct w:val="0"/>
              <w:adjustRightInd w:val="0"/>
              <w:snapToGrid w:val="0"/>
              <w:jc w:val="center"/>
            </w:pPr>
          </w:p>
        </w:tc>
        <w:tc>
          <w:tcPr>
            <w:tcW w:w="4431" w:type="dxa"/>
            <w:tcBorders>
              <w:top w:val="single" w:color="auto" w:sz="4" w:space="0"/>
              <w:left w:val="single" w:color="auto" w:sz="4" w:space="0"/>
              <w:bottom w:val="single" w:color="auto" w:sz="4" w:space="0"/>
              <w:right w:val="single" w:color="auto" w:sz="4" w:space="0"/>
            </w:tcBorders>
            <w:vAlign w:val="center"/>
          </w:tcPr>
          <w:p w14:paraId="52404B33">
            <w:pPr>
              <w:overflowPunct w:val="0"/>
              <w:adjustRightInd w:val="0"/>
              <w:snapToGrid w:val="0"/>
              <w:jc w:val="center"/>
            </w:pPr>
          </w:p>
        </w:tc>
      </w:tr>
      <w:tr w14:paraId="51F9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76" w:type="dxa"/>
            <w:gridSpan w:val="2"/>
            <w:vAlign w:val="center"/>
          </w:tcPr>
          <w:p w14:paraId="3576357D">
            <w:pPr>
              <w:overflowPunct w:val="0"/>
              <w:adjustRightInd w:val="0"/>
              <w:snapToGrid w:val="0"/>
              <w:jc w:val="center"/>
              <w:rPr>
                <w:b/>
                <w:kern w:val="0"/>
              </w:rPr>
            </w:pPr>
            <w:r>
              <w:rPr>
                <w:rFonts w:hint="eastAsia"/>
                <w:b/>
                <w:kern w:val="0"/>
              </w:rPr>
              <w:t>万和镇街道</w:t>
            </w:r>
          </w:p>
        </w:tc>
      </w:tr>
      <w:tr w14:paraId="4CCC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1EFE7228">
            <w:pPr>
              <w:overflowPunct w:val="0"/>
              <w:adjustRightInd w:val="0"/>
              <w:snapToGrid w:val="0"/>
              <w:jc w:val="center"/>
            </w:pPr>
          </w:p>
        </w:tc>
        <w:tc>
          <w:tcPr>
            <w:tcW w:w="4431" w:type="dxa"/>
            <w:vAlign w:val="center"/>
          </w:tcPr>
          <w:p w14:paraId="7DF93AE6">
            <w:pPr>
              <w:overflowPunct w:val="0"/>
              <w:adjustRightInd w:val="0"/>
              <w:snapToGrid w:val="0"/>
              <w:jc w:val="center"/>
            </w:pPr>
          </w:p>
        </w:tc>
      </w:tr>
      <w:tr w14:paraId="1376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12AB68AA">
            <w:pPr>
              <w:overflowPunct w:val="0"/>
              <w:adjustRightInd w:val="0"/>
              <w:snapToGrid w:val="0"/>
              <w:jc w:val="center"/>
            </w:pPr>
          </w:p>
        </w:tc>
        <w:tc>
          <w:tcPr>
            <w:tcW w:w="4431" w:type="dxa"/>
            <w:vAlign w:val="center"/>
          </w:tcPr>
          <w:p w14:paraId="69F26D81">
            <w:pPr>
              <w:overflowPunct w:val="0"/>
              <w:adjustRightInd w:val="0"/>
              <w:snapToGrid w:val="0"/>
              <w:jc w:val="center"/>
            </w:pPr>
          </w:p>
        </w:tc>
      </w:tr>
      <w:tr w14:paraId="0E5E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76" w:type="dxa"/>
            <w:gridSpan w:val="2"/>
            <w:vAlign w:val="center"/>
          </w:tcPr>
          <w:p w14:paraId="46C78F1B">
            <w:pPr>
              <w:overflowPunct w:val="0"/>
              <w:adjustRightInd w:val="0"/>
              <w:snapToGrid w:val="0"/>
              <w:jc w:val="center"/>
              <w:rPr>
                <w:b/>
                <w:kern w:val="0"/>
              </w:rPr>
            </w:pPr>
            <w:r>
              <w:rPr>
                <w:rFonts w:hint="eastAsia"/>
                <w:b/>
                <w:kern w:val="0"/>
              </w:rPr>
              <w:t>郑家塆</w:t>
            </w:r>
          </w:p>
        </w:tc>
      </w:tr>
      <w:tr w14:paraId="2061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07EACCE8">
            <w:pPr>
              <w:overflowPunct w:val="0"/>
              <w:adjustRightInd w:val="0"/>
              <w:snapToGrid w:val="0"/>
              <w:jc w:val="center"/>
              <w:rPr>
                <w:b/>
                <w:kern w:val="0"/>
                <w:highlight w:val="yellow"/>
              </w:rPr>
            </w:pPr>
          </w:p>
        </w:tc>
        <w:tc>
          <w:tcPr>
            <w:tcW w:w="4431" w:type="dxa"/>
            <w:vAlign w:val="center"/>
          </w:tcPr>
          <w:p w14:paraId="2F6D6254">
            <w:pPr>
              <w:overflowPunct w:val="0"/>
              <w:adjustRightInd w:val="0"/>
              <w:snapToGrid w:val="0"/>
              <w:jc w:val="center"/>
              <w:rPr>
                <w:b/>
                <w:kern w:val="0"/>
                <w:highlight w:val="yellow"/>
              </w:rPr>
            </w:pPr>
          </w:p>
        </w:tc>
      </w:tr>
      <w:tr w14:paraId="0652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4443C872">
            <w:pPr>
              <w:overflowPunct w:val="0"/>
              <w:adjustRightInd w:val="0"/>
              <w:snapToGrid w:val="0"/>
              <w:jc w:val="center"/>
            </w:pPr>
          </w:p>
        </w:tc>
        <w:tc>
          <w:tcPr>
            <w:tcW w:w="4431" w:type="dxa"/>
            <w:vAlign w:val="center"/>
          </w:tcPr>
          <w:p w14:paraId="78AD1F69">
            <w:pPr>
              <w:overflowPunct w:val="0"/>
              <w:adjustRightInd w:val="0"/>
              <w:snapToGrid w:val="0"/>
              <w:jc w:val="center"/>
            </w:pPr>
          </w:p>
        </w:tc>
      </w:tr>
      <w:tr w14:paraId="14E2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76" w:type="dxa"/>
            <w:gridSpan w:val="2"/>
            <w:vAlign w:val="center"/>
          </w:tcPr>
          <w:p w14:paraId="00FB233A">
            <w:pPr>
              <w:overflowPunct w:val="0"/>
              <w:adjustRightInd w:val="0"/>
              <w:snapToGrid w:val="0"/>
              <w:jc w:val="center"/>
              <w:rPr>
                <w:b/>
                <w:kern w:val="0"/>
              </w:rPr>
            </w:pPr>
            <w:r>
              <w:rPr>
                <w:rFonts w:hint="eastAsia"/>
                <w:b/>
                <w:kern w:val="0"/>
              </w:rPr>
              <w:t>徐家塆</w:t>
            </w:r>
          </w:p>
        </w:tc>
      </w:tr>
      <w:tr w14:paraId="5366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6AFCC4DE">
            <w:pPr>
              <w:overflowPunct w:val="0"/>
              <w:adjustRightInd w:val="0"/>
              <w:snapToGrid w:val="0"/>
              <w:jc w:val="center"/>
              <w:rPr>
                <w:b/>
                <w:kern w:val="0"/>
                <w:highlight w:val="yellow"/>
              </w:rPr>
            </w:pPr>
          </w:p>
        </w:tc>
        <w:tc>
          <w:tcPr>
            <w:tcW w:w="4431" w:type="dxa"/>
            <w:vAlign w:val="center"/>
          </w:tcPr>
          <w:p w14:paraId="2C8A8EB7">
            <w:pPr>
              <w:overflowPunct w:val="0"/>
              <w:adjustRightInd w:val="0"/>
              <w:snapToGrid w:val="0"/>
              <w:jc w:val="center"/>
              <w:rPr>
                <w:b/>
                <w:kern w:val="0"/>
                <w:highlight w:val="yellow"/>
              </w:rPr>
            </w:pPr>
          </w:p>
        </w:tc>
      </w:tr>
      <w:tr w14:paraId="542D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76" w:type="dxa"/>
            <w:gridSpan w:val="2"/>
            <w:vAlign w:val="center"/>
          </w:tcPr>
          <w:p w14:paraId="55D3E566">
            <w:pPr>
              <w:overflowPunct w:val="0"/>
              <w:adjustRightInd w:val="0"/>
              <w:snapToGrid w:val="0"/>
              <w:jc w:val="center"/>
            </w:pPr>
            <w:r>
              <w:rPr>
                <w:rFonts w:hint="eastAsia"/>
                <w:b/>
                <w:kern w:val="0"/>
              </w:rPr>
              <w:t>朱家湾</w:t>
            </w:r>
          </w:p>
        </w:tc>
      </w:tr>
      <w:tr w14:paraId="12C2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6DD40FC2">
            <w:pPr>
              <w:overflowPunct w:val="0"/>
              <w:adjustRightInd w:val="0"/>
              <w:snapToGrid w:val="0"/>
              <w:jc w:val="center"/>
            </w:pPr>
          </w:p>
        </w:tc>
        <w:tc>
          <w:tcPr>
            <w:tcW w:w="4431" w:type="dxa"/>
            <w:vAlign w:val="center"/>
          </w:tcPr>
          <w:p w14:paraId="7B5EDD42">
            <w:pPr>
              <w:overflowPunct w:val="0"/>
              <w:adjustRightInd w:val="0"/>
              <w:snapToGrid w:val="0"/>
              <w:jc w:val="center"/>
            </w:pPr>
          </w:p>
        </w:tc>
      </w:tr>
      <w:tr w14:paraId="55AF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45" w:type="dxa"/>
            <w:vAlign w:val="center"/>
          </w:tcPr>
          <w:p w14:paraId="07CE0C31">
            <w:pPr>
              <w:overflowPunct w:val="0"/>
              <w:adjustRightInd w:val="0"/>
              <w:snapToGrid w:val="0"/>
              <w:jc w:val="center"/>
            </w:pPr>
          </w:p>
        </w:tc>
        <w:tc>
          <w:tcPr>
            <w:tcW w:w="4431" w:type="dxa"/>
            <w:vAlign w:val="center"/>
          </w:tcPr>
          <w:p w14:paraId="1DBEE3CE">
            <w:pPr>
              <w:overflowPunct w:val="0"/>
              <w:adjustRightInd w:val="0"/>
              <w:snapToGrid w:val="0"/>
              <w:jc w:val="center"/>
            </w:pPr>
          </w:p>
        </w:tc>
      </w:tr>
      <w:tr w14:paraId="33E9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76" w:type="dxa"/>
            <w:gridSpan w:val="2"/>
            <w:vAlign w:val="center"/>
          </w:tcPr>
          <w:p w14:paraId="435D055D">
            <w:pPr>
              <w:overflowPunct w:val="0"/>
              <w:adjustRightInd w:val="0"/>
              <w:snapToGrid w:val="0"/>
              <w:jc w:val="center"/>
              <w:rPr>
                <w:b/>
                <w:kern w:val="0"/>
              </w:rPr>
            </w:pPr>
            <w:r>
              <w:rPr>
                <w:rFonts w:hint="eastAsia"/>
                <w:b/>
                <w:kern w:val="0"/>
              </w:rPr>
              <w:t>青苔村</w:t>
            </w:r>
          </w:p>
        </w:tc>
      </w:tr>
    </w:tbl>
    <w:p w14:paraId="5F8D8675">
      <w:pPr>
        <w:spacing w:line="360" w:lineRule="auto"/>
        <w:jc w:val="center"/>
        <w:rPr>
          <w:rFonts w:eastAsiaTheme="minorEastAsia"/>
          <w:b/>
          <w:bCs/>
          <w:szCs w:val="21"/>
        </w:rPr>
      </w:pPr>
      <w:r>
        <w:rPr>
          <w:rFonts w:hint="eastAsia" w:eastAsiaTheme="minorEastAsia"/>
          <w:b/>
          <w:bCs/>
          <w:szCs w:val="21"/>
        </w:rPr>
        <w:t>图9.3.4-1    规划园区周边居民点的张贴公告图</w:t>
      </w:r>
    </w:p>
    <w:p w14:paraId="72DF0F2E">
      <w:pPr>
        <w:keepNext/>
        <w:keepLines/>
        <w:widowControl/>
        <w:numPr>
          <w:ilvl w:val="2"/>
          <w:numId w:val="1"/>
        </w:numPr>
        <w:spacing w:before="120" w:after="120" w:line="360" w:lineRule="auto"/>
        <w:jc w:val="left"/>
        <w:outlineLvl w:val="2"/>
        <w:rPr>
          <w:rFonts w:eastAsiaTheme="minorEastAsia"/>
          <w:b/>
          <w:bCs/>
          <w:sz w:val="24"/>
        </w:rPr>
      </w:pPr>
      <w:bookmarkStart w:id="247" w:name="_Toc168673983"/>
      <w:bookmarkStart w:id="248" w:name="_Toc206495065"/>
      <w:r>
        <w:rPr>
          <w:rFonts w:hint="eastAsia" w:eastAsiaTheme="minorEastAsia"/>
          <w:b/>
          <w:bCs/>
          <w:sz w:val="24"/>
        </w:rPr>
        <w:t>公众提出意见情况</w:t>
      </w:r>
      <w:bookmarkEnd w:id="247"/>
      <w:bookmarkEnd w:id="248"/>
    </w:p>
    <w:p w14:paraId="78DE17BE">
      <w:pPr>
        <w:spacing w:line="360" w:lineRule="auto"/>
        <w:ind w:firstLine="480" w:firstLineChars="200"/>
        <w:jc w:val="left"/>
        <w:rPr>
          <w:rFonts w:eastAsiaTheme="minorEastAsia"/>
          <w:sz w:val="24"/>
        </w:rPr>
      </w:pPr>
      <w:r>
        <w:rPr>
          <w:rFonts w:hint="eastAsia" w:eastAsiaTheme="minorEastAsia"/>
          <w:sz w:val="24"/>
        </w:rPr>
        <w:t>公示期间，我单位未收到公众及单位对本次规划建设的反馈意见！</w:t>
      </w:r>
    </w:p>
    <w:p w14:paraId="28B6BCE4">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49" w:name="_Toc206495066"/>
      <w:bookmarkStart w:id="250" w:name="_Toc168673985"/>
      <w:r>
        <w:rPr>
          <w:rFonts w:hint="eastAsia" w:eastAsiaTheme="minorEastAsia"/>
          <w:b/>
          <w:bCs/>
          <w:sz w:val="30"/>
          <w:szCs w:val="28"/>
        </w:rPr>
        <w:t>公众参与结论</w:t>
      </w:r>
      <w:bookmarkEnd w:id="249"/>
      <w:bookmarkEnd w:id="250"/>
    </w:p>
    <w:p w14:paraId="48ECB565">
      <w:pPr>
        <w:spacing w:line="360" w:lineRule="auto"/>
        <w:ind w:firstLine="480" w:firstLineChars="200"/>
        <w:rPr>
          <w:rFonts w:eastAsiaTheme="minorEastAsia"/>
          <w:sz w:val="24"/>
        </w:rPr>
      </w:pPr>
      <w:r>
        <w:rPr>
          <w:rFonts w:hint="eastAsia" w:eastAsiaTheme="minorEastAsia"/>
          <w:sz w:val="24"/>
        </w:rPr>
        <w:t>本次环评参照国家要求，进行了详细的公众参与工作，在随县人民政府网站公示中附传公众意见表的方式进行公众参与调查。</w:t>
      </w:r>
    </w:p>
    <w:p w14:paraId="713261AE">
      <w:pPr>
        <w:spacing w:line="360" w:lineRule="auto"/>
        <w:ind w:firstLine="480" w:firstLineChars="200"/>
        <w:jc w:val="left"/>
        <w:rPr>
          <w:rFonts w:eastAsiaTheme="minorEastAsia"/>
          <w:sz w:val="24"/>
        </w:rPr>
      </w:pPr>
      <w:r>
        <w:rPr>
          <w:rFonts w:hint="eastAsia" w:eastAsiaTheme="minorEastAsia"/>
          <w:sz w:val="24"/>
        </w:rPr>
        <w:t>公示期间，均未收到公众的电话、邮件、书面信件或其他任何关于本次规划的环境保护方面的反馈意见。</w:t>
      </w:r>
    </w:p>
    <w:p w14:paraId="2787D089">
      <w:pPr>
        <w:pStyle w:val="3"/>
        <w:pageBreakBefore/>
        <w:numPr>
          <w:ilvl w:val="0"/>
          <w:numId w:val="1"/>
        </w:numPr>
        <w:tabs>
          <w:tab w:val="left" w:pos="576"/>
        </w:tabs>
        <w:spacing w:before="360" w:after="480" w:line="240" w:lineRule="auto"/>
        <w:ind w:firstLine="964"/>
        <w:rPr>
          <w:rFonts w:eastAsiaTheme="minorEastAsia"/>
          <w:kern w:val="2"/>
          <w:sz w:val="36"/>
          <w:szCs w:val="36"/>
        </w:rPr>
      </w:pPr>
      <w:bookmarkStart w:id="251" w:name="_Toc206495067"/>
      <w:r>
        <w:rPr>
          <w:rFonts w:hint="eastAsia" w:eastAsiaTheme="minorEastAsia"/>
          <w:kern w:val="2"/>
          <w:sz w:val="36"/>
          <w:szCs w:val="36"/>
        </w:rPr>
        <w:t>评价结论</w:t>
      </w:r>
      <w:bookmarkEnd w:id="251"/>
    </w:p>
    <w:p w14:paraId="746CB507">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52" w:name="_Toc206495068"/>
      <w:r>
        <w:rPr>
          <w:rFonts w:hint="eastAsia" w:eastAsiaTheme="minorEastAsia"/>
          <w:b/>
          <w:bCs/>
          <w:sz w:val="30"/>
          <w:szCs w:val="28"/>
        </w:rPr>
        <w:t>规划概况</w:t>
      </w:r>
      <w:bookmarkEnd w:id="252"/>
    </w:p>
    <w:p w14:paraId="01F60D43">
      <w:pPr>
        <w:keepNext/>
        <w:keepLines/>
        <w:widowControl/>
        <w:numPr>
          <w:ilvl w:val="2"/>
          <w:numId w:val="1"/>
        </w:numPr>
        <w:spacing w:before="120" w:after="120" w:line="360" w:lineRule="auto"/>
        <w:jc w:val="left"/>
        <w:outlineLvl w:val="2"/>
        <w:rPr>
          <w:rFonts w:eastAsiaTheme="minorEastAsia"/>
          <w:b/>
          <w:bCs/>
          <w:sz w:val="24"/>
        </w:rPr>
      </w:pPr>
      <w:bookmarkStart w:id="253" w:name="_Toc206495069"/>
      <w:r>
        <w:rPr>
          <w:rFonts w:hint="eastAsia" w:eastAsiaTheme="minorEastAsia"/>
          <w:b/>
          <w:bCs/>
          <w:sz w:val="24"/>
        </w:rPr>
        <w:t>发展目标</w:t>
      </w:r>
      <w:bookmarkEnd w:id="253"/>
    </w:p>
    <w:p w14:paraId="47BD6B9A">
      <w:pPr>
        <w:spacing w:line="360" w:lineRule="auto"/>
        <w:ind w:firstLine="482" w:firstLineChars="200"/>
        <w:rPr>
          <w:rFonts w:eastAsiaTheme="minorEastAsia"/>
          <w:sz w:val="24"/>
        </w:rPr>
      </w:pPr>
      <w:r>
        <w:rPr>
          <w:rFonts w:hint="eastAsia" w:eastAsiaTheme="minorEastAsia"/>
          <w:b/>
          <w:sz w:val="24"/>
        </w:rPr>
        <w:t>一是产业规模显著提升：</w:t>
      </w:r>
      <w:r>
        <w:rPr>
          <w:rFonts w:hint="eastAsia" w:eastAsiaTheme="minorEastAsia"/>
          <w:sz w:val="24"/>
        </w:rPr>
        <w:t>力争到2025年，全产业链产值达300亿元，实现税收5亿元；到2030年，产值达到500亿元，贡献税收10亿元；到2035年，产值达到800亿元，贡献税收20亿元。</w:t>
      </w:r>
      <w:r>
        <w:rPr>
          <w:rFonts w:hint="eastAsia" w:eastAsiaTheme="minorEastAsia"/>
          <w:b/>
          <w:sz w:val="24"/>
        </w:rPr>
        <w:t>二是产业结构持续完善：</w:t>
      </w:r>
      <w:r>
        <w:rPr>
          <w:rFonts w:hint="eastAsia" w:eastAsiaTheme="minorEastAsia"/>
          <w:sz w:val="24"/>
        </w:rPr>
        <w:t>形成大企业引领、中小企业集聚的产业发展格局，矿山开采、荒料贸易、加工制造、贸易展销、安装维修、文化创意等产业环节竞争力不断增强，打造成为集智能制造、数字贸易、文化创意等于一体，具有全球影响力的知名石材产业集群。</w:t>
      </w:r>
      <w:r>
        <w:rPr>
          <w:rFonts w:hint="eastAsia" w:eastAsiaTheme="minorEastAsia"/>
          <w:b/>
          <w:sz w:val="24"/>
        </w:rPr>
        <w:t>三是绿色开发加速形成：</w:t>
      </w:r>
      <w:r>
        <w:rPr>
          <w:rFonts w:hint="eastAsia" w:eastAsiaTheme="minorEastAsia"/>
          <w:sz w:val="24"/>
        </w:rPr>
        <w:t>到2030年，资源的综合利用和循环利用水平显著提升，产业绿色化、数字化、智能化转型加快，逐步构建起较为完善的行业绿色发展体系。</w:t>
      </w:r>
      <w:r>
        <w:rPr>
          <w:rFonts w:hint="eastAsia" w:eastAsiaTheme="minorEastAsia"/>
          <w:b/>
          <w:sz w:val="24"/>
        </w:rPr>
        <w:t>四是品牌创建卓有成效：</w:t>
      </w:r>
      <w:r>
        <w:rPr>
          <w:rFonts w:hint="eastAsia" w:eastAsiaTheme="minorEastAsia"/>
          <w:sz w:val="24"/>
        </w:rPr>
        <w:t>随县石材品牌创建卓有成效，品牌质量显著增强，产品丰富度、品牌认知度、质量满意度大幅提升。</w:t>
      </w:r>
      <w:r>
        <w:rPr>
          <w:rFonts w:hint="eastAsia" w:eastAsiaTheme="minorEastAsia"/>
          <w:b/>
          <w:sz w:val="24"/>
        </w:rPr>
        <w:t>五是创新动能持续增强：</w:t>
      </w:r>
      <w:r>
        <w:rPr>
          <w:rFonts w:hint="eastAsia" w:eastAsiaTheme="minorEastAsia"/>
          <w:sz w:val="24"/>
        </w:rPr>
        <w:t>石材产业技术创新水平不断提升，数字化转型取得显著成效，产业发展动能持续增强，到2030 年，建成企业研发设计中心10家，2035年达到15家。新一代信息化智能化技术广泛应用，创意设计、建筑装饰设计及工程安装服务成为引领产业发展的根本动力。</w:t>
      </w:r>
    </w:p>
    <w:p w14:paraId="4BDD51EB">
      <w:pPr>
        <w:keepNext/>
        <w:keepLines/>
        <w:widowControl/>
        <w:numPr>
          <w:ilvl w:val="2"/>
          <w:numId w:val="1"/>
        </w:numPr>
        <w:spacing w:before="120" w:after="120" w:line="360" w:lineRule="auto"/>
        <w:jc w:val="left"/>
        <w:outlineLvl w:val="2"/>
        <w:rPr>
          <w:rFonts w:eastAsiaTheme="minorEastAsia"/>
          <w:b/>
          <w:bCs/>
          <w:sz w:val="24"/>
        </w:rPr>
      </w:pPr>
      <w:bookmarkStart w:id="254" w:name="_Toc206495070"/>
      <w:r>
        <w:rPr>
          <w:rFonts w:hint="eastAsia" w:eastAsiaTheme="minorEastAsia"/>
          <w:b/>
          <w:bCs/>
          <w:sz w:val="24"/>
        </w:rPr>
        <w:t>产业发展定位</w:t>
      </w:r>
      <w:bookmarkEnd w:id="254"/>
    </w:p>
    <w:p w14:paraId="3FF07696">
      <w:pPr>
        <w:spacing w:line="360" w:lineRule="auto"/>
        <w:ind w:firstLine="482" w:firstLineChars="200"/>
        <w:rPr>
          <w:rFonts w:eastAsiaTheme="minorEastAsia"/>
          <w:sz w:val="24"/>
        </w:rPr>
      </w:pPr>
      <w:r>
        <w:rPr>
          <w:rFonts w:hint="eastAsia" w:eastAsiaTheme="minorEastAsia"/>
          <w:b/>
          <w:sz w:val="24"/>
        </w:rPr>
        <w:t>集群定位：</w:t>
      </w:r>
      <w:r>
        <w:rPr>
          <w:rFonts w:hint="eastAsia" w:eastAsiaTheme="minorEastAsia"/>
          <w:sz w:val="24"/>
        </w:rPr>
        <w:t>打造“华中顶尖、全国一流、世界知名”的石材产业综合集群以及全国绿色矿业发展示范区、石材行业矿产资源高效开发利用示范基地。</w:t>
      </w:r>
    </w:p>
    <w:p w14:paraId="4852E5B9">
      <w:pPr>
        <w:spacing w:line="360" w:lineRule="auto"/>
        <w:ind w:firstLine="482" w:firstLineChars="200"/>
        <w:rPr>
          <w:rFonts w:eastAsiaTheme="minorEastAsia"/>
          <w:sz w:val="24"/>
        </w:rPr>
      </w:pPr>
      <w:r>
        <w:rPr>
          <w:rFonts w:hint="eastAsia" w:eastAsiaTheme="minorEastAsia"/>
          <w:b/>
          <w:sz w:val="24"/>
        </w:rPr>
        <w:t>产品定位：</w:t>
      </w:r>
      <w:r>
        <w:rPr>
          <w:rFonts w:hint="eastAsia" w:eastAsiaTheme="minorEastAsia"/>
          <w:sz w:val="24"/>
        </w:rPr>
        <w:t>主要发展满足终端市场需求的系列化、标准化、定制化的精深加工产品及整体解决方案，并配套完善的应用服务。</w:t>
      </w:r>
    </w:p>
    <w:p w14:paraId="0E211869">
      <w:pPr>
        <w:spacing w:line="360" w:lineRule="auto"/>
        <w:ind w:firstLine="482" w:firstLineChars="200"/>
        <w:rPr>
          <w:rFonts w:eastAsiaTheme="minorEastAsia"/>
          <w:sz w:val="24"/>
        </w:rPr>
      </w:pPr>
      <w:r>
        <w:rPr>
          <w:rFonts w:hint="eastAsia" w:eastAsiaTheme="minorEastAsia"/>
          <w:b/>
          <w:sz w:val="24"/>
        </w:rPr>
        <w:t>市场定位：</w:t>
      </w:r>
      <w:r>
        <w:rPr>
          <w:rFonts w:hint="eastAsia" w:eastAsiaTheme="minorEastAsia"/>
          <w:sz w:val="24"/>
        </w:rPr>
        <w:t>随县石材产品主要面向国内市场，以随县所在的湖北省和中部地区为主，核心市场包括随州市、武汉市及武汉都市圈，郑州市及郑州都市圈等。积极开拓合理运距范围内的全国市场，重点开发长江经济带、京津冀城市群、粤港澳大湾区、成渝经济圈等。</w:t>
      </w:r>
    </w:p>
    <w:p w14:paraId="7FEA9E89">
      <w:pPr>
        <w:spacing w:line="360" w:lineRule="auto"/>
        <w:ind w:firstLine="482" w:firstLineChars="200"/>
        <w:rPr>
          <w:rFonts w:eastAsiaTheme="minorEastAsia"/>
          <w:sz w:val="24"/>
        </w:rPr>
      </w:pPr>
      <w:r>
        <w:rPr>
          <w:rFonts w:hint="eastAsia" w:eastAsiaTheme="minorEastAsia"/>
          <w:b/>
          <w:sz w:val="24"/>
        </w:rPr>
        <w:t>技术定位：</w:t>
      </w:r>
      <w:r>
        <w:rPr>
          <w:rFonts w:hint="eastAsia" w:eastAsiaTheme="minorEastAsia"/>
          <w:sz w:val="24"/>
        </w:rPr>
        <w:t>矿山开采、石材加工、废弃物综合利用等环节工艺技术、装备达到国内一流水平；数字化智能化信息化技术全面推广达到国内一流；技术、装备、工艺研发、标准规范编制水平达到国内一流。</w:t>
      </w:r>
    </w:p>
    <w:p w14:paraId="54A912F8">
      <w:pPr>
        <w:keepNext/>
        <w:keepLines/>
        <w:widowControl/>
        <w:numPr>
          <w:ilvl w:val="2"/>
          <w:numId w:val="1"/>
        </w:numPr>
        <w:spacing w:before="120" w:after="120" w:line="360" w:lineRule="auto"/>
        <w:jc w:val="left"/>
        <w:outlineLvl w:val="2"/>
        <w:rPr>
          <w:rFonts w:eastAsiaTheme="minorEastAsia"/>
          <w:b/>
          <w:bCs/>
          <w:sz w:val="24"/>
        </w:rPr>
      </w:pPr>
      <w:bookmarkStart w:id="255" w:name="_Toc206495071"/>
      <w:r>
        <w:rPr>
          <w:rFonts w:hint="eastAsia" w:eastAsiaTheme="minorEastAsia"/>
          <w:b/>
          <w:bCs/>
          <w:sz w:val="24"/>
        </w:rPr>
        <w:t>规划范围与时限</w:t>
      </w:r>
      <w:bookmarkEnd w:id="255"/>
    </w:p>
    <w:p w14:paraId="7A9AEF43">
      <w:pPr>
        <w:spacing w:line="360" w:lineRule="auto"/>
        <w:ind w:firstLine="480" w:firstLineChars="200"/>
        <w:rPr>
          <w:rFonts w:eastAsiaTheme="minorEastAsia"/>
          <w:sz w:val="24"/>
        </w:rPr>
      </w:pPr>
      <w:r>
        <w:rPr>
          <w:rFonts w:hint="eastAsia" w:eastAsiaTheme="minorEastAsia"/>
          <w:sz w:val="24"/>
        </w:rPr>
        <w:t>（1）规划范围</w:t>
      </w:r>
    </w:p>
    <w:p w14:paraId="744D5328">
      <w:pPr>
        <w:spacing w:line="360" w:lineRule="auto"/>
        <w:ind w:firstLine="480" w:firstLineChars="200"/>
        <w:rPr>
          <w:rFonts w:eastAsiaTheme="minorEastAsia"/>
          <w:sz w:val="24"/>
        </w:rPr>
      </w:pPr>
      <w:r>
        <w:rPr>
          <w:rFonts w:hint="eastAsia" w:eastAsiaTheme="minorEastAsia"/>
          <w:sz w:val="24"/>
        </w:rPr>
        <w:t>本次规划范围为随县行政辖区内石材矿山开采、加工、商贸物流以及相关产业，规划的主要产业聚集区包括吴山闽商石材产业园、万和石材产业园、草店石材产业园和太白顶石材产业园共四个石材加工组团。地理位置图见附图1。</w:t>
      </w:r>
    </w:p>
    <w:p w14:paraId="4BF2BA4D">
      <w:pPr>
        <w:spacing w:line="360" w:lineRule="auto"/>
        <w:ind w:firstLine="480" w:firstLineChars="200"/>
        <w:rPr>
          <w:rFonts w:eastAsiaTheme="minorEastAsia"/>
          <w:sz w:val="24"/>
        </w:rPr>
      </w:pPr>
      <w:r>
        <w:rPr>
          <w:rFonts w:hint="eastAsia" w:eastAsiaTheme="minorEastAsia"/>
          <w:sz w:val="24"/>
        </w:rPr>
        <w:t>（2）规划时限</w:t>
      </w:r>
    </w:p>
    <w:p w14:paraId="1E823096">
      <w:pPr>
        <w:spacing w:line="360" w:lineRule="auto"/>
        <w:ind w:firstLine="480" w:firstLineChars="200"/>
        <w:rPr>
          <w:rFonts w:eastAsiaTheme="minorEastAsia"/>
          <w:sz w:val="24"/>
        </w:rPr>
      </w:pPr>
      <w:r>
        <w:rPr>
          <w:rFonts w:hint="eastAsia" w:eastAsiaTheme="minorEastAsia"/>
          <w:sz w:val="24"/>
        </w:rPr>
        <w:t>规划时限：2024~2035年，其中近期2024至2025年，中期2026至2030年，远期至2035年。</w:t>
      </w:r>
    </w:p>
    <w:p w14:paraId="4170FF35">
      <w:pPr>
        <w:keepNext/>
        <w:keepLines/>
        <w:widowControl/>
        <w:numPr>
          <w:ilvl w:val="2"/>
          <w:numId w:val="1"/>
        </w:numPr>
        <w:spacing w:before="120" w:after="120" w:line="360" w:lineRule="auto"/>
        <w:jc w:val="left"/>
        <w:outlineLvl w:val="2"/>
        <w:rPr>
          <w:rFonts w:eastAsiaTheme="minorEastAsia"/>
          <w:b/>
          <w:bCs/>
          <w:sz w:val="24"/>
        </w:rPr>
      </w:pPr>
      <w:bookmarkStart w:id="256" w:name="_Toc206495072"/>
      <w:r>
        <w:rPr>
          <w:rFonts w:hint="eastAsia" w:eastAsiaTheme="minorEastAsia"/>
          <w:b/>
          <w:bCs/>
          <w:sz w:val="24"/>
        </w:rPr>
        <w:t>规划产业设计</w:t>
      </w:r>
      <w:bookmarkEnd w:id="256"/>
    </w:p>
    <w:p w14:paraId="62D2D7F4">
      <w:pPr>
        <w:spacing w:line="360" w:lineRule="auto"/>
        <w:ind w:firstLine="480" w:firstLineChars="200"/>
        <w:rPr>
          <w:rFonts w:eastAsiaTheme="minorEastAsia"/>
          <w:sz w:val="24"/>
        </w:rPr>
      </w:pPr>
      <w:r>
        <w:rPr>
          <w:rFonts w:hint="eastAsia" w:eastAsiaTheme="minorEastAsia"/>
          <w:sz w:val="24"/>
        </w:rPr>
        <w:t>随县石材需要主导产业的根本上转型升级，配套产业及生产性服务业的支撑，商业模式创新（价值链高端），构筑创新型产业生态体系，培育随县石材产业竞争核心优势，总体概括为：“一个核心，三个重点，三大转型，四张名片”的“</w:t>
      </w:r>
      <w:r>
        <w:rPr>
          <w:rFonts w:hint="eastAsia" w:eastAsiaTheme="minorEastAsia"/>
          <w:b/>
          <w:sz w:val="24"/>
        </w:rPr>
        <w:t>1334</w:t>
      </w:r>
      <w:r>
        <w:rPr>
          <w:rFonts w:hint="eastAsia" w:eastAsiaTheme="minorEastAsia"/>
          <w:sz w:val="24"/>
        </w:rPr>
        <w:t>”发展策略。</w:t>
      </w:r>
    </w:p>
    <w:p w14:paraId="15601235">
      <w:pPr>
        <w:spacing w:line="360" w:lineRule="auto"/>
        <w:ind w:firstLine="480" w:firstLineChars="200"/>
        <w:rPr>
          <w:rFonts w:eastAsiaTheme="minorEastAsia"/>
          <w:sz w:val="24"/>
        </w:rPr>
      </w:pPr>
      <w:r>
        <w:rPr>
          <w:rFonts w:hint="eastAsia" w:eastAsiaTheme="minorEastAsia"/>
          <w:sz w:val="24"/>
        </w:rPr>
        <w:t>按照随县石材产业发展的总体思路和基本原则，从空间整治、资源开发、生产加工、循环经济、配套服务、商贸集散、文化旅游等多个角度对随县石材产业进行系统构建，形成“125”的产业体系：“1”——一条主产业链，即“生产+服务”的石材全产业链；“2”——二条配套产业链，即“静脉产业链”和“生产性服务业产业链”；“5”——五大产业板块：五大产业板块包括荒料资源板块、精深加工板块、循环经济产业板块、商贸及生产性服务业板块、石材金融板块。</w:t>
      </w:r>
    </w:p>
    <w:p w14:paraId="25FCDEE4">
      <w:pPr>
        <w:keepNext/>
        <w:keepLines/>
        <w:widowControl/>
        <w:numPr>
          <w:ilvl w:val="2"/>
          <w:numId w:val="1"/>
        </w:numPr>
        <w:spacing w:before="120" w:after="120" w:line="360" w:lineRule="auto"/>
        <w:jc w:val="left"/>
        <w:outlineLvl w:val="2"/>
        <w:rPr>
          <w:rFonts w:eastAsiaTheme="minorEastAsia"/>
          <w:b/>
          <w:bCs/>
          <w:sz w:val="24"/>
        </w:rPr>
      </w:pPr>
      <w:bookmarkStart w:id="257" w:name="_Toc206495073"/>
      <w:r>
        <w:rPr>
          <w:rFonts w:hint="eastAsia" w:eastAsiaTheme="minorEastAsia"/>
          <w:b/>
          <w:bCs/>
          <w:sz w:val="24"/>
        </w:rPr>
        <w:t>规划产业布局</w:t>
      </w:r>
      <w:bookmarkEnd w:id="257"/>
    </w:p>
    <w:p w14:paraId="4E0D128C">
      <w:pPr>
        <w:spacing w:line="360" w:lineRule="auto"/>
        <w:ind w:firstLine="482" w:firstLineChars="200"/>
        <w:rPr>
          <w:rFonts w:eastAsiaTheme="minorEastAsia"/>
          <w:sz w:val="24"/>
        </w:rPr>
      </w:pPr>
      <w:r>
        <w:rPr>
          <w:rFonts w:hint="eastAsia" w:eastAsiaTheme="minorEastAsia"/>
          <w:b/>
          <w:sz w:val="24"/>
        </w:rPr>
        <w:t>随县产业聚集区总体布局：</w:t>
      </w:r>
      <w:r>
        <w:rPr>
          <w:rFonts w:hint="eastAsia" w:eastAsiaTheme="minorEastAsia"/>
          <w:sz w:val="24"/>
        </w:rPr>
        <w:t>规划“四轮驱动”的产业总体布局，其中，“四轮”是指吴山石材产业园、万和石材产业园、草店石材产业园和太白顶石材产业园四个加工组团。</w:t>
      </w:r>
    </w:p>
    <w:p w14:paraId="0E436913">
      <w:pPr>
        <w:spacing w:line="360" w:lineRule="auto"/>
        <w:ind w:firstLine="482" w:firstLineChars="200"/>
        <w:rPr>
          <w:rFonts w:eastAsiaTheme="minorEastAsia"/>
          <w:sz w:val="24"/>
        </w:rPr>
      </w:pPr>
      <w:r>
        <w:rPr>
          <w:rFonts w:hint="eastAsia" w:eastAsiaTheme="minorEastAsia"/>
          <w:b/>
          <w:sz w:val="24"/>
        </w:rPr>
        <w:t>交通物流设施布局。</w:t>
      </w:r>
      <w:r>
        <w:rPr>
          <w:rFonts w:hint="eastAsia" w:eastAsiaTheme="minorEastAsia"/>
          <w:sz w:val="24"/>
        </w:rPr>
        <w:t>规划“一园一铁一通道”的交通物流运输布局。其中：“一园”：是指随县（吴山）国际石材现代物流产业园。该物流园位于吴山镇，主要提供荒料交易、石材产品、建筑骨料等仓储和对外展示功能。“一铁”：是指铁路运输专线。按照“按股出资、合股建设、合作管理、共享收益”的模式，规划建设全长15.5公里的石材铁路运输专线，此专用线路自吴山镇物流园引出，连接到随阳店站。“一通道”：是指吴山连接万和的石材公路运输通道。打通万和到吴山的石材运输通道，进一步改造、优化现有公路通道。</w:t>
      </w:r>
    </w:p>
    <w:p w14:paraId="5B8FB202">
      <w:pPr>
        <w:spacing w:line="360" w:lineRule="auto"/>
        <w:ind w:firstLine="482" w:firstLineChars="200"/>
        <w:jc w:val="left"/>
        <w:rPr>
          <w:rFonts w:eastAsiaTheme="minorEastAsia"/>
          <w:sz w:val="24"/>
        </w:rPr>
      </w:pPr>
      <w:r>
        <w:rPr>
          <w:rFonts w:hint="eastAsia" w:eastAsiaTheme="minorEastAsia"/>
          <w:b/>
          <w:sz w:val="24"/>
        </w:rPr>
        <w:t>综合利用产业布局。</w:t>
      </w:r>
      <w:r>
        <w:rPr>
          <w:rFonts w:hint="eastAsia" w:eastAsiaTheme="minorEastAsia"/>
          <w:sz w:val="24"/>
        </w:rPr>
        <w:t>近期，机制砂、锯泥综合利用等项目总体上以因地制宜，就地布局为主要原则，远期考虑依托市场布局大型综合基地。四个组团内各规划一个的综合利用功能区，所有机制砂综合利用项目均布局在该功能区内，其他石材加工企业内不再布局综合利用项目。每个组团骨料、机制砂企业数量控制在1-2家，单体生产线最低规模200万吨/年。锯泥综合利用项目控制企业数量控制在2-3家。以股份制公司或集团公司的形式，建设规模化、多品种、多生产线的生产基地。</w:t>
      </w:r>
    </w:p>
    <w:p w14:paraId="1BBF0C2F">
      <w:pPr>
        <w:keepNext/>
        <w:keepLines/>
        <w:widowControl/>
        <w:numPr>
          <w:ilvl w:val="2"/>
          <w:numId w:val="1"/>
        </w:numPr>
        <w:spacing w:before="120" w:after="120" w:line="360" w:lineRule="auto"/>
        <w:jc w:val="left"/>
        <w:outlineLvl w:val="2"/>
        <w:rPr>
          <w:rFonts w:eastAsiaTheme="minorEastAsia"/>
          <w:b/>
          <w:bCs/>
          <w:sz w:val="24"/>
        </w:rPr>
      </w:pPr>
      <w:bookmarkStart w:id="258" w:name="_Toc206495074"/>
      <w:r>
        <w:rPr>
          <w:rFonts w:hint="eastAsia" w:eastAsiaTheme="minorEastAsia"/>
          <w:b/>
          <w:bCs/>
          <w:sz w:val="24"/>
        </w:rPr>
        <w:t>规划主要任务</w:t>
      </w:r>
      <w:bookmarkEnd w:id="258"/>
    </w:p>
    <w:p w14:paraId="619A798C">
      <w:pPr>
        <w:spacing w:line="360" w:lineRule="auto"/>
        <w:ind w:firstLine="480" w:firstLineChars="200"/>
        <w:jc w:val="left"/>
        <w:rPr>
          <w:rFonts w:eastAsiaTheme="minorEastAsia"/>
          <w:sz w:val="24"/>
        </w:rPr>
      </w:pPr>
      <w:r>
        <w:rPr>
          <w:rFonts w:hint="eastAsia" w:eastAsiaTheme="minorEastAsia"/>
          <w:sz w:val="24"/>
        </w:rPr>
        <w:t>（1）资源高效开发，构建矿山开采治理新局面：加强地质基础工作，为科学高效开发提供决策依据；建设绿色矿山，高标准打造绿色开采示范基地；引进外部品种，建立多元化荒料供应渠道。</w:t>
      </w:r>
    </w:p>
    <w:p w14:paraId="5C380F3F">
      <w:pPr>
        <w:spacing w:line="360" w:lineRule="auto"/>
        <w:ind w:firstLine="480" w:firstLineChars="200"/>
        <w:jc w:val="left"/>
        <w:rPr>
          <w:rFonts w:eastAsiaTheme="minorEastAsia"/>
          <w:sz w:val="24"/>
        </w:rPr>
      </w:pPr>
      <w:r>
        <w:rPr>
          <w:rFonts w:hint="eastAsia" w:eastAsiaTheme="minorEastAsia"/>
          <w:sz w:val="24"/>
        </w:rPr>
        <w:t>（2）加快园区改造，营造整洁有序优质环境：梳理吴山产业园用地现状，优化功能布局；整合万和产业园，提高工业用地利用效率；优化提升草店产业园和太白顶产业园。</w:t>
      </w:r>
    </w:p>
    <w:p w14:paraId="4634F02E">
      <w:pPr>
        <w:spacing w:line="360" w:lineRule="auto"/>
        <w:ind w:firstLine="480" w:firstLineChars="200"/>
        <w:jc w:val="left"/>
        <w:rPr>
          <w:rFonts w:eastAsiaTheme="minorEastAsia"/>
          <w:sz w:val="24"/>
        </w:rPr>
      </w:pPr>
      <w:r>
        <w:rPr>
          <w:rFonts w:hint="eastAsia" w:eastAsiaTheme="minorEastAsia"/>
          <w:sz w:val="24"/>
        </w:rPr>
        <w:t>（3）坚持创新驱动，加快培育行业新质生产力：提升创新意识，建立石材技术创新体系；推进智能制造，提高行业两化融合水平；文化创意赋能，发展壮大石文化产业。</w:t>
      </w:r>
    </w:p>
    <w:p w14:paraId="706718CA">
      <w:pPr>
        <w:spacing w:line="360" w:lineRule="auto"/>
        <w:ind w:firstLine="480" w:firstLineChars="200"/>
        <w:jc w:val="left"/>
        <w:rPr>
          <w:rFonts w:eastAsiaTheme="minorEastAsia"/>
          <w:sz w:val="24"/>
        </w:rPr>
      </w:pPr>
      <w:r>
        <w:rPr>
          <w:rFonts w:hint="eastAsia" w:eastAsiaTheme="minorEastAsia"/>
          <w:sz w:val="24"/>
        </w:rPr>
        <w:t>（4）调整产业结构，推动产业转型提档升级：调整业态结构，大力发展石材商贸、物流等生产性服务业；优化企业结构，培育龙头标杆企业；丰富产品结构，满足多样化、定制化需求。</w:t>
      </w:r>
    </w:p>
    <w:p w14:paraId="7FFEBDF6">
      <w:pPr>
        <w:spacing w:line="360" w:lineRule="auto"/>
        <w:ind w:firstLine="480" w:firstLineChars="200"/>
        <w:jc w:val="left"/>
        <w:rPr>
          <w:rFonts w:eastAsiaTheme="minorEastAsia"/>
          <w:sz w:val="24"/>
        </w:rPr>
      </w:pPr>
      <w:r>
        <w:rPr>
          <w:rFonts w:hint="eastAsia" w:eastAsiaTheme="minorEastAsia"/>
          <w:sz w:val="24"/>
        </w:rPr>
        <w:t>（5）发展循环经济，提高资源综合利用水平：提高工艺技术，从源头减少废石产生量；加强分类回收，实现废石资源综合利用；加强组织协调 ，构建资源循环型产业体系。</w:t>
      </w:r>
    </w:p>
    <w:p w14:paraId="5E24BD73">
      <w:pPr>
        <w:spacing w:line="360" w:lineRule="auto"/>
        <w:ind w:firstLine="480" w:firstLineChars="200"/>
        <w:jc w:val="left"/>
        <w:rPr>
          <w:rFonts w:eastAsiaTheme="minorEastAsia"/>
          <w:sz w:val="24"/>
        </w:rPr>
      </w:pPr>
      <w:r>
        <w:rPr>
          <w:rFonts w:hint="eastAsia" w:eastAsiaTheme="minorEastAsia"/>
          <w:sz w:val="24"/>
        </w:rPr>
        <w:t>（6）多业融合联动，做大做强石材集群经济：产城融合发展，将产业园建设与随县新型城镇化建设、乡村振兴战略相结合；工旅融合发展，加强石材与旅游产业融合；石材牵引带动，发展绿色建材、装配式建筑关联产业；商服融合发展，带动第三产业繁荣。</w:t>
      </w:r>
    </w:p>
    <w:p w14:paraId="1FE5DB35">
      <w:pPr>
        <w:keepNext/>
        <w:keepLines/>
        <w:widowControl/>
        <w:numPr>
          <w:ilvl w:val="2"/>
          <w:numId w:val="1"/>
        </w:numPr>
        <w:spacing w:before="120" w:after="120" w:line="360" w:lineRule="auto"/>
        <w:jc w:val="left"/>
        <w:outlineLvl w:val="2"/>
        <w:rPr>
          <w:rFonts w:eastAsiaTheme="minorEastAsia"/>
          <w:b/>
          <w:bCs/>
          <w:sz w:val="24"/>
        </w:rPr>
      </w:pPr>
      <w:bookmarkStart w:id="259" w:name="_Toc206495075"/>
      <w:r>
        <w:rPr>
          <w:rFonts w:hint="eastAsia" w:eastAsiaTheme="minorEastAsia"/>
          <w:b/>
          <w:bCs/>
          <w:sz w:val="24"/>
        </w:rPr>
        <w:t>规划重点发展工程</w:t>
      </w:r>
      <w:bookmarkEnd w:id="259"/>
    </w:p>
    <w:p w14:paraId="753EB13F">
      <w:pPr>
        <w:spacing w:line="360" w:lineRule="auto"/>
        <w:ind w:firstLine="480" w:firstLineChars="200"/>
        <w:jc w:val="left"/>
        <w:rPr>
          <w:rFonts w:eastAsiaTheme="minorEastAsia"/>
          <w:sz w:val="24"/>
        </w:rPr>
      </w:pPr>
      <w:r>
        <w:rPr>
          <w:rFonts w:hint="eastAsia" w:eastAsiaTheme="minorEastAsia"/>
          <w:sz w:val="24"/>
        </w:rPr>
        <w:t>（1）石材矿产资源高效开发利用示范基地创建工程：规范矿山开采秩序；规划建设废石场；优化开拓运输系统；加强矿山废水处理；建设矿山生态隔离廊道；加强闭坑矿山生态修复；建立数字化监控系统。通过对随县石材矿权的整合，修复历史遗留矿山生态环境，高标准建设绿色矿山样板工程，打造国家级绿色矿山，所有石材矿山均达到省级绿色矿山标准，进入省绿色矿山项目库，并争取在2025年1-2家入选国家绿色矿山建设示范。</w:t>
      </w:r>
    </w:p>
    <w:p w14:paraId="043A7A98">
      <w:pPr>
        <w:spacing w:line="360" w:lineRule="auto"/>
        <w:ind w:firstLine="480" w:firstLineChars="200"/>
        <w:jc w:val="left"/>
        <w:rPr>
          <w:rFonts w:eastAsiaTheme="minorEastAsia"/>
          <w:sz w:val="24"/>
        </w:rPr>
      </w:pPr>
      <w:r>
        <w:rPr>
          <w:rFonts w:hint="eastAsia" w:eastAsiaTheme="minorEastAsia"/>
          <w:sz w:val="24"/>
        </w:rPr>
        <w:t>（2）绿色低碳产业园示范工程：加强“一企一策”改造，创建绿色工厂；园区运输通道改扩建，推广绿色运输体系；产业园绿化景观提升工程；配套基础设施和新能源设施改造升级。到2025年，随县石材的对外对内运输物流通道顺利打通，园区配套基础设施完善，行业污水、粉尘、噪声防治水平明显提升，形成布局合理、技术先进、功能完善、环境优美、文明富裕、经济与社会协调发展的现代化石材示范基地。积极申报工信部绿色工厂示范，目标到“十四五”末，争取建成国家级绿色循环经济产业园。</w:t>
      </w:r>
    </w:p>
    <w:p w14:paraId="3318046E">
      <w:pPr>
        <w:spacing w:line="360" w:lineRule="auto"/>
        <w:ind w:firstLine="480" w:firstLineChars="200"/>
        <w:jc w:val="left"/>
        <w:rPr>
          <w:rFonts w:eastAsiaTheme="minorEastAsia"/>
          <w:sz w:val="24"/>
        </w:rPr>
      </w:pPr>
      <w:r>
        <w:rPr>
          <w:rFonts w:hint="eastAsia" w:eastAsiaTheme="minorEastAsia"/>
          <w:sz w:val="24"/>
        </w:rPr>
        <w:t>（3）循环经济固废综合利用工程：固废综合利用产业体系与布局；园区成立废渣收集专业化公司。到2030年，随县石材企业实现固体废物资源综合利用率85%以上，每年矿山开采新产生的废石、加工厂边角料、石粉等废弃物大部分转化为资源或者产品消耗，基本实现新增固体废弃物利用。</w:t>
      </w:r>
    </w:p>
    <w:p w14:paraId="686AF83A">
      <w:pPr>
        <w:spacing w:line="360" w:lineRule="auto"/>
        <w:ind w:firstLine="480" w:firstLineChars="200"/>
        <w:jc w:val="left"/>
        <w:rPr>
          <w:rFonts w:eastAsiaTheme="minorEastAsia"/>
          <w:sz w:val="24"/>
        </w:rPr>
      </w:pPr>
      <w:r>
        <w:rPr>
          <w:rFonts w:hint="eastAsia" w:eastAsiaTheme="minorEastAsia"/>
          <w:sz w:val="24"/>
        </w:rPr>
        <w:t>（4）石材行业关键核心技术攻关工程：石材创意设计及装饰应用技术研发；石材装配式建筑部品研发；研究石材智能制造技术研发与推广；加强石材固废综合利用技术工艺研究。到2025年，争取有1-2家企业建成研发中心或产学研合作中心。引进1家独立研发机构或合作共建应用研发机构，5项以上技术研发成果产业化项目落地。</w:t>
      </w:r>
    </w:p>
    <w:p w14:paraId="36071ECA">
      <w:pPr>
        <w:spacing w:line="360" w:lineRule="auto"/>
        <w:ind w:firstLine="480" w:firstLineChars="200"/>
        <w:jc w:val="left"/>
        <w:rPr>
          <w:rFonts w:eastAsiaTheme="minorEastAsia"/>
          <w:sz w:val="24"/>
        </w:rPr>
      </w:pPr>
      <w:r>
        <w:rPr>
          <w:rFonts w:hint="eastAsia" w:eastAsiaTheme="minorEastAsia"/>
          <w:sz w:val="24"/>
        </w:rPr>
        <w:t>（5）石材大数据信息化公共服务平台工程：随县石材及绿色建材电子商务交易平台；随县石材智慧物流平台；探索石材产业链供应链一体化新型商业模式；搭建新媒体传媒。到2025年，初步建成随县石材工业互联网平台，信息化、智慧化成为随县石材的突出特色，推动石材线上交易。</w:t>
      </w:r>
    </w:p>
    <w:p w14:paraId="0F859592">
      <w:pPr>
        <w:spacing w:line="360" w:lineRule="auto"/>
        <w:ind w:firstLine="480" w:firstLineChars="200"/>
        <w:jc w:val="left"/>
        <w:rPr>
          <w:rFonts w:eastAsiaTheme="minorEastAsia"/>
          <w:sz w:val="24"/>
        </w:rPr>
      </w:pPr>
      <w:r>
        <w:rPr>
          <w:rFonts w:hint="eastAsia" w:eastAsiaTheme="minorEastAsia"/>
          <w:sz w:val="24"/>
        </w:rPr>
        <w:t>（6）“中国随县·世界石都”品牌创建工程：打造知名企业品牌；申请“中国随县•世界石都”地理标志商标；制定行业品牌推广方案；利用展会扩大知名度；鼓励随县石材企业积极参与行业标准规范制定。到2025年，随县“黄金麻”“白麻”石材品牌行业影响力更加突出，随县石材展成为行业的重要展会，争创上市企业，“中国随县•世界石都”成为我国石材行业的知名标签。</w:t>
      </w:r>
    </w:p>
    <w:p w14:paraId="5367037A">
      <w:pPr>
        <w:spacing w:line="360" w:lineRule="auto"/>
        <w:ind w:firstLine="480" w:firstLineChars="200"/>
        <w:jc w:val="left"/>
        <w:rPr>
          <w:rFonts w:eastAsiaTheme="minorEastAsia"/>
          <w:sz w:val="24"/>
        </w:rPr>
      </w:pPr>
      <w:r>
        <w:rPr>
          <w:rFonts w:hint="eastAsia" w:eastAsiaTheme="minorEastAsia"/>
          <w:sz w:val="24"/>
        </w:rPr>
        <w:t>（7）石材职业教育培训工程：建立职业教育院校/基地；建立石材从业人员技能培训和继续教育基地；鼓励企业建立石材实习教育基地；支持创建创意设计大师工作室。到2025年，建立石材职业培训机构，取得培训资质，2030年前建成1个石材专业职业学校。</w:t>
      </w:r>
    </w:p>
    <w:p w14:paraId="717646DB">
      <w:pPr>
        <w:keepNext/>
        <w:keepLines/>
        <w:widowControl/>
        <w:numPr>
          <w:ilvl w:val="2"/>
          <w:numId w:val="1"/>
        </w:numPr>
        <w:spacing w:before="120" w:after="120" w:line="360" w:lineRule="auto"/>
        <w:jc w:val="left"/>
        <w:outlineLvl w:val="2"/>
        <w:rPr>
          <w:rFonts w:eastAsiaTheme="minorEastAsia"/>
          <w:b/>
          <w:bCs/>
          <w:sz w:val="24"/>
        </w:rPr>
      </w:pPr>
      <w:bookmarkStart w:id="260" w:name="_Toc206495076"/>
      <w:r>
        <w:rPr>
          <w:rFonts w:hint="eastAsia" w:eastAsiaTheme="minorEastAsia"/>
          <w:b/>
          <w:bCs/>
          <w:sz w:val="24"/>
        </w:rPr>
        <w:t>规划协调性分析</w:t>
      </w:r>
      <w:bookmarkEnd w:id="260"/>
    </w:p>
    <w:p w14:paraId="6D01067E">
      <w:pPr>
        <w:spacing w:line="360" w:lineRule="auto"/>
        <w:ind w:firstLine="480" w:firstLineChars="200"/>
        <w:jc w:val="left"/>
        <w:rPr>
          <w:rFonts w:eastAsiaTheme="minorEastAsia"/>
          <w:sz w:val="24"/>
        </w:rPr>
      </w:pPr>
      <w:r>
        <w:rPr>
          <w:rFonts w:hint="eastAsia" w:eastAsiaTheme="minorEastAsia"/>
          <w:sz w:val="24"/>
        </w:rPr>
        <w:t>本次规划与《湖北省绿色建材高质量发展“十四五”规划》、《随州市城乡总体规划(2016-2030)年》、《随州市国民经济和社会发展第十四个五年规划和2035年远景目标纲要》、《随州市国土空间总体规划（2021-2035年）》、《随县国民经济和社会发展第十四个五年规划和二〇三五年远景目标纲要》、《随县城乡总体规划（2010—2030）》、《随州市生态环境保护“十四五”规划》、《国务院关于印发大气污染防治行动计划的通知》(国发[2013]37号)、《关于印发水污染防治行动计划的通知》（国发〔2015〕17号）、《土壤污染防治行动计划》（国发〔2016〕31号）、湖北省生态保护红线及“三线一单”等规划要求相协调。</w:t>
      </w:r>
    </w:p>
    <w:p w14:paraId="138C2C0E">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61" w:name="_Toc206495077"/>
      <w:r>
        <w:rPr>
          <w:rFonts w:hint="eastAsia" w:eastAsiaTheme="minorEastAsia"/>
          <w:b/>
          <w:bCs/>
          <w:sz w:val="30"/>
          <w:szCs w:val="28"/>
        </w:rPr>
        <w:t>规划发展制约性因素</w:t>
      </w:r>
      <w:bookmarkEnd w:id="261"/>
    </w:p>
    <w:p w14:paraId="6F7B097E">
      <w:pPr>
        <w:spacing w:line="360" w:lineRule="auto"/>
        <w:ind w:firstLine="480" w:firstLineChars="200"/>
        <w:jc w:val="left"/>
        <w:rPr>
          <w:rFonts w:eastAsiaTheme="minorEastAsia"/>
          <w:sz w:val="24"/>
        </w:rPr>
      </w:pPr>
      <w:r>
        <w:rPr>
          <w:rFonts w:hint="eastAsia" w:eastAsiaTheme="minorEastAsia"/>
          <w:sz w:val="24"/>
        </w:rPr>
        <w:t>本次评价通过分析评价区域资源利用水平、生态状况、环境质量等现状与区域资源利用上线、生态保护红线、环境质量底线等管控要求间的关系，明确提出规划实施的资源、生态、环境制约因素。</w:t>
      </w:r>
    </w:p>
    <w:p w14:paraId="62A638C2">
      <w:pPr>
        <w:keepNext/>
        <w:keepLines/>
        <w:widowControl/>
        <w:numPr>
          <w:ilvl w:val="2"/>
          <w:numId w:val="1"/>
        </w:numPr>
        <w:spacing w:before="120" w:after="120" w:line="360" w:lineRule="auto"/>
        <w:jc w:val="left"/>
        <w:outlineLvl w:val="2"/>
        <w:rPr>
          <w:rFonts w:eastAsiaTheme="minorEastAsia"/>
          <w:b/>
          <w:bCs/>
          <w:sz w:val="24"/>
        </w:rPr>
      </w:pPr>
      <w:bookmarkStart w:id="262" w:name="_Toc206495078"/>
      <w:r>
        <w:rPr>
          <w:rFonts w:hint="eastAsia" w:eastAsiaTheme="minorEastAsia"/>
          <w:b/>
          <w:bCs/>
          <w:sz w:val="24"/>
        </w:rPr>
        <w:t>环境质量现状问题</w:t>
      </w:r>
      <w:bookmarkEnd w:id="262"/>
    </w:p>
    <w:p w14:paraId="3E526B84">
      <w:pPr>
        <w:spacing w:line="360" w:lineRule="auto"/>
        <w:ind w:firstLine="480" w:firstLineChars="200"/>
        <w:jc w:val="left"/>
        <w:rPr>
          <w:rFonts w:eastAsiaTheme="minorEastAsia"/>
          <w:sz w:val="24"/>
        </w:rPr>
      </w:pPr>
      <w:r>
        <w:rPr>
          <w:rFonts w:hint="eastAsia" w:eastAsiaTheme="minorEastAsia"/>
          <w:sz w:val="24"/>
        </w:rPr>
        <w:t>根据《随州市2024年环境状况公报》中随州市环境空气质量监测数据显示，评价基准年2024年的基本污染物因子除PM</w:t>
      </w:r>
      <w:r>
        <w:rPr>
          <w:rFonts w:hint="eastAsia" w:eastAsiaTheme="minorEastAsia"/>
          <w:sz w:val="24"/>
          <w:vertAlign w:val="subscript"/>
        </w:rPr>
        <w:t>2.5</w:t>
      </w:r>
      <w:r>
        <w:rPr>
          <w:rFonts w:hint="eastAsia" w:eastAsiaTheme="minorEastAsia"/>
          <w:sz w:val="24"/>
        </w:rPr>
        <w:t>外其他因子均满足《环境空气质量标准》（GB3095-2012）及修改单规定的二级标准要求，规划所在区域为环境空气质量不达标区。</w:t>
      </w:r>
      <w:r>
        <w:rPr>
          <w:rFonts w:hint="eastAsia" w:eastAsiaTheme="minorEastAsia"/>
          <w:kern w:val="20"/>
          <w:sz w:val="24"/>
        </w:rPr>
        <w:t>2019年~2021年及2023年随州市环境空气质量均为不达标区，但浓度值逐年下降，至2022年随州市环境空气质量属于达标区，但2023年有部分污染物浓度升高</w:t>
      </w:r>
      <w:r>
        <w:rPr>
          <w:rFonts w:hint="eastAsia" w:eastAsiaTheme="minorEastAsia"/>
          <w:sz w:val="24"/>
        </w:rPr>
        <w:t>。区域环境空气常年不达标除了与空气污染物扩散气象条件差有关外，还与当地交通道路扬尘、产业结构以及城市建设施工等因素有关。</w:t>
      </w:r>
    </w:p>
    <w:p w14:paraId="500815D4">
      <w:pPr>
        <w:spacing w:line="360" w:lineRule="auto"/>
        <w:ind w:firstLine="480" w:firstLineChars="200"/>
        <w:jc w:val="left"/>
        <w:rPr>
          <w:rFonts w:eastAsiaTheme="minorEastAsia"/>
          <w:sz w:val="24"/>
        </w:rPr>
      </w:pPr>
      <w:r>
        <w:rPr>
          <w:rFonts w:hint="eastAsia" w:eastAsiaTheme="minorEastAsia"/>
          <w:sz w:val="24"/>
        </w:rPr>
        <w:t>规划区域后续实施过程中应加强对环境空气质量的保护，落实颗粒物总量控制或管理制度，按照市区环境保护综合整治任务要求，促进区域环境质量不断改善。</w:t>
      </w:r>
    </w:p>
    <w:p w14:paraId="74179923">
      <w:pPr>
        <w:keepNext/>
        <w:keepLines/>
        <w:widowControl/>
        <w:numPr>
          <w:ilvl w:val="2"/>
          <w:numId w:val="1"/>
        </w:numPr>
        <w:spacing w:before="120" w:after="120" w:line="360" w:lineRule="auto"/>
        <w:jc w:val="left"/>
        <w:outlineLvl w:val="2"/>
        <w:rPr>
          <w:rFonts w:eastAsiaTheme="minorEastAsia"/>
          <w:b/>
          <w:bCs/>
          <w:sz w:val="24"/>
        </w:rPr>
      </w:pPr>
      <w:bookmarkStart w:id="263" w:name="_Toc206495079"/>
      <w:r>
        <w:rPr>
          <w:rFonts w:hint="eastAsia" w:eastAsiaTheme="minorEastAsia"/>
          <w:b/>
          <w:bCs/>
          <w:sz w:val="24"/>
        </w:rPr>
        <w:t>资源利用现状问题</w:t>
      </w:r>
      <w:bookmarkEnd w:id="263"/>
    </w:p>
    <w:p w14:paraId="588C64CF">
      <w:pPr>
        <w:spacing w:line="360" w:lineRule="auto"/>
        <w:ind w:firstLine="480" w:firstLineChars="200"/>
        <w:rPr>
          <w:rFonts w:eastAsiaTheme="minorEastAsia"/>
          <w:sz w:val="24"/>
        </w:rPr>
      </w:pPr>
      <w:r>
        <w:rPr>
          <w:rFonts w:hint="eastAsia" w:eastAsiaTheme="minorEastAsia"/>
          <w:sz w:val="24"/>
        </w:rPr>
        <w:t>现状石材产业园范围内各企业未配套建设供水管网，现状企业用水主要来源于地下水井或吴山水库及雨水等。</w:t>
      </w:r>
    </w:p>
    <w:p w14:paraId="30FE4DD4">
      <w:pPr>
        <w:spacing w:line="360" w:lineRule="auto"/>
        <w:ind w:firstLine="480" w:firstLineChars="200"/>
        <w:jc w:val="left"/>
        <w:rPr>
          <w:rFonts w:eastAsiaTheme="minorEastAsia"/>
          <w:sz w:val="24"/>
        </w:rPr>
      </w:pPr>
      <w:r>
        <w:rPr>
          <w:rFonts w:hint="eastAsia" w:eastAsiaTheme="minorEastAsia"/>
          <w:sz w:val="24"/>
        </w:rPr>
        <w:t>石材产业园应规划建设供水管网，实施园区供水管网全覆盖，为园区企业提供自来水，减少地下水的使用直至园区全部采用自来水作为水源。</w:t>
      </w:r>
    </w:p>
    <w:p w14:paraId="3EDA9F1C">
      <w:pPr>
        <w:keepNext/>
        <w:keepLines/>
        <w:widowControl/>
        <w:numPr>
          <w:ilvl w:val="2"/>
          <w:numId w:val="1"/>
        </w:numPr>
        <w:spacing w:before="120" w:after="120" w:line="360" w:lineRule="auto"/>
        <w:jc w:val="left"/>
        <w:outlineLvl w:val="2"/>
        <w:rPr>
          <w:rFonts w:eastAsiaTheme="minorEastAsia"/>
          <w:b/>
          <w:bCs/>
          <w:sz w:val="24"/>
        </w:rPr>
      </w:pPr>
      <w:bookmarkStart w:id="264" w:name="_Toc206495080"/>
      <w:r>
        <w:rPr>
          <w:rFonts w:hint="eastAsia" w:eastAsiaTheme="minorEastAsia"/>
          <w:b/>
          <w:bCs/>
          <w:sz w:val="24"/>
        </w:rPr>
        <w:t>基础设施现状问题</w:t>
      </w:r>
      <w:bookmarkEnd w:id="264"/>
    </w:p>
    <w:p w14:paraId="24D23D7F">
      <w:pPr>
        <w:spacing w:line="360" w:lineRule="auto"/>
        <w:ind w:firstLine="480" w:firstLineChars="200"/>
        <w:rPr>
          <w:rFonts w:eastAsiaTheme="minorEastAsia"/>
          <w:sz w:val="24"/>
        </w:rPr>
      </w:pPr>
      <w:r>
        <w:rPr>
          <w:rFonts w:hint="eastAsia" w:eastAsiaTheme="minorEastAsia"/>
          <w:sz w:val="24"/>
        </w:rPr>
        <w:t>（1）排水管网建设滞后</w:t>
      </w:r>
    </w:p>
    <w:p w14:paraId="46503712">
      <w:pPr>
        <w:spacing w:line="360" w:lineRule="auto"/>
        <w:ind w:firstLine="480" w:firstLineChars="200"/>
        <w:rPr>
          <w:rFonts w:eastAsiaTheme="minorEastAsia"/>
          <w:sz w:val="24"/>
        </w:rPr>
      </w:pPr>
      <w:r>
        <w:rPr>
          <w:rFonts w:hint="eastAsia" w:eastAsiaTheme="minorEastAsia"/>
          <w:sz w:val="24"/>
        </w:rPr>
        <w:t>规划范围内石材产业园污水管网建设尚不完善，如万和石材产业园南部、闽商石材产业园北部等周边均未配套污水收集管网。</w:t>
      </w:r>
    </w:p>
    <w:p w14:paraId="4A572C6B">
      <w:pPr>
        <w:spacing w:line="360" w:lineRule="auto"/>
        <w:ind w:firstLine="480" w:firstLineChars="200"/>
        <w:rPr>
          <w:rFonts w:eastAsiaTheme="minorEastAsia"/>
          <w:sz w:val="24"/>
        </w:rPr>
      </w:pPr>
      <w:r>
        <w:rPr>
          <w:rFonts w:hint="eastAsia" w:eastAsiaTheme="minorEastAsia"/>
          <w:sz w:val="24"/>
        </w:rPr>
        <w:t>后期产业园规划应配套建设污水收纳管网，建议随县各乡镇人民政府尽快为园区配套建设市政污水管网，将产业园区内全部生活污水收纳排入各乡镇污水处理厂深度处理；严格按照国务院《水污染防治行动计划》等要求，完善污水收集管网，切实加强水环境管理，区域水环境质量将会进一步得到改善。</w:t>
      </w:r>
    </w:p>
    <w:p w14:paraId="47553E6F">
      <w:pPr>
        <w:spacing w:line="360" w:lineRule="auto"/>
        <w:ind w:firstLine="480" w:firstLineChars="200"/>
        <w:rPr>
          <w:rFonts w:eastAsiaTheme="minorEastAsia"/>
          <w:sz w:val="24"/>
        </w:rPr>
      </w:pPr>
      <w:r>
        <w:rPr>
          <w:rFonts w:hint="eastAsia" w:eastAsiaTheme="minorEastAsia"/>
          <w:sz w:val="24"/>
        </w:rPr>
        <w:t>（2）雨水管网建设滞后</w:t>
      </w:r>
    </w:p>
    <w:p w14:paraId="45922356">
      <w:pPr>
        <w:spacing w:line="360" w:lineRule="auto"/>
        <w:ind w:firstLine="480" w:firstLineChars="200"/>
        <w:rPr>
          <w:rFonts w:eastAsiaTheme="minorEastAsia"/>
          <w:sz w:val="24"/>
        </w:rPr>
      </w:pPr>
      <w:r>
        <w:rPr>
          <w:rFonts w:hint="eastAsia" w:eastAsiaTheme="minorEastAsia"/>
          <w:sz w:val="24"/>
        </w:rPr>
        <w:t>现状仅有少部分道路雨水经雨水沟排入附近河流，但整个园区缺乏完善的雨水排水体系，易发生内涝。</w:t>
      </w:r>
    </w:p>
    <w:p w14:paraId="1664176D">
      <w:pPr>
        <w:spacing w:line="360" w:lineRule="auto"/>
        <w:ind w:firstLine="480" w:firstLineChars="200"/>
        <w:rPr>
          <w:rFonts w:eastAsiaTheme="minorEastAsia"/>
          <w:sz w:val="24"/>
        </w:rPr>
      </w:pPr>
      <w:r>
        <w:rPr>
          <w:rFonts w:hint="eastAsia" w:eastAsiaTheme="minorEastAsia"/>
          <w:sz w:val="24"/>
        </w:rPr>
        <w:t>后期产业园规划应配套建设完善的雨水管网，建议随县各乡镇人民政府尽快为园区配套建设市政雨水管网，将产业园区内雨水纳入雨水管网中就近排入河流。</w:t>
      </w:r>
    </w:p>
    <w:p w14:paraId="73BF67DF">
      <w:pPr>
        <w:spacing w:line="360" w:lineRule="auto"/>
        <w:ind w:firstLine="480" w:firstLineChars="200"/>
        <w:rPr>
          <w:rFonts w:eastAsiaTheme="minorEastAsia"/>
          <w:sz w:val="24"/>
        </w:rPr>
      </w:pPr>
      <w:r>
        <w:rPr>
          <w:rFonts w:hint="eastAsia" w:eastAsiaTheme="minorEastAsia"/>
          <w:sz w:val="24"/>
        </w:rPr>
        <w:t>（3）道路交通建设滞后</w:t>
      </w:r>
    </w:p>
    <w:p w14:paraId="1C83FB8C">
      <w:pPr>
        <w:spacing w:line="360" w:lineRule="auto"/>
        <w:ind w:firstLine="480" w:firstLineChars="200"/>
        <w:rPr>
          <w:rFonts w:eastAsiaTheme="minorEastAsia"/>
          <w:sz w:val="24"/>
        </w:rPr>
      </w:pPr>
      <w:r>
        <w:rPr>
          <w:rFonts w:hint="eastAsia" w:eastAsiaTheme="minorEastAsia"/>
          <w:sz w:val="24"/>
        </w:rPr>
        <w:t>①现有道路不成体系，进出通道唯一、交通组织重叠。②道路间夹角过小，不满足规范，易造成交通事故。③现状道路以双向2车道为主，建设标准低，路面破损严重，导致园区运输粉尘产生量大。④车辆停放见缝插针，缺乏统筹布局。</w:t>
      </w:r>
    </w:p>
    <w:p w14:paraId="77A4EA68">
      <w:pPr>
        <w:spacing w:line="360" w:lineRule="auto"/>
        <w:ind w:firstLine="480" w:firstLineChars="200"/>
        <w:jc w:val="left"/>
        <w:rPr>
          <w:rFonts w:eastAsiaTheme="minorEastAsia"/>
          <w:sz w:val="24"/>
        </w:rPr>
      </w:pPr>
      <w:r>
        <w:rPr>
          <w:rFonts w:hint="eastAsia" w:eastAsiaTheme="minorEastAsia"/>
          <w:sz w:val="24"/>
        </w:rPr>
        <w:t>后期产业园规划应建设完善的道路交通系统，完善路网结构、停车场等基础设施。对现状路网线型进行梳理，优化存在的安全隐患交叉口。优化厂区交通组织，减少园区中轴交通压力；对破损道路进行修复，减少运输粉尘排放。</w:t>
      </w:r>
    </w:p>
    <w:p w14:paraId="4653E57A">
      <w:pPr>
        <w:keepNext/>
        <w:keepLines/>
        <w:widowControl/>
        <w:numPr>
          <w:ilvl w:val="2"/>
          <w:numId w:val="1"/>
        </w:numPr>
        <w:spacing w:before="120" w:after="120" w:line="360" w:lineRule="auto"/>
        <w:jc w:val="left"/>
        <w:outlineLvl w:val="2"/>
        <w:rPr>
          <w:rFonts w:eastAsiaTheme="minorEastAsia"/>
          <w:b/>
          <w:bCs/>
          <w:sz w:val="24"/>
        </w:rPr>
      </w:pPr>
      <w:bookmarkStart w:id="265" w:name="_Toc206495081"/>
      <w:r>
        <w:rPr>
          <w:rFonts w:hint="eastAsia" w:eastAsiaTheme="minorEastAsia"/>
          <w:b/>
          <w:bCs/>
          <w:sz w:val="24"/>
        </w:rPr>
        <w:t>环境管理现状问题</w:t>
      </w:r>
      <w:bookmarkEnd w:id="265"/>
    </w:p>
    <w:p w14:paraId="7382A0CB">
      <w:pPr>
        <w:spacing w:line="360" w:lineRule="auto"/>
        <w:ind w:firstLine="480" w:firstLineChars="200"/>
        <w:jc w:val="left"/>
        <w:rPr>
          <w:rFonts w:eastAsiaTheme="minorEastAsia"/>
          <w:sz w:val="24"/>
        </w:rPr>
      </w:pPr>
      <w:r>
        <w:rPr>
          <w:rFonts w:hint="eastAsia" w:eastAsiaTheme="minorEastAsia"/>
          <w:sz w:val="24"/>
        </w:rPr>
        <w:t>（1）环保手续执行力度不够</w:t>
      </w:r>
    </w:p>
    <w:p w14:paraId="1E4B208E">
      <w:pPr>
        <w:spacing w:line="360" w:lineRule="auto"/>
        <w:ind w:firstLine="480" w:firstLineChars="200"/>
        <w:jc w:val="left"/>
        <w:rPr>
          <w:rFonts w:eastAsiaTheme="minorEastAsia"/>
          <w:sz w:val="24"/>
        </w:rPr>
      </w:pPr>
      <w:r>
        <w:rPr>
          <w:rFonts w:hint="eastAsia" w:eastAsiaTheme="minorEastAsia"/>
          <w:sz w:val="24"/>
        </w:rPr>
        <w:t>据调查区内企业环评手续、“三同时”竣工验收、排污许可证手续执行情况，部分企业的环评、验收和排污许可证尚在办理中，对已完成环境保护自主验收企业管理尚需进一步加强。部分企业未严格执行环保相关制度，近年来园区进行了全面清理，整治后区内企业环评制度和“三同时”验收制度执行率有了较大提高。</w:t>
      </w:r>
    </w:p>
    <w:p w14:paraId="4AD22CE6">
      <w:pPr>
        <w:spacing w:line="360" w:lineRule="auto"/>
        <w:ind w:firstLine="480" w:firstLineChars="200"/>
        <w:jc w:val="left"/>
        <w:rPr>
          <w:rFonts w:eastAsiaTheme="minorEastAsia"/>
          <w:sz w:val="24"/>
        </w:rPr>
      </w:pPr>
      <w:r>
        <w:rPr>
          <w:rFonts w:hint="eastAsia" w:eastAsiaTheme="minorEastAsia"/>
          <w:sz w:val="24"/>
        </w:rPr>
        <w:t>督促园区现有未履行环境影响评价手续与“三同时”竣工验收手续企业补办环保手续，对新入区建设项目须严格执行环境影响评价制度，经有审批权的环境保护行政主管部门同意后方可入区建设。</w:t>
      </w:r>
    </w:p>
    <w:p w14:paraId="01FDC98A">
      <w:pPr>
        <w:spacing w:line="360" w:lineRule="auto"/>
        <w:ind w:firstLine="480" w:firstLineChars="200"/>
        <w:jc w:val="left"/>
        <w:rPr>
          <w:rFonts w:eastAsiaTheme="minorEastAsia"/>
          <w:sz w:val="24"/>
        </w:rPr>
      </w:pPr>
      <w:r>
        <w:rPr>
          <w:rFonts w:hint="eastAsia" w:eastAsiaTheme="minorEastAsia"/>
          <w:sz w:val="24"/>
        </w:rPr>
        <w:t>（2）园区环境管理制度不健全</w:t>
      </w:r>
    </w:p>
    <w:p w14:paraId="11CCB8C8">
      <w:pPr>
        <w:spacing w:line="360" w:lineRule="auto"/>
        <w:ind w:firstLine="480" w:firstLineChars="200"/>
        <w:jc w:val="left"/>
        <w:rPr>
          <w:rFonts w:eastAsiaTheme="minorEastAsia"/>
          <w:sz w:val="24"/>
        </w:rPr>
      </w:pPr>
      <w:r>
        <w:rPr>
          <w:rFonts w:hint="eastAsia" w:eastAsiaTheme="minorEastAsia"/>
          <w:sz w:val="24"/>
        </w:rPr>
        <w:t>园区未建立完善的环境管理制定。</w:t>
      </w:r>
    </w:p>
    <w:p w14:paraId="18026148">
      <w:pPr>
        <w:spacing w:line="360" w:lineRule="auto"/>
        <w:ind w:firstLine="480" w:firstLineChars="200"/>
        <w:jc w:val="left"/>
        <w:rPr>
          <w:rFonts w:eastAsiaTheme="minorEastAsia"/>
          <w:sz w:val="24"/>
        </w:rPr>
      </w:pPr>
      <w:r>
        <w:rPr>
          <w:rFonts w:hint="eastAsia" w:eastAsiaTheme="minorEastAsia"/>
          <w:sz w:val="24"/>
        </w:rPr>
        <w:t>为进一步完善环境管理基础工作，切实规范环保监管行为，园区应建立危废物管理台账，完善产业园环境保护各项制度。建立企业“一企一策”整治提升工作方案。督导企业完善环保应急设施，落实整改要求，提高生态管理水平。</w:t>
      </w:r>
    </w:p>
    <w:p w14:paraId="139C547C">
      <w:pPr>
        <w:spacing w:line="360" w:lineRule="auto"/>
        <w:ind w:firstLine="480" w:firstLineChars="200"/>
        <w:jc w:val="left"/>
        <w:rPr>
          <w:rFonts w:eastAsiaTheme="minorEastAsia"/>
          <w:sz w:val="24"/>
        </w:rPr>
      </w:pPr>
      <w:r>
        <w:rPr>
          <w:rFonts w:hint="eastAsia" w:eastAsiaTheme="minorEastAsia"/>
          <w:sz w:val="24"/>
        </w:rPr>
        <w:t>（3）园区工业居住区混杂</w:t>
      </w:r>
    </w:p>
    <w:p w14:paraId="5576EA5F">
      <w:pPr>
        <w:spacing w:line="360" w:lineRule="auto"/>
        <w:ind w:firstLine="480" w:firstLineChars="200"/>
        <w:jc w:val="left"/>
        <w:rPr>
          <w:rFonts w:eastAsiaTheme="minorEastAsia"/>
          <w:sz w:val="24"/>
        </w:rPr>
      </w:pPr>
      <w:r>
        <w:rPr>
          <w:rFonts w:hint="eastAsia" w:eastAsiaTheme="minorEastAsia"/>
          <w:sz w:val="24"/>
        </w:rPr>
        <w:t>现状主园区原本分布有少量的居民点，形成了产居混杂的现状。</w:t>
      </w:r>
    </w:p>
    <w:p w14:paraId="11F424E3">
      <w:pPr>
        <w:spacing w:line="360" w:lineRule="auto"/>
        <w:ind w:firstLine="480" w:firstLineChars="200"/>
        <w:jc w:val="left"/>
        <w:rPr>
          <w:rFonts w:eastAsiaTheme="minorEastAsia"/>
          <w:sz w:val="24"/>
        </w:rPr>
      </w:pPr>
      <w:r>
        <w:rPr>
          <w:rFonts w:hint="eastAsia" w:eastAsiaTheme="minorEastAsia"/>
          <w:sz w:val="24"/>
        </w:rPr>
        <w:t>在要求后续管理、规划开发过程中，结合规划优化现有工业与居民混杂区域产业布局，逐步实现工业区与居住区的分离，加强工业区与生活区生态隔离带建设，减缓工业生产对区内居民的影响。</w:t>
      </w:r>
    </w:p>
    <w:p w14:paraId="445C005E">
      <w:pPr>
        <w:spacing w:line="360" w:lineRule="auto"/>
        <w:ind w:firstLine="480" w:firstLineChars="200"/>
        <w:jc w:val="left"/>
        <w:rPr>
          <w:rFonts w:eastAsiaTheme="minorEastAsia"/>
          <w:sz w:val="24"/>
        </w:rPr>
      </w:pPr>
      <w:r>
        <w:rPr>
          <w:rFonts w:hint="eastAsia" w:eastAsiaTheme="minorEastAsia"/>
          <w:sz w:val="24"/>
        </w:rPr>
        <w:t>（4）生态隔离带和生态廊道的建设有待进一步加强</w:t>
      </w:r>
    </w:p>
    <w:p w14:paraId="7D45A5EC">
      <w:pPr>
        <w:spacing w:line="360" w:lineRule="auto"/>
        <w:ind w:firstLine="480" w:firstLineChars="200"/>
        <w:jc w:val="left"/>
        <w:rPr>
          <w:rFonts w:eastAsiaTheme="minorEastAsia"/>
          <w:sz w:val="24"/>
        </w:rPr>
      </w:pPr>
      <w:r>
        <w:rPr>
          <w:rFonts w:hint="eastAsia" w:eastAsiaTheme="minorEastAsia"/>
          <w:sz w:val="24"/>
        </w:rPr>
        <w:t>目前园区居住区与工业区混杂，存在居住区与工业地块无绿化隔离等现象。生态隔离带和生态廊道的建设有待进一步加强。</w:t>
      </w:r>
    </w:p>
    <w:p w14:paraId="42370E2D">
      <w:pPr>
        <w:spacing w:line="360" w:lineRule="auto"/>
        <w:ind w:firstLine="480" w:firstLineChars="200"/>
        <w:jc w:val="left"/>
        <w:rPr>
          <w:rFonts w:eastAsiaTheme="minorEastAsia"/>
          <w:sz w:val="24"/>
        </w:rPr>
      </w:pPr>
      <w:r>
        <w:rPr>
          <w:rFonts w:hint="eastAsia" w:eastAsiaTheme="minorEastAsia"/>
          <w:sz w:val="24"/>
        </w:rPr>
        <w:t>后期产业园规划应逐步完善相应的防护距离内的绿化、生态廊道、绿化隔离带建设。其他防护性绿地按照规划方案和具体进驻企业环境影响程度予以逐步实施。</w:t>
      </w:r>
    </w:p>
    <w:p w14:paraId="05ACCF01">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66" w:name="_Toc206495082"/>
      <w:r>
        <w:rPr>
          <w:rFonts w:hint="eastAsia" w:eastAsiaTheme="minorEastAsia"/>
          <w:b/>
          <w:bCs/>
          <w:sz w:val="30"/>
          <w:szCs w:val="28"/>
        </w:rPr>
        <w:t>环境质量现状</w:t>
      </w:r>
      <w:bookmarkEnd w:id="266"/>
    </w:p>
    <w:p w14:paraId="67A8DF69">
      <w:pPr>
        <w:keepNext/>
        <w:keepLines/>
        <w:widowControl/>
        <w:numPr>
          <w:ilvl w:val="2"/>
          <w:numId w:val="1"/>
        </w:numPr>
        <w:spacing w:before="120" w:after="120" w:line="360" w:lineRule="auto"/>
        <w:jc w:val="left"/>
        <w:outlineLvl w:val="2"/>
        <w:rPr>
          <w:rFonts w:eastAsiaTheme="minorEastAsia"/>
          <w:b/>
          <w:bCs/>
          <w:sz w:val="24"/>
        </w:rPr>
      </w:pPr>
      <w:bookmarkStart w:id="267" w:name="_Toc206495083"/>
      <w:r>
        <w:rPr>
          <w:rFonts w:hint="eastAsia" w:eastAsiaTheme="minorEastAsia"/>
          <w:b/>
          <w:bCs/>
          <w:sz w:val="24"/>
        </w:rPr>
        <w:t>环境空气质量现状</w:t>
      </w:r>
      <w:bookmarkEnd w:id="267"/>
    </w:p>
    <w:p w14:paraId="2C816838">
      <w:pPr>
        <w:spacing w:line="360" w:lineRule="auto"/>
        <w:ind w:firstLine="480" w:firstLineChars="200"/>
        <w:rPr>
          <w:rFonts w:eastAsiaTheme="minorEastAsia"/>
          <w:b/>
          <w:sz w:val="24"/>
        </w:rPr>
      </w:pPr>
      <w:r>
        <w:rPr>
          <w:rFonts w:hint="eastAsia" w:eastAsiaTheme="minorEastAsia"/>
          <w:sz w:val="24"/>
        </w:rPr>
        <w:t>根据</w:t>
      </w:r>
      <w:r>
        <w:rPr>
          <w:rFonts w:hint="eastAsia" w:eastAsiaTheme="minorEastAsia"/>
          <w:bCs/>
          <w:snapToGrid w:val="0"/>
          <w:kern w:val="0"/>
          <w:sz w:val="24"/>
          <w:szCs w:val="20"/>
        </w:rPr>
        <w:t>《随州市2024年环境状况公报》，</w:t>
      </w:r>
      <w:r>
        <w:rPr>
          <w:rFonts w:eastAsiaTheme="minorEastAsia"/>
          <w:sz w:val="24"/>
        </w:rPr>
        <w:t>评价基准年202</w:t>
      </w:r>
      <w:r>
        <w:rPr>
          <w:rFonts w:hint="eastAsia" w:eastAsiaTheme="minorEastAsia"/>
          <w:sz w:val="24"/>
        </w:rPr>
        <w:t>4</w:t>
      </w:r>
      <w:r>
        <w:rPr>
          <w:rFonts w:eastAsiaTheme="minorEastAsia"/>
          <w:sz w:val="24"/>
        </w:rPr>
        <w:t>年的基本污染物因子</w:t>
      </w:r>
      <w:r>
        <w:rPr>
          <w:rFonts w:hint="eastAsia" w:eastAsiaTheme="minorEastAsia"/>
          <w:sz w:val="24"/>
        </w:rPr>
        <w:t>除PM</w:t>
      </w:r>
      <w:r>
        <w:rPr>
          <w:rFonts w:hint="eastAsia" w:eastAsiaTheme="minorEastAsia"/>
          <w:sz w:val="24"/>
          <w:vertAlign w:val="subscript"/>
        </w:rPr>
        <w:t>2.5</w:t>
      </w:r>
      <w:r>
        <w:rPr>
          <w:rFonts w:hint="eastAsia" w:eastAsiaTheme="minorEastAsia"/>
          <w:sz w:val="24"/>
        </w:rPr>
        <w:t>外其他因子</w:t>
      </w:r>
      <w:r>
        <w:rPr>
          <w:rFonts w:eastAsiaTheme="minorEastAsia"/>
          <w:sz w:val="24"/>
        </w:rPr>
        <w:t>均满足《环境空气质量标准》（GB3095-2012）及修改单规定的二级标准要求，经判定</w:t>
      </w:r>
      <w:r>
        <w:rPr>
          <w:rFonts w:hint="eastAsia" w:eastAsiaTheme="minorEastAsia"/>
          <w:sz w:val="24"/>
        </w:rPr>
        <w:t>规划所在区域为环境空气质量</w:t>
      </w:r>
      <w:r>
        <w:rPr>
          <w:rFonts w:hint="eastAsia" w:eastAsiaTheme="minorEastAsia"/>
          <w:b/>
          <w:sz w:val="24"/>
        </w:rPr>
        <w:t>不</w:t>
      </w:r>
      <w:r>
        <w:rPr>
          <w:rFonts w:eastAsiaTheme="minorEastAsia"/>
          <w:b/>
          <w:sz w:val="24"/>
        </w:rPr>
        <w:t>达标区。</w:t>
      </w:r>
    </w:p>
    <w:p w14:paraId="53D907A3">
      <w:pPr>
        <w:spacing w:line="360" w:lineRule="auto"/>
        <w:ind w:firstLine="480" w:firstLineChars="200"/>
        <w:rPr>
          <w:rFonts w:eastAsiaTheme="minorEastAsia"/>
          <w:b/>
          <w:sz w:val="24"/>
        </w:rPr>
      </w:pPr>
      <w:r>
        <w:rPr>
          <w:rFonts w:hint="eastAsia" w:eastAsiaTheme="minorEastAsia"/>
          <w:kern w:val="20"/>
          <w:sz w:val="24"/>
        </w:rPr>
        <w:t>本次评价收集了2019年~2023年</w:t>
      </w:r>
      <w:r>
        <w:rPr>
          <w:rFonts w:hint="eastAsia" w:eastAsiaTheme="minorEastAsia"/>
          <w:bCs/>
          <w:snapToGrid w:val="0"/>
          <w:kern w:val="0"/>
          <w:sz w:val="24"/>
          <w:szCs w:val="20"/>
        </w:rPr>
        <w:t>《随州市环境状况公报》</w:t>
      </w:r>
      <w:r>
        <w:rPr>
          <w:rFonts w:hint="eastAsia" w:eastAsiaTheme="minorEastAsia"/>
          <w:kern w:val="20"/>
          <w:sz w:val="24"/>
        </w:rPr>
        <w:t>中近三年的环境空气质量数据，2019年~2021年及2023年随州市环境空气质量均为不达标区，但浓度值逐年下降，至2022年随州市环境空气质量属于达标区，但2023年有部分污染物浓度升高。</w:t>
      </w:r>
    </w:p>
    <w:p w14:paraId="1D83B9C8">
      <w:pPr>
        <w:spacing w:line="360" w:lineRule="auto"/>
        <w:ind w:firstLine="480" w:firstLineChars="200"/>
        <w:rPr>
          <w:rFonts w:eastAsiaTheme="minorEastAsia"/>
          <w:kern w:val="20"/>
          <w:sz w:val="24"/>
        </w:rPr>
      </w:pPr>
      <w:r>
        <w:rPr>
          <w:rFonts w:hint="eastAsia" w:eastAsiaTheme="minorEastAsia"/>
          <w:kern w:val="20"/>
          <w:sz w:val="24"/>
        </w:rPr>
        <w:t>通过本次环评期间对周围环境空气进行监测的结果来看，各监测点TSP 24 小时平均浓度满足《环境空气质量标准》（GB3095-2012）二级标准的要求。</w:t>
      </w:r>
    </w:p>
    <w:p w14:paraId="64236CC8">
      <w:pPr>
        <w:spacing w:line="360" w:lineRule="auto"/>
        <w:ind w:firstLine="480" w:firstLineChars="200"/>
        <w:jc w:val="left"/>
        <w:rPr>
          <w:rFonts w:eastAsiaTheme="minorEastAsia"/>
          <w:b/>
          <w:bCs/>
          <w:sz w:val="24"/>
        </w:rPr>
      </w:pPr>
      <w:r>
        <w:rPr>
          <w:rFonts w:hint="eastAsia" w:eastAsiaTheme="minorEastAsia"/>
          <w:kern w:val="20"/>
          <w:sz w:val="24"/>
        </w:rPr>
        <w:t>根据《市人民政府关于印发随州市空气质量持续改善行动方案的通知》（随政发〔2024〕11号）要求，在全市开展产业结构转型升级行动等十大行动，随着上述措施的逐步推进和落实，工程所在区域空气将得到改善。</w:t>
      </w:r>
    </w:p>
    <w:p w14:paraId="33C04391">
      <w:pPr>
        <w:keepNext/>
        <w:keepLines/>
        <w:widowControl/>
        <w:numPr>
          <w:ilvl w:val="2"/>
          <w:numId w:val="1"/>
        </w:numPr>
        <w:spacing w:before="120" w:after="120" w:line="360" w:lineRule="auto"/>
        <w:jc w:val="left"/>
        <w:outlineLvl w:val="2"/>
        <w:rPr>
          <w:rFonts w:eastAsiaTheme="minorEastAsia"/>
          <w:b/>
          <w:bCs/>
          <w:sz w:val="24"/>
        </w:rPr>
      </w:pPr>
      <w:bookmarkStart w:id="268" w:name="_Toc206495084"/>
      <w:r>
        <w:rPr>
          <w:rFonts w:hint="eastAsia" w:eastAsiaTheme="minorEastAsia"/>
          <w:b/>
          <w:bCs/>
          <w:sz w:val="24"/>
        </w:rPr>
        <w:t>地表水环境质量现状</w:t>
      </w:r>
      <w:bookmarkEnd w:id="268"/>
    </w:p>
    <w:p w14:paraId="374FEC51">
      <w:pPr>
        <w:spacing w:line="360" w:lineRule="auto"/>
        <w:ind w:firstLine="480" w:firstLineChars="200"/>
        <w:jc w:val="left"/>
        <w:rPr>
          <w:rFonts w:eastAsiaTheme="minorEastAsia"/>
          <w:b/>
          <w:bCs/>
          <w:sz w:val="24"/>
        </w:rPr>
      </w:pPr>
      <w:r>
        <w:rPr>
          <w:rFonts w:hint="eastAsia" w:eastAsiaTheme="minorEastAsia"/>
          <w:sz w:val="24"/>
        </w:rPr>
        <w:t>根据</w:t>
      </w:r>
      <w:r>
        <w:rPr>
          <w:rFonts w:hint="eastAsia" w:eastAsiaTheme="minorEastAsia"/>
          <w:bCs/>
          <w:snapToGrid w:val="0"/>
          <w:kern w:val="0"/>
          <w:sz w:val="24"/>
          <w:szCs w:val="20"/>
        </w:rPr>
        <w:t>《随州市2024年环境状况公报》，</w:t>
      </w:r>
      <w:r>
        <w:rPr>
          <w:rFonts w:hint="eastAsia"/>
          <w:sz w:val="24"/>
        </w:rPr>
        <w:t>2023年至2024年期间，规划园区范围主要受纳水体</w:t>
      </w:r>
      <w:r>
        <w:rPr>
          <w:rFonts w:hint="eastAsia" w:eastAsiaTheme="minorEastAsia"/>
          <w:sz w:val="24"/>
        </w:rPr>
        <w:t>溠水、厥水河、漂水、游河</w:t>
      </w:r>
      <w:r>
        <w:rPr>
          <w:rFonts w:hint="eastAsia"/>
          <w:sz w:val="24"/>
        </w:rPr>
        <w:t>地表水环境质量</w:t>
      </w:r>
      <w:r>
        <w:rPr>
          <w:sz w:val="24"/>
        </w:rPr>
        <w:t>均满足《地表水环境质量标准》（GB3838-2002）中</w:t>
      </w:r>
      <w:r>
        <w:rPr>
          <w:rFonts w:hint="eastAsia"/>
          <w:sz w:val="24"/>
        </w:rPr>
        <w:t>III</w:t>
      </w:r>
      <w:r>
        <w:rPr>
          <w:sz w:val="24"/>
        </w:rPr>
        <w:t>类水质标准，属于地表水环境质量达标区。</w:t>
      </w:r>
    </w:p>
    <w:p w14:paraId="0899DCD1">
      <w:pPr>
        <w:keepNext/>
        <w:keepLines/>
        <w:widowControl/>
        <w:numPr>
          <w:ilvl w:val="2"/>
          <w:numId w:val="1"/>
        </w:numPr>
        <w:spacing w:before="120" w:after="120" w:line="360" w:lineRule="auto"/>
        <w:jc w:val="left"/>
        <w:outlineLvl w:val="2"/>
        <w:rPr>
          <w:rFonts w:eastAsiaTheme="minorEastAsia"/>
          <w:b/>
          <w:bCs/>
          <w:sz w:val="24"/>
        </w:rPr>
      </w:pPr>
      <w:bookmarkStart w:id="269" w:name="_Toc206495085"/>
      <w:r>
        <w:rPr>
          <w:rFonts w:hint="eastAsia" w:eastAsiaTheme="minorEastAsia"/>
          <w:b/>
          <w:bCs/>
          <w:sz w:val="24"/>
        </w:rPr>
        <w:t>地下水环境质量现状</w:t>
      </w:r>
      <w:bookmarkEnd w:id="269"/>
    </w:p>
    <w:p w14:paraId="2DABE5BF">
      <w:pPr>
        <w:spacing w:line="360" w:lineRule="auto"/>
        <w:ind w:firstLine="480" w:firstLineChars="200"/>
        <w:jc w:val="left"/>
        <w:rPr>
          <w:sz w:val="24"/>
        </w:rPr>
      </w:pPr>
      <w:r>
        <w:rPr>
          <w:rFonts w:hint="eastAsia"/>
          <w:sz w:val="24"/>
        </w:rPr>
        <w:t>根据补充监测结果分析可知，园区所在区域地下水监测井中各监测因子的监测浓度均满足《地下水质量标准》(GB/T14848-2017)中Ⅲ类标准要求。</w:t>
      </w:r>
    </w:p>
    <w:p w14:paraId="155A0EF1">
      <w:pPr>
        <w:keepNext/>
        <w:keepLines/>
        <w:widowControl/>
        <w:numPr>
          <w:ilvl w:val="2"/>
          <w:numId w:val="1"/>
        </w:numPr>
        <w:spacing w:before="120" w:after="120" w:line="360" w:lineRule="auto"/>
        <w:jc w:val="left"/>
        <w:outlineLvl w:val="2"/>
        <w:rPr>
          <w:rFonts w:eastAsiaTheme="minorEastAsia"/>
          <w:b/>
          <w:bCs/>
          <w:sz w:val="24"/>
        </w:rPr>
      </w:pPr>
      <w:bookmarkStart w:id="270" w:name="_Toc206495086"/>
      <w:r>
        <w:rPr>
          <w:rFonts w:hint="eastAsia" w:eastAsiaTheme="minorEastAsia"/>
          <w:b/>
          <w:bCs/>
          <w:sz w:val="24"/>
        </w:rPr>
        <w:t>土壤环境质量现状</w:t>
      </w:r>
      <w:bookmarkEnd w:id="270"/>
    </w:p>
    <w:p w14:paraId="3CBCD49A">
      <w:pPr>
        <w:spacing w:line="360" w:lineRule="auto"/>
        <w:ind w:firstLine="480" w:firstLineChars="200"/>
        <w:jc w:val="left"/>
        <w:rPr>
          <w:rFonts w:eastAsiaTheme="minorEastAsia"/>
          <w:b/>
          <w:bCs/>
          <w:sz w:val="24"/>
        </w:rPr>
      </w:pPr>
      <w:r>
        <w:rPr>
          <w:rFonts w:hint="eastAsia"/>
          <w:sz w:val="24"/>
        </w:rPr>
        <w:t>根据补充监测结果分析可知，</w:t>
      </w:r>
      <w:r>
        <w:rPr>
          <w:rFonts w:hint="eastAsia" w:eastAsiaTheme="minorEastAsia"/>
          <w:kern w:val="20"/>
          <w:sz w:val="24"/>
        </w:rPr>
        <w:t>园区</w:t>
      </w:r>
      <w:r>
        <w:rPr>
          <w:rFonts w:eastAsiaTheme="minorEastAsia"/>
          <w:kern w:val="20"/>
          <w:sz w:val="24"/>
        </w:rPr>
        <w:t>所在</w:t>
      </w:r>
      <w:r>
        <w:rPr>
          <w:rFonts w:hint="eastAsia" w:eastAsiaTheme="minorEastAsia"/>
          <w:kern w:val="20"/>
          <w:sz w:val="24"/>
        </w:rPr>
        <w:t>地</w:t>
      </w:r>
      <w:r>
        <w:rPr>
          <w:rFonts w:eastAsiaTheme="minorEastAsia"/>
          <w:kern w:val="20"/>
          <w:sz w:val="24"/>
        </w:rPr>
        <w:t>建设用地中各监测因子满足《土壤环境质量 建设用地土壤污染风险管控标准》（GB36600-2018）第二类筛选值标准，</w:t>
      </w:r>
      <w:r>
        <w:rPr>
          <w:rFonts w:hint="eastAsia" w:eastAsiaTheme="minorEastAsia"/>
          <w:kern w:val="20"/>
          <w:sz w:val="24"/>
        </w:rPr>
        <w:t>农用地各监测点位土壤环境质量满足《土壤环境质量  农用地土壤污染风险管控标准》（GB15618-2018）中风险筛选值，</w:t>
      </w:r>
    </w:p>
    <w:p w14:paraId="3657B3FD">
      <w:pPr>
        <w:keepNext/>
        <w:keepLines/>
        <w:widowControl/>
        <w:numPr>
          <w:ilvl w:val="2"/>
          <w:numId w:val="1"/>
        </w:numPr>
        <w:spacing w:before="120" w:after="120" w:line="360" w:lineRule="auto"/>
        <w:jc w:val="left"/>
        <w:outlineLvl w:val="2"/>
        <w:rPr>
          <w:rFonts w:eastAsiaTheme="minorEastAsia"/>
          <w:b/>
          <w:bCs/>
          <w:sz w:val="24"/>
        </w:rPr>
      </w:pPr>
      <w:bookmarkStart w:id="271" w:name="_Toc206495087"/>
      <w:r>
        <w:rPr>
          <w:rFonts w:hint="eastAsia" w:eastAsiaTheme="minorEastAsia"/>
          <w:b/>
          <w:bCs/>
          <w:sz w:val="24"/>
        </w:rPr>
        <w:t>声环境质量现状</w:t>
      </w:r>
      <w:bookmarkEnd w:id="271"/>
    </w:p>
    <w:p w14:paraId="46D93B92">
      <w:pPr>
        <w:spacing w:line="360" w:lineRule="auto"/>
        <w:ind w:firstLine="480" w:firstLineChars="200"/>
        <w:jc w:val="left"/>
        <w:rPr>
          <w:rFonts w:eastAsiaTheme="minorEastAsia"/>
          <w:sz w:val="24"/>
        </w:rPr>
      </w:pPr>
      <w:r>
        <w:rPr>
          <w:rFonts w:hint="eastAsia"/>
          <w:sz w:val="24"/>
        </w:rPr>
        <w:t>根据补充监测结果分析可知，</w:t>
      </w:r>
      <w:r>
        <w:rPr>
          <w:rFonts w:hint="eastAsia" w:eastAsiaTheme="minorEastAsia"/>
          <w:sz w:val="24"/>
        </w:rPr>
        <w:t>园区内</w:t>
      </w:r>
      <w:r>
        <w:rPr>
          <w:rFonts w:eastAsiaTheme="minorEastAsia"/>
          <w:sz w:val="24"/>
        </w:rPr>
        <w:t>企业边界外昼、夜间噪声均满足《声环境质量标准》</w:t>
      </w:r>
      <w:r>
        <w:rPr>
          <w:rFonts w:eastAsiaTheme="minorEastAsia"/>
          <w:kern w:val="20"/>
          <w:sz w:val="24"/>
        </w:rPr>
        <w:t>（GB3096-2008）3类标准要求，次干路边界</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4a</w:t>
      </w:r>
      <w:r>
        <w:rPr>
          <w:rFonts w:eastAsiaTheme="minorEastAsia"/>
          <w:kern w:val="20"/>
          <w:sz w:val="24"/>
        </w:rPr>
        <w:t>类标准要求，其他居民点及空地</w:t>
      </w:r>
      <w:r>
        <w:rPr>
          <w:rFonts w:eastAsiaTheme="minorEastAsia"/>
          <w:sz w:val="24"/>
        </w:rPr>
        <w:t>昼、夜间噪声均满足《声环境质量标准》</w:t>
      </w:r>
      <w:r>
        <w:rPr>
          <w:rFonts w:eastAsiaTheme="minorEastAsia"/>
          <w:kern w:val="20"/>
          <w:sz w:val="24"/>
        </w:rPr>
        <w:t>（GB3096-2008）</w:t>
      </w:r>
      <w:r>
        <w:rPr>
          <w:rFonts w:hint="eastAsia" w:eastAsiaTheme="minorEastAsia"/>
          <w:kern w:val="20"/>
          <w:sz w:val="24"/>
        </w:rPr>
        <w:t>2</w:t>
      </w:r>
      <w:r>
        <w:rPr>
          <w:rFonts w:eastAsiaTheme="minorEastAsia"/>
          <w:kern w:val="20"/>
          <w:sz w:val="24"/>
        </w:rPr>
        <w:t>类标准要求。</w:t>
      </w:r>
    </w:p>
    <w:p w14:paraId="2DE123D1">
      <w:pPr>
        <w:keepNext/>
        <w:keepLines/>
        <w:widowControl/>
        <w:numPr>
          <w:ilvl w:val="2"/>
          <w:numId w:val="1"/>
        </w:numPr>
        <w:spacing w:before="120" w:after="120" w:line="360" w:lineRule="auto"/>
        <w:jc w:val="left"/>
        <w:outlineLvl w:val="2"/>
        <w:rPr>
          <w:rFonts w:eastAsiaTheme="minorEastAsia"/>
          <w:b/>
          <w:bCs/>
          <w:sz w:val="24"/>
        </w:rPr>
      </w:pPr>
      <w:bookmarkStart w:id="272" w:name="_Toc206495088"/>
      <w:r>
        <w:rPr>
          <w:rFonts w:hint="eastAsia" w:eastAsiaTheme="minorEastAsia"/>
          <w:b/>
          <w:bCs/>
          <w:sz w:val="24"/>
        </w:rPr>
        <w:t>生态环境</w:t>
      </w:r>
      <w:bookmarkEnd w:id="272"/>
    </w:p>
    <w:p w14:paraId="30BCF713">
      <w:pPr>
        <w:spacing w:line="360" w:lineRule="auto"/>
        <w:ind w:firstLine="480" w:firstLineChars="200"/>
        <w:jc w:val="left"/>
        <w:rPr>
          <w:rFonts w:eastAsiaTheme="minorEastAsia"/>
          <w:kern w:val="20"/>
          <w:sz w:val="24"/>
        </w:rPr>
      </w:pPr>
      <w:r>
        <w:rPr>
          <w:rFonts w:hint="eastAsia" w:eastAsiaTheme="minorEastAsia"/>
          <w:kern w:val="20"/>
          <w:sz w:val="24"/>
        </w:rPr>
        <w:t>根据《湖北省主体功能规划》，随县属于襄随国家层面农产品主产区。根据《湖北省生态功能区划》，规划区域属于VI鄂东北低山丘陵森林生态区—VI1桐柏山常绿、落叶阔叶混交林生态亚区—VI1-1桐柏山水源涵养与水土保持生态功能区。</w:t>
      </w:r>
    </w:p>
    <w:p w14:paraId="7E4ECD55">
      <w:pPr>
        <w:spacing w:line="360" w:lineRule="auto"/>
        <w:ind w:firstLine="480" w:firstLineChars="200"/>
        <w:jc w:val="left"/>
        <w:rPr>
          <w:rFonts w:eastAsiaTheme="minorEastAsia"/>
          <w:kern w:val="20"/>
          <w:sz w:val="24"/>
        </w:rPr>
      </w:pPr>
      <w:r>
        <w:rPr>
          <w:rFonts w:hint="eastAsia" w:eastAsiaTheme="minorEastAsia"/>
          <w:kern w:val="20"/>
          <w:sz w:val="24"/>
        </w:rPr>
        <w:t>根据调查，规划区域常见自然植被划为4个植被型组，8个植被型，30个群系；另外，常见栽培植被类型有经济林型和用材林型，2个群系。自然植被以阔叶林为主，针阔混交林也较多。陆生脊椎动物包括两栖类、爬行类、鸟类、兽类。两栖动物中蛙科和叉舌蛙科所含种类最多。爬行动物中游蛇科种类最多。鸟类以目统计，雀形目的种类最多，占绝大多数。兽类中鼬科和鼠科均有5种，数量最多。区域常见鱼类主要有草鱼、鲢、鳙、鲤、鲫、翘嘴鲌、黄颡鱼、鳜、鲇、黄鳝、泥鳅等。园区评价范围内无国家重点保护野生动植物、古树名木。</w:t>
      </w:r>
    </w:p>
    <w:p w14:paraId="3F72507F">
      <w:pPr>
        <w:spacing w:line="360" w:lineRule="auto"/>
        <w:ind w:firstLine="480" w:firstLineChars="200"/>
        <w:jc w:val="left"/>
        <w:rPr>
          <w:rFonts w:eastAsiaTheme="minorEastAsia"/>
          <w:kern w:val="20"/>
          <w:sz w:val="24"/>
        </w:rPr>
      </w:pPr>
      <w:r>
        <w:rPr>
          <w:rFonts w:hint="eastAsia" w:eastAsiaTheme="minorEastAsia"/>
          <w:kern w:val="20"/>
          <w:sz w:val="24"/>
        </w:rPr>
        <w:t>评价区内的自然生物群落包括森林生物群落、灌丛/灌草丛生物群落和湿地生物群落，人工生物群落主要为农田生物群落，以农田生物群落为主，群落均为常见类型；生态系统包括森林生态系统、灌丛生态系统、农业生态系统、湿地生态系统和村落生态系统，农业生态系统最多，无特殊类型生态系统。</w:t>
      </w:r>
    </w:p>
    <w:p w14:paraId="7612AF9D">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73" w:name="_Toc206495089"/>
      <w:r>
        <w:rPr>
          <w:rFonts w:hint="eastAsia" w:eastAsiaTheme="minorEastAsia"/>
          <w:b/>
          <w:bCs/>
          <w:sz w:val="30"/>
          <w:szCs w:val="28"/>
        </w:rPr>
        <w:t>环境影响预测评价</w:t>
      </w:r>
      <w:bookmarkEnd w:id="273"/>
    </w:p>
    <w:p w14:paraId="3995D05E">
      <w:pPr>
        <w:keepNext/>
        <w:keepLines/>
        <w:widowControl/>
        <w:numPr>
          <w:ilvl w:val="2"/>
          <w:numId w:val="1"/>
        </w:numPr>
        <w:spacing w:before="120" w:after="120" w:line="360" w:lineRule="auto"/>
        <w:jc w:val="left"/>
        <w:outlineLvl w:val="2"/>
        <w:rPr>
          <w:rFonts w:eastAsiaTheme="minorEastAsia"/>
          <w:b/>
          <w:bCs/>
          <w:sz w:val="24"/>
        </w:rPr>
      </w:pPr>
      <w:bookmarkStart w:id="274" w:name="_Toc206495090"/>
      <w:r>
        <w:rPr>
          <w:rFonts w:hint="eastAsia" w:eastAsiaTheme="minorEastAsia"/>
          <w:b/>
          <w:bCs/>
          <w:sz w:val="24"/>
        </w:rPr>
        <w:t>环境空气影响分析</w:t>
      </w:r>
      <w:bookmarkEnd w:id="274"/>
    </w:p>
    <w:p w14:paraId="1DB7A4BF">
      <w:pPr>
        <w:spacing w:line="360" w:lineRule="auto"/>
        <w:ind w:firstLine="480" w:firstLineChars="200"/>
        <w:jc w:val="left"/>
        <w:rPr>
          <w:rFonts w:eastAsiaTheme="minorEastAsia"/>
          <w:sz w:val="24"/>
        </w:rPr>
      </w:pPr>
      <w:r>
        <w:rPr>
          <w:rFonts w:hint="eastAsia" w:eastAsiaTheme="minorEastAsia"/>
          <w:sz w:val="24"/>
        </w:rPr>
        <w:t>规划园区企业大切粉尘、磨光粉尘、仿形粉尘、荔枝面加工粉尘、切边开槽粉尘等采取车间封闭管理、湿法加工作业等措施后在车间内无组织排放；喷砂面粉尘经喷砂机配备的自动分离和自带滤芯除尘系统处理后在车间内无组织排放；破碎、筛分粉尘经除尘器处理后排放；堆场扬尘采取合理布局堆料场、减少物料露天堆放、及时清理地面粉尘、建筑围挡、喷淋等措施后无组织排放；运输扬尘采取厂区内地面硬化、定期清扫、洒水降尘等措施后无组织排放。各工业企业应确保废气污染物满足《大气污染物综合排放标准》（GB16297-1996）表2二级标准及无组织排放监控浓度限值在；</w:t>
      </w:r>
    </w:p>
    <w:p w14:paraId="09A3DB92">
      <w:pPr>
        <w:spacing w:line="360" w:lineRule="auto"/>
        <w:ind w:firstLine="480" w:firstLineChars="200"/>
        <w:jc w:val="left"/>
        <w:rPr>
          <w:rFonts w:eastAsiaTheme="minorEastAsia"/>
          <w:sz w:val="24"/>
        </w:rPr>
      </w:pPr>
      <w:r>
        <w:rPr>
          <w:rFonts w:hint="eastAsia" w:eastAsiaTheme="minorEastAsia"/>
          <w:sz w:val="24"/>
        </w:rPr>
        <w:t>规划园区各工业企业建设过程中应注意对周边居住区的防护。各入驻项目环评阶段，应严格按照相关要求对项目的大气环境防护距离进行计算，项目防护距离内不能存在居住区等环境敏感点。园区项目初步选址时，应参照防护距离的计算结果，论证选址的合理性，在不满足防护距离要求的情况下，应重新选址或调整项目平面布置，保证各污染单元与周围敏感点的防护距离满足要求。</w:t>
      </w:r>
    </w:p>
    <w:p w14:paraId="74187024">
      <w:pPr>
        <w:spacing w:line="360" w:lineRule="auto"/>
        <w:ind w:firstLine="480" w:firstLineChars="200"/>
        <w:jc w:val="left"/>
        <w:rPr>
          <w:rFonts w:eastAsiaTheme="minorEastAsia"/>
          <w:sz w:val="24"/>
        </w:rPr>
      </w:pPr>
      <w:r>
        <w:rPr>
          <w:rFonts w:hint="eastAsia" w:eastAsiaTheme="minorEastAsia"/>
          <w:sz w:val="24"/>
        </w:rPr>
        <w:t>规划园区各企业在严格落实各种污染防治措施后，区域空气环境质量会得到进一步的改善；同时</w:t>
      </w:r>
      <w:r>
        <w:rPr>
          <w:rFonts w:hint="eastAsia" w:eastAsiaTheme="minorEastAsia"/>
          <w:kern w:val="20"/>
          <w:sz w:val="24"/>
        </w:rPr>
        <w:t>根据《市人民政府关于印发随州市空气质量持续改善行动方案的通知》（随政发〔2024〕11号）要求，在全市开展产业结构转型升级行动等十大行动，随着上述措施的逐步推进和落实，规划所在区域空气将得到改善。</w:t>
      </w:r>
    </w:p>
    <w:p w14:paraId="464586B1">
      <w:pPr>
        <w:keepNext/>
        <w:keepLines/>
        <w:widowControl/>
        <w:numPr>
          <w:ilvl w:val="2"/>
          <w:numId w:val="1"/>
        </w:numPr>
        <w:spacing w:before="120" w:after="120" w:line="360" w:lineRule="auto"/>
        <w:jc w:val="left"/>
        <w:outlineLvl w:val="2"/>
        <w:rPr>
          <w:rFonts w:eastAsiaTheme="minorEastAsia"/>
          <w:b/>
          <w:bCs/>
          <w:sz w:val="24"/>
        </w:rPr>
      </w:pPr>
      <w:bookmarkStart w:id="275" w:name="_Toc206495091"/>
      <w:r>
        <w:rPr>
          <w:rFonts w:hint="eastAsia" w:eastAsiaTheme="minorEastAsia"/>
          <w:b/>
          <w:bCs/>
          <w:sz w:val="24"/>
        </w:rPr>
        <w:t>地表水环境影响分析</w:t>
      </w:r>
      <w:bookmarkEnd w:id="275"/>
    </w:p>
    <w:p w14:paraId="7A54687B">
      <w:pPr>
        <w:spacing w:line="360" w:lineRule="auto"/>
        <w:ind w:firstLine="480" w:firstLineChars="200"/>
        <w:jc w:val="left"/>
        <w:rPr>
          <w:rFonts w:eastAsiaTheme="minorEastAsia"/>
          <w:b/>
          <w:bCs/>
          <w:color w:val="FF0000"/>
          <w:sz w:val="24"/>
        </w:rPr>
      </w:pPr>
      <w:r>
        <w:rPr>
          <w:rFonts w:hint="eastAsia" w:eastAsiaTheme="minorEastAsia"/>
          <w:sz w:val="24"/>
        </w:rPr>
        <w:t>规划区域生产废水经企业自行处理后回用，不外排。生活污水经隔油池、化粪池处理满足</w:t>
      </w:r>
      <w:r>
        <w:rPr>
          <w:rFonts w:hint="eastAsia"/>
          <w:sz w:val="24"/>
          <w:szCs w:val="22"/>
        </w:rPr>
        <w:t>《污水综合排放标准》（GB8978-1996）三级标准及</w:t>
      </w:r>
      <w:r>
        <w:rPr>
          <w:rFonts w:hint="eastAsia"/>
          <w:sz w:val="24"/>
        </w:rPr>
        <w:t>乡镇污水处理厂进水水质标准要求后通过</w:t>
      </w:r>
      <w:r>
        <w:rPr>
          <w:rFonts w:hint="eastAsia" w:eastAsiaTheme="minorEastAsia"/>
          <w:sz w:val="24"/>
        </w:rPr>
        <w:t>市政污水管网排入乡镇污水处理厂，</w:t>
      </w:r>
      <w:r>
        <w:rPr>
          <w:rFonts w:eastAsiaTheme="minorEastAsia"/>
          <w:sz w:val="24"/>
        </w:rPr>
        <w:t>污水处理厂出水满足《城镇污水处理厂污染物排放标准》（GB18918-2002）一级A标准后排入</w:t>
      </w:r>
      <w:r>
        <w:rPr>
          <w:rFonts w:hint="eastAsia" w:eastAsiaTheme="minorEastAsia"/>
          <w:sz w:val="24"/>
        </w:rPr>
        <w:t>周边地表水体。预测水污染防治措施落实后，园区废水污染物排放量降低，规划实施产生的污水总体上对水环境的影响程度减轻。</w:t>
      </w:r>
    </w:p>
    <w:p w14:paraId="297C8A3D">
      <w:pPr>
        <w:keepNext/>
        <w:keepLines/>
        <w:widowControl/>
        <w:numPr>
          <w:ilvl w:val="2"/>
          <w:numId w:val="1"/>
        </w:numPr>
        <w:spacing w:before="120" w:after="120" w:line="360" w:lineRule="auto"/>
        <w:jc w:val="left"/>
        <w:outlineLvl w:val="2"/>
        <w:rPr>
          <w:rFonts w:eastAsiaTheme="minorEastAsia"/>
          <w:b/>
          <w:bCs/>
          <w:sz w:val="24"/>
        </w:rPr>
      </w:pPr>
      <w:bookmarkStart w:id="276" w:name="_Toc206495092"/>
      <w:r>
        <w:rPr>
          <w:rFonts w:hint="eastAsia" w:eastAsiaTheme="minorEastAsia"/>
          <w:b/>
          <w:bCs/>
          <w:sz w:val="24"/>
        </w:rPr>
        <w:t>声环境影响分析</w:t>
      </w:r>
      <w:bookmarkEnd w:id="276"/>
    </w:p>
    <w:p w14:paraId="4AF76191">
      <w:pPr>
        <w:spacing w:line="360" w:lineRule="auto"/>
        <w:ind w:firstLine="480" w:firstLineChars="200"/>
        <w:jc w:val="left"/>
        <w:rPr>
          <w:rFonts w:eastAsiaTheme="minorEastAsia"/>
          <w:b/>
          <w:bCs/>
          <w:sz w:val="24"/>
        </w:rPr>
      </w:pPr>
      <w:r>
        <w:rPr>
          <w:rFonts w:hint="eastAsia" w:eastAsiaTheme="minorEastAsia"/>
          <w:sz w:val="24"/>
        </w:rPr>
        <w:t>规划区营运期噪声源主要有社会生活噪声、交通噪声、工业噪声等，各高噪声源合理布局，加强交通噪声管理的情况下，集中区开发对区域声环境质量影响较小。</w:t>
      </w:r>
    </w:p>
    <w:p w14:paraId="3865478A">
      <w:pPr>
        <w:keepNext/>
        <w:keepLines/>
        <w:widowControl/>
        <w:numPr>
          <w:ilvl w:val="2"/>
          <w:numId w:val="1"/>
        </w:numPr>
        <w:spacing w:before="120" w:after="120" w:line="360" w:lineRule="auto"/>
        <w:jc w:val="left"/>
        <w:outlineLvl w:val="2"/>
        <w:rPr>
          <w:rFonts w:eastAsiaTheme="minorEastAsia"/>
          <w:b/>
          <w:bCs/>
          <w:sz w:val="24"/>
        </w:rPr>
      </w:pPr>
      <w:bookmarkStart w:id="277" w:name="_Toc206495093"/>
      <w:r>
        <w:rPr>
          <w:rFonts w:hint="eastAsia" w:eastAsiaTheme="minorEastAsia"/>
          <w:b/>
          <w:bCs/>
          <w:sz w:val="24"/>
        </w:rPr>
        <w:t>地下水环境影响分析</w:t>
      </w:r>
      <w:bookmarkEnd w:id="277"/>
    </w:p>
    <w:p w14:paraId="7BC8B598">
      <w:pPr>
        <w:spacing w:line="360" w:lineRule="auto"/>
        <w:ind w:firstLine="480" w:firstLineChars="200"/>
        <w:rPr>
          <w:rFonts w:eastAsiaTheme="minorEastAsia"/>
          <w:sz w:val="24"/>
        </w:rPr>
      </w:pPr>
      <w:r>
        <w:rPr>
          <w:rFonts w:hint="eastAsia" w:eastAsiaTheme="minorEastAsia"/>
          <w:sz w:val="24"/>
        </w:rPr>
        <w:t>规划区各基础设施在严格落实各种防渗、防护措施的基础上，周边地下水环境影响不会超过现有水平。根据规划，规划区计划引入的石材加工产业、绿色循环产业对地下水环境影响均较小。规划区将优先引进轻污染企业，严格控制高耗能、高污染型企业入园，且园区内无大面积危险废液或固体废物储存区域，初期雨水污染物相对简单。总体来说，规划区项目在严格执行环保措施后，造成的地下水污染影响较小，不会影响到评价范围内居民用水安全，对地下水质的环境影响可以接受。</w:t>
      </w:r>
    </w:p>
    <w:p w14:paraId="3040B8F0">
      <w:pPr>
        <w:keepNext/>
        <w:keepLines/>
        <w:widowControl/>
        <w:numPr>
          <w:ilvl w:val="2"/>
          <w:numId w:val="1"/>
        </w:numPr>
        <w:spacing w:before="120" w:after="120" w:line="360" w:lineRule="auto"/>
        <w:jc w:val="left"/>
        <w:outlineLvl w:val="2"/>
        <w:rPr>
          <w:rFonts w:eastAsiaTheme="minorEastAsia"/>
          <w:b/>
          <w:bCs/>
          <w:sz w:val="24"/>
        </w:rPr>
      </w:pPr>
      <w:bookmarkStart w:id="278" w:name="_Toc206495094"/>
      <w:r>
        <w:rPr>
          <w:rFonts w:hint="eastAsia" w:eastAsiaTheme="minorEastAsia"/>
          <w:b/>
          <w:bCs/>
          <w:sz w:val="24"/>
        </w:rPr>
        <w:t>固体废物环境影响分析</w:t>
      </w:r>
      <w:bookmarkEnd w:id="278"/>
    </w:p>
    <w:p w14:paraId="1D278418">
      <w:pPr>
        <w:spacing w:line="360" w:lineRule="auto"/>
        <w:ind w:firstLine="480" w:firstLineChars="200"/>
        <w:rPr>
          <w:rFonts w:eastAsiaTheme="minorEastAsia"/>
          <w:sz w:val="24"/>
        </w:rPr>
      </w:pPr>
      <w:r>
        <w:rPr>
          <w:rFonts w:hint="eastAsia" w:eastAsiaTheme="minorEastAsia"/>
          <w:sz w:val="24"/>
        </w:rPr>
        <w:t>规划区统一建立固废收集系统、运输系统、处理系统。对于园区所设置的固废暂存间和危废暂存间，一般工业固体废物暂存过程应满足相应防渗漏、防雨淋、防扬尘等环境保护要求，危险废物必须按照《危险废物贮存污染控制标准》(GB18597-2023)有关规范进行建设和维护使用。经过对各种固体废物采取有效防治措施和管理措施，做好安全防护工作，能有效降低固体废物对周边环境带来不利影响。</w:t>
      </w:r>
    </w:p>
    <w:p w14:paraId="4BF4FBFC">
      <w:pPr>
        <w:keepNext/>
        <w:keepLines/>
        <w:widowControl/>
        <w:numPr>
          <w:ilvl w:val="2"/>
          <w:numId w:val="1"/>
        </w:numPr>
        <w:spacing w:before="120" w:after="120" w:line="360" w:lineRule="auto"/>
        <w:jc w:val="left"/>
        <w:outlineLvl w:val="2"/>
        <w:rPr>
          <w:rFonts w:eastAsiaTheme="minorEastAsia"/>
          <w:b/>
          <w:bCs/>
          <w:sz w:val="24"/>
        </w:rPr>
      </w:pPr>
      <w:bookmarkStart w:id="279" w:name="_Toc206495095"/>
      <w:r>
        <w:rPr>
          <w:rFonts w:hint="eastAsia" w:eastAsiaTheme="minorEastAsia"/>
          <w:b/>
          <w:bCs/>
          <w:sz w:val="24"/>
        </w:rPr>
        <w:t>土壤环境影响分析</w:t>
      </w:r>
      <w:bookmarkEnd w:id="279"/>
    </w:p>
    <w:p w14:paraId="2A62A9D6">
      <w:pPr>
        <w:spacing w:line="360" w:lineRule="auto"/>
        <w:ind w:firstLine="480" w:firstLineChars="200"/>
        <w:rPr>
          <w:rFonts w:eastAsiaTheme="minorEastAsia"/>
          <w:b/>
          <w:bCs/>
          <w:sz w:val="24"/>
        </w:rPr>
      </w:pPr>
      <w:r>
        <w:rPr>
          <w:rFonts w:hint="eastAsia" w:eastAsiaTheme="minorEastAsia"/>
          <w:sz w:val="24"/>
        </w:rPr>
        <w:t>规划区域内废气排放的主要污染物为粉尘，粉尘主要来源于石料加工过程中的石粉，因此废气沉降对附近土壤的影响较小。规划区域企业的工业废水需经过自行处理后回用于生产。若风险状况下污水池发生泄漏后，废水下渗进入土壤。另外，入园企业油类物质暂存区、企业污水预处理站污泥、危险废物废油等在运输、贮存和堆放过程中通过扩散、降水淋洗等直接或间接地影响土壤。由于园区目前已有企业建成运行，根据企业实际运行情况可知，石材加工过程中污染物泄露风险较小，不会导致园区土壤环境质量超标。因此可认为园区的建设不会对土壤造成明显不利影响。</w:t>
      </w:r>
    </w:p>
    <w:p w14:paraId="2F2C8133">
      <w:pPr>
        <w:keepNext/>
        <w:keepLines/>
        <w:widowControl/>
        <w:numPr>
          <w:ilvl w:val="2"/>
          <w:numId w:val="1"/>
        </w:numPr>
        <w:spacing w:before="120" w:after="120" w:line="360" w:lineRule="auto"/>
        <w:jc w:val="left"/>
        <w:outlineLvl w:val="2"/>
        <w:rPr>
          <w:rFonts w:eastAsiaTheme="minorEastAsia"/>
          <w:sz w:val="24"/>
        </w:rPr>
      </w:pPr>
      <w:bookmarkStart w:id="280" w:name="_Toc206495096"/>
      <w:r>
        <w:rPr>
          <w:rFonts w:hint="eastAsia" w:eastAsiaTheme="minorEastAsia"/>
          <w:b/>
          <w:bCs/>
          <w:sz w:val="24"/>
        </w:rPr>
        <w:t>环境风险分析</w:t>
      </w:r>
      <w:bookmarkEnd w:id="280"/>
    </w:p>
    <w:p w14:paraId="24F25074">
      <w:pPr>
        <w:spacing w:line="360" w:lineRule="auto"/>
        <w:ind w:firstLine="480" w:firstLineChars="200"/>
        <w:rPr>
          <w:rFonts w:eastAsiaTheme="minorEastAsia"/>
          <w:sz w:val="24"/>
        </w:rPr>
      </w:pPr>
      <w:r>
        <w:rPr>
          <w:rFonts w:hint="eastAsia" w:eastAsiaTheme="minorEastAsia"/>
          <w:sz w:val="24"/>
        </w:rPr>
        <w:t>本次评价对园区内</w:t>
      </w:r>
      <w:r>
        <w:rPr>
          <w:rFonts w:hint="eastAsia" w:eastAsiaTheme="minorEastAsia"/>
          <w:sz w:val="24"/>
          <w:lang w:eastAsia="zh-CN"/>
        </w:rPr>
        <w:t>涉及</w:t>
      </w:r>
      <w:r>
        <w:rPr>
          <w:rFonts w:hint="eastAsia" w:eastAsiaTheme="minorEastAsia"/>
          <w:sz w:val="24"/>
        </w:rPr>
        <w:t>易燃易爆、有毒有害物质的企业进行了分类整理，并根据《建设项目环境风险评价技术导则》（HJ169-2018）对区内企业使用的危化品进行筛选。评价园区产业可能涉及的重点风险物质主要为液化石油气、润滑油、柴油及炸药等风险物质。规划石材加工为主产业生产过程不涉及危险工艺，根据统计，园区内无比值Q＞1的高风险企业，因此环境风险评价等级为简单分析。经过风险分析，园区在严格落实本评价提出的各项环境风险防范措施和各项应急预案的前提下，园区的环境风险在可接受的范围内。</w:t>
      </w:r>
    </w:p>
    <w:p w14:paraId="4D372066">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81" w:name="_Toc206495097"/>
      <w:r>
        <w:rPr>
          <w:rFonts w:hint="eastAsia" w:eastAsiaTheme="minorEastAsia"/>
          <w:b/>
          <w:bCs/>
          <w:sz w:val="30"/>
          <w:szCs w:val="28"/>
        </w:rPr>
        <w:t>规划综合论证及优化调整建议</w:t>
      </w:r>
      <w:bookmarkEnd w:id="281"/>
    </w:p>
    <w:p w14:paraId="2A04C261">
      <w:pPr>
        <w:keepNext/>
        <w:keepLines/>
        <w:widowControl/>
        <w:numPr>
          <w:ilvl w:val="2"/>
          <w:numId w:val="1"/>
        </w:numPr>
        <w:spacing w:before="120" w:after="120" w:line="360" w:lineRule="auto"/>
        <w:jc w:val="left"/>
        <w:outlineLvl w:val="2"/>
        <w:rPr>
          <w:rFonts w:eastAsiaTheme="minorEastAsia"/>
          <w:b/>
          <w:bCs/>
          <w:sz w:val="24"/>
        </w:rPr>
      </w:pPr>
      <w:bookmarkStart w:id="282" w:name="_Toc206495098"/>
      <w:r>
        <w:rPr>
          <w:rFonts w:hint="eastAsia" w:eastAsiaTheme="minorEastAsia"/>
          <w:b/>
          <w:bCs/>
          <w:sz w:val="24"/>
        </w:rPr>
        <w:t>规划方案的综合论证</w:t>
      </w:r>
      <w:bookmarkEnd w:id="282"/>
    </w:p>
    <w:p w14:paraId="7635F672">
      <w:pPr>
        <w:spacing w:line="360" w:lineRule="auto"/>
        <w:ind w:firstLine="480" w:firstLineChars="200"/>
        <w:rPr>
          <w:rFonts w:eastAsiaTheme="minorEastAsia"/>
          <w:sz w:val="24"/>
        </w:rPr>
      </w:pPr>
      <w:r>
        <w:rPr>
          <w:rFonts w:hint="eastAsia" w:eastAsiaTheme="minorEastAsia"/>
          <w:sz w:val="24"/>
        </w:rPr>
        <w:t>根据发展规划目标及定位，规划与《随州市国土空间总体规划（2021-2035年）》、《随县城乡总体规划（2010—2030）》等规划要求相符，落实了区域规划的要求。</w:t>
      </w:r>
    </w:p>
    <w:p w14:paraId="2C132586">
      <w:pPr>
        <w:spacing w:line="360" w:lineRule="auto"/>
        <w:ind w:firstLine="480" w:firstLineChars="200"/>
        <w:rPr>
          <w:rFonts w:eastAsiaTheme="minorEastAsia"/>
          <w:sz w:val="24"/>
        </w:rPr>
      </w:pPr>
      <w:r>
        <w:rPr>
          <w:rFonts w:hint="eastAsia" w:eastAsiaTheme="minorEastAsia"/>
          <w:sz w:val="24"/>
        </w:rPr>
        <w:t>规划石材企业生产废水全部经处理后回用，新鲜水资源使用集中供水厂供水，符合《随州市重点流域水生态环境保护“ 十四五” 规划》中的水资源循环利用要求。规划区域地表水环境质量属于达标区，</w:t>
      </w:r>
      <w:r>
        <w:rPr>
          <w:rFonts w:eastAsiaTheme="minorEastAsia"/>
          <w:kern w:val="0"/>
          <w:sz w:val="24"/>
        </w:rPr>
        <w:t>园区</w:t>
      </w:r>
      <w:r>
        <w:rPr>
          <w:rFonts w:hint="eastAsia" w:eastAsiaTheme="minorEastAsia"/>
          <w:sz w:val="24"/>
        </w:rPr>
        <w:t>排水量在远期规划乡镇污水处理厂处理能力范围内，同时评价建议加快建设污水处理厂扩容工程，以确保规划园区生活污水能全部纳入污水处理厂进一步处理；在此基础上，园区生活污水纳入污水处理厂可行。</w:t>
      </w:r>
    </w:p>
    <w:p w14:paraId="53116DB9">
      <w:pPr>
        <w:spacing w:line="360" w:lineRule="auto"/>
        <w:ind w:firstLine="480" w:firstLineChars="200"/>
        <w:rPr>
          <w:rFonts w:eastAsiaTheme="minorEastAsia"/>
          <w:sz w:val="24"/>
        </w:rPr>
      </w:pPr>
      <w:r>
        <w:rPr>
          <w:rFonts w:hint="eastAsia" w:eastAsiaTheme="minorEastAsia"/>
          <w:sz w:val="24"/>
        </w:rPr>
        <w:t>园区环境空气属于不达标区，随着</w:t>
      </w:r>
      <w:r>
        <w:rPr>
          <w:rFonts w:hint="eastAsia" w:eastAsiaTheme="minorEastAsia"/>
          <w:kern w:val="20"/>
          <w:sz w:val="24"/>
        </w:rPr>
        <w:t>《市人民政府关于印发随州市空气质量持续改善行动方案的通知》（随政发〔2024〕11号）等措施</w:t>
      </w:r>
      <w:r>
        <w:rPr>
          <w:rFonts w:hint="eastAsia" w:eastAsiaTheme="minorEastAsia"/>
          <w:sz w:val="24"/>
        </w:rPr>
        <w:t>的逐步推进和落实，规划所在区域空气将得到改善。</w:t>
      </w:r>
    </w:p>
    <w:p w14:paraId="3F855718">
      <w:pPr>
        <w:spacing w:line="360" w:lineRule="auto"/>
        <w:ind w:firstLine="480" w:firstLineChars="200"/>
        <w:jc w:val="left"/>
        <w:rPr>
          <w:rFonts w:eastAsiaTheme="minorEastAsia"/>
          <w:sz w:val="24"/>
        </w:rPr>
      </w:pPr>
      <w:r>
        <w:rPr>
          <w:rFonts w:hint="eastAsia" w:eastAsiaTheme="minorEastAsia"/>
          <w:sz w:val="24"/>
        </w:rPr>
        <w:t>本次规划产业均需符合《产业结构调整指导目录（2024年本）》要求才准许进入，同时需符合随州市、随县相关要求，禁止建设不符合产业政策要求或产能过剩的项目。产业定位的各行业在符合相关行业准入条件下，与产业政策可做到相容。</w:t>
      </w:r>
    </w:p>
    <w:p w14:paraId="6AF4866F">
      <w:pPr>
        <w:keepNext/>
        <w:keepLines/>
        <w:widowControl/>
        <w:numPr>
          <w:ilvl w:val="2"/>
          <w:numId w:val="1"/>
        </w:numPr>
        <w:spacing w:before="120" w:after="120" w:line="360" w:lineRule="auto"/>
        <w:jc w:val="left"/>
        <w:outlineLvl w:val="2"/>
        <w:rPr>
          <w:rFonts w:eastAsiaTheme="minorEastAsia"/>
          <w:b/>
          <w:bCs/>
          <w:sz w:val="24"/>
        </w:rPr>
      </w:pPr>
      <w:bookmarkStart w:id="283" w:name="_Toc206495099"/>
      <w:r>
        <w:rPr>
          <w:rFonts w:hint="eastAsia" w:eastAsiaTheme="minorEastAsia"/>
          <w:b/>
          <w:bCs/>
          <w:sz w:val="24"/>
        </w:rPr>
        <w:t>方案的优化调整建议</w:t>
      </w:r>
      <w:bookmarkEnd w:id="283"/>
    </w:p>
    <w:p w14:paraId="7A1B6369">
      <w:pPr>
        <w:spacing w:line="360" w:lineRule="auto"/>
        <w:ind w:firstLine="480" w:firstLineChars="200"/>
        <w:jc w:val="left"/>
        <w:rPr>
          <w:rFonts w:eastAsiaTheme="minorEastAsia"/>
          <w:sz w:val="24"/>
        </w:rPr>
      </w:pPr>
      <w:r>
        <w:rPr>
          <w:rFonts w:hint="eastAsia" w:eastAsiaTheme="minorEastAsia"/>
          <w:sz w:val="24"/>
        </w:rPr>
        <w:t>根据对园区规划及现状的分析，提出规划优化调整建议清单如下表。</w:t>
      </w:r>
    </w:p>
    <w:p w14:paraId="606B69EC">
      <w:pPr>
        <w:spacing w:line="360" w:lineRule="auto"/>
        <w:ind w:firstLine="422" w:firstLineChars="200"/>
        <w:jc w:val="center"/>
        <w:rPr>
          <w:rFonts w:eastAsiaTheme="minorEastAsia"/>
          <w:b/>
          <w:bCs/>
          <w:sz w:val="24"/>
        </w:rPr>
      </w:pPr>
      <w:r>
        <w:rPr>
          <w:rFonts w:hint="eastAsia"/>
          <w:b/>
          <w:szCs w:val="21"/>
        </w:rPr>
        <w:t>表10.5.2-1  园区优化调整建议清单</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700"/>
        <w:gridCol w:w="5726"/>
      </w:tblGrid>
      <w:tr w14:paraId="5F35C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46" w:type="pct"/>
            <w:vAlign w:val="center"/>
          </w:tcPr>
          <w:p w14:paraId="26B89140">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优化调整类型</w:t>
            </w:r>
          </w:p>
        </w:tc>
        <w:tc>
          <w:tcPr>
            <w:tcW w:w="997" w:type="pct"/>
            <w:tcBorders>
              <w:right w:val="single" w:color="auto" w:sz="4" w:space="0"/>
            </w:tcBorders>
            <w:vAlign w:val="center"/>
          </w:tcPr>
          <w:p w14:paraId="5431AA5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现状、规划情况及存在问题</w:t>
            </w:r>
          </w:p>
        </w:tc>
        <w:tc>
          <w:tcPr>
            <w:tcW w:w="3357" w:type="pct"/>
            <w:tcBorders>
              <w:left w:val="single" w:color="auto" w:sz="4" w:space="0"/>
            </w:tcBorders>
            <w:vAlign w:val="center"/>
          </w:tcPr>
          <w:p w14:paraId="6AA0D29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优化调整建议</w:t>
            </w:r>
          </w:p>
        </w:tc>
      </w:tr>
      <w:tr w14:paraId="7E3D3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646" w:type="pct"/>
            <w:vMerge w:val="restart"/>
            <w:vAlign w:val="center"/>
          </w:tcPr>
          <w:p w14:paraId="640E369F">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用地布局</w:t>
            </w:r>
          </w:p>
        </w:tc>
        <w:tc>
          <w:tcPr>
            <w:tcW w:w="997" w:type="pct"/>
            <w:tcBorders>
              <w:bottom w:val="single" w:color="auto" w:sz="4" w:space="0"/>
              <w:right w:val="single" w:color="auto" w:sz="4" w:space="0"/>
            </w:tcBorders>
            <w:vAlign w:val="center"/>
          </w:tcPr>
          <w:p w14:paraId="1E86EAC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生态隔离带和生态廊道</w:t>
            </w:r>
          </w:p>
        </w:tc>
        <w:tc>
          <w:tcPr>
            <w:tcW w:w="3357" w:type="pct"/>
            <w:tcBorders>
              <w:left w:val="single" w:color="auto" w:sz="4" w:space="0"/>
              <w:bottom w:val="single" w:color="auto" w:sz="4" w:space="0"/>
            </w:tcBorders>
            <w:vAlign w:val="center"/>
          </w:tcPr>
          <w:p w14:paraId="6F034BB1">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园区逐步完善相应的防护距离内的绿化、生态廊道、绿化隔离带建设。其他防护性绿地按照规划方案和具体进驻企业环境影响程度予以逐步实施。</w:t>
            </w:r>
          </w:p>
        </w:tc>
      </w:tr>
      <w:tr w14:paraId="0C7E8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646" w:type="pct"/>
            <w:vMerge w:val="continue"/>
            <w:vAlign w:val="center"/>
          </w:tcPr>
          <w:p w14:paraId="7C72F27E">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26F0C4D1">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园区工业居住区混杂</w:t>
            </w:r>
          </w:p>
        </w:tc>
        <w:tc>
          <w:tcPr>
            <w:tcW w:w="3357" w:type="pct"/>
            <w:tcBorders>
              <w:top w:val="single" w:color="auto" w:sz="4" w:space="0"/>
              <w:left w:val="single" w:color="auto" w:sz="4" w:space="0"/>
            </w:tcBorders>
            <w:vAlign w:val="center"/>
          </w:tcPr>
          <w:p w14:paraId="06FA145F">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后续管理、规划开发过程中，结合规划优化现有工业与居民混杂区域产业布局，逐步实现工业区与居住区的分离，加强工业区与生活区生态隔离带建设，减缓工业生产对区内居民的影响。</w:t>
            </w:r>
          </w:p>
        </w:tc>
      </w:tr>
      <w:tr w14:paraId="610D2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646" w:type="pct"/>
            <w:vMerge w:val="restart"/>
            <w:vAlign w:val="center"/>
          </w:tcPr>
          <w:p w14:paraId="6EBE7987">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基础设施</w:t>
            </w:r>
          </w:p>
        </w:tc>
        <w:tc>
          <w:tcPr>
            <w:tcW w:w="997" w:type="pct"/>
            <w:tcBorders>
              <w:bottom w:val="single" w:color="auto" w:sz="4" w:space="0"/>
              <w:right w:val="single" w:color="auto" w:sz="4" w:space="0"/>
            </w:tcBorders>
            <w:vAlign w:val="center"/>
          </w:tcPr>
          <w:p w14:paraId="7C7799C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供水管网建设不完善</w:t>
            </w:r>
          </w:p>
        </w:tc>
        <w:tc>
          <w:tcPr>
            <w:tcW w:w="3357" w:type="pct"/>
            <w:tcBorders>
              <w:left w:val="single" w:color="auto" w:sz="4" w:space="0"/>
              <w:bottom w:val="single" w:color="auto" w:sz="4" w:space="0"/>
            </w:tcBorders>
            <w:vAlign w:val="center"/>
          </w:tcPr>
          <w:p w14:paraId="784F2BCB">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建设供水管网，实施园区供水管网全覆盖，为园区企业提供自来水，减少地下水的使用直至园区全部采用自来水作为水源。</w:t>
            </w:r>
          </w:p>
        </w:tc>
      </w:tr>
      <w:tr w14:paraId="30EB3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646" w:type="pct"/>
            <w:vMerge w:val="continue"/>
            <w:vAlign w:val="center"/>
          </w:tcPr>
          <w:p w14:paraId="52F8A1C3">
            <w:pPr>
              <w:pStyle w:val="45"/>
              <w:spacing w:line="320" w:lineRule="exact"/>
              <w:contextualSpacing/>
              <w:jc w:val="center"/>
              <w:rPr>
                <w:rFonts w:ascii="Times New Roman" w:hAnsi="Times New Roman" w:cs="Times New Roman"/>
                <w:szCs w:val="21"/>
              </w:rPr>
            </w:pPr>
          </w:p>
        </w:tc>
        <w:tc>
          <w:tcPr>
            <w:tcW w:w="997" w:type="pct"/>
            <w:tcBorders>
              <w:top w:val="single" w:color="auto" w:sz="4" w:space="0"/>
              <w:bottom w:val="single" w:color="auto" w:sz="4" w:space="0"/>
              <w:right w:val="single" w:color="auto" w:sz="4" w:space="0"/>
            </w:tcBorders>
            <w:vAlign w:val="center"/>
          </w:tcPr>
          <w:p w14:paraId="33AB38C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排水管网建设滞后</w:t>
            </w:r>
          </w:p>
        </w:tc>
        <w:tc>
          <w:tcPr>
            <w:tcW w:w="3357" w:type="pct"/>
            <w:tcBorders>
              <w:top w:val="single" w:color="auto" w:sz="4" w:space="0"/>
              <w:left w:val="single" w:color="auto" w:sz="4" w:space="0"/>
              <w:bottom w:val="single" w:color="auto" w:sz="4" w:space="0"/>
            </w:tcBorders>
            <w:vAlign w:val="center"/>
          </w:tcPr>
          <w:p w14:paraId="110EB648">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配套建设污水收纳管网，建议随县各乡镇人民政府尽快为园区配套建设市政污水管网，将产业园区内全部生活污水收纳排入乡镇污水处理厂深度处理。</w:t>
            </w:r>
          </w:p>
        </w:tc>
      </w:tr>
      <w:tr w14:paraId="41CCE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646" w:type="pct"/>
            <w:vMerge w:val="continue"/>
            <w:vAlign w:val="center"/>
          </w:tcPr>
          <w:p w14:paraId="4ABE8406">
            <w:pPr>
              <w:pStyle w:val="45"/>
              <w:spacing w:line="320" w:lineRule="exact"/>
              <w:contextualSpacing/>
              <w:jc w:val="center"/>
              <w:rPr>
                <w:rFonts w:ascii="Times New Roman" w:hAnsi="Times New Roman" w:cs="Times New Roman"/>
                <w:szCs w:val="21"/>
              </w:rPr>
            </w:pPr>
          </w:p>
        </w:tc>
        <w:tc>
          <w:tcPr>
            <w:tcW w:w="997" w:type="pct"/>
            <w:tcBorders>
              <w:top w:val="single" w:color="auto" w:sz="4" w:space="0"/>
              <w:bottom w:val="single" w:color="auto" w:sz="4" w:space="0"/>
              <w:right w:val="single" w:color="auto" w:sz="4" w:space="0"/>
            </w:tcBorders>
            <w:vAlign w:val="center"/>
          </w:tcPr>
          <w:p w14:paraId="33047A4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雨水管网建设滞后</w:t>
            </w:r>
          </w:p>
        </w:tc>
        <w:tc>
          <w:tcPr>
            <w:tcW w:w="3357" w:type="pct"/>
            <w:tcBorders>
              <w:top w:val="single" w:color="auto" w:sz="4" w:space="0"/>
              <w:left w:val="single" w:color="auto" w:sz="4" w:space="0"/>
              <w:bottom w:val="single" w:color="auto" w:sz="4" w:space="0"/>
            </w:tcBorders>
            <w:vAlign w:val="center"/>
          </w:tcPr>
          <w:p w14:paraId="3FEDBD19">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配套建设完善的雨水管网，建议随县各乡镇人民政府尽快为园区配套建设市政雨水管网，将产业园区内雨水纳入雨水管网中就近排入河流。</w:t>
            </w:r>
          </w:p>
        </w:tc>
      </w:tr>
      <w:tr w14:paraId="71F85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continue"/>
            <w:vAlign w:val="center"/>
          </w:tcPr>
          <w:p w14:paraId="4B62B638">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2D48449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道路交通建设滞后</w:t>
            </w:r>
          </w:p>
        </w:tc>
        <w:tc>
          <w:tcPr>
            <w:tcW w:w="3357" w:type="pct"/>
            <w:tcBorders>
              <w:top w:val="single" w:color="auto" w:sz="4" w:space="0"/>
              <w:left w:val="single" w:color="auto" w:sz="4" w:space="0"/>
            </w:tcBorders>
            <w:vAlign w:val="center"/>
          </w:tcPr>
          <w:p w14:paraId="0537CCD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建设完善的道路交通系统，完善路网结构、停车场等基础设施。对现状路网线型进行梳理，优化存在的安全隐患交叉口。优化厂区交通组织，减少园区中轴交通压力；对破损道路进行修复，减少运输粉尘排放。</w:t>
            </w:r>
          </w:p>
        </w:tc>
      </w:tr>
      <w:tr w14:paraId="173EE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restart"/>
            <w:vAlign w:val="center"/>
          </w:tcPr>
          <w:p w14:paraId="56D117E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环境管理</w:t>
            </w:r>
          </w:p>
        </w:tc>
        <w:tc>
          <w:tcPr>
            <w:tcW w:w="997" w:type="pct"/>
            <w:tcBorders>
              <w:top w:val="single" w:color="auto" w:sz="4" w:space="0"/>
              <w:right w:val="single" w:color="auto" w:sz="4" w:space="0"/>
            </w:tcBorders>
            <w:vAlign w:val="center"/>
          </w:tcPr>
          <w:p w14:paraId="18AEB58E">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现有园区未建立完善的环境管理制定</w:t>
            </w:r>
          </w:p>
        </w:tc>
        <w:tc>
          <w:tcPr>
            <w:tcW w:w="3357" w:type="pct"/>
            <w:tcBorders>
              <w:top w:val="single" w:color="auto" w:sz="4" w:space="0"/>
              <w:left w:val="single" w:color="auto" w:sz="4" w:space="0"/>
            </w:tcBorders>
            <w:vAlign w:val="center"/>
          </w:tcPr>
          <w:p w14:paraId="4F732494">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加强环境管理联动工作，建立危废物管理台账，完善产业园环境保护各项制度。建立企业“一企一策”整治提升工作方案。督导企业完善环保应急设施，落实整改要求，提高生态管理水平。</w:t>
            </w:r>
          </w:p>
        </w:tc>
      </w:tr>
      <w:tr w14:paraId="3E3EB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6" w:type="pct"/>
            <w:vMerge w:val="continue"/>
            <w:vAlign w:val="center"/>
          </w:tcPr>
          <w:p w14:paraId="30D3432D">
            <w:pPr>
              <w:pStyle w:val="45"/>
              <w:spacing w:line="320" w:lineRule="exact"/>
              <w:contextualSpacing/>
              <w:jc w:val="center"/>
              <w:rPr>
                <w:rFonts w:ascii="Times New Roman" w:hAnsi="Times New Roman" w:cs="Times New Roman"/>
                <w:szCs w:val="21"/>
              </w:rPr>
            </w:pPr>
          </w:p>
        </w:tc>
        <w:tc>
          <w:tcPr>
            <w:tcW w:w="997" w:type="pct"/>
            <w:tcBorders>
              <w:top w:val="single" w:color="auto" w:sz="4" w:space="0"/>
              <w:right w:val="single" w:color="auto" w:sz="4" w:space="0"/>
            </w:tcBorders>
            <w:vAlign w:val="center"/>
          </w:tcPr>
          <w:p w14:paraId="0ED1155D">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环保手续执行力度不够</w:t>
            </w:r>
          </w:p>
        </w:tc>
        <w:tc>
          <w:tcPr>
            <w:tcW w:w="3357" w:type="pct"/>
            <w:tcBorders>
              <w:top w:val="single" w:color="auto" w:sz="4" w:space="0"/>
              <w:left w:val="single" w:color="auto" w:sz="4" w:space="0"/>
            </w:tcBorders>
            <w:vAlign w:val="center"/>
          </w:tcPr>
          <w:p w14:paraId="51354F8F">
            <w:pPr>
              <w:pStyle w:val="45"/>
              <w:spacing w:line="320" w:lineRule="exact"/>
              <w:ind w:firstLine="420" w:firstLineChars="200"/>
              <w:contextualSpacing/>
              <w:rPr>
                <w:rFonts w:ascii="Times New Roman" w:hAnsi="Times New Roman" w:cs="Times New Roman"/>
                <w:szCs w:val="21"/>
              </w:rPr>
            </w:pPr>
            <w:r>
              <w:rPr>
                <w:rFonts w:hint="eastAsia" w:ascii="Times New Roman" w:hAnsi="Times New Roman" w:cs="Times New Roman"/>
                <w:szCs w:val="21"/>
              </w:rPr>
              <w:t>督促园区现有未履行环境影响评价手续与“三同时”竣工验收手续企业补办环保手续，对新入区建设项目须严格执行环境影响评价制度，经有审批权的环境保护行政主管部门同意后方可入区建设，落实排污总量控制指标。</w:t>
            </w:r>
          </w:p>
        </w:tc>
      </w:tr>
    </w:tbl>
    <w:p w14:paraId="6B428B9F">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84" w:name="_Toc206495100"/>
      <w:r>
        <w:rPr>
          <w:rFonts w:hint="eastAsia" w:eastAsiaTheme="minorEastAsia"/>
          <w:b/>
          <w:bCs/>
          <w:sz w:val="30"/>
          <w:szCs w:val="28"/>
        </w:rPr>
        <w:t>环境影响减缓对策与措施</w:t>
      </w:r>
      <w:bookmarkEnd w:id="284"/>
    </w:p>
    <w:p w14:paraId="7EA9B01A">
      <w:pPr>
        <w:keepNext/>
        <w:keepLines/>
        <w:widowControl/>
        <w:numPr>
          <w:ilvl w:val="2"/>
          <w:numId w:val="1"/>
        </w:numPr>
        <w:spacing w:before="120" w:after="120" w:line="360" w:lineRule="auto"/>
        <w:jc w:val="left"/>
        <w:outlineLvl w:val="2"/>
        <w:rPr>
          <w:rFonts w:eastAsiaTheme="minorEastAsia"/>
          <w:b/>
          <w:bCs/>
          <w:sz w:val="24"/>
        </w:rPr>
      </w:pPr>
      <w:bookmarkStart w:id="285" w:name="_Toc206495101"/>
      <w:r>
        <w:rPr>
          <w:rFonts w:hint="eastAsia" w:eastAsiaTheme="minorEastAsia"/>
          <w:b/>
          <w:bCs/>
          <w:sz w:val="24"/>
        </w:rPr>
        <w:t>生态环境保护措施</w:t>
      </w:r>
      <w:bookmarkEnd w:id="285"/>
    </w:p>
    <w:p w14:paraId="1E2E2939">
      <w:pPr>
        <w:spacing w:line="360" w:lineRule="auto"/>
        <w:ind w:firstLine="480" w:firstLineChars="200"/>
        <w:jc w:val="left"/>
        <w:rPr>
          <w:rFonts w:eastAsiaTheme="minorEastAsia"/>
          <w:sz w:val="24"/>
        </w:rPr>
      </w:pPr>
      <w:r>
        <w:rPr>
          <w:rFonts w:hint="eastAsia" w:eastAsiaTheme="minorEastAsia"/>
          <w:sz w:val="24"/>
        </w:rPr>
        <w:t>（1）大气环境影响减缓措施</w:t>
      </w:r>
    </w:p>
    <w:p w14:paraId="61A46D88">
      <w:pPr>
        <w:spacing w:line="360" w:lineRule="auto"/>
        <w:ind w:firstLine="480" w:firstLineChars="200"/>
        <w:jc w:val="left"/>
        <w:rPr>
          <w:rFonts w:eastAsiaTheme="minorEastAsia"/>
          <w:sz w:val="24"/>
        </w:rPr>
      </w:pPr>
      <w:r>
        <w:rPr>
          <w:rFonts w:hint="eastAsia" w:eastAsiaTheme="minorEastAsia"/>
          <w:sz w:val="24"/>
        </w:rPr>
        <w:t>①工业大气污染源减缓措施：严禁不符合园区产业定位的产业建设。合理控制能源消费总量，提高能源使用效率。全面推广清洁能源利用，优先使用天然气、液化石油气等清洁能源，禁止引入带有燃煤锅炉的企业。进一步加大对现有污染源治理力度，尤其是不能稳定达标的企业，应限期治理。企业应推行清洁生产，优化生产工艺，减少废气的产生量。</w:t>
      </w:r>
    </w:p>
    <w:p w14:paraId="5253EEE6">
      <w:pPr>
        <w:spacing w:line="360" w:lineRule="auto"/>
        <w:ind w:firstLine="480" w:firstLineChars="200"/>
        <w:jc w:val="left"/>
        <w:rPr>
          <w:rFonts w:eastAsiaTheme="minorEastAsia"/>
          <w:sz w:val="24"/>
        </w:rPr>
      </w:pPr>
      <w:r>
        <w:rPr>
          <w:rFonts w:hint="eastAsia" w:eastAsiaTheme="minorEastAsia"/>
          <w:sz w:val="24"/>
        </w:rPr>
        <w:t>②生活大气污染源减缓措施：加强管理，减轻油烟污染。规划区域垃圾转运站的选址应与居民区、商业区保持一定的距离并处于下风向位置，垃圾转运站的设计应符合相关要求，垃圾转运站与周围环境敏感点之间应设置绿化防护带并设置除臭防尘设施，臭气排口远离周围的环境敏感点。</w:t>
      </w:r>
    </w:p>
    <w:p w14:paraId="1A64F2F7">
      <w:pPr>
        <w:spacing w:line="360" w:lineRule="auto"/>
        <w:ind w:firstLine="480" w:firstLineChars="200"/>
        <w:jc w:val="left"/>
        <w:rPr>
          <w:rFonts w:eastAsiaTheme="minorEastAsia"/>
          <w:sz w:val="24"/>
        </w:rPr>
      </w:pPr>
      <w:r>
        <w:rPr>
          <w:rFonts w:hint="eastAsia" w:eastAsiaTheme="minorEastAsia"/>
          <w:sz w:val="24"/>
        </w:rPr>
        <w:t>③交通大气污染源减缓措施：加强机动车环保管理；提升车用燃料油品质，使用清洁能源；发展绿色交通：推广新能源汽车等。</w:t>
      </w:r>
    </w:p>
    <w:p w14:paraId="1618949F">
      <w:pPr>
        <w:spacing w:line="360" w:lineRule="auto"/>
        <w:ind w:firstLine="480" w:firstLineChars="200"/>
        <w:jc w:val="left"/>
        <w:rPr>
          <w:rFonts w:eastAsiaTheme="minorEastAsia"/>
          <w:sz w:val="24"/>
        </w:rPr>
      </w:pPr>
      <w:r>
        <w:rPr>
          <w:rFonts w:hint="eastAsia" w:eastAsiaTheme="minorEastAsia"/>
          <w:sz w:val="24"/>
        </w:rPr>
        <w:t>（2）地表水环境影响减缓措施</w:t>
      </w:r>
    </w:p>
    <w:p w14:paraId="0DD64A81">
      <w:pPr>
        <w:spacing w:line="360" w:lineRule="auto"/>
        <w:ind w:firstLine="480" w:firstLineChars="200"/>
        <w:jc w:val="left"/>
        <w:rPr>
          <w:rFonts w:eastAsiaTheme="minorEastAsia"/>
          <w:sz w:val="24"/>
        </w:rPr>
      </w:pPr>
      <w:r>
        <w:rPr>
          <w:rFonts w:hint="eastAsia" w:eastAsiaTheme="minorEastAsia"/>
          <w:sz w:val="24"/>
        </w:rPr>
        <w:t>①工业废水减缓措施：实行清污分流、雨污分流，建立完善的污水管网系统和雨水管网系统。园区中石材加工企业生产废水应汇集至多格循环沉淀池处理后循环使用，严禁外排。企业厂区内应根据规范要求设置化粪池，生活污水经化粪池处理后引入园区污水管道系统至污水处理厂集中处理。企业石材加工生产区地面初期雨水应收集处理后回用于厂区生产或洒水降尘。石材产业园石材加工企业外排生活污水应经预处理达到接管标准后方可排入各乡镇污水处理厂。合理安排开发建设时序，加强入园项目环境影响评价管理和“三同时”验收。加强监督管理，确保入驻企业的污水预处理设施正常运行，总排水口污染物浓度稳定达标排放。</w:t>
      </w:r>
    </w:p>
    <w:p w14:paraId="104BB367">
      <w:pPr>
        <w:spacing w:line="360" w:lineRule="auto"/>
        <w:ind w:firstLine="480" w:firstLineChars="200"/>
        <w:rPr>
          <w:rFonts w:eastAsiaTheme="minorEastAsia"/>
          <w:sz w:val="24"/>
        </w:rPr>
      </w:pPr>
      <w:r>
        <w:rPr>
          <w:rFonts w:hint="eastAsia" w:eastAsiaTheme="minorEastAsia"/>
          <w:sz w:val="24"/>
        </w:rPr>
        <w:t>②生活污水减缓措施：园区应加大环保基础设施投资，加快园区生活污水收集管网建设，以尽快实现全面截污。石材产业园污水收集管网建成后，各类商铺、居民、企业的生活污水经化粪池预处理后排入市政污水管网；餐饮、食堂废水经隔油+化粪池处理后排入市政污水管网；区域降雨进入雨水管网。确保园区生活污水全部经收集引入各乡镇污水处理厂进一步处理。</w:t>
      </w:r>
    </w:p>
    <w:p w14:paraId="34F8B17C">
      <w:pPr>
        <w:spacing w:line="360" w:lineRule="auto"/>
        <w:ind w:firstLine="480" w:firstLineChars="200"/>
        <w:jc w:val="left"/>
        <w:rPr>
          <w:rFonts w:eastAsiaTheme="minorEastAsia"/>
          <w:sz w:val="24"/>
        </w:rPr>
      </w:pPr>
      <w:r>
        <w:rPr>
          <w:rFonts w:hint="eastAsia" w:eastAsiaTheme="minorEastAsia"/>
          <w:sz w:val="24"/>
        </w:rPr>
        <w:t>③初期雨水减缓措施：针对园区内入驻的石材加工企业的生产区、堆场和框架式露天生产区地面初期雨水，应设置导流沟、截污渠和初期雨水收集池，雨水管应增加控制阀门以便对初期雨水进行截留，防止直接外排。厂区收集的初期雨水经沉淀处理后回用于生产或洒水降尘。</w:t>
      </w:r>
    </w:p>
    <w:p w14:paraId="5F3F131C">
      <w:pPr>
        <w:spacing w:line="360" w:lineRule="auto"/>
        <w:ind w:firstLine="480" w:firstLineChars="200"/>
        <w:jc w:val="left"/>
        <w:rPr>
          <w:rFonts w:eastAsiaTheme="minorEastAsia"/>
          <w:sz w:val="24"/>
        </w:rPr>
      </w:pPr>
      <w:r>
        <w:rPr>
          <w:rFonts w:hint="eastAsia" w:eastAsiaTheme="minorEastAsia"/>
          <w:sz w:val="24"/>
        </w:rPr>
        <w:t>（3）固废环境影响减缓措施</w:t>
      </w:r>
    </w:p>
    <w:p w14:paraId="589BFE0A">
      <w:pPr>
        <w:spacing w:line="360" w:lineRule="auto"/>
        <w:ind w:firstLine="480" w:firstLineChars="200"/>
        <w:jc w:val="left"/>
        <w:rPr>
          <w:rFonts w:eastAsiaTheme="minorEastAsia"/>
          <w:sz w:val="24"/>
        </w:rPr>
      </w:pPr>
      <w:r>
        <w:rPr>
          <w:rFonts w:hint="eastAsia" w:eastAsiaTheme="minorEastAsia"/>
          <w:sz w:val="24"/>
        </w:rPr>
        <w:t>园区工业企业产生的一般工业固体废物，统一收集后交专业回收公司回收处置。危险固体废物交由有资质单位处理。一般工业固体废物暂存过程应满足相应防渗漏、防雨淋、防扬尘等环境保护要求，危废贮存必须按照《危险废物贮存污染控制标准》(GB18597-2023)，落实各项防扬散、防流失、防渗等措施。规划实施后将对生活垃圾进行分类处理，再由垃圾收集点分类收集后经垃圾收集站统一运往垃圾无害化处理场处理。</w:t>
      </w:r>
    </w:p>
    <w:p w14:paraId="4658F767">
      <w:pPr>
        <w:spacing w:line="360" w:lineRule="auto"/>
        <w:ind w:firstLine="480" w:firstLineChars="200"/>
        <w:jc w:val="left"/>
        <w:rPr>
          <w:rFonts w:eastAsiaTheme="minorEastAsia"/>
          <w:sz w:val="24"/>
        </w:rPr>
      </w:pPr>
      <w:r>
        <w:rPr>
          <w:rFonts w:hint="eastAsia" w:eastAsiaTheme="minorEastAsia"/>
          <w:sz w:val="24"/>
        </w:rPr>
        <w:t>（4）声环境影响减缓措施</w:t>
      </w:r>
    </w:p>
    <w:p w14:paraId="255C52E0">
      <w:pPr>
        <w:spacing w:line="360" w:lineRule="auto"/>
        <w:ind w:firstLine="480" w:firstLineChars="200"/>
        <w:jc w:val="left"/>
        <w:rPr>
          <w:rFonts w:eastAsiaTheme="minorEastAsia"/>
          <w:sz w:val="24"/>
        </w:rPr>
      </w:pPr>
      <w:r>
        <w:rPr>
          <w:rFonts w:hint="eastAsia" w:eastAsiaTheme="minorEastAsia"/>
          <w:sz w:val="24"/>
        </w:rPr>
        <w:t>①工业噪声控制：规划区采取合理布局，加强管理，选用低噪声设备、安装消音器、隔声罩、减震底座等多种措施控制噪声源。</w:t>
      </w:r>
    </w:p>
    <w:p w14:paraId="02BCDC59">
      <w:pPr>
        <w:spacing w:line="360" w:lineRule="auto"/>
        <w:ind w:firstLine="480" w:firstLineChars="200"/>
        <w:jc w:val="left"/>
        <w:rPr>
          <w:rFonts w:eastAsiaTheme="minorEastAsia"/>
          <w:sz w:val="24"/>
        </w:rPr>
      </w:pPr>
      <w:r>
        <w:rPr>
          <w:rFonts w:hint="eastAsia" w:eastAsiaTheme="minorEastAsia"/>
          <w:sz w:val="24"/>
        </w:rPr>
        <w:t>②交通噪声控制：完善道路两侧绿化隔离带、控制车辆噪声源强、采用改性沥青路面、加强道路交通管理、调整路边建筑布局等措施。</w:t>
      </w:r>
    </w:p>
    <w:p w14:paraId="199D4F4E">
      <w:pPr>
        <w:spacing w:line="360" w:lineRule="auto"/>
        <w:ind w:firstLine="480" w:firstLineChars="200"/>
        <w:jc w:val="left"/>
        <w:rPr>
          <w:rFonts w:eastAsiaTheme="minorEastAsia"/>
          <w:sz w:val="24"/>
        </w:rPr>
      </w:pPr>
      <w:r>
        <w:rPr>
          <w:rFonts w:hint="eastAsia" w:eastAsiaTheme="minorEastAsia"/>
          <w:sz w:val="24"/>
        </w:rPr>
        <w:t>③社会生活噪声控制：加强家庭音响设备、家庭装潢、装修及商业经营、文化娱乐等活动的噪声通知。</w:t>
      </w:r>
    </w:p>
    <w:p w14:paraId="49966EF3">
      <w:pPr>
        <w:spacing w:line="360" w:lineRule="auto"/>
        <w:ind w:firstLine="480" w:firstLineChars="200"/>
        <w:jc w:val="left"/>
        <w:rPr>
          <w:rFonts w:eastAsiaTheme="minorEastAsia"/>
          <w:sz w:val="24"/>
        </w:rPr>
      </w:pPr>
      <w:r>
        <w:rPr>
          <w:rFonts w:hint="eastAsia" w:eastAsiaTheme="minorEastAsia"/>
          <w:sz w:val="24"/>
        </w:rPr>
        <w:t>（5）生态环境保护措施</w:t>
      </w:r>
    </w:p>
    <w:p w14:paraId="56F254B7">
      <w:pPr>
        <w:spacing w:line="360" w:lineRule="auto"/>
        <w:ind w:firstLine="480" w:firstLineChars="200"/>
        <w:rPr>
          <w:rFonts w:eastAsiaTheme="minorEastAsia"/>
          <w:sz w:val="24"/>
        </w:rPr>
      </w:pPr>
      <w:r>
        <w:rPr>
          <w:rFonts w:hint="eastAsia" w:eastAsiaTheme="minorEastAsia"/>
          <w:sz w:val="24"/>
        </w:rPr>
        <w:t>构建区域内绿化及水系系统，合理配置绿化树种，绿化应采取多种形式以提高绿地率。</w:t>
      </w:r>
    </w:p>
    <w:p w14:paraId="2B3626E9">
      <w:pPr>
        <w:keepNext/>
        <w:keepLines/>
        <w:widowControl/>
        <w:numPr>
          <w:ilvl w:val="2"/>
          <w:numId w:val="1"/>
        </w:numPr>
        <w:spacing w:before="120" w:after="120" w:line="360" w:lineRule="auto"/>
        <w:jc w:val="left"/>
        <w:outlineLvl w:val="2"/>
        <w:rPr>
          <w:rFonts w:eastAsiaTheme="minorEastAsia"/>
          <w:b/>
          <w:bCs/>
          <w:sz w:val="24"/>
        </w:rPr>
      </w:pPr>
      <w:bookmarkStart w:id="286" w:name="_Toc206495102"/>
      <w:r>
        <w:rPr>
          <w:rFonts w:hint="eastAsia" w:eastAsiaTheme="minorEastAsia"/>
          <w:b/>
          <w:bCs/>
          <w:sz w:val="24"/>
        </w:rPr>
        <w:t>环境准入负面清单</w:t>
      </w:r>
      <w:bookmarkEnd w:id="286"/>
    </w:p>
    <w:p w14:paraId="285FFE29">
      <w:pPr>
        <w:widowControl/>
        <w:adjustRightInd w:val="0"/>
        <w:snapToGrid w:val="0"/>
        <w:spacing w:line="360" w:lineRule="auto"/>
        <w:ind w:firstLine="480" w:firstLineChars="200"/>
        <w:rPr>
          <w:rFonts w:eastAsiaTheme="minorEastAsia"/>
          <w:bCs/>
          <w:snapToGrid w:val="0"/>
          <w:kern w:val="0"/>
          <w:sz w:val="24"/>
          <w:szCs w:val="20"/>
        </w:rPr>
      </w:pPr>
      <w:r>
        <w:rPr>
          <w:rFonts w:hint="eastAsia" w:eastAsiaTheme="minorEastAsia"/>
          <w:bCs/>
          <w:snapToGrid w:val="0"/>
          <w:kern w:val="0"/>
          <w:sz w:val="24"/>
          <w:szCs w:val="20"/>
        </w:rPr>
        <w:t>园区环境准入负面清单见下表。</w:t>
      </w:r>
    </w:p>
    <w:p w14:paraId="3F767677">
      <w:pPr>
        <w:spacing w:line="360" w:lineRule="auto"/>
        <w:ind w:firstLine="422" w:firstLineChars="200"/>
        <w:jc w:val="center"/>
        <w:rPr>
          <w:rFonts w:eastAsiaTheme="minorEastAsia"/>
          <w:b/>
          <w:bCs/>
          <w:sz w:val="24"/>
        </w:rPr>
      </w:pPr>
      <w:r>
        <w:rPr>
          <w:rFonts w:hint="eastAsia"/>
          <w:b/>
          <w:szCs w:val="21"/>
        </w:rPr>
        <w:t>表10.6.2-1  园区环境准入负面清单</w:t>
      </w:r>
    </w:p>
    <w:tbl>
      <w:tblPr>
        <w:tblStyle w:val="8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6796"/>
        <w:gridCol w:w="1077"/>
      </w:tblGrid>
      <w:tr w14:paraId="288CC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384" w:type="pct"/>
            <w:vAlign w:val="center"/>
          </w:tcPr>
          <w:p w14:paraId="00E685C5">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分类</w:t>
            </w:r>
          </w:p>
        </w:tc>
        <w:tc>
          <w:tcPr>
            <w:tcW w:w="3983" w:type="pct"/>
            <w:tcBorders>
              <w:right w:val="single" w:color="auto" w:sz="4" w:space="0"/>
            </w:tcBorders>
            <w:vAlign w:val="center"/>
          </w:tcPr>
          <w:p w14:paraId="4A2CE25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行业清单</w:t>
            </w:r>
          </w:p>
        </w:tc>
        <w:tc>
          <w:tcPr>
            <w:tcW w:w="631" w:type="pct"/>
            <w:tcBorders>
              <w:left w:val="single" w:color="auto" w:sz="4" w:space="0"/>
            </w:tcBorders>
            <w:vAlign w:val="center"/>
          </w:tcPr>
          <w:p w14:paraId="19A3E4FA">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制定依据</w:t>
            </w:r>
          </w:p>
        </w:tc>
      </w:tr>
      <w:tr w14:paraId="6C93F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7" w:hRule="atLeast"/>
          <w:jc w:val="center"/>
        </w:trPr>
        <w:tc>
          <w:tcPr>
            <w:tcW w:w="384" w:type="pct"/>
            <w:vAlign w:val="center"/>
          </w:tcPr>
          <w:p w14:paraId="14D3D7E4">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禁止类</w:t>
            </w:r>
          </w:p>
        </w:tc>
        <w:tc>
          <w:tcPr>
            <w:tcW w:w="3983" w:type="pct"/>
            <w:tcBorders>
              <w:right w:val="single" w:color="auto" w:sz="4" w:space="0"/>
            </w:tcBorders>
            <w:vAlign w:val="center"/>
          </w:tcPr>
          <w:p w14:paraId="25F9EC92">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1.禁止引入不符合产业园产业定位且不利于构建园区主导产业链的项目的行业。</w:t>
            </w:r>
          </w:p>
          <w:p w14:paraId="668F8870">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2.禁止新建、改扩建国家产业政策明令淘汰的产品、技术、工艺、设备及行为的项目。禁止新建国家产业政策明令限制的产品、技术、工艺、设备及行为的项目。</w:t>
            </w:r>
          </w:p>
          <w:p w14:paraId="68BD5099">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3.禁止新建、扩建法律法规和相关政策明令禁止的落后产能项目。禁止新建、改建、扩建未公告产能置换方案的炼钢、炼铁、水泥熟料、平板玻璃、电解铝等产能严重过剩行业项目。</w:t>
            </w:r>
          </w:p>
          <w:p w14:paraId="691C3EB8">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4.禁止高能耗、高污染行业项目。</w:t>
            </w:r>
          </w:p>
          <w:p w14:paraId="1E411A7F">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5.禁止露天焚烧沥青、油毡、橡胶、塑料、皮革、垃圾以及其他产生有毒有害烟尘和恶臭气体的物质。</w:t>
            </w:r>
          </w:p>
          <w:p w14:paraId="6620F38B">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6.禁止建设涉及重金属污染物排放的项目。</w:t>
            </w:r>
          </w:p>
          <w:p w14:paraId="3B25FA14">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7.不得新建燃煤锅炉。</w:t>
            </w:r>
          </w:p>
          <w:p w14:paraId="1D76D5BE">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8.禁止小生产规模板材项目、禁止不采用湿切工艺、废水无沉淀处理工艺、打磨无除尘设施的项目引入。</w:t>
            </w:r>
          </w:p>
          <w:p w14:paraId="064A8B9E">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9.禁止建设涉及重金属污染物排放的项目。</w:t>
            </w:r>
          </w:p>
          <w:p w14:paraId="775BB48B">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10.禁止在永久基本农田范围内投资建设除国家重大战略资源勘查项目、生态保护修复和环境治理项目、重大基础设施项目、军事国防项目以及农民基本生产生活等必要的民生项目以外的项目。除《自然资源部关于做好占用永久基本农田重大建设项目用地预审的通知》(自然资规[2018]3号)确定的六类重大建设项目，以及深度贫困地区、集中连片特困地区、国家扶贫开发工作重点县、省级以下基础设施、易地扶贫搬迁、民生发展等建设项目外，各类非农建设项目严禁占用永久基本农田。</w:t>
            </w:r>
          </w:p>
          <w:p w14:paraId="40C1F5D3">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11.在永久基本农田集中区域，不得新建可能造成土壤污染的建设项目；已经建成的，应当限期关闭拆除。</w:t>
            </w:r>
          </w:p>
          <w:p w14:paraId="48E288A5">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12.在农产品产地外围隔离带内，禁止新建、改建、扩建有色金属、制革、石油、矿山、煤炭、焦化、化工、医药、铅酸蓄电池和电镀等土壤污染高风险行业企业及排放重金属污染物的项目，严格控制城镇开发建设。对农产品产地区域和外围隔离带已建企业应限期关停搬迁。</w:t>
            </w:r>
          </w:p>
          <w:p w14:paraId="4EE881A0">
            <w:pPr>
              <w:pStyle w:val="45"/>
              <w:spacing w:line="320" w:lineRule="exact"/>
              <w:contextualSpacing/>
              <w:rPr>
                <w:rFonts w:ascii="Times New Roman" w:hAnsi="Times New Roman" w:cs="Times New Roman"/>
                <w:szCs w:val="21"/>
              </w:rPr>
            </w:pPr>
            <w:r>
              <w:rPr>
                <w:rFonts w:hint="eastAsia" w:ascii="Times New Roman" w:hAnsi="Times New Roman" w:cs="Times New Roman"/>
                <w:szCs w:val="21"/>
              </w:rPr>
              <w:t>13.农业种植禁止使用剧毒、高残留的农药、兽药。</w:t>
            </w:r>
          </w:p>
        </w:tc>
        <w:tc>
          <w:tcPr>
            <w:tcW w:w="631" w:type="pct"/>
            <w:vMerge w:val="restart"/>
            <w:tcBorders>
              <w:left w:val="single" w:color="auto" w:sz="4" w:space="0"/>
            </w:tcBorders>
            <w:vAlign w:val="center"/>
          </w:tcPr>
          <w:p w14:paraId="716F8B82">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规划区域确定的产业发展导向；《产业结构调整指导目录(2024年本)》；《环境保护综合名录(2021年版)》；其他水、大气、土壤污染防治政策要求。</w:t>
            </w:r>
          </w:p>
        </w:tc>
      </w:tr>
      <w:tr w14:paraId="20DAE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384" w:type="pct"/>
            <w:vAlign w:val="center"/>
          </w:tcPr>
          <w:p w14:paraId="1A22E228">
            <w:pPr>
              <w:pStyle w:val="45"/>
              <w:spacing w:line="320" w:lineRule="exact"/>
              <w:contextualSpacing/>
              <w:jc w:val="center"/>
              <w:rPr>
                <w:rFonts w:ascii="Times New Roman" w:hAnsi="Times New Roman" w:cs="Times New Roman"/>
                <w:szCs w:val="21"/>
              </w:rPr>
            </w:pPr>
            <w:r>
              <w:rPr>
                <w:rFonts w:hint="eastAsia" w:ascii="Times New Roman" w:hAnsi="Times New Roman" w:cs="Times New Roman"/>
                <w:szCs w:val="21"/>
              </w:rPr>
              <w:t>限制类</w:t>
            </w:r>
          </w:p>
        </w:tc>
        <w:tc>
          <w:tcPr>
            <w:tcW w:w="3983" w:type="pct"/>
            <w:tcBorders>
              <w:right w:val="single" w:color="auto" w:sz="4" w:space="0"/>
            </w:tcBorders>
            <w:vAlign w:val="center"/>
          </w:tcPr>
          <w:p w14:paraId="491C2946">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1.涉及国家和地方现行产业政策中限制类项目。</w:t>
            </w:r>
          </w:p>
          <w:p w14:paraId="46646C42">
            <w:pPr>
              <w:pStyle w:val="45"/>
              <w:spacing w:line="320" w:lineRule="exact"/>
              <w:contextualSpacing/>
              <w:jc w:val="left"/>
              <w:rPr>
                <w:rFonts w:ascii="Times New Roman" w:hAnsi="Times New Roman" w:cs="Times New Roman"/>
                <w:szCs w:val="21"/>
              </w:rPr>
            </w:pPr>
            <w:r>
              <w:rPr>
                <w:rFonts w:hint="eastAsia" w:ascii="Times New Roman" w:hAnsi="Times New Roman" w:cs="Times New Roman"/>
                <w:szCs w:val="21"/>
              </w:rPr>
              <w:t>2.限制引入《环境保护综合名录（2021 年版）》高污染或高风险产品项目。</w:t>
            </w:r>
          </w:p>
        </w:tc>
        <w:tc>
          <w:tcPr>
            <w:tcW w:w="631" w:type="pct"/>
            <w:vMerge w:val="continue"/>
            <w:tcBorders>
              <w:left w:val="single" w:color="auto" w:sz="4" w:space="0"/>
            </w:tcBorders>
            <w:vAlign w:val="center"/>
          </w:tcPr>
          <w:p w14:paraId="27B06F8E">
            <w:pPr>
              <w:pStyle w:val="45"/>
              <w:spacing w:line="320" w:lineRule="exact"/>
              <w:contextualSpacing/>
              <w:jc w:val="center"/>
              <w:rPr>
                <w:rFonts w:ascii="Times New Roman" w:hAnsi="Times New Roman" w:cs="Times New Roman"/>
                <w:szCs w:val="21"/>
              </w:rPr>
            </w:pPr>
          </w:p>
        </w:tc>
      </w:tr>
    </w:tbl>
    <w:p w14:paraId="210CB133">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87" w:name="_Toc206495103"/>
      <w:r>
        <w:rPr>
          <w:rFonts w:hint="eastAsia" w:eastAsiaTheme="minorEastAsia"/>
          <w:b/>
          <w:bCs/>
          <w:sz w:val="30"/>
          <w:szCs w:val="28"/>
        </w:rPr>
        <w:t>环境影响跟踪评价</w:t>
      </w:r>
      <w:bookmarkEnd w:id="287"/>
    </w:p>
    <w:p w14:paraId="4E5CA754">
      <w:pPr>
        <w:spacing w:line="360" w:lineRule="auto"/>
        <w:ind w:firstLine="480" w:firstLineChars="200"/>
        <w:jc w:val="left"/>
        <w:rPr>
          <w:rFonts w:eastAsiaTheme="minorEastAsia"/>
          <w:sz w:val="24"/>
        </w:rPr>
      </w:pPr>
      <w:r>
        <w:rPr>
          <w:rFonts w:hint="eastAsia" w:eastAsiaTheme="minorEastAsia"/>
          <w:sz w:val="24"/>
        </w:rPr>
        <w:t>本次评价提出了具体的规划实施环境管理要求，制订了详细的发展监测计划和跟踪评价计划三个方面，为掌握规划实施后对本区域环境质量的影响，必要时采取相应的调整或补充措施，使区域社会经济和环境始终保持和谐发展状态提供了保障。</w:t>
      </w:r>
    </w:p>
    <w:p w14:paraId="1BD6A0EC">
      <w:pPr>
        <w:keepNext/>
        <w:keepLines/>
        <w:widowControl/>
        <w:numPr>
          <w:ilvl w:val="1"/>
          <w:numId w:val="1"/>
        </w:numPr>
        <w:tabs>
          <w:tab w:val="left" w:pos="576"/>
        </w:tabs>
        <w:spacing w:before="240" w:after="120" w:line="360" w:lineRule="auto"/>
        <w:jc w:val="left"/>
        <w:outlineLvl w:val="1"/>
        <w:rPr>
          <w:rFonts w:eastAsiaTheme="minorEastAsia"/>
          <w:b/>
          <w:bCs/>
          <w:sz w:val="30"/>
          <w:szCs w:val="28"/>
        </w:rPr>
      </w:pPr>
      <w:bookmarkStart w:id="288" w:name="_Toc206495104"/>
      <w:r>
        <w:rPr>
          <w:rFonts w:hint="eastAsia" w:eastAsiaTheme="minorEastAsia"/>
          <w:b/>
          <w:bCs/>
          <w:sz w:val="30"/>
          <w:szCs w:val="28"/>
        </w:rPr>
        <w:t>总体评价结论</w:t>
      </w:r>
      <w:bookmarkEnd w:id="288"/>
    </w:p>
    <w:p w14:paraId="02AC1639">
      <w:pPr>
        <w:spacing w:line="360" w:lineRule="auto"/>
        <w:ind w:firstLine="480" w:firstLineChars="200"/>
        <w:jc w:val="left"/>
        <w:rPr>
          <w:rFonts w:eastAsiaTheme="minorEastAsia"/>
          <w:sz w:val="24"/>
        </w:rPr>
      </w:pPr>
      <w:r>
        <w:rPr>
          <w:rFonts w:hint="eastAsia" w:eastAsiaTheme="minorEastAsia"/>
          <w:sz w:val="24"/>
        </w:rPr>
        <w:t>综上所述，本次规划的实施基本符合国家、湖北省、随州市及随县等各层次相关规划和政策的要求。规划的功能定位、发展目标充分考虑到当地社会经济发展的实际需要，也符合当地地理特征和区域环境特征，对当地社会经济发展具有较大的促进作用，其经济效益、社会效益明显。规划实施后，通过采用各项环保措施控制污染物排放，污染物排放量在当地环境容量范围之内。在切实控制开发规模和进度、合理规划产业布局及类型、全面落实本报告提出的各项环境保护措施、风险防范措施、总量控制要求、规划调整方案的基础上，规划实施所产生的不良环境影响得到最大程度的控制，规划的实施具有环境合理性和可行性。另外，园区应衔接湖北省、随州市“三线一单”、国土空间规划、生态环境规划等相关规划最新发布成果，若因上位规划或地方发展战略、区域生态环境质量目标等发生重大变化，导致园区入驻项目与上位规划及环境管理目标不符的，不得执行本次评价提出的项目环评简化建议。</w:t>
      </w:r>
    </w:p>
    <w:p w14:paraId="5C98C672">
      <w:pPr>
        <w:spacing w:line="360" w:lineRule="auto"/>
        <w:ind w:firstLine="480" w:firstLineChars="200"/>
        <w:jc w:val="left"/>
        <w:rPr>
          <w:rFonts w:eastAsiaTheme="minorEastAsia"/>
          <w:sz w:val="24"/>
        </w:rPr>
      </w:pPr>
    </w:p>
    <w:sectPr>
      <w:headerReference r:id="rId12" w:type="default"/>
      <w:pgSz w:w="11906" w:h="16838"/>
      <w:pgMar w:top="1560" w:right="1797" w:bottom="1560" w:left="1797" w:header="851" w:footer="86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隶书">
    <w:altName w:val="微软雅黑"/>
    <w:panose1 w:val="02010800040101010101"/>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黑体">
    <w:panose1 w:val="02010609060101010101"/>
    <w:charset w:val="86"/>
    <w:family w:val="modern"/>
    <w:pitch w:val="default"/>
    <w:sig w:usb0="800002BF" w:usb1="38CF7CFA" w:usb2="00000016" w:usb3="00000000" w:csb0="00040001" w:csb1="00000000"/>
  </w:font>
  <w:font w:name="TimesNewRoman">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003F01FF" w:csb1="00000000"/>
  </w:font>
  <w:font w:name="Arial Narrow">
    <w:altName w:val="Arial"/>
    <w:panose1 w:val="020B0606020202030204"/>
    <w:charset w:val="00"/>
    <w:family w:val="swiss"/>
    <w:pitch w:val="default"/>
    <w:sig w:usb0="00000000" w:usb1="00000000" w:usb2="00000000" w:usb3="00000000" w:csb0="0000009F" w:csb1="00000000"/>
  </w:font>
  <w:font w:name="汉鼎简书宋">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Arial Rounded MT Bold">
    <w:altName w:val="Arial"/>
    <w:panose1 w:val="020F0704030504030204"/>
    <w:charset w:val="00"/>
    <w:family w:val="swiss"/>
    <w:pitch w:val="default"/>
    <w:sig w:usb0="00000000" w:usb1="00000000" w:usb2="00000000" w:usb3="00000000" w:csb0="00000001" w:csb1="00000000"/>
  </w:font>
  <w:font w:name="Bookman Old Style">
    <w:altName w:val="Segoe Print"/>
    <w:panose1 w:val="02050604050505020204"/>
    <w:charset w:val="00"/>
    <w:family w:val="roman"/>
    <w:pitch w:val="default"/>
    <w:sig w:usb0="00000000" w:usb1="00000000" w:usb2="00000000" w:usb3="00000000" w:csb0="0000009F" w:csb1="00000000"/>
  </w:font>
  <w:font w:name="华康宋体W12(P)">
    <w:altName w:val="微软雅黑"/>
    <w:panose1 w:val="00000000000000000000"/>
    <w:charset w:val="86"/>
    <w:family w:val="roman"/>
    <w:pitch w:val="default"/>
    <w:sig w:usb0="00000000" w:usb1="00000000" w:usb2="00000012" w:usb3="00000000" w:csb0="00040000" w:csb1="00000000"/>
  </w:font>
  <w:font w:name="微软雅黑">
    <w:panose1 w:val="020B0503020204020204"/>
    <w:charset w:val="86"/>
    <w:family w:val="swiss"/>
    <w:pitch w:val="default"/>
    <w:sig w:usb0="80000287" w:usb1="2ACF3C50"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华文仿宋">
    <w:altName w:val="仿宋"/>
    <w:panose1 w:val="02010600040101010101"/>
    <w:charset w:val="86"/>
    <w:family w:val="auto"/>
    <w:pitch w:val="default"/>
    <w:sig w:usb0="00000000" w:usb1="00000000" w:usb2="00000010" w:usb3="00000000" w:csb0="0004009F" w:csb1="00000000"/>
  </w:font>
  <w:font w:name="Microsoft YaHei UI">
    <w:panose1 w:val="020B0503020204020204"/>
    <w:charset w:val="86"/>
    <w:family w:val="swiss"/>
    <w:pitch w:val="default"/>
    <w:sig w:usb0="80000287" w:usb1="2ACF3C50" w:usb2="00000016" w:usb3="00000000" w:csb0="0004001F" w:csb1="00000000"/>
  </w:font>
  <w:font w:name="????">
    <w:altName w:val="Malgun Gothic"/>
    <w:panose1 w:val="00000000000000000000"/>
    <w:charset w:val="81"/>
    <w:family w:val="auto"/>
    <w:pitch w:val="default"/>
    <w:sig w:usb0="00000000" w:usb1="00000000" w:usb2="00000010" w:usb3="00000000" w:csb0="00080000" w:csb1="00000000"/>
  </w:font>
  <w:font w:name="華康中楷體">
    <w:altName w:val="Microsoft JhengHei"/>
    <w:panose1 w:val="00000000000000000000"/>
    <w:charset w:val="88"/>
    <w:family w:val="swiss"/>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方正大标宋简体">
    <w:altName w:val="微软雅黑"/>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10" w:usb3="00000000" w:csb0="0004009F" w:csb1="00000000"/>
  </w:font>
  <w:font w:name="Garamond">
    <w:altName w:val="PMingLiU-ExtB"/>
    <w:panose1 w:val="02020404030301010803"/>
    <w:charset w:val="00"/>
    <w:family w:val="roman"/>
    <w:pitch w:val="default"/>
    <w:sig w:usb0="00000000" w:usb1="00000000" w:usb2="00000000" w:usb3="00000000" w:csb0="0000009F" w:csb1="00000000"/>
  </w:font>
  <w:font w:name="Symusic">
    <w:altName w:val="Segoe Print"/>
    <w:panose1 w:val="00000400000000000000"/>
    <w:charset w:val="00"/>
    <w:family w:val="auto"/>
    <w:pitch w:val="default"/>
    <w:sig w:usb0="00000000" w:usb1="00000000" w:usb2="00000000"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Alaska">
    <w:altName w:val="Lucida Sans Unicode"/>
    <w:panose1 w:val="00000000000000000000"/>
    <w:charset w:val="00"/>
    <w:family w:val="swiss"/>
    <w:pitch w:val="default"/>
    <w:sig w:usb0="00000000" w:usb1="00000000"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MS Mincho">
    <w:altName w:val="Yu Gothic UI"/>
    <w:panose1 w:val="02020609040205080304"/>
    <w:charset w:val="80"/>
    <w:family w:val="roman"/>
    <w:pitch w:val="default"/>
    <w:sig w:usb0="00000000" w:usb1="00000000" w:usb2="00000010" w:usb3="00000000" w:csb0="00020000" w:csb1="00000000"/>
  </w:font>
  <w:font w:name="ＭＳ 明朝">
    <w:altName w:val="Segoe Print"/>
    <w:panose1 w:val="00000000000000000000"/>
    <w:charset w:val="00"/>
    <w:family w:val="auto"/>
    <w:pitch w:val="default"/>
    <w:sig w:usb0="00000000" w:usb1="00000000" w:usb2="00000000" w:usb3="00000000" w:csb0="00000000" w:csb1="00000000"/>
  </w:font>
  <w:font w:name="文鼎CS大宋">
    <w:altName w:val="宋体"/>
    <w:panose1 w:val="00000000000000000000"/>
    <w:charset w:val="86"/>
    <w:family w:val="modern"/>
    <w:pitch w:val="default"/>
    <w:sig w:usb0="00000000" w:usb1="00000000" w:usb2="00000010" w:usb3="00000000" w:csb0="00040000" w:csb1="00000000"/>
  </w:font>
  <w:font w:name="Angsana New">
    <w:altName w:val="Microsoft Sans Serif"/>
    <w:panose1 w:val="02020603050405020304"/>
    <w:charset w:val="DE"/>
    <w:family w:val="roman"/>
    <w:pitch w:val="default"/>
    <w:sig w:usb0="00000000" w:usb1="00000000" w:usb2="00000000" w:usb3="00000000" w:csb0="00010000" w:csb1="00000000"/>
  </w:font>
  <w:font w:name="Courier">
    <w:altName w:val="Courier New"/>
    <w:panose1 w:val="02070409020205020404"/>
    <w:charset w:val="00"/>
    <w:family w:val="moder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Univers">
    <w:altName w:val="Segoe Print"/>
    <w:panose1 w:val="00000000000000000000"/>
    <w:charset w:val="00"/>
    <w:family w:val="swiss"/>
    <w:pitch w:val="default"/>
    <w:sig w:usb0="00000000" w:usb1="00000000" w:usb2="00000000" w:usb3="00000000" w:csb0="0000000F" w:csb1="00000000"/>
  </w:font>
  <w:font w:name="文鼎大标宋简">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바탕">
    <w:altName w:val="Segoe Print"/>
    <w:panose1 w:val="00000000000000000000"/>
    <w:charset w:val="00"/>
    <w:family w:val="auto"/>
    <w:pitch w:val="default"/>
    <w:sig w:usb0="00000000" w:usb1="00000000" w:usb2="00000000" w:usb3="00000000" w:csb0="00000000" w:csb1="00000000"/>
  </w:font>
  <w:font w:name="華康中黑體">
    <w:altName w:val="Microsoft JhengHei"/>
    <w:panose1 w:val="00000000000000000000"/>
    <w:charset w:val="88"/>
    <w:family w:val="modern"/>
    <w:pitch w:val="default"/>
    <w:sig w:usb0="00000000" w:usb1="00000000" w:usb2="00000016" w:usb3="00000000" w:csb0="00100000"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PMingLiU">
    <w:altName w:val="Microsoft JhengHei UI"/>
    <w:panose1 w:val="02010601000101010101"/>
    <w:charset w:val="88"/>
    <w:family w:val="auto"/>
    <w:pitch w:val="default"/>
    <w:sig w:usb0="00000000" w:usb1="00000000" w:usb2="00000010" w:usb3="00000000" w:csb0="00100000" w:csb1="00000000"/>
  </w:font>
  <w:font w:name="PMingLiU">
    <w:altName w:val="Segoe Print"/>
    <w:panose1 w:val="00000000000000000000"/>
    <w:charset w:val="00"/>
    <w:family w:val="auto"/>
    <w:pitch w:val="default"/>
    <w:sig w:usb0="00000000" w:usb1="00000000" w:usb2="00000000" w:usb3="00000000" w:csb0="00000000" w:csb1="00000000"/>
  </w:font>
  <w:font w:name="MingLiU">
    <w:altName w:val="PMingLiU-ExtB"/>
    <w:panose1 w:val="02010609000101010101"/>
    <w:charset w:val="88"/>
    <w:family w:val="modern"/>
    <w:pitch w:val="default"/>
    <w:sig w:usb0="00000000" w:usb1="00000000" w:usb2="00000010" w:usb3="00000000" w:csb0="00100000" w:csb1="00000000"/>
  </w:font>
  <w:font w:name="細明體">
    <w:altName w:val="Segoe Print"/>
    <w:panose1 w:val="00000000000000000000"/>
    <w:charset w:val="00"/>
    <w:family w:val="auto"/>
    <w:pitch w:val="default"/>
    <w:sig w:usb0="00000000" w:usb1="00000000" w:usb2="00000000" w:usb3="00000000" w:csb0="00000000" w:csb1="00000000"/>
  </w:font>
  <w:font w:name="Financial  (MF)">
    <w:altName w:val="Times New Roman"/>
    <w:panose1 w:val="00000000000000000000"/>
    <w:charset w:val="00"/>
    <w:family w:val="roman"/>
    <w:pitch w:val="default"/>
    <w:sig w:usb0="00000000" w:usb1="00000000" w:usb2="00000000" w:usb3="00000000" w:csb0="00000001" w:csb1="00000000"/>
  </w:font>
  <w:font w:name="..ì.">
    <w:altName w:val="宋体"/>
    <w:panose1 w:val="00000000000000000000"/>
    <w:charset w:val="86"/>
    <w:family w:val="swiss"/>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D3C2">
    <w:pPr>
      <w:pStyle w:val="55"/>
      <w:pBdr>
        <w:top w:val="thickThinSmallGap" w:color="auto" w:sz="24" w:space="1"/>
      </w:pBdr>
      <w:tabs>
        <w:tab w:val="right" w:pos="8080"/>
        <w:tab w:val="clear" w:pos="8306"/>
      </w:tabs>
      <w:spacing w:after="120" w:afterLines="50" w:line="360" w:lineRule="auto"/>
      <w:ind w:right="25"/>
    </w:pPr>
    <w:r>
      <w:rPr>
        <w:rFonts w:hint="eastAsia"/>
      </w:rPr>
      <w:t xml:space="preserve">湖北凌然环保科技有限公司 </w:t>
    </w:r>
    <w:r>
      <w:t xml:space="preserve">                                         </w:t>
    </w:r>
    <w:r>
      <w:rPr>
        <w:rFonts w:hint="eastAsia"/>
      </w:rPr>
      <w:t xml:space="preserve">      </w:t>
    </w:r>
    <w:r>
      <w:t xml:space="preserve"> </w:t>
    </w:r>
    <w:r>
      <w:rPr>
        <w:rFonts w:hint="eastAsia"/>
      </w:rPr>
      <w:t xml:space="preserve">               </w:t>
    </w:r>
    <w:r>
      <w:fldChar w:fldCharType="begin"/>
    </w:r>
    <w:r>
      <w:instrText xml:space="preserve">PAGE   \* MERGEFORMAT</w:instrText>
    </w:r>
    <w:r>
      <w:fldChar w:fldCharType="separate"/>
    </w:r>
    <w:r>
      <w:rPr>
        <w:lang w:val="zh-CN"/>
      </w:rPr>
      <w:t>IX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E62D">
    <w:pPr>
      <w:pStyle w:val="55"/>
      <w:pBdr>
        <w:top w:val="thickThinSmallGap" w:color="auto" w:sz="24" w:space="1"/>
      </w:pBdr>
      <w:tabs>
        <w:tab w:val="right" w:pos="8080"/>
        <w:tab w:val="clear" w:pos="8306"/>
      </w:tabs>
      <w:spacing w:after="120" w:afterLines="50" w:line="360" w:lineRule="auto"/>
      <w:ind w:right="25"/>
    </w:pPr>
    <w:r>
      <w:rPr>
        <w:rFonts w:hint="eastAsia"/>
      </w:rPr>
      <w:t xml:space="preserve">湖北凌然环保科技有限公司                                 </w:t>
    </w:r>
    <w:r>
      <w:t xml:space="preserve">           </w:t>
    </w:r>
    <w:r>
      <w:rPr>
        <w:rFonts w:hint="eastAsia"/>
      </w:rPr>
      <w:t xml:space="preserve">      </w:t>
    </w:r>
    <w:r>
      <w:t xml:space="preserve"> </w:t>
    </w:r>
    <w:r>
      <w:rPr>
        <w:rFonts w:hint="eastAsia"/>
      </w:rPr>
      <w:t xml:space="preserve">                                                                          </w:t>
    </w:r>
    <w:r>
      <w:fldChar w:fldCharType="begin"/>
    </w:r>
    <w:r>
      <w:instrText xml:space="preserve">PAGE   \* MERGEFORMAT</w:instrText>
    </w:r>
    <w:r>
      <w:fldChar w:fldCharType="separate"/>
    </w:r>
    <w:r>
      <w:rPr>
        <w:lang w:val="zh-CN"/>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BF99">
    <w:pPr>
      <w:pStyle w:val="55"/>
      <w:pBdr>
        <w:top w:val="thickThinSmallGap" w:color="auto" w:sz="24" w:space="1"/>
      </w:pBdr>
      <w:tabs>
        <w:tab w:val="right" w:pos="8080"/>
        <w:tab w:val="clear" w:pos="8306"/>
      </w:tabs>
      <w:spacing w:after="120" w:afterLines="50" w:line="360" w:lineRule="auto"/>
      <w:ind w:right="25"/>
    </w:pPr>
    <w:r>
      <w:rPr>
        <w:rFonts w:hint="eastAsia"/>
      </w:rPr>
      <w:t xml:space="preserve">湖北凌然环保科技有限公司                                 </w:t>
    </w:r>
    <w:r>
      <w:t xml:space="preserve">           </w:t>
    </w:r>
    <w:r>
      <w:rPr>
        <w:rFonts w:hint="eastAsia"/>
      </w:rPr>
      <w:t xml:space="preserve">      </w:t>
    </w:r>
    <w:r>
      <w:t xml:space="preserve"> </w:t>
    </w:r>
    <w:r>
      <w:rPr>
        <w:rFonts w:hint="eastAsia"/>
      </w:rPr>
      <w:t xml:space="preserve">                                                                          </w:t>
    </w:r>
    <w:r>
      <w:fldChar w:fldCharType="begin"/>
    </w:r>
    <w:r>
      <w:instrText xml:space="preserve">PAGE   \* MERGEFORMAT</w:instrText>
    </w:r>
    <w:r>
      <w:fldChar w:fldCharType="separate"/>
    </w:r>
    <w:r>
      <w:rPr>
        <w:lang w:val="zh-CN"/>
      </w:rPr>
      <w:t>88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6BB9">
    <w:pPr>
      <w:pStyle w:val="55"/>
      <w:pBdr>
        <w:top w:val="thickThinSmallGap" w:color="auto" w:sz="24" w:space="1"/>
      </w:pBdr>
      <w:tabs>
        <w:tab w:val="right" w:pos="8080"/>
        <w:tab w:val="clear" w:pos="8306"/>
      </w:tabs>
      <w:spacing w:after="120" w:afterLines="50" w:line="360" w:lineRule="auto"/>
      <w:ind w:right="25"/>
    </w:pPr>
    <w:r>
      <w:rPr>
        <w:rFonts w:hint="eastAsia"/>
      </w:rPr>
      <w:t xml:space="preserve">湖北凌然环保科技有限公司                                 </w:t>
    </w:r>
    <w:r>
      <w:t xml:space="preserve">           </w:t>
    </w:r>
    <w:r>
      <w:rPr>
        <w:rFonts w:hint="eastAsia"/>
      </w:rPr>
      <w:t xml:space="preserve">      </w:t>
    </w:r>
    <w:r>
      <w:t xml:space="preserve"> </w:t>
    </w:r>
    <w:r>
      <w:rPr>
        <w:rFonts w:hint="eastAsia"/>
      </w:rPr>
      <w:t xml:space="preserve">                                       </w:t>
    </w:r>
    <w:r>
      <w:fldChar w:fldCharType="begin"/>
    </w:r>
    <w:r>
      <w:instrText xml:space="preserve">PAGE   \* MERGEFORMAT</w:instrText>
    </w:r>
    <w:r>
      <w:fldChar w:fldCharType="separate"/>
    </w:r>
    <w:r>
      <w:rPr>
        <w:lang w:val="zh-CN"/>
      </w:rPr>
      <w:t>106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C5781">
    <w:pPr>
      <w:pStyle w:val="55"/>
      <w:pBdr>
        <w:top w:val="thickThinSmallGap" w:color="auto" w:sz="24" w:space="1"/>
      </w:pBdr>
      <w:tabs>
        <w:tab w:val="right" w:pos="8080"/>
        <w:tab w:val="clear" w:pos="8306"/>
      </w:tabs>
      <w:spacing w:after="120" w:afterLines="50" w:line="360" w:lineRule="auto"/>
      <w:ind w:right="25"/>
    </w:pPr>
    <w:r>
      <w:rPr>
        <w:rFonts w:hint="eastAsia"/>
      </w:rPr>
      <w:t xml:space="preserve">湖北凌然环保科技有限公司                                 </w:t>
    </w:r>
    <w:r>
      <w:t xml:space="preserve">           </w:t>
    </w:r>
    <w:r>
      <w:rPr>
        <w:rFonts w:hint="eastAsia"/>
      </w:rPr>
      <w:t xml:space="preserve">                                                                            </w:t>
    </w:r>
    <w:r>
      <w:t xml:space="preserve"> </w:t>
    </w:r>
    <w:r>
      <w:rPr>
        <w:rFonts w:hint="eastAsia"/>
      </w:rPr>
      <w:t xml:space="preserve"> </w:t>
    </w:r>
    <w:r>
      <w:fldChar w:fldCharType="begin"/>
    </w:r>
    <w:r>
      <w:instrText xml:space="preserve">PAGE   \* MERGEFORMAT</w:instrText>
    </w:r>
    <w:r>
      <w:fldChar w:fldCharType="separate"/>
    </w:r>
    <w:r>
      <w:rPr>
        <w:lang w:val="zh-CN"/>
      </w:rPr>
      <w:t>272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A84F1">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BF9FB">
    <w:pPr>
      <w:pBdr>
        <w:bottom w:val="thinThickSmallGap" w:color="auto" w:sz="24" w:space="1"/>
      </w:pBdr>
      <w:tabs>
        <w:tab w:val="left" w:pos="8505"/>
      </w:tabs>
      <w:spacing w:before="120" w:beforeLines="50"/>
      <w:jc w:val="center"/>
    </w:pPr>
    <w:r>
      <w:rPr>
        <w:rFonts w:hint="eastAsia"/>
      </w:rPr>
      <w:t>随县石材产业发展规划（2024-2035年）环境影响报告书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64AA1">
    <w:pPr>
      <w:pBdr>
        <w:bottom w:val="thinThickSmallGap" w:color="auto" w:sz="24" w:space="1"/>
      </w:pBdr>
      <w:spacing w:before="240" w:beforeLines="100"/>
      <w:jc w:val="center"/>
    </w:pPr>
    <w:r>
      <w:rPr>
        <w:rFonts w:hint="eastAsia"/>
      </w:rPr>
      <w:t>随县石材产业发展规划（2024-2035年）环境影响报告书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7D64">
    <w:pPr>
      <w:pBdr>
        <w:bottom w:val="thinThickSmallGap" w:color="auto" w:sz="24" w:space="1"/>
      </w:pBdr>
      <w:spacing w:before="240" w:beforeLines="100"/>
      <w:jc w:val="center"/>
    </w:pPr>
    <w:r>
      <w:rPr>
        <w:rFonts w:hint="eastAsia"/>
      </w:rPr>
      <w:t>随县石材产业发展规划（2024-2035年）环境影响报告书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EBCF4">
    <w:pPr>
      <w:pBdr>
        <w:bottom w:val="thinThickSmallGap" w:color="auto" w:sz="24" w:space="1"/>
      </w:pBdr>
      <w:spacing w:before="240" w:beforeLines="100"/>
      <w:jc w:val="center"/>
    </w:pPr>
    <w:r>
      <w:rPr>
        <w:rFonts w:hint="eastAsia"/>
      </w:rPr>
      <w:t>随县石材产业发展规划（2024-2035年）环境影响报告书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1951E0"/>
    <w:multiLevelType w:val="multilevel"/>
    <w:tmpl w:val="2D1951E0"/>
    <w:lvl w:ilvl="0" w:tentative="0">
      <w:start w:val="1"/>
      <w:numFmt w:val="decimal"/>
      <w:lvlText w:val="（%1）"/>
      <w:lvlJc w:val="left"/>
      <w:pPr>
        <w:tabs>
          <w:tab w:val="left" w:pos="420"/>
        </w:tabs>
        <w:ind w:left="425" w:hanging="425"/>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78C27D1"/>
    <w:multiLevelType w:val="multilevel"/>
    <w:tmpl w:val="378C27D1"/>
    <w:lvl w:ilvl="0" w:tentative="0">
      <w:start w:val="1"/>
      <w:numFmt w:val="decimal"/>
      <w:pStyle w:val="1679"/>
      <w:lvlText w:val="%1 "/>
      <w:lvlJc w:val="left"/>
      <w:pPr>
        <w:tabs>
          <w:tab w:val="left" w:pos="0"/>
        </w:tabs>
        <w:ind w:left="0" w:firstLine="0"/>
      </w:pPr>
      <w:rPr>
        <w:rFonts w:hint="eastAsia"/>
      </w:rPr>
    </w:lvl>
    <w:lvl w:ilvl="1" w:tentative="0">
      <w:start w:val="1"/>
      <w:numFmt w:val="decimal"/>
      <w:pStyle w:val="1459"/>
      <w:suff w:val="space"/>
      <w:lvlText w:val="%1.%2"/>
      <w:lvlJc w:val="left"/>
      <w:pPr>
        <w:ind w:left="0" w:firstLine="0"/>
      </w:pPr>
      <w:rPr>
        <w:rFonts w:hint="eastAsia"/>
      </w:rPr>
    </w:lvl>
    <w:lvl w:ilvl="2" w:tentative="0">
      <w:start w:val="1"/>
      <w:numFmt w:val="decimal"/>
      <w:pStyle w:val="5"/>
      <w:suff w:val="space"/>
      <w:lvlText w:val="%1.%2.%3"/>
      <w:lvlJc w:val="left"/>
      <w:pPr>
        <w:ind w:left="0" w:firstLine="0"/>
      </w:pPr>
      <w:rPr>
        <w:rFonts w:hint="default" w:ascii="Times New Roman" w:hAnsi="Times New Roman" w:cs="Times New Roman"/>
        <w:color w:val="auto"/>
      </w:rPr>
    </w:lvl>
    <w:lvl w:ilvl="3" w:tentative="0">
      <w:start w:val="1"/>
      <w:numFmt w:val="decimal"/>
      <w:pStyle w:val="1917"/>
      <w:suff w:val="space"/>
      <w:lvlText w:val="%1.%2.%3.%4"/>
      <w:lvlJc w:val="left"/>
      <w:pPr>
        <w:ind w:left="0" w:firstLine="0"/>
      </w:pPr>
      <w:rPr>
        <w:rFonts w:hint="default" w:ascii="Times New Roman" w:hAnsi="Times New Roman" w:cs="Times New Roman"/>
        <w:b w:val="0"/>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pStyle w:val="606"/>
      <w:lvlText w:val="%1.%2.%3.%4.%5.%6.%7.%8"/>
      <w:lvlJc w:val="left"/>
      <w:pPr>
        <w:tabs>
          <w:tab w:val="left" w:pos="0"/>
        </w:tabs>
        <w:ind w:left="0" w:firstLine="0"/>
      </w:pPr>
      <w:rPr>
        <w:rFonts w:hint="eastAsia"/>
      </w:rPr>
    </w:lvl>
    <w:lvl w:ilvl="8" w:tentative="0">
      <w:start w:val="1"/>
      <w:numFmt w:val="decimal"/>
      <w:pStyle w:val="2857"/>
      <w:lvlText w:val="%1.%2.%3.%4.%5.%6.%7.%8.%9"/>
      <w:lvlJc w:val="left"/>
      <w:pPr>
        <w:tabs>
          <w:tab w:val="left" w:pos="0"/>
        </w:tabs>
        <w:ind w:left="0" w:firstLine="0"/>
      </w:pPr>
      <w:rPr>
        <w:rFonts w:hint="eastAsia"/>
      </w:rPr>
    </w:lvl>
  </w:abstractNum>
  <w:abstractNum w:abstractNumId="2">
    <w:nsid w:val="41341DAD"/>
    <w:multiLevelType w:val="multilevel"/>
    <w:tmpl w:val="41341DAD"/>
    <w:lvl w:ilvl="0" w:tentative="0">
      <w:start w:val="1"/>
      <w:numFmt w:val="decimal"/>
      <w:lvlText w:val="（%1）"/>
      <w:lvlJc w:val="left"/>
      <w:pPr>
        <w:tabs>
          <w:tab w:val="left" w:pos="420"/>
        </w:tabs>
        <w:ind w:left="425" w:hanging="425"/>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3778C3"/>
    <w:multiLevelType w:val="singleLevel"/>
    <w:tmpl w:val="5A3778C3"/>
    <w:lvl w:ilvl="0" w:tentative="0">
      <w:start w:val="1"/>
      <w:numFmt w:val="decimal"/>
      <w:lvlText w:val="（%1）"/>
      <w:lvlJc w:val="left"/>
      <w:pPr>
        <w:tabs>
          <w:tab w:val="left" w:pos="420"/>
        </w:tabs>
        <w:ind w:left="425" w:hanging="425"/>
      </w:pPr>
      <w:rPr>
        <w:rFonts w:hint="default" w:ascii="Times New Roman" w:hAnsi="Times New Roman" w:cs="Times New Roman"/>
      </w:rPr>
    </w:lvl>
  </w:abstractNum>
  <w:abstractNum w:abstractNumId="4">
    <w:nsid w:val="6D9379E7"/>
    <w:multiLevelType w:val="multilevel"/>
    <w:tmpl w:val="6D9379E7"/>
    <w:lvl w:ilvl="0" w:tentative="0">
      <w:start w:val="1"/>
      <w:numFmt w:val="decimal"/>
      <w:pStyle w:val="183"/>
      <w:lvlText w:val="%1 "/>
      <w:lvlJc w:val="left"/>
      <w:pPr>
        <w:tabs>
          <w:tab w:val="left" w:pos="0"/>
        </w:tabs>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5">
    <w:nsid w:val="6EAB75E0"/>
    <w:multiLevelType w:val="multilevel"/>
    <w:tmpl w:val="6EAB75E0"/>
    <w:lvl w:ilvl="0" w:tentative="0">
      <w:start w:val="1"/>
      <w:numFmt w:val="decimal"/>
      <w:lvlText w:val="（%1）"/>
      <w:lvlJc w:val="left"/>
      <w:pPr>
        <w:tabs>
          <w:tab w:val="left" w:pos="420"/>
        </w:tabs>
        <w:ind w:left="425" w:hanging="425"/>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EEE35C8"/>
    <w:multiLevelType w:val="multilevel"/>
    <w:tmpl w:val="7EEE35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4"/>
  </w:num>
  <w:num w:numId="3">
    <w:abstractNumId w:val="6"/>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noPunctuationKerning w:val="1"/>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hNmE3ZjY0NGYwNmQ2Y2QyNTM2NjJmN2Q0YzIwY2UifQ=="/>
  </w:docVars>
  <w:rsids>
    <w:rsidRoot w:val="00A37A36"/>
    <w:rsid w:val="00000169"/>
    <w:rsid w:val="00000468"/>
    <w:rsid w:val="0000046E"/>
    <w:rsid w:val="000007A6"/>
    <w:rsid w:val="000009DD"/>
    <w:rsid w:val="00000D5C"/>
    <w:rsid w:val="000019F5"/>
    <w:rsid w:val="00001B9B"/>
    <w:rsid w:val="00002004"/>
    <w:rsid w:val="00002014"/>
    <w:rsid w:val="000021BF"/>
    <w:rsid w:val="0000277A"/>
    <w:rsid w:val="00002C78"/>
    <w:rsid w:val="00002F51"/>
    <w:rsid w:val="00003613"/>
    <w:rsid w:val="000037FF"/>
    <w:rsid w:val="00003DCD"/>
    <w:rsid w:val="000046E0"/>
    <w:rsid w:val="00004A7C"/>
    <w:rsid w:val="00005654"/>
    <w:rsid w:val="0000574F"/>
    <w:rsid w:val="000057D3"/>
    <w:rsid w:val="00005973"/>
    <w:rsid w:val="00005ACF"/>
    <w:rsid w:val="00005B7E"/>
    <w:rsid w:val="00005E84"/>
    <w:rsid w:val="000067F3"/>
    <w:rsid w:val="00006EAA"/>
    <w:rsid w:val="00007C20"/>
    <w:rsid w:val="00007C94"/>
    <w:rsid w:val="00010889"/>
    <w:rsid w:val="00010DC3"/>
    <w:rsid w:val="00011574"/>
    <w:rsid w:val="00011DAF"/>
    <w:rsid w:val="00012161"/>
    <w:rsid w:val="000131B1"/>
    <w:rsid w:val="000137DF"/>
    <w:rsid w:val="00013CA3"/>
    <w:rsid w:val="0001463A"/>
    <w:rsid w:val="0001495B"/>
    <w:rsid w:val="00014EDC"/>
    <w:rsid w:val="000157B6"/>
    <w:rsid w:val="00015FC4"/>
    <w:rsid w:val="00016446"/>
    <w:rsid w:val="000166D6"/>
    <w:rsid w:val="000168B1"/>
    <w:rsid w:val="00017101"/>
    <w:rsid w:val="00017913"/>
    <w:rsid w:val="0001796A"/>
    <w:rsid w:val="00017E01"/>
    <w:rsid w:val="0002043C"/>
    <w:rsid w:val="00020B09"/>
    <w:rsid w:val="00021FA8"/>
    <w:rsid w:val="00023014"/>
    <w:rsid w:val="00024D44"/>
    <w:rsid w:val="00024EFE"/>
    <w:rsid w:val="0002538F"/>
    <w:rsid w:val="00026167"/>
    <w:rsid w:val="00026274"/>
    <w:rsid w:val="000273C9"/>
    <w:rsid w:val="00027F7F"/>
    <w:rsid w:val="000306D2"/>
    <w:rsid w:val="00030D10"/>
    <w:rsid w:val="00031237"/>
    <w:rsid w:val="00032500"/>
    <w:rsid w:val="00033210"/>
    <w:rsid w:val="00033787"/>
    <w:rsid w:val="00033C02"/>
    <w:rsid w:val="0003432D"/>
    <w:rsid w:val="00034350"/>
    <w:rsid w:val="00035374"/>
    <w:rsid w:val="0003542B"/>
    <w:rsid w:val="00035772"/>
    <w:rsid w:val="0003621F"/>
    <w:rsid w:val="0003766A"/>
    <w:rsid w:val="00037700"/>
    <w:rsid w:val="00037782"/>
    <w:rsid w:val="00037A94"/>
    <w:rsid w:val="00037F29"/>
    <w:rsid w:val="000403B3"/>
    <w:rsid w:val="0004112A"/>
    <w:rsid w:val="0004118C"/>
    <w:rsid w:val="000415B4"/>
    <w:rsid w:val="00041664"/>
    <w:rsid w:val="0004191E"/>
    <w:rsid w:val="00041EF6"/>
    <w:rsid w:val="000421D3"/>
    <w:rsid w:val="00042395"/>
    <w:rsid w:val="000427B0"/>
    <w:rsid w:val="00043DC1"/>
    <w:rsid w:val="00044250"/>
    <w:rsid w:val="000444B6"/>
    <w:rsid w:val="00044A76"/>
    <w:rsid w:val="000453E8"/>
    <w:rsid w:val="0004644E"/>
    <w:rsid w:val="000465FD"/>
    <w:rsid w:val="00046951"/>
    <w:rsid w:val="00046D66"/>
    <w:rsid w:val="000473EB"/>
    <w:rsid w:val="000479A7"/>
    <w:rsid w:val="00047A38"/>
    <w:rsid w:val="00047F69"/>
    <w:rsid w:val="00047FC0"/>
    <w:rsid w:val="000507DE"/>
    <w:rsid w:val="0005098C"/>
    <w:rsid w:val="00050BF6"/>
    <w:rsid w:val="00051CCD"/>
    <w:rsid w:val="0005270C"/>
    <w:rsid w:val="00052781"/>
    <w:rsid w:val="00052A3E"/>
    <w:rsid w:val="00052D87"/>
    <w:rsid w:val="00052EBA"/>
    <w:rsid w:val="00052EF4"/>
    <w:rsid w:val="00053236"/>
    <w:rsid w:val="000539ED"/>
    <w:rsid w:val="00054086"/>
    <w:rsid w:val="000540D6"/>
    <w:rsid w:val="0005529B"/>
    <w:rsid w:val="0005595F"/>
    <w:rsid w:val="00055C36"/>
    <w:rsid w:val="0005609C"/>
    <w:rsid w:val="00056A66"/>
    <w:rsid w:val="00056AC7"/>
    <w:rsid w:val="000602C0"/>
    <w:rsid w:val="000607F3"/>
    <w:rsid w:val="00060BA6"/>
    <w:rsid w:val="00060CB9"/>
    <w:rsid w:val="00061077"/>
    <w:rsid w:val="00061B40"/>
    <w:rsid w:val="00061E42"/>
    <w:rsid w:val="0006458D"/>
    <w:rsid w:val="00066A6B"/>
    <w:rsid w:val="00066B14"/>
    <w:rsid w:val="00066D2B"/>
    <w:rsid w:val="00066F28"/>
    <w:rsid w:val="000679EB"/>
    <w:rsid w:val="00067B60"/>
    <w:rsid w:val="00067FEB"/>
    <w:rsid w:val="00070485"/>
    <w:rsid w:val="00071D18"/>
    <w:rsid w:val="0007215D"/>
    <w:rsid w:val="00072AFE"/>
    <w:rsid w:val="00072B89"/>
    <w:rsid w:val="000732A8"/>
    <w:rsid w:val="00073CBE"/>
    <w:rsid w:val="00073E5A"/>
    <w:rsid w:val="0007404F"/>
    <w:rsid w:val="000743F1"/>
    <w:rsid w:val="000749CB"/>
    <w:rsid w:val="00074B9E"/>
    <w:rsid w:val="00074E7D"/>
    <w:rsid w:val="000754BB"/>
    <w:rsid w:val="00075AB2"/>
    <w:rsid w:val="00076455"/>
    <w:rsid w:val="00077B01"/>
    <w:rsid w:val="0008033C"/>
    <w:rsid w:val="00080B38"/>
    <w:rsid w:val="000812BF"/>
    <w:rsid w:val="000828F3"/>
    <w:rsid w:val="0008313E"/>
    <w:rsid w:val="000838A6"/>
    <w:rsid w:val="000841B1"/>
    <w:rsid w:val="000842C2"/>
    <w:rsid w:val="000845BB"/>
    <w:rsid w:val="0008498C"/>
    <w:rsid w:val="000849A2"/>
    <w:rsid w:val="00084BF5"/>
    <w:rsid w:val="00085084"/>
    <w:rsid w:val="000866D8"/>
    <w:rsid w:val="00087927"/>
    <w:rsid w:val="000879D8"/>
    <w:rsid w:val="00090BC8"/>
    <w:rsid w:val="00090C0F"/>
    <w:rsid w:val="00090D75"/>
    <w:rsid w:val="000911BB"/>
    <w:rsid w:val="000914DD"/>
    <w:rsid w:val="00091871"/>
    <w:rsid w:val="00092F2D"/>
    <w:rsid w:val="000931EA"/>
    <w:rsid w:val="00093210"/>
    <w:rsid w:val="000944CC"/>
    <w:rsid w:val="000948E4"/>
    <w:rsid w:val="000953A0"/>
    <w:rsid w:val="00097CEC"/>
    <w:rsid w:val="00097DD3"/>
    <w:rsid w:val="000A02F2"/>
    <w:rsid w:val="000A0660"/>
    <w:rsid w:val="000A0A61"/>
    <w:rsid w:val="000A115A"/>
    <w:rsid w:val="000A137A"/>
    <w:rsid w:val="000A17AB"/>
    <w:rsid w:val="000A2632"/>
    <w:rsid w:val="000A2DED"/>
    <w:rsid w:val="000A38D7"/>
    <w:rsid w:val="000A4590"/>
    <w:rsid w:val="000A575C"/>
    <w:rsid w:val="000A5B5D"/>
    <w:rsid w:val="000A69BE"/>
    <w:rsid w:val="000A7F78"/>
    <w:rsid w:val="000B0229"/>
    <w:rsid w:val="000B049F"/>
    <w:rsid w:val="000B0C70"/>
    <w:rsid w:val="000B0E17"/>
    <w:rsid w:val="000B1325"/>
    <w:rsid w:val="000B14C5"/>
    <w:rsid w:val="000B2FC5"/>
    <w:rsid w:val="000B3EFF"/>
    <w:rsid w:val="000B406F"/>
    <w:rsid w:val="000B417A"/>
    <w:rsid w:val="000B4F69"/>
    <w:rsid w:val="000B4F89"/>
    <w:rsid w:val="000B4FFD"/>
    <w:rsid w:val="000B5309"/>
    <w:rsid w:val="000B5993"/>
    <w:rsid w:val="000B5FD5"/>
    <w:rsid w:val="000B72FF"/>
    <w:rsid w:val="000B7637"/>
    <w:rsid w:val="000B7999"/>
    <w:rsid w:val="000C0E90"/>
    <w:rsid w:val="000C182A"/>
    <w:rsid w:val="000C18CB"/>
    <w:rsid w:val="000C19D0"/>
    <w:rsid w:val="000C1BB0"/>
    <w:rsid w:val="000C1FE5"/>
    <w:rsid w:val="000C20EC"/>
    <w:rsid w:val="000C2303"/>
    <w:rsid w:val="000C28E4"/>
    <w:rsid w:val="000C2AD8"/>
    <w:rsid w:val="000C2F1A"/>
    <w:rsid w:val="000C344C"/>
    <w:rsid w:val="000C3483"/>
    <w:rsid w:val="000C387E"/>
    <w:rsid w:val="000C3AFE"/>
    <w:rsid w:val="000C40AA"/>
    <w:rsid w:val="000C52A3"/>
    <w:rsid w:val="000C58B6"/>
    <w:rsid w:val="000C5F3D"/>
    <w:rsid w:val="000C61E2"/>
    <w:rsid w:val="000C6303"/>
    <w:rsid w:val="000C6BB8"/>
    <w:rsid w:val="000C6CC1"/>
    <w:rsid w:val="000C6D19"/>
    <w:rsid w:val="000C74FB"/>
    <w:rsid w:val="000C7976"/>
    <w:rsid w:val="000C7DDC"/>
    <w:rsid w:val="000D033E"/>
    <w:rsid w:val="000D04A8"/>
    <w:rsid w:val="000D0512"/>
    <w:rsid w:val="000D075B"/>
    <w:rsid w:val="000D2F6F"/>
    <w:rsid w:val="000D35C0"/>
    <w:rsid w:val="000D3915"/>
    <w:rsid w:val="000D3E71"/>
    <w:rsid w:val="000D3E7D"/>
    <w:rsid w:val="000D432E"/>
    <w:rsid w:val="000D47A2"/>
    <w:rsid w:val="000D565E"/>
    <w:rsid w:val="000D5CC8"/>
    <w:rsid w:val="000D6211"/>
    <w:rsid w:val="000D62A7"/>
    <w:rsid w:val="000D7644"/>
    <w:rsid w:val="000D7E5C"/>
    <w:rsid w:val="000E0DA2"/>
    <w:rsid w:val="000E1605"/>
    <w:rsid w:val="000E1EFF"/>
    <w:rsid w:val="000E2946"/>
    <w:rsid w:val="000E29EF"/>
    <w:rsid w:val="000E2BD1"/>
    <w:rsid w:val="000E2D41"/>
    <w:rsid w:val="000E3121"/>
    <w:rsid w:val="000E359B"/>
    <w:rsid w:val="000E3A0C"/>
    <w:rsid w:val="000E43A9"/>
    <w:rsid w:val="000E45E8"/>
    <w:rsid w:val="000E58D9"/>
    <w:rsid w:val="000E5D05"/>
    <w:rsid w:val="000E6C1F"/>
    <w:rsid w:val="000E6CAA"/>
    <w:rsid w:val="000F0377"/>
    <w:rsid w:val="000F0659"/>
    <w:rsid w:val="000F23CC"/>
    <w:rsid w:val="000F26AC"/>
    <w:rsid w:val="000F312F"/>
    <w:rsid w:val="000F31BB"/>
    <w:rsid w:val="000F38D0"/>
    <w:rsid w:val="000F420C"/>
    <w:rsid w:val="000F4451"/>
    <w:rsid w:val="000F50EA"/>
    <w:rsid w:val="000F5C81"/>
    <w:rsid w:val="000F6E3A"/>
    <w:rsid w:val="000F6E79"/>
    <w:rsid w:val="000F7006"/>
    <w:rsid w:val="000F7954"/>
    <w:rsid w:val="000F7C59"/>
    <w:rsid w:val="001000F4"/>
    <w:rsid w:val="00100305"/>
    <w:rsid w:val="00100607"/>
    <w:rsid w:val="00100A5E"/>
    <w:rsid w:val="0010100B"/>
    <w:rsid w:val="00101227"/>
    <w:rsid w:val="00102508"/>
    <w:rsid w:val="00102714"/>
    <w:rsid w:val="00103342"/>
    <w:rsid w:val="00103372"/>
    <w:rsid w:val="00103895"/>
    <w:rsid w:val="00103DCE"/>
    <w:rsid w:val="00104038"/>
    <w:rsid w:val="0010436B"/>
    <w:rsid w:val="001048E5"/>
    <w:rsid w:val="00104EB3"/>
    <w:rsid w:val="001053E9"/>
    <w:rsid w:val="00105ED8"/>
    <w:rsid w:val="001062D5"/>
    <w:rsid w:val="001066ED"/>
    <w:rsid w:val="00106930"/>
    <w:rsid w:val="00106DBB"/>
    <w:rsid w:val="00107094"/>
    <w:rsid w:val="00107AE4"/>
    <w:rsid w:val="00107CC9"/>
    <w:rsid w:val="001101F4"/>
    <w:rsid w:val="00110DC5"/>
    <w:rsid w:val="001115D9"/>
    <w:rsid w:val="00112086"/>
    <w:rsid w:val="0011242D"/>
    <w:rsid w:val="001138B5"/>
    <w:rsid w:val="001141DC"/>
    <w:rsid w:val="00114519"/>
    <w:rsid w:val="001147CD"/>
    <w:rsid w:val="00114C52"/>
    <w:rsid w:val="001150CA"/>
    <w:rsid w:val="0011561C"/>
    <w:rsid w:val="0011684D"/>
    <w:rsid w:val="00116B9D"/>
    <w:rsid w:val="00116E75"/>
    <w:rsid w:val="0011706C"/>
    <w:rsid w:val="00117601"/>
    <w:rsid w:val="00117979"/>
    <w:rsid w:val="0012002E"/>
    <w:rsid w:val="00120250"/>
    <w:rsid w:val="00120772"/>
    <w:rsid w:val="0012088D"/>
    <w:rsid w:val="00120C12"/>
    <w:rsid w:val="00121683"/>
    <w:rsid w:val="00121D0A"/>
    <w:rsid w:val="00121EF4"/>
    <w:rsid w:val="0012249B"/>
    <w:rsid w:val="001225CA"/>
    <w:rsid w:val="00122840"/>
    <w:rsid w:val="00122B9B"/>
    <w:rsid w:val="00122F63"/>
    <w:rsid w:val="0012367A"/>
    <w:rsid w:val="00123916"/>
    <w:rsid w:val="00125069"/>
    <w:rsid w:val="00125533"/>
    <w:rsid w:val="00125BF1"/>
    <w:rsid w:val="00125D64"/>
    <w:rsid w:val="001261E0"/>
    <w:rsid w:val="0012628A"/>
    <w:rsid w:val="001262B4"/>
    <w:rsid w:val="00126C12"/>
    <w:rsid w:val="00127030"/>
    <w:rsid w:val="001278C5"/>
    <w:rsid w:val="00127B1A"/>
    <w:rsid w:val="00130513"/>
    <w:rsid w:val="00130D55"/>
    <w:rsid w:val="0013375C"/>
    <w:rsid w:val="00133AA6"/>
    <w:rsid w:val="00133AD3"/>
    <w:rsid w:val="00133C81"/>
    <w:rsid w:val="00133EA2"/>
    <w:rsid w:val="00134653"/>
    <w:rsid w:val="00134737"/>
    <w:rsid w:val="0013547C"/>
    <w:rsid w:val="00135687"/>
    <w:rsid w:val="00135C44"/>
    <w:rsid w:val="00136281"/>
    <w:rsid w:val="00136401"/>
    <w:rsid w:val="0013655E"/>
    <w:rsid w:val="00137BE3"/>
    <w:rsid w:val="00137FB9"/>
    <w:rsid w:val="00140099"/>
    <w:rsid w:val="001404D6"/>
    <w:rsid w:val="001412B6"/>
    <w:rsid w:val="00141AEA"/>
    <w:rsid w:val="00142470"/>
    <w:rsid w:val="00142C64"/>
    <w:rsid w:val="0014331F"/>
    <w:rsid w:val="0014441B"/>
    <w:rsid w:val="0014451F"/>
    <w:rsid w:val="00144786"/>
    <w:rsid w:val="001454FC"/>
    <w:rsid w:val="001455EE"/>
    <w:rsid w:val="00145F39"/>
    <w:rsid w:val="00146007"/>
    <w:rsid w:val="0014610A"/>
    <w:rsid w:val="001469D4"/>
    <w:rsid w:val="00146DFD"/>
    <w:rsid w:val="00147B91"/>
    <w:rsid w:val="00147F16"/>
    <w:rsid w:val="00150B39"/>
    <w:rsid w:val="00151B5E"/>
    <w:rsid w:val="00152A10"/>
    <w:rsid w:val="00152A9F"/>
    <w:rsid w:val="00152B74"/>
    <w:rsid w:val="00153380"/>
    <w:rsid w:val="00153502"/>
    <w:rsid w:val="00154214"/>
    <w:rsid w:val="00155040"/>
    <w:rsid w:val="001556F8"/>
    <w:rsid w:val="00155886"/>
    <w:rsid w:val="00155D35"/>
    <w:rsid w:val="00155D63"/>
    <w:rsid w:val="001565B4"/>
    <w:rsid w:val="00157A73"/>
    <w:rsid w:val="00157B5E"/>
    <w:rsid w:val="00157DEA"/>
    <w:rsid w:val="001605B0"/>
    <w:rsid w:val="001607B0"/>
    <w:rsid w:val="00160B75"/>
    <w:rsid w:val="001615F0"/>
    <w:rsid w:val="00161E82"/>
    <w:rsid w:val="0016257F"/>
    <w:rsid w:val="00162656"/>
    <w:rsid w:val="00162DF4"/>
    <w:rsid w:val="00163AC5"/>
    <w:rsid w:val="00163F10"/>
    <w:rsid w:val="00164866"/>
    <w:rsid w:val="001649C1"/>
    <w:rsid w:val="001651BB"/>
    <w:rsid w:val="00165521"/>
    <w:rsid w:val="0016592E"/>
    <w:rsid w:val="00165973"/>
    <w:rsid w:val="00165BA4"/>
    <w:rsid w:val="00165F03"/>
    <w:rsid w:val="00165F5F"/>
    <w:rsid w:val="00166CA4"/>
    <w:rsid w:val="00166D0E"/>
    <w:rsid w:val="00170D9C"/>
    <w:rsid w:val="001718A7"/>
    <w:rsid w:val="00171FD7"/>
    <w:rsid w:val="00172097"/>
    <w:rsid w:val="00172D91"/>
    <w:rsid w:val="00172FD7"/>
    <w:rsid w:val="00173866"/>
    <w:rsid w:val="00173A85"/>
    <w:rsid w:val="00174047"/>
    <w:rsid w:val="001740CA"/>
    <w:rsid w:val="00174602"/>
    <w:rsid w:val="0017479F"/>
    <w:rsid w:val="00174869"/>
    <w:rsid w:val="00174A07"/>
    <w:rsid w:val="00175D97"/>
    <w:rsid w:val="001760F2"/>
    <w:rsid w:val="00176AB0"/>
    <w:rsid w:val="001770D1"/>
    <w:rsid w:val="00177CA0"/>
    <w:rsid w:val="0018122D"/>
    <w:rsid w:val="001817A6"/>
    <w:rsid w:val="001817E5"/>
    <w:rsid w:val="00181A31"/>
    <w:rsid w:val="0018267B"/>
    <w:rsid w:val="001826C9"/>
    <w:rsid w:val="001826D7"/>
    <w:rsid w:val="001836CC"/>
    <w:rsid w:val="001837D7"/>
    <w:rsid w:val="00183B38"/>
    <w:rsid w:val="00183B47"/>
    <w:rsid w:val="00183D44"/>
    <w:rsid w:val="00183F43"/>
    <w:rsid w:val="00184125"/>
    <w:rsid w:val="00184EF0"/>
    <w:rsid w:val="001851EE"/>
    <w:rsid w:val="00185ACB"/>
    <w:rsid w:val="00185C22"/>
    <w:rsid w:val="00185E73"/>
    <w:rsid w:val="00186700"/>
    <w:rsid w:val="001868A7"/>
    <w:rsid w:val="00187418"/>
    <w:rsid w:val="00187A2D"/>
    <w:rsid w:val="00187A6D"/>
    <w:rsid w:val="00190074"/>
    <w:rsid w:val="0019030E"/>
    <w:rsid w:val="00190981"/>
    <w:rsid w:val="00190E48"/>
    <w:rsid w:val="00191F80"/>
    <w:rsid w:val="001921C2"/>
    <w:rsid w:val="00192BB5"/>
    <w:rsid w:val="00193A40"/>
    <w:rsid w:val="00193C45"/>
    <w:rsid w:val="00193F7E"/>
    <w:rsid w:val="001949BB"/>
    <w:rsid w:val="00194DE6"/>
    <w:rsid w:val="001962E0"/>
    <w:rsid w:val="00196E74"/>
    <w:rsid w:val="00197925"/>
    <w:rsid w:val="001A0B95"/>
    <w:rsid w:val="001A0FF9"/>
    <w:rsid w:val="001A1760"/>
    <w:rsid w:val="001A1AE9"/>
    <w:rsid w:val="001A1E7F"/>
    <w:rsid w:val="001A27FC"/>
    <w:rsid w:val="001A283F"/>
    <w:rsid w:val="001A2F1E"/>
    <w:rsid w:val="001A36BF"/>
    <w:rsid w:val="001A3D35"/>
    <w:rsid w:val="001A4586"/>
    <w:rsid w:val="001A4627"/>
    <w:rsid w:val="001A46C2"/>
    <w:rsid w:val="001A46C5"/>
    <w:rsid w:val="001A4F3B"/>
    <w:rsid w:val="001A543A"/>
    <w:rsid w:val="001A55A7"/>
    <w:rsid w:val="001A58FC"/>
    <w:rsid w:val="001A5D1A"/>
    <w:rsid w:val="001A5E49"/>
    <w:rsid w:val="001A60FF"/>
    <w:rsid w:val="001A691C"/>
    <w:rsid w:val="001A6B34"/>
    <w:rsid w:val="001A761C"/>
    <w:rsid w:val="001A7A8F"/>
    <w:rsid w:val="001B03CD"/>
    <w:rsid w:val="001B046B"/>
    <w:rsid w:val="001B0904"/>
    <w:rsid w:val="001B0C3C"/>
    <w:rsid w:val="001B14C0"/>
    <w:rsid w:val="001B1BF5"/>
    <w:rsid w:val="001B25A4"/>
    <w:rsid w:val="001B2A14"/>
    <w:rsid w:val="001B2E65"/>
    <w:rsid w:val="001B2F6E"/>
    <w:rsid w:val="001B314E"/>
    <w:rsid w:val="001B3695"/>
    <w:rsid w:val="001B39BF"/>
    <w:rsid w:val="001B3A09"/>
    <w:rsid w:val="001B4AC5"/>
    <w:rsid w:val="001B4ADE"/>
    <w:rsid w:val="001B569C"/>
    <w:rsid w:val="001B58C4"/>
    <w:rsid w:val="001B5CF9"/>
    <w:rsid w:val="001B6014"/>
    <w:rsid w:val="001B6521"/>
    <w:rsid w:val="001B6B8E"/>
    <w:rsid w:val="001B6C4C"/>
    <w:rsid w:val="001B7451"/>
    <w:rsid w:val="001B7910"/>
    <w:rsid w:val="001C025D"/>
    <w:rsid w:val="001C035A"/>
    <w:rsid w:val="001C06EA"/>
    <w:rsid w:val="001C08D0"/>
    <w:rsid w:val="001C0994"/>
    <w:rsid w:val="001C0F1D"/>
    <w:rsid w:val="001C1242"/>
    <w:rsid w:val="001C216A"/>
    <w:rsid w:val="001C2649"/>
    <w:rsid w:val="001C31B0"/>
    <w:rsid w:val="001C3FAA"/>
    <w:rsid w:val="001C4464"/>
    <w:rsid w:val="001C461A"/>
    <w:rsid w:val="001C468A"/>
    <w:rsid w:val="001C4737"/>
    <w:rsid w:val="001C49BF"/>
    <w:rsid w:val="001C4A77"/>
    <w:rsid w:val="001C52DE"/>
    <w:rsid w:val="001C5733"/>
    <w:rsid w:val="001C5F20"/>
    <w:rsid w:val="001C6581"/>
    <w:rsid w:val="001C6814"/>
    <w:rsid w:val="001C7094"/>
    <w:rsid w:val="001C73CF"/>
    <w:rsid w:val="001C7B85"/>
    <w:rsid w:val="001D190F"/>
    <w:rsid w:val="001D1DBC"/>
    <w:rsid w:val="001D22EE"/>
    <w:rsid w:val="001D263C"/>
    <w:rsid w:val="001D36FF"/>
    <w:rsid w:val="001D385D"/>
    <w:rsid w:val="001D3E47"/>
    <w:rsid w:val="001D3F5D"/>
    <w:rsid w:val="001D5445"/>
    <w:rsid w:val="001D629E"/>
    <w:rsid w:val="001D7739"/>
    <w:rsid w:val="001E0229"/>
    <w:rsid w:val="001E0C9F"/>
    <w:rsid w:val="001E0DA7"/>
    <w:rsid w:val="001E28DC"/>
    <w:rsid w:val="001E2EAA"/>
    <w:rsid w:val="001E3201"/>
    <w:rsid w:val="001E349E"/>
    <w:rsid w:val="001E3523"/>
    <w:rsid w:val="001E38F4"/>
    <w:rsid w:val="001E3CD3"/>
    <w:rsid w:val="001E3D90"/>
    <w:rsid w:val="001E40C4"/>
    <w:rsid w:val="001E455B"/>
    <w:rsid w:val="001E5F56"/>
    <w:rsid w:val="001E6B8D"/>
    <w:rsid w:val="001F028A"/>
    <w:rsid w:val="001F02D6"/>
    <w:rsid w:val="001F0A32"/>
    <w:rsid w:val="001F0F9C"/>
    <w:rsid w:val="001F1555"/>
    <w:rsid w:val="001F1AEB"/>
    <w:rsid w:val="001F1E04"/>
    <w:rsid w:val="001F1EF4"/>
    <w:rsid w:val="001F2018"/>
    <w:rsid w:val="001F3216"/>
    <w:rsid w:val="001F3AC3"/>
    <w:rsid w:val="001F3AD5"/>
    <w:rsid w:val="001F4B71"/>
    <w:rsid w:val="001F4B97"/>
    <w:rsid w:val="001F4C3E"/>
    <w:rsid w:val="001F52E1"/>
    <w:rsid w:val="001F56F5"/>
    <w:rsid w:val="001F5740"/>
    <w:rsid w:val="001F61FC"/>
    <w:rsid w:val="001F6665"/>
    <w:rsid w:val="001F7138"/>
    <w:rsid w:val="001F7610"/>
    <w:rsid w:val="001F790E"/>
    <w:rsid w:val="002000DC"/>
    <w:rsid w:val="002002C3"/>
    <w:rsid w:val="002008FC"/>
    <w:rsid w:val="00200CD1"/>
    <w:rsid w:val="00200DCE"/>
    <w:rsid w:val="00200FED"/>
    <w:rsid w:val="00201677"/>
    <w:rsid w:val="00201681"/>
    <w:rsid w:val="00201B80"/>
    <w:rsid w:val="0020333F"/>
    <w:rsid w:val="002036B2"/>
    <w:rsid w:val="002038C3"/>
    <w:rsid w:val="002040F8"/>
    <w:rsid w:val="002041F7"/>
    <w:rsid w:val="0020526B"/>
    <w:rsid w:val="00205A11"/>
    <w:rsid w:val="00205DA0"/>
    <w:rsid w:val="0020664D"/>
    <w:rsid w:val="002066DB"/>
    <w:rsid w:val="00206A56"/>
    <w:rsid w:val="00206AC1"/>
    <w:rsid w:val="00206F61"/>
    <w:rsid w:val="0020733F"/>
    <w:rsid w:val="0020737A"/>
    <w:rsid w:val="002074E9"/>
    <w:rsid w:val="00207E94"/>
    <w:rsid w:val="002105EC"/>
    <w:rsid w:val="00210BAD"/>
    <w:rsid w:val="00210D26"/>
    <w:rsid w:val="002113B8"/>
    <w:rsid w:val="002117B1"/>
    <w:rsid w:val="00211846"/>
    <w:rsid w:val="00211CFD"/>
    <w:rsid w:val="00211E58"/>
    <w:rsid w:val="00211EB9"/>
    <w:rsid w:val="00212517"/>
    <w:rsid w:val="00212868"/>
    <w:rsid w:val="00212CC6"/>
    <w:rsid w:val="00212D2F"/>
    <w:rsid w:val="002139FE"/>
    <w:rsid w:val="00213EA9"/>
    <w:rsid w:val="00214CD0"/>
    <w:rsid w:val="002154A0"/>
    <w:rsid w:val="0021554B"/>
    <w:rsid w:val="0021597B"/>
    <w:rsid w:val="00215BD4"/>
    <w:rsid w:val="00216609"/>
    <w:rsid w:val="00217097"/>
    <w:rsid w:val="002171EE"/>
    <w:rsid w:val="0021750B"/>
    <w:rsid w:val="00220EDD"/>
    <w:rsid w:val="00220FDA"/>
    <w:rsid w:val="00221083"/>
    <w:rsid w:val="00221C3B"/>
    <w:rsid w:val="00222A3D"/>
    <w:rsid w:val="00222E63"/>
    <w:rsid w:val="00223352"/>
    <w:rsid w:val="002235BE"/>
    <w:rsid w:val="002235E9"/>
    <w:rsid w:val="002238D8"/>
    <w:rsid w:val="00224013"/>
    <w:rsid w:val="002254E9"/>
    <w:rsid w:val="002273E5"/>
    <w:rsid w:val="00227DAA"/>
    <w:rsid w:val="00230EEF"/>
    <w:rsid w:val="0023149C"/>
    <w:rsid w:val="00231AD9"/>
    <w:rsid w:val="00231CB7"/>
    <w:rsid w:val="00231ED2"/>
    <w:rsid w:val="00231EFA"/>
    <w:rsid w:val="00232088"/>
    <w:rsid w:val="002324F2"/>
    <w:rsid w:val="00232950"/>
    <w:rsid w:val="00232F41"/>
    <w:rsid w:val="002337E5"/>
    <w:rsid w:val="00233A46"/>
    <w:rsid w:val="00233D06"/>
    <w:rsid w:val="0023413B"/>
    <w:rsid w:val="00234144"/>
    <w:rsid w:val="0023469F"/>
    <w:rsid w:val="00234D83"/>
    <w:rsid w:val="00234FA7"/>
    <w:rsid w:val="0023507F"/>
    <w:rsid w:val="002356CD"/>
    <w:rsid w:val="00235C83"/>
    <w:rsid w:val="00236052"/>
    <w:rsid w:val="002362A0"/>
    <w:rsid w:val="00236984"/>
    <w:rsid w:val="002369DF"/>
    <w:rsid w:val="0023718F"/>
    <w:rsid w:val="00240057"/>
    <w:rsid w:val="002406D6"/>
    <w:rsid w:val="00241E4D"/>
    <w:rsid w:val="00242AE5"/>
    <w:rsid w:val="00243094"/>
    <w:rsid w:val="00243E08"/>
    <w:rsid w:val="00243EE0"/>
    <w:rsid w:val="002444EB"/>
    <w:rsid w:val="002445A6"/>
    <w:rsid w:val="00244706"/>
    <w:rsid w:val="0024472A"/>
    <w:rsid w:val="0024509C"/>
    <w:rsid w:val="002467C4"/>
    <w:rsid w:val="00246F3C"/>
    <w:rsid w:val="002470D4"/>
    <w:rsid w:val="0025019B"/>
    <w:rsid w:val="00250355"/>
    <w:rsid w:val="00250488"/>
    <w:rsid w:val="00250A20"/>
    <w:rsid w:val="00250B94"/>
    <w:rsid w:val="00250FEC"/>
    <w:rsid w:val="0025146D"/>
    <w:rsid w:val="0025159A"/>
    <w:rsid w:val="002516E7"/>
    <w:rsid w:val="00251B69"/>
    <w:rsid w:val="00251F50"/>
    <w:rsid w:val="0025253D"/>
    <w:rsid w:val="0025275E"/>
    <w:rsid w:val="00252BBA"/>
    <w:rsid w:val="00252EE5"/>
    <w:rsid w:val="002550A5"/>
    <w:rsid w:val="00255C27"/>
    <w:rsid w:val="00256B0E"/>
    <w:rsid w:val="00257B79"/>
    <w:rsid w:val="00261106"/>
    <w:rsid w:val="0026145A"/>
    <w:rsid w:val="002634DC"/>
    <w:rsid w:val="00263558"/>
    <w:rsid w:val="0026509B"/>
    <w:rsid w:val="002651AA"/>
    <w:rsid w:val="00265F73"/>
    <w:rsid w:val="0026660C"/>
    <w:rsid w:val="00266B08"/>
    <w:rsid w:val="00266B25"/>
    <w:rsid w:val="00266CC1"/>
    <w:rsid w:val="0026729E"/>
    <w:rsid w:val="002678ED"/>
    <w:rsid w:val="00267EDD"/>
    <w:rsid w:val="0027036F"/>
    <w:rsid w:val="00271096"/>
    <w:rsid w:val="002714F3"/>
    <w:rsid w:val="00271C34"/>
    <w:rsid w:val="00272A9A"/>
    <w:rsid w:val="00272E94"/>
    <w:rsid w:val="002731F8"/>
    <w:rsid w:val="002732C3"/>
    <w:rsid w:val="002732C5"/>
    <w:rsid w:val="00274769"/>
    <w:rsid w:val="00274CFC"/>
    <w:rsid w:val="00275B76"/>
    <w:rsid w:val="00275DB0"/>
    <w:rsid w:val="00275F0D"/>
    <w:rsid w:val="0027692F"/>
    <w:rsid w:val="00276ACE"/>
    <w:rsid w:val="00277009"/>
    <w:rsid w:val="00277564"/>
    <w:rsid w:val="0028019D"/>
    <w:rsid w:val="002803AA"/>
    <w:rsid w:val="00280830"/>
    <w:rsid w:val="00280D64"/>
    <w:rsid w:val="00280DAC"/>
    <w:rsid w:val="002811F8"/>
    <w:rsid w:val="0028148A"/>
    <w:rsid w:val="002819F8"/>
    <w:rsid w:val="00281A6B"/>
    <w:rsid w:val="00281F9A"/>
    <w:rsid w:val="00282140"/>
    <w:rsid w:val="002823E4"/>
    <w:rsid w:val="002833C2"/>
    <w:rsid w:val="002835B0"/>
    <w:rsid w:val="0028371D"/>
    <w:rsid w:val="00284A31"/>
    <w:rsid w:val="00284B6B"/>
    <w:rsid w:val="00284BE6"/>
    <w:rsid w:val="0028500B"/>
    <w:rsid w:val="0028572A"/>
    <w:rsid w:val="00285927"/>
    <w:rsid w:val="00285ABF"/>
    <w:rsid w:val="00285E2B"/>
    <w:rsid w:val="002870E0"/>
    <w:rsid w:val="00287DE1"/>
    <w:rsid w:val="00287FB1"/>
    <w:rsid w:val="0029062B"/>
    <w:rsid w:val="0029098B"/>
    <w:rsid w:val="002914BD"/>
    <w:rsid w:val="00291834"/>
    <w:rsid w:val="00291A5D"/>
    <w:rsid w:val="00292296"/>
    <w:rsid w:val="00293734"/>
    <w:rsid w:val="0029385E"/>
    <w:rsid w:val="00293CBD"/>
    <w:rsid w:val="00294891"/>
    <w:rsid w:val="00294994"/>
    <w:rsid w:val="00296F07"/>
    <w:rsid w:val="00296F65"/>
    <w:rsid w:val="00297003"/>
    <w:rsid w:val="0029704C"/>
    <w:rsid w:val="00297DF9"/>
    <w:rsid w:val="00297E77"/>
    <w:rsid w:val="002A00C9"/>
    <w:rsid w:val="002A02FB"/>
    <w:rsid w:val="002A068E"/>
    <w:rsid w:val="002A06AC"/>
    <w:rsid w:val="002A0AF1"/>
    <w:rsid w:val="002A0CB8"/>
    <w:rsid w:val="002A0E3A"/>
    <w:rsid w:val="002A145B"/>
    <w:rsid w:val="002A1486"/>
    <w:rsid w:val="002A1907"/>
    <w:rsid w:val="002A20D5"/>
    <w:rsid w:val="002A2655"/>
    <w:rsid w:val="002A2886"/>
    <w:rsid w:val="002A2A15"/>
    <w:rsid w:val="002A2D75"/>
    <w:rsid w:val="002A305B"/>
    <w:rsid w:val="002A32FD"/>
    <w:rsid w:val="002A3B6E"/>
    <w:rsid w:val="002A3E04"/>
    <w:rsid w:val="002A3EB3"/>
    <w:rsid w:val="002A499D"/>
    <w:rsid w:val="002A5280"/>
    <w:rsid w:val="002A53FA"/>
    <w:rsid w:val="002A5D08"/>
    <w:rsid w:val="002A61B6"/>
    <w:rsid w:val="002A696F"/>
    <w:rsid w:val="002A6BE6"/>
    <w:rsid w:val="002A7040"/>
    <w:rsid w:val="002A7306"/>
    <w:rsid w:val="002A7E48"/>
    <w:rsid w:val="002B011D"/>
    <w:rsid w:val="002B0CA5"/>
    <w:rsid w:val="002B12C4"/>
    <w:rsid w:val="002B2380"/>
    <w:rsid w:val="002B245C"/>
    <w:rsid w:val="002B2A92"/>
    <w:rsid w:val="002B2AF5"/>
    <w:rsid w:val="002B2CF9"/>
    <w:rsid w:val="002B2E77"/>
    <w:rsid w:val="002B318F"/>
    <w:rsid w:val="002B3722"/>
    <w:rsid w:val="002B3B1C"/>
    <w:rsid w:val="002B3C9B"/>
    <w:rsid w:val="002B512F"/>
    <w:rsid w:val="002B5359"/>
    <w:rsid w:val="002B5423"/>
    <w:rsid w:val="002B55C4"/>
    <w:rsid w:val="002B569E"/>
    <w:rsid w:val="002B5AA0"/>
    <w:rsid w:val="002B5CF1"/>
    <w:rsid w:val="002B661C"/>
    <w:rsid w:val="002B689A"/>
    <w:rsid w:val="002B68E5"/>
    <w:rsid w:val="002B6BD5"/>
    <w:rsid w:val="002B75C7"/>
    <w:rsid w:val="002B76F9"/>
    <w:rsid w:val="002B773F"/>
    <w:rsid w:val="002B79B3"/>
    <w:rsid w:val="002C1639"/>
    <w:rsid w:val="002C19AF"/>
    <w:rsid w:val="002C1F4D"/>
    <w:rsid w:val="002C2C41"/>
    <w:rsid w:val="002C3CEE"/>
    <w:rsid w:val="002C4146"/>
    <w:rsid w:val="002C4350"/>
    <w:rsid w:val="002C4E60"/>
    <w:rsid w:val="002C5731"/>
    <w:rsid w:val="002C5814"/>
    <w:rsid w:val="002C6118"/>
    <w:rsid w:val="002C76CD"/>
    <w:rsid w:val="002D0197"/>
    <w:rsid w:val="002D04C4"/>
    <w:rsid w:val="002D1035"/>
    <w:rsid w:val="002D10E1"/>
    <w:rsid w:val="002D1132"/>
    <w:rsid w:val="002D156E"/>
    <w:rsid w:val="002D2BFC"/>
    <w:rsid w:val="002D30C5"/>
    <w:rsid w:val="002D346D"/>
    <w:rsid w:val="002D34B5"/>
    <w:rsid w:val="002D3DCE"/>
    <w:rsid w:val="002D3FA2"/>
    <w:rsid w:val="002D46E2"/>
    <w:rsid w:val="002D47AB"/>
    <w:rsid w:val="002D5703"/>
    <w:rsid w:val="002D57E7"/>
    <w:rsid w:val="002D5CEC"/>
    <w:rsid w:val="002D6363"/>
    <w:rsid w:val="002D68C4"/>
    <w:rsid w:val="002D697B"/>
    <w:rsid w:val="002D6B01"/>
    <w:rsid w:val="002D7F93"/>
    <w:rsid w:val="002E143D"/>
    <w:rsid w:val="002E188A"/>
    <w:rsid w:val="002E20E2"/>
    <w:rsid w:val="002E2B2D"/>
    <w:rsid w:val="002E35DA"/>
    <w:rsid w:val="002E3919"/>
    <w:rsid w:val="002E3ABF"/>
    <w:rsid w:val="002E4B87"/>
    <w:rsid w:val="002E4C19"/>
    <w:rsid w:val="002E5011"/>
    <w:rsid w:val="002E584A"/>
    <w:rsid w:val="002E72FA"/>
    <w:rsid w:val="002F0D9D"/>
    <w:rsid w:val="002F10F2"/>
    <w:rsid w:val="002F1815"/>
    <w:rsid w:val="002F1A77"/>
    <w:rsid w:val="002F296D"/>
    <w:rsid w:val="002F2AA6"/>
    <w:rsid w:val="002F2C86"/>
    <w:rsid w:val="002F3A99"/>
    <w:rsid w:val="002F3DEF"/>
    <w:rsid w:val="002F4225"/>
    <w:rsid w:val="002F4727"/>
    <w:rsid w:val="002F4BC8"/>
    <w:rsid w:val="002F4C91"/>
    <w:rsid w:val="002F56D3"/>
    <w:rsid w:val="002F5DF0"/>
    <w:rsid w:val="002F5F91"/>
    <w:rsid w:val="002F679F"/>
    <w:rsid w:val="002F6CD3"/>
    <w:rsid w:val="002F6D97"/>
    <w:rsid w:val="002F79A9"/>
    <w:rsid w:val="002F7DD6"/>
    <w:rsid w:val="003008A7"/>
    <w:rsid w:val="003008BD"/>
    <w:rsid w:val="00301C1D"/>
    <w:rsid w:val="00301F6B"/>
    <w:rsid w:val="00301F87"/>
    <w:rsid w:val="0030256D"/>
    <w:rsid w:val="0030272A"/>
    <w:rsid w:val="00302949"/>
    <w:rsid w:val="00302B2C"/>
    <w:rsid w:val="00303542"/>
    <w:rsid w:val="00305DFA"/>
    <w:rsid w:val="00305FD9"/>
    <w:rsid w:val="0030669E"/>
    <w:rsid w:val="003066C8"/>
    <w:rsid w:val="00306F42"/>
    <w:rsid w:val="00306FD2"/>
    <w:rsid w:val="00307447"/>
    <w:rsid w:val="003076E3"/>
    <w:rsid w:val="00311E27"/>
    <w:rsid w:val="00311EC2"/>
    <w:rsid w:val="003125A5"/>
    <w:rsid w:val="00312B93"/>
    <w:rsid w:val="00312C79"/>
    <w:rsid w:val="0031309F"/>
    <w:rsid w:val="00313B45"/>
    <w:rsid w:val="00314D4F"/>
    <w:rsid w:val="003157E2"/>
    <w:rsid w:val="003158A6"/>
    <w:rsid w:val="00315F40"/>
    <w:rsid w:val="00316552"/>
    <w:rsid w:val="00316B37"/>
    <w:rsid w:val="00316CAD"/>
    <w:rsid w:val="00316E09"/>
    <w:rsid w:val="003170A2"/>
    <w:rsid w:val="00317427"/>
    <w:rsid w:val="0031760B"/>
    <w:rsid w:val="00317C91"/>
    <w:rsid w:val="00317F1D"/>
    <w:rsid w:val="0032008A"/>
    <w:rsid w:val="00320E3D"/>
    <w:rsid w:val="003219B4"/>
    <w:rsid w:val="003224FA"/>
    <w:rsid w:val="00322ADC"/>
    <w:rsid w:val="00322B7A"/>
    <w:rsid w:val="0032421F"/>
    <w:rsid w:val="003248B8"/>
    <w:rsid w:val="00324CC2"/>
    <w:rsid w:val="0032524B"/>
    <w:rsid w:val="0032576B"/>
    <w:rsid w:val="00325811"/>
    <w:rsid w:val="003260A1"/>
    <w:rsid w:val="0032646C"/>
    <w:rsid w:val="003265DA"/>
    <w:rsid w:val="003307FB"/>
    <w:rsid w:val="0033096A"/>
    <w:rsid w:val="00331A2C"/>
    <w:rsid w:val="00331A49"/>
    <w:rsid w:val="00331D63"/>
    <w:rsid w:val="00333746"/>
    <w:rsid w:val="00333A92"/>
    <w:rsid w:val="00333D59"/>
    <w:rsid w:val="003341FB"/>
    <w:rsid w:val="00334366"/>
    <w:rsid w:val="00334C4B"/>
    <w:rsid w:val="00334FA0"/>
    <w:rsid w:val="003353A1"/>
    <w:rsid w:val="003370D0"/>
    <w:rsid w:val="00337217"/>
    <w:rsid w:val="0033768C"/>
    <w:rsid w:val="003376DE"/>
    <w:rsid w:val="0033777C"/>
    <w:rsid w:val="00337CE8"/>
    <w:rsid w:val="00340259"/>
    <w:rsid w:val="00340B7A"/>
    <w:rsid w:val="00340C24"/>
    <w:rsid w:val="00340F45"/>
    <w:rsid w:val="003410FB"/>
    <w:rsid w:val="0034175F"/>
    <w:rsid w:val="0034182C"/>
    <w:rsid w:val="003427F4"/>
    <w:rsid w:val="00344E1E"/>
    <w:rsid w:val="00345731"/>
    <w:rsid w:val="003458AF"/>
    <w:rsid w:val="00345AFF"/>
    <w:rsid w:val="003463B1"/>
    <w:rsid w:val="00347094"/>
    <w:rsid w:val="00347376"/>
    <w:rsid w:val="003473B2"/>
    <w:rsid w:val="003479DF"/>
    <w:rsid w:val="00347D7A"/>
    <w:rsid w:val="00350084"/>
    <w:rsid w:val="003500FA"/>
    <w:rsid w:val="003505B2"/>
    <w:rsid w:val="00350D4C"/>
    <w:rsid w:val="003510A0"/>
    <w:rsid w:val="003513F9"/>
    <w:rsid w:val="003517FA"/>
    <w:rsid w:val="00351F14"/>
    <w:rsid w:val="00352531"/>
    <w:rsid w:val="00352812"/>
    <w:rsid w:val="003529FD"/>
    <w:rsid w:val="00352B96"/>
    <w:rsid w:val="00352C8E"/>
    <w:rsid w:val="00353D7E"/>
    <w:rsid w:val="00353FAE"/>
    <w:rsid w:val="00354970"/>
    <w:rsid w:val="003550B5"/>
    <w:rsid w:val="00355FD6"/>
    <w:rsid w:val="00356190"/>
    <w:rsid w:val="003563BB"/>
    <w:rsid w:val="00356412"/>
    <w:rsid w:val="00356B14"/>
    <w:rsid w:val="0035767C"/>
    <w:rsid w:val="0035775C"/>
    <w:rsid w:val="003577BB"/>
    <w:rsid w:val="00357D89"/>
    <w:rsid w:val="00360110"/>
    <w:rsid w:val="003606FC"/>
    <w:rsid w:val="003608C2"/>
    <w:rsid w:val="00360966"/>
    <w:rsid w:val="003609F1"/>
    <w:rsid w:val="00360D4D"/>
    <w:rsid w:val="00363639"/>
    <w:rsid w:val="003638B2"/>
    <w:rsid w:val="0036576B"/>
    <w:rsid w:val="0036595E"/>
    <w:rsid w:val="00365DB1"/>
    <w:rsid w:val="003665FC"/>
    <w:rsid w:val="003666AC"/>
    <w:rsid w:val="003668C9"/>
    <w:rsid w:val="003671C4"/>
    <w:rsid w:val="003672AD"/>
    <w:rsid w:val="003677D5"/>
    <w:rsid w:val="00370A79"/>
    <w:rsid w:val="00370B35"/>
    <w:rsid w:val="00370E2D"/>
    <w:rsid w:val="00370FA9"/>
    <w:rsid w:val="003726E2"/>
    <w:rsid w:val="003729BB"/>
    <w:rsid w:val="00372E05"/>
    <w:rsid w:val="003735D3"/>
    <w:rsid w:val="00373846"/>
    <w:rsid w:val="00373DFB"/>
    <w:rsid w:val="0037540B"/>
    <w:rsid w:val="003755E3"/>
    <w:rsid w:val="0037561A"/>
    <w:rsid w:val="0037602C"/>
    <w:rsid w:val="00376921"/>
    <w:rsid w:val="0037766A"/>
    <w:rsid w:val="003800A5"/>
    <w:rsid w:val="003806F8"/>
    <w:rsid w:val="003817B6"/>
    <w:rsid w:val="00381CA1"/>
    <w:rsid w:val="00381ED2"/>
    <w:rsid w:val="003837A2"/>
    <w:rsid w:val="003844EC"/>
    <w:rsid w:val="00384660"/>
    <w:rsid w:val="00384713"/>
    <w:rsid w:val="00384CA6"/>
    <w:rsid w:val="00384DED"/>
    <w:rsid w:val="0038527C"/>
    <w:rsid w:val="003856E1"/>
    <w:rsid w:val="0038587A"/>
    <w:rsid w:val="00386167"/>
    <w:rsid w:val="0038645A"/>
    <w:rsid w:val="0038673F"/>
    <w:rsid w:val="00387079"/>
    <w:rsid w:val="003870F7"/>
    <w:rsid w:val="00387213"/>
    <w:rsid w:val="0039018D"/>
    <w:rsid w:val="003904C4"/>
    <w:rsid w:val="00390BB6"/>
    <w:rsid w:val="003910B6"/>
    <w:rsid w:val="00391766"/>
    <w:rsid w:val="00391802"/>
    <w:rsid w:val="00391974"/>
    <w:rsid w:val="0039220D"/>
    <w:rsid w:val="003922F5"/>
    <w:rsid w:val="003923FD"/>
    <w:rsid w:val="003927C4"/>
    <w:rsid w:val="00393324"/>
    <w:rsid w:val="0039336D"/>
    <w:rsid w:val="00394780"/>
    <w:rsid w:val="003947EE"/>
    <w:rsid w:val="00394EB8"/>
    <w:rsid w:val="00394FA5"/>
    <w:rsid w:val="00395613"/>
    <w:rsid w:val="00395AE0"/>
    <w:rsid w:val="00395B11"/>
    <w:rsid w:val="00395DD6"/>
    <w:rsid w:val="00395E1F"/>
    <w:rsid w:val="0039637E"/>
    <w:rsid w:val="00397766"/>
    <w:rsid w:val="003A01EA"/>
    <w:rsid w:val="003A0266"/>
    <w:rsid w:val="003A0712"/>
    <w:rsid w:val="003A1740"/>
    <w:rsid w:val="003A1C98"/>
    <w:rsid w:val="003A1E01"/>
    <w:rsid w:val="003A1F09"/>
    <w:rsid w:val="003A20E0"/>
    <w:rsid w:val="003A2C5E"/>
    <w:rsid w:val="003A3B74"/>
    <w:rsid w:val="003A3F41"/>
    <w:rsid w:val="003A42EF"/>
    <w:rsid w:val="003A4C86"/>
    <w:rsid w:val="003A64C3"/>
    <w:rsid w:val="003A6AC3"/>
    <w:rsid w:val="003A6C91"/>
    <w:rsid w:val="003A6D55"/>
    <w:rsid w:val="003A712B"/>
    <w:rsid w:val="003A7E83"/>
    <w:rsid w:val="003B0804"/>
    <w:rsid w:val="003B0856"/>
    <w:rsid w:val="003B0CC9"/>
    <w:rsid w:val="003B0F92"/>
    <w:rsid w:val="003B1F62"/>
    <w:rsid w:val="003B2645"/>
    <w:rsid w:val="003B2EDA"/>
    <w:rsid w:val="003B3386"/>
    <w:rsid w:val="003B4403"/>
    <w:rsid w:val="003B46A5"/>
    <w:rsid w:val="003B50AC"/>
    <w:rsid w:val="003B5254"/>
    <w:rsid w:val="003B58B8"/>
    <w:rsid w:val="003B6070"/>
    <w:rsid w:val="003B623D"/>
    <w:rsid w:val="003B6AAD"/>
    <w:rsid w:val="003B6BDF"/>
    <w:rsid w:val="003B6F1A"/>
    <w:rsid w:val="003B71EB"/>
    <w:rsid w:val="003B7838"/>
    <w:rsid w:val="003B7A2F"/>
    <w:rsid w:val="003B7D67"/>
    <w:rsid w:val="003B7D9D"/>
    <w:rsid w:val="003B7E42"/>
    <w:rsid w:val="003B7F73"/>
    <w:rsid w:val="003C006C"/>
    <w:rsid w:val="003C0F87"/>
    <w:rsid w:val="003C17A9"/>
    <w:rsid w:val="003C2432"/>
    <w:rsid w:val="003C28F0"/>
    <w:rsid w:val="003C2E62"/>
    <w:rsid w:val="003C32CD"/>
    <w:rsid w:val="003C3399"/>
    <w:rsid w:val="003C3AD8"/>
    <w:rsid w:val="003C3ECD"/>
    <w:rsid w:val="003C3FD8"/>
    <w:rsid w:val="003C420D"/>
    <w:rsid w:val="003C5512"/>
    <w:rsid w:val="003C6B28"/>
    <w:rsid w:val="003C72CC"/>
    <w:rsid w:val="003C734C"/>
    <w:rsid w:val="003C7CE1"/>
    <w:rsid w:val="003D0184"/>
    <w:rsid w:val="003D0546"/>
    <w:rsid w:val="003D0743"/>
    <w:rsid w:val="003D0B95"/>
    <w:rsid w:val="003D1457"/>
    <w:rsid w:val="003D1C12"/>
    <w:rsid w:val="003D1CF5"/>
    <w:rsid w:val="003D24A6"/>
    <w:rsid w:val="003D3332"/>
    <w:rsid w:val="003D3593"/>
    <w:rsid w:val="003D3839"/>
    <w:rsid w:val="003D3ABF"/>
    <w:rsid w:val="003D439A"/>
    <w:rsid w:val="003D4884"/>
    <w:rsid w:val="003D4985"/>
    <w:rsid w:val="003D4AA0"/>
    <w:rsid w:val="003D52B3"/>
    <w:rsid w:val="003D578D"/>
    <w:rsid w:val="003D57D5"/>
    <w:rsid w:val="003D5CE3"/>
    <w:rsid w:val="003D5D15"/>
    <w:rsid w:val="003D6686"/>
    <w:rsid w:val="003D7860"/>
    <w:rsid w:val="003D7B24"/>
    <w:rsid w:val="003D7E68"/>
    <w:rsid w:val="003E053A"/>
    <w:rsid w:val="003E092E"/>
    <w:rsid w:val="003E0FF9"/>
    <w:rsid w:val="003E127B"/>
    <w:rsid w:val="003E2576"/>
    <w:rsid w:val="003E2579"/>
    <w:rsid w:val="003E3A5B"/>
    <w:rsid w:val="003E4861"/>
    <w:rsid w:val="003E55B1"/>
    <w:rsid w:val="003E5773"/>
    <w:rsid w:val="003E59C4"/>
    <w:rsid w:val="003E69B7"/>
    <w:rsid w:val="003E701B"/>
    <w:rsid w:val="003F00AE"/>
    <w:rsid w:val="003F0B67"/>
    <w:rsid w:val="003F14E1"/>
    <w:rsid w:val="003F15D0"/>
    <w:rsid w:val="003F16A0"/>
    <w:rsid w:val="003F185C"/>
    <w:rsid w:val="003F2751"/>
    <w:rsid w:val="003F29A3"/>
    <w:rsid w:val="003F2F04"/>
    <w:rsid w:val="003F413D"/>
    <w:rsid w:val="003F53CC"/>
    <w:rsid w:val="003F56B4"/>
    <w:rsid w:val="003F588A"/>
    <w:rsid w:val="003F6304"/>
    <w:rsid w:val="003F7277"/>
    <w:rsid w:val="003F7AAA"/>
    <w:rsid w:val="00400F2A"/>
    <w:rsid w:val="00401A1C"/>
    <w:rsid w:val="00401DAE"/>
    <w:rsid w:val="00401F38"/>
    <w:rsid w:val="004020AB"/>
    <w:rsid w:val="00402230"/>
    <w:rsid w:val="00402B34"/>
    <w:rsid w:val="00402E55"/>
    <w:rsid w:val="0040313B"/>
    <w:rsid w:val="0040363A"/>
    <w:rsid w:val="0040386C"/>
    <w:rsid w:val="00403C09"/>
    <w:rsid w:val="004049F5"/>
    <w:rsid w:val="00404FD0"/>
    <w:rsid w:val="00406D54"/>
    <w:rsid w:val="00407046"/>
    <w:rsid w:val="00407394"/>
    <w:rsid w:val="00407BAD"/>
    <w:rsid w:val="004107ED"/>
    <w:rsid w:val="0041082C"/>
    <w:rsid w:val="00410EF0"/>
    <w:rsid w:val="004114F5"/>
    <w:rsid w:val="004115B0"/>
    <w:rsid w:val="00411DEB"/>
    <w:rsid w:val="0041211A"/>
    <w:rsid w:val="004123B1"/>
    <w:rsid w:val="00413FF4"/>
    <w:rsid w:val="00414DE9"/>
    <w:rsid w:val="00414EDA"/>
    <w:rsid w:val="00414FCC"/>
    <w:rsid w:val="0041503A"/>
    <w:rsid w:val="004155D8"/>
    <w:rsid w:val="00415DEC"/>
    <w:rsid w:val="004162F6"/>
    <w:rsid w:val="0041716C"/>
    <w:rsid w:val="004175EE"/>
    <w:rsid w:val="004178D1"/>
    <w:rsid w:val="00417980"/>
    <w:rsid w:val="004201B5"/>
    <w:rsid w:val="0042073A"/>
    <w:rsid w:val="0042114B"/>
    <w:rsid w:val="00421427"/>
    <w:rsid w:val="00421494"/>
    <w:rsid w:val="00421870"/>
    <w:rsid w:val="00421A63"/>
    <w:rsid w:val="00422CC3"/>
    <w:rsid w:val="00422D82"/>
    <w:rsid w:val="0042372A"/>
    <w:rsid w:val="00423F7D"/>
    <w:rsid w:val="00424161"/>
    <w:rsid w:val="004244E5"/>
    <w:rsid w:val="00424F73"/>
    <w:rsid w:val="00425EB4"/>
    <w:rsid w:val="00426221"/>
    <w:rsid w:val="004267A1"/>
    <w:rsid w:val="00426A6C"/>
    <w:rsid w:val="00427459"/>
    <w:rsid w:val="004277A2"/>
    <w:rsid w:val="00427E0E"/>
    <w:rsid w:val="0043004E"/>
    <w:rsid w:val="00430561"/>
    <w:rsid w:val="00430808"/>
    <w:rsid w:val="00430AA3"/>
    <w:rsid w:val="00430CD0"/>
    <w:rsid w:val="00430CF4"/>
    <w:rsid w:val="0043174B"/>
    <w:rsid w:val="00431915"/>
    <w:rsid w:val="00431D1C"/>
    <w:rsid w:val="004332A4"/>
    <w:rsid w:val="004337E8"/>
    <w:rsid w:val="00433C18"/>
    <w:rsid w:val="00433E03"/>
    <w:rsid w:val="00434694"/>
    <w:rsid w:val="004360EB"/>
    <w:rsid w:val="004364E5"/>
    <w:rsid w:val="00436A41"/>
    <w:rsid w:val="004370F9"/>
    <w:rsid w:val="0043755C"/>
    <w:rsid w:val="00437925"/>
    <w:rsid w:val="00437FFA"/>
    <w:rsid w:val="0044025F"/>
    <w:rsid w:val="00441579"/>
    <w:rsid w:val="004434AC"/>
    <w:rsid w:val="00443835"/>
    <w:rsid w:val="00443EBA"/>
    <w:rsid w:val="0044453D"/>
    <w:rsid w:val="004445A8"/>
    <w:rsid w:val="00444C14"/>
    <w:rsid w:val="00444E69"/>
    <w:rsid w:val="00445E40"/>
    <w:rsid w:val="0044686E"/>
    <w:rsid w:val="00446D7B"/>
    <w:rsid w:val="00446F72"/>
    <w:rsid w:val="00447AD5"/>
    <w:rsid w:val="00450114"/>
    <w:rsid w:val="00450808"/>
    <w:rsid w:val="0045188C"/>
    <w:rsid w:val="004519BB"/>
    <w:rsid w:val="00451B56"/>
    <w:rsid w:val="00451DC8"/>
    <w:rsid w:val="0045223B"/>
    <w:rsid w:val="0045232B"/>
    <w:rsid w:val="00452D53"/>
    <w:rsid w:val="0045313A"/>
    <w:rsid w:val="00453266"/>
    <w:rsid w:val="00453549"/>
    <w:rsid w:val="00453AF9"/>
    <w:rsid w:val="00453BB5"/>
    <w:rsid w:val="00453D90"/>
    <w:rsid w:val="00454851"/>
    <w:rsid w:val="00454B40"/>
    <w:rsid w:val="004555CD"/>
    <w:rsid w:val="00456299"/>
    <w:rsid w:val="00456B11"/>
    <w:rsid w:val="00457CFC"/>
    <w:rsid w:val="004601E7"/>
    <w:rsid w:val="004602EE"/>
    <w:rsid w:val="0046169E"/>
    <w:rsid w:val="00461A9B"/>
    <w:rsid w:val="00462144"/>
    <w:rsid w:val="00462851"/>
    <w:rsid w:val="0046289A"/>
    <w:rsid w:val="00462ACF"/>
    <w:rsid w:val="00463B79"/>
    <w:rsid w:val="00464043"/>
    <w:rsid w:val="00464693"/>
    <w:rsid w:val="00465AC8"/>
    <w:rsid w:val="00466B34"/>
    <w:rsid w:val="00466DD8"/>
    <w:rsid w:val="00466EA2"/>
    <w:rsid w:val="00467219"/>
    <w:rsid w:val="004673CB"/>
    <w:rsid w:val="0047004E"/>
    <w:rsid w:val="004707C4"/>
    <w:rsid w:val="00472661"/>
    <w:rsid w:val="004727B5"/>
    <w:rsid w:val="0047280F"/>
    <w:rsid w:val="00472F29"/>
    <w:rsid w:val="004730B6"/>
    <w:rsid w:val="00473DA8"/>
    <w:rsid w:val="004744FA"/>
    <w:rsid w:val="00474642"/>
    <w:rsid w:val="00474EA7"/>
    <w:rsid w:val="004751B9"/>
    <w:rsid w:val="004757BA"/>
    <w:rsid w:val="0047629D"/>
    <w:rsid w:val="00476C78"/>
    <w:rsid w:val="00476DAB"/>
    <w:rsid w:val="0047701F"/>
    <w:rsid w:val="00477C93"/>
    <w:rsid w:val="00477F1F"/>
    <w:rsid w:val="00480308"/>
    <w:rsid w:val="00480913"/>
    <w:rsid w:val="0048096E"/>
    <w:rsid w:val="00480AD8"/>
    <w:rsid w:val="00480BC2"/>
    <w:rsid w:val="00481386"/>
    <w:rsid w:val="00481933"/>
    <w:rsid w:val="00481C76"/>
    <w:rsid w:val="004822E9"/>
    <w:rsid w:val="00482602"/>
    <w:rsid w:val="00483830"/>
    <w:rsid w:val="00483C73"/>
    <w:rsid w:val="00483E7C"/>
    <w:rsid w:val="00483EA3"/>
    <w:rsid w:val="00483EFF"/>
    <w:rsid w:val="00483F5A"/>
    <w:rsid w:val="00483FFD"/>
    <w:rsid w:val="00484885"/>
    <w:rsid w:val="00484989"/>
    <w:rsid w:val="00484AA6"/>
    <w:rsid w:val="00484BFD"/>
    <w:rsid w:val="00484CF9"/>
    <w:rsid w:val="0048532F"/>
    <w:rsid w:val="00485C78"/>
    <w:rsid w:val="00486285"/>
    <w:rsid w:val="00486B5C"/>
    <w:rsid w:val="004879D1"/>
    <w:rsid w:val="00487A2C"/>
    <w:rsid w:val="00487DD9"/>
    <w:rsid w:val="00487F9E"/>
    <w:rsid w:val="00490541"/>
    <w:rsid w:val="0049124E"/>
    <w:rsid w:val="004914AD"/>
    <w:rsid w:val="004918D2"/>
    <w:rsid w:val="00491BAA"/>
    <w:rsid w:val="00491D1D"/>
    <w:rsid w:val="00491D7D"/>
    <w:rsid w:val="004920B6"/>
    <w:rsid w:val="004924F9"/>
    <w:rsid w:val="0049298A"/>
    <w:rsid w:val="00492AE8"/>
    <w:rsid w:val="00492CAF"/>
    <w:rsid w:val="00492E1B"/>
    <w:rsid w:val="00493858"/>
    <w:rsid w:val="004949BC"/>
    <w:rsid w:val="0049536F"/>
    <w:rsid w:val="00495F47"/>
    <w:rsid w:val="00496935"/>
    <w:rsid w:val="00496AEC"/>
    <w:rsid w:val="00496D78"/>
    <w:rsid w:val="00496FEF"/>
    <w:rsid w:val="00497792"/>
    <w:rsid w:val="004A0554"/>
    <w:rsid w:val="004A0EFE"/>
    <w:rsid w:val="004A25A6"/>
    <w:rsid w:val="004A2686"/>
    <w:rsid w:val="004A2BC0"/>
    <w:rsid w:val="004A3136"/>
    <w:rsid w:val="004A3181"/>
    <w:rsid w:val="004A360D"/>
    <w:rsid w:val="004A38F2"/>
    <w:rsid w:val="004A45D6"/>
    <w:rsid w:val="004A474A"/>
    <w:rsid w:val="004A5086"/>
    <w:rsid w:val="004A5CD1"/>
    <w:rsid w:val="004A5DD9"/>
    <w:rsid w:val="004A6ED1"/>
    <w:rsid w:val="004A74FA"/>
    <w:rsid w:val="004A77B4"/>
    <w:rsid w:val="004A7C22"/>
    <w:rsid w:val="004A7F36"/>
    <w:rsid w:val="004A7F61"/>
    <w:rsid w:val="004B011A"/>
    <w:rsid w:val="004B0CD0"/>
    <w:rsid w:val="004B0D20"/>
    <w:rsid w:val="004B14E0"/>
    <w:rsid w:val="004B2CCE"/>
    <w:rsid w:val="004B3188"/>
    <w:rsid w:val="004B3A87"/>
    <w:rsid w:val="004B3BAE"/>
    <w:rsid w:val="004B3FE7"/>
    <w:rsid w:val="004B4220"/>
    <w:rsid w:val="004B57B2"/>
    <w:rsid w:val="004B588F"/>
    <w:rsid w:val="004B5EC7"/>
    <w:rsid w:val="004B6446"/>
    <w:rsid w:val="004B6612"/>
    <w:rsid w:val="004B6BA1"/>
    <w:rsid w:val="004B7BF6"/>
    <w:rsid w:val="004B7DC7"/>
    <w:rsid w:val="004C0135"/>
    <w:rsid w:val="004C18F0"/>
    <w:rsid w:val="004C19A1"/>
    <w:rsid w:val="004C19DE"/>
    <w:rsid w:val="004C259F"/>
    <w:rsid w:val="004C27F3"/>
    <w:rsid w:val="004C2FC6"/>
    <w:rsid w:val="004C2FF1"/>
    <w:rsid w:val="004C3437"/>
    <w:rsid w:val="004C399C"/>
    <w:rsid w:val="004C3BCE"/>
    <w:rsid w:val="004C4484"/>
    <w:rsid w:val="004C4C33"/>
    <w:rsid w:val="004C4FF7"/>
    <w:rsid w:val="004C50B9"/>
    <w:rsid w:val="004C5E63"/>
    <w:rsid w:val="004C65E6"/>
    <w:rsid w:val="004C7DD2"/>
    <w:rsid w:val="004D1123"/>
    <w:rsid w:val="004D126F"/>
    <w:rsid w:val="004D1284"/>
    <w:rsid w:val="004D15BD"/>
    <w:rsid w:val="004D22D8"/>
    <w:rsid w:val="004D2325"/>
    <w:rsid w:val="004D2EFB"/>
    <w:rsid w:val="004D368B"/>
    <w:rsid w:val="004D395C"/>
    <w:rsid w:val="004D47BD"/>
    <w:rsid w:val="004D47ED"/>
    <w:rsid w:val="004D48B5"/>
    <w:rsid w:val="004D4A51"/>
    <w:rsid w:val="004D56BD"/>
    <w:rsid w:val="004D6026"/>
    <w:rsid w:val="004D623A"/>
    <w:rsid w:val="004D62A6"/>
    <w:rsid w:val="004D682F"/>
    <w:rsid w:val="004E01E6"/>
    <w:rsid w:val="004E04A6"/>
    <w:rsid w:val="004E0B5B"/>
    <w:rsid w:val="004E0FAA"/>
    <w:rsid w:val="004E28F8"/>
    <w:rsid w:val="004E2ED9"/>
    <w:rsid w:val="004E2F55"/>
    <w:rsid w:val="004E3282"/>
    <w:rsid w:val="004E3647"/>
    <w:rsid w:val="004E37FD"/>
    <w:rsid w:val="004E4417"/>
    <w:rsid w:val="004E4B46"/>
    <w:rsid w:val="004E4D43"/>
    <w:rsid w:val="004E52B0"/>
    <w:rsid w:val="004E54E1"/>
    <w:rsid w:val="004E5C0B"/>
    <w:rsid w:val="004E65C1"/>
    <w:rsid w:val="004E6B3B"/>
    <w:rsid w:val="004E7F71"/>
    <w:rsid w:val="004F0091"/>
    <w:rsid w:val="004F09B2"/>
    <w:rsid w:val="004F16E8"/>
    <w:rsid w:val="004F1A36"/>
    <w:rsid w:val="004F26EB"/>
    <w:rsid w:val="004F2A78"/>
    <w:rsid w:val="004F2B07"/>
    <w:rsid w:val="004F3236"/>
    <w:rsid w:val="004F39DE"/>
    <w:rsid w:val="004F3BDD"/>
    <w:rsid w:val="004F3D10"/>
    <w:rsid w:val="004F3F1E"/>
    <w:rsid w:val="004F4140"/>
    <w:rsid w:val="004F4D93"/>
    <w:rsid w:val="004F50BE"/>
    <w:rsid w:val="004F516C"/>
    <w:rsid w:val="004F5655"/>
    <w:rsid w:val="004F5B15"/>
    <w:rsid w:val="004F6C53"/>
    <w:rsid w:val="004F7011"/>
    <w:rsid w:val="004F7440"/>
    <w:rsid w:val="004F7744"/>
    <w:rsid w:val="005006DC"/>
    <w:rsid w:val="005008C0"/>
    <w:rsid w:val="00500E71"/>
    <w:rsid w:val="00500EBF"/>
    <w:rsid w:val="00500F78"/>
    <w:rsid w:val="00501AE7"/>
    <w:rsid w:val="00501AFC"/>
    <w:rsid w:val="00501BB4"/>
    <w:rsid w:val="00502B45"/>
    <w:rsid w:val="00503212"/>
    <w:rsid w:val="005038CE"/>
    <w:rsid w:val="00503AC8"/>
    <w:rsid w:val="00503E99"/>
    <w:rsid w:val="00503EBC"/>
    <w:rsid w:val="0050464C"/>
    <w:rsid w:val="00505902"/>
    <w:rsid w:val="00505B34"/>
    <w:rsid w:val="00505B9D"/>
    <w:rsid w:val="00506449"/>
    <w:rsid w:val="005064B4"/>
    <w:rsid w:val="00506A01"/>
    <w:rsid w:val="00506F25"/>
    <w:rsid w:val="00506F94"/>
    <w:rsid w:val="005077F3"/>
    <w:rsid w:val="00507BCB"/>
    <w:rsid w:val="00510078"/>
    <w:rsid w:val="00510F9F"/>
    <w:rsid w:val="005110FE"/>
    <w:rsid w:val="00512447"/>
    <w:rsid w:val="0051244E"/>
    <w:rsid w:val="0051271A"/>
    <w:rsid w:val="00512992"/>
    <w:rsid w:val="00512F93"/>
    <w:rsid w:val="00513550"/>
    <w:rsid w:val="00513BAA"/>
    <w:rsid w:val="00513E00"/>
    <w:rsid w:val="00513E6B"/>
    <w:rsid w:val="00513F31"/>
    <w:rsid w:val="00514262"/>
    <w:rsid w:val="00514E24"/>
    <w:rsid w:val="005153EC"/>
    <w:rsid w:val="00515730"/>
    <w:rsid w:val="00516A75"/>
    <w:rsid w:val="0051708E"/>
    <w:rsid w:val="00517E9B"/>
    <w:rsid w:val="00520511"/>
    <w:rsid w:val="0052065C"/>
    <w:rsid w:val="00520EF8"/>
    <w:rsid w:val="005215D3"/>
    <w:rsid w:val="00521606"/>
    <w:rsid w:val="0052181F"/>
    <w:rsid w:val="005228D0"/>
    <w:rsid w:val="00524D77"/>
    <w:rsid w:val="00524E69"/>
    <w:rsid w:val="00525316"/>
    <w:rsid w:val="00525781"/>
    <w:rsid w:val="005257B8"/>
    <w:rsid w:val="00526498"/>
    <w:rsid w:val="005276E8"/>
    <w:rsid w:val="00527DF5"/>
    <w:rsid w:val="005304AF"/>
    <w:rsid w:val="00530D75"/>
    <w:rsid w:val="00530E17"/>
    <w:rsid w:val="005310F0"/>
    <w:rsid w:val="00531491"/>
    <w:rsid w:val="00531B4C"/>
    <w:rsid w:val="00531B8C"/>
    <w:rsid w:val="00531BE3"/>
    <w:rsid w:val="00531F18"/>
    <w:rsid w:val="0053218C"/>
    <w:rsid w:val="00533535"/>
    <w:rsid w:val="00534237"/>
    <w:rsid w:val="00534242"/>
    <w:rsid w:val="00534A43"/>
    <w:rsid w:val="00535053"/>
    <w:rsid w:val="0053506F"/>
    <w:rsid w:val="005350ED"/>
    <w:rsid w:val="0053534D"/>
    <w:rsid w:val="00535B6C"/>
    <w:rsid w:val="00535BAF"/>
    <w:rsid w:val="00535D50"/>
    <w:rsid w:val="00536299"/>
    <w:rsid w:val="00536680"/>
    <w:rsid w:val="00536D75"/>
    <w:rsid w:val="005371DE"/>
    <w:rsid w:val="005401B4"/>
    <w:rsid w:val="00540514"/>
    <w:rsid w:val="005408E9"/>
    <w:rsid w:val="00540FE2"/>
    <w:rsid w:val="005414E9"/>
    <w:rsid w:val="00541921"/>
    <w:rsid w:val="00541D5C"/>
    <w:rsid w:val="0054270A"/>
    <w:rsid w:val="005429E5"/>
    <w:rsid w:val="00542DE1"/>
    <w:rsid w:val="005431B5"/>
    <w:rsid w:val="00543591"/>
    <w:rsid w:val="0054393D"/>
    <w:rsid w:val="00543E36"/>
    <w:rsid w:val="005440CF"/>
    <w:rsid w:val="00544389"/>
    <w:rsid w:val="00544D7A"/>
    <w:rsid w:val="00544F31"/>
    <w:rsid w:val="0054549D"/>
    <w:rsid w:val="005455C3"/>
    <w:rsid w:val="0054569B"/>
    <w:rsid w:val="00546800"/>
    <w:rsid w:val="00546C65"/>
    <w:rsid w:val="00546F0D"/>
    <w:rsid w:val="00547A15"/>
    <w:rsid w:val="005505AB"/>
    <w:rsid w:val="00550785"/>
    <w:rsid w:val="005515A7"/>
    <w:rsid w:val="00552B49"/>
    <w:rsid w:val="00553536"/>
    <w:rsid w:val="00553999"/>
    <w:rsid w:val="00553E7B"/>
    <w:rsid w:val="00553EB1"/>
    <w:rsid w:val="00554CF8"/>
    <w:rsid w:val="0055508D"/>
    <w:rsid w:val="005552B3"/>
    <w:rsid w:val="005552E4"/>
    <w:rsid w:val="00555853"/>
    <w:rsid w:val="0055599B"/>
    <w:rsid w:val="00555C85"/>
    <w:rsid w:val="00555DD1"/>
    <w:rsid w:val="0055634D"/>
    <w:rsid w:val="00557467"/>
    <w:rsid w:val="005574F0"/>
    <w:rsid w:val="0055797B"/>
    <w:rsid w:val="00560E54"/>
    <w:rsid w:val="00561073"/>
    <w:rsid w:val="00561654"/>
    <w:rsid w:val="005618AA"/>
    <w:rsid w:val="005623E7"/>
    <w:rsid w:val="00562676"/>
    <w:rsid w:val="005634ED"/>
    <w:rsid w:val="00564F69"/>
    <w:rsid w:val="0056543D"/>
    <w:rsid w:val="0056573B"/>
    <w:rsid w:val="0056583B"/>
    <w:rsid w:val="005658D6"/>
    <w:rsid w:val="0056636F"/>
    <w:rsid w:val="00566CCE"/>
    <w:rsid w:val="00566D20"/>
    <w:rsid w:val="00567398"/>
    <w:rsid w:val="0056775F"/>
    <w:rsid w:val="005677F2"/>
    <w:rsid w:val="00567B21"/>
    <w:rsid w:val="00571B7A"/>
    <w:rsid w:val="0057223B"/>
    <w:rsid w:val="00572D39"/>
    <w:rsid w:val="00572E8E"/>
    <w:rsid w:val="0057308E"/>
    <w:rsid w:val="00573354"/>
    <w:rsid w:val="0057340B"/>
    <w:rsid w:val="005735B7"/>
    <w:rsid w:val="0057377F"/>
    <w:rsid w:val="00573FD0"/>
    <w:rsid w:val="00574540"/>
    <w:rsid w:val="0057486A"/>
    <w:rsid w:val="00574A2D"/>
    <w:rsid w:val="00574D11"/>
    <w:rsid w:val="00575718"/>
    <w:rsid w:val="005768DC"/>
    <w:rsid w:val="005774A5"/>
    <w:rsid w:val="00577DA3"/>
    <w:rsid w:val="00580E98"/>
    <w:rsid w:val="00581BDD"/>
    <w:rsid w:val="00581D11"/>
    <w:rsid w:val="0058208C"/>
    <w:rsid w:val="005823E3"/>
    <w:rsid w:val="00582D8A"/>
    <w:rsid w:val="0058300D"/>
    <w:rsid w:val="0058341A"/>
    <w:rsid w:val="00583786"/>
    <w:rsid w:val="005837C1"/>
    <w:rsid w:val="00583BF7"/>
    <w:rsid w:val="00584106"/>
    <w:rsid w:val="005854F1"/>
    <w:rsid w:val="00585750"/>
    <w:rsid w:val="00585A74"/>
    <w:rsid w:val="00585D96"/>
    <w:rsid w:val="00585E6D"/>
    <w:rsid w:val="00585EBD"/>
    <w:rsid w:val="00585FF2"/>
    <w:rsid w:val="005862AB"/>
    <w:rsid w:val="005903AF"/>
    <w:rsid w:val="005913E0"/>
    <w:rsid w:val="005925D2"/>
    <w:rsid w:val="00593321"/>
    <w:rsid w:val="00593498"/>
    <w:rsid w:val="00593583"/>
    <w:rsid w:val="005940E5"/>
    <w:rsid w:val="005945B0"/>
    <w:rsid w:val="00594CF0"/>
    <w:rsid w:val="005952EE"/>
    <w:rsid w:val="00595354"/>
    <w:rsid w:val="00595515"/>
    <w:rsid w:val="0059579D"/>
    <w:rsid w:val="00595D23"/>
    <w:rsid w:val="00596338"/>
    <w:rsid w:val="005972F9"/>
    <w:rsid w:val="00597427"/>
    <w:rsid w:val="00597530"/>
    <w:rsid w:val="005A120F"/>
    <w:rsid w:val="005A1410"/>
    <w:rsid w:val="005A1447"/>
    <w:rsid w:val="005A161A"/>
    <w:rsid w:val="005A16CD"/>
    <w:rsid w:val="005A1EAC"/>
    <w:rsid w:val="005A23F0"/>
    <w:rsid w:val="005A2FC5"/>
    <w:rsid w:val="005A314E"/>
    <w:rsid w:val="005A3D0E"/>
    <w:rsid w:val="005A42A5"/>
    <w:rsid w:val="005A4981"/>
    <w:rsid w:val="005A4B4A"/>
    <w:rsid w:val="005A6440"/>
    <w:rsid w:val="005A6C53"/>
    <w:rsid w:val="005A6DB7"/>
    <w:rsid w:val="005A76A7"/>
    <w:rsid w:val="005A7D90"/>
    <w:rsid w:val="005B05AE"/>
    <w:rsid w:val="005B0C0F"/>
    <w:rsid w:val="005B0D94"/>
    <w:rsid w:val="005B10D9"/>
    <w:rsid w:val="005B18F5"/>
    <w:rsid w:val="005B2419"/>
    <w:rsid w:val="005B42F6"/>
    <w:rsid w:val="005B4557"/>
    <w:rsid w:val="005B4BDC"/>
    <w:rsid w:val="005B4C2D"/>
    <w:rsid w:val="005B6075"/>
    <w:rsid w:val="005B6A65"/>
    <w:rsid w:val="005B73B4"/>
    <w:rsid w:val="005B7890"/>
    <w:rsid w:val="005B7B2D"/>
    <w:rsid w:val="005C0354"/>
    <w:rsid w:val="005C20A6"/>
    <w:rsid w:val="005C2727"/>
    <w:rsid w:val="005C30ED"/>
    <w:rsid w:val="005C31B7"/>
    <w:rsid w:val="005C3374"/>
    <w:rsid w:val="005C4012"/>
    <w:rsid w:val="005C41E5"/>
    <w:rsid w:val="005C4422"/>
    <w:rsid w:val="005C44BE"/>
    <w:rsid w:val="005C4C07"/>
    <w:rsid w:val="005C4E24"/>
    <w:rsid w:val="005C4EA2"/>
    <w:rsid w:val="005C5413"/>
    <w:rsid w:val="005C6E3C"/>
    <w:rsid w:val="005C6E98"/>
    <w:rsid w:val="005C71FE"/>
    <w:rsid w:val="005C7BAA"/>
    <w:rsid w:val="005C7C8E"/>
    <w:rsid w:val="005D0F62"/>
    <w:rsid w:val="005D22C6"/>
    <w:rsid w:val="005D2B6D"/>
    <w:rsid w:val="005D2E15"/>
    <w:rsid w:val="005D3E28"/>
    <w:rsid w:val="005D3EF9"/>
    <w:rsid w:val="005D45D2"/>
    <w:rsid w:val="005D48EC"/>
    <w:rsid w:val="005D514F"/>
    <w:rsid w:val="005D5212"/>
    <w:rsid w:val="005D5651"/>
    <w:rsid w:val="005D59A7"/>
    <w:rsid w:val="005D5AAC"/>
    <w:rsid w:val="005D6839"/>
    <w:rsid w:val="005D73A0"/>
    <w:rsid w:val="005D7481"/>
    <w:rsid w:val="005D7A19"/>
    <w:rsid w:val="005D7DEE"/>
    <w:rsid w:val="005E06DF"/>
    <w:rsid w:val="005E0881"/>
    <w:rsid w:val="005E0BE0"/>
    <w:rsid w:val="005E0C15"/>
    <w:rsid w:val="005E1346"/>
    <w:rsid w:val="005E149F"/>
    <w:rsid w:val="005E197C"/>
    <w:rsid w:val="005E1D1D"/>
    <w:rsid w:val="005E2CD4"/>
    <w:rsid w:val="005E2F98"/>
    <w:rsid w:val="005E3C83"/>
    <w:rsid w:val="005E4120"/>
    <w:rsid w:val="005E41CC"/>
    <w:rsid w:val="005E42B9"/>
    <w:rsid w:val="005E4B81"/>
    <w:rsid w:val="005E4F28"/>
    <w:rsid w:val="005E562A"/>
    <w:rsid w:val="005E564C"/>
    <w:rsid w:val="005E64FD"/>
    <w:rsid w:val="005E655A"/>
    <w:rsid w:val="005E6649"/>
    <w:rsid w:val="005E74FD"/>
    <w:rsid w:val="005E76B8"/>
    <w:rsid w:val="005F032B"/>
    <w:rsid w:val="005F06FC"/>
    <w:rsid w:val="005F12E9"/>
    <w:rsid w:val="005F193C"/>
    <w:rsid w:val="005F1F92"/>
    <w:rsid w:val="005F21A3"/>
    <w:rsid w:val="005F2B70"/>
    <w:rsid w:val="005F2ECA"/>
    <w:rsid w:val="005F2ED9"/>
    <w:rsid w:val="005F321F"/>
    <w:rsid w:val="005F3C67"/>
    <w:rsid w:val="005F4129"/>
    <w:rsid w:val="005F4164"/>
    <w:rsid w:val="005F509E"/>
    <w:rsid w:val="005F512C"/>
    <w:rsid w:val="005F5743"/>
    <w:rsid w:val="005F5908"/>
    <w:rsid w:val="005F5E2B"/>
    <w:rsid w:val="005F614F"/>
    <w:rsid w:val="005F6A53"/>
    <w:rsid w:val="005F723D"/>
    <w:rsid w:val="005F748D"/>
    <w:rsid w:val="0060135C"/>
    <w:rsid w:val="00601CC2"/>
    <w:rsid w:val="006020F3"/>
    <w:rsid w:val="00602229"/>
    <w:rsid w:val="00602875"/>
    <w:rsid w:val="00603048"/>
    <w:rsid w:val="00603E97"/>
    <w:rsid w:val="00603F53"/>
    <w:rsid w:val="00604D73"/>
    <w:rsid w:val="00604F56"/>
    <w:rsid w:val="00605453"/>
    <w:rsid w:val="00605D83"/>
    <w:rsid w:val="00606C09"/>
    <w:rsid w:val="006071DB"/>
    <w:rsid w:val="006102A8"/>
    <w:rsid w:val="00611A2B"/>
    <w:rsid w:val="00611BCA"/>
    <w:rsid w:val="0061234F"/>
    <w:rsid w:val="00612658"/>
    <w:rsid w:val="00612872"/>
    <w:rsid w:val="00612BC3"/>
    <w:rsid w:val="00613017"/>
    <w:rsid w:val="006137D8"/>
    <w:rsid w:val="00614152"/>
    <w:rsid w:val="00614BEC"/>
    <w:rsid w:val="00614C39"/>
    <w:rsid w:val="0061552E"/>
    <w:rsid w:val="00615A1A"/>
    <w:rsid w:val="006161CA"/>
    <w:rsid w:val="006163A8"/>
    <w:rsid w:val="0061662B"/>
    <w:rsid w:val="00616B08"/>
    <w:rsid w:val="00616B4E"/>
    <w:rsid w:val="00616E0E"/>
    <w:rsid w:val="0061751B"/>
    <w:rsid w:val="00617CEB"/>
    <w:rsid w:val="00620702"/>
    <w:rsid w:val="0062084E"/>
    <w:rsid w:val="00620D3F"/>
    <w:rsid w:val="006210C4"/>
    <w:rsid w:val="00621153"/>
    <w:rsid w:val="006220DA"/>
    <w:rsid w:val="00622805"/>
    <w:rsid w:val="0062430F"/>
    <w:rsid w:val="00624DBC"/>
    <w:rsid w:val="00626411"/>
    <w:rsid w:val="006265D7"/>
    <w:rsid w:val="00626D16"/>
    <w:rsid w:val="0062798D"/>
    <w:rsid w:val="006279F4"/>
    <w:rsid w:val="00627AA9"/>
    <w:rsid w:val="00627BC3"/>
    <w:rsid w:val="00630047"/>
    <w:rsid w:val="00630175"/>
    <w:rsid w:val="00630B70"/>
    <w:rsid w:val="00630F4C"/>
    <w:rsid w:val="006311F4"/>
    <w:rsid w:val="006327B7"/>
    <w:rsid w:val="00632CC1"/>
    <w:rsid w:val="00632EB9"/>
    <w:rsid w:val="0063396E"/>
    <w:rsid w:val="0063401B"/>
    <w:rsid w:val="0063433A"/>
    <w:rsid w:val="006346F5"/>
    <w:rsid w:val="0063485A"/>
    <w:rsid w:val="00634AC3"/>
    <w:rsid w:val="00635A2C"/>
    <w:rsid w:val="00635C33"/>
    <w:rsid w:val="006366A3"/>
    <w:rsid w:val="00636A22"/>
    <w:rsid w:val="00636FD2"/>
    <w:rsid w:val="0063769A"/>
    <w:rsid w:val="006404AF"/>
    <w:rsid w:val="00640C9C"/>
    <w:rsid w:val="006410E9"/>
    <w:rsid w:val="00641CFF"/>
    <w:rsid w:val="00642B5E"/>
    <w:rsid w:val="00642B7C"/>
    <w:rsid w:val="00642CB8"/>
    <w:rsid w:val="006437E5"/>
    <w:rsid w:val="00643850"/>
    <w:rsid w:val="00643FF3"/>
    <w:rsid w:val="00645DA2"/>
    <w:rsid w:val="00645F98"/>
    <w:rsid w:val="006467FB"/>
    <w:rsid w:val="00646937"/>
    <w:rsid w:val="00647970"/>
    <w:rsid w:val="00650C35"/>
    <w:rsid w:val="00651C2A"/>
    <w:rsid w:val="006523E7"/>
    <w:rsid w:val="00652824"/>
    <w:rsid w:val="006528EB"/>
    <w:rsid w:val="00652A52"/>
    <w:rsid w:val="00652BE1"/>
    <w:rsid w:val="0065358F"/>
    <w:rsid w:val="0065367B"/>
    <w:rsid w:val="00653D78"/>
    <w:rsid w:val="00654179"/>
    <w:rsid w:val="00654952"/>
    <w:rsid w:val="00654DE5"/>
    <w:rsid w:val="00655092"/>
    <w:rsid w:val="00655512"/>
    <w:rsid w:val="006557CD"/>
    <w:rsid w:val="00656846"/>
    <w:rsid w:val="00656DF8"/>
    <w:rsid w:val="00656EF1"/>
    <w:rsid w:val="00657D39"/>
    <w:rsid w:val="0066081E"/>
    <w:rsid w:val="00660F7D"/>
    <w:rsid w:val="00660FDF"/>
    <w:rsid w:val="00661523"/>
    <w:rsid w:val="00661938"/>
    <w:rsid w:val="00662843"/>
    <w:rsid w:val="00663D94"/>
    <w:rsid w:val="006644A2"/>
    <w:rsid w:val="006646C3"/>
    <w:rsid w:val="00664743"/>
    <w:rsid w:val="00664A60"/>
    <w:rsid w:val="0066535B"/>
    <w:rsid w:val="00665826"/>
    <w:rsid w:val="0066618F"/>
    <w:rsid w:val="006667DE"/>
    <w:rsid w:val="0066684A"/>
    <w:rsid w:val="00666B59"/>
    <w:rsid w:val="00667175"/>
    <w:rsid w:val="006673FE"/>
    <w:rsid w:val="00667F63"/>
    <w:rsid w:val="006706BD"/>
    <w:rsid w:val="00670D75"/>
    <w:rsid w:val="006710EC"/>
    <w:rsid w:val="00671A99"/>
    <w:rsid w:val="00671CE0"/>
    <w:rsid w:val="00672628"/>
    <w:rsid w:val="0067304A"/>
    <w:rsid w:val="00673754"/>
    <w:rsid w:val="00673BEF"/>
    <w:rsid w:val="00673E5C"/>
    <w:rsid w:val="00674AF5"/>
    <w:rsid w:val="006756A9"/>
    <w:rsid w:val="00675E5E"/>
    <w:rsid w:val="006762BD"/>
    <w:rsid w:val="0067689E"/>
    <w:rsid w:val="00676A2E"/>
    <w:rsid w:val="00676BAF"/>
    <w:rsid w:val="00676E42"/>
    <w:rsid w:val="006772E8"/>
    <w:rsid w:val="0067781E"/>
    <w:rsid w:val="00677A10"/>
    <w:rsid w:val="00680ED8"/>
    <w:rsid w:val="00681143"/>
    <w:rsid w:val="00681DD7"/>
    <w:rsid w:val="006823DB"/>
    <w:rsid w:val="0068264E"/>
    <w:rsid w:val="00682676"/>
    <w:rsid w:val="006833BA"/>
    <w:rsid w:val="0068386A"/>
    <w:rsid w:val="0068435A"/>
    <w:rsid w:val="00684BED"/>
    <w:rsid w:val="006851AB"/>
    <w:rsid w:val="00685B4A"/>
    <w:rsid w:val="00685C3B"/>
    <w:rsid w:val="0068704B"/>
    <w:rsid w:val="00687283"/>
    <w:rsid w:val="006872A0"/>
    <w:rsid w:val="006875C3"/>
    <w:rsid w:val="006875EF"/>
    <w:rsid w:val="00687AF7"/>
    <w:rsid w:val="00690258"/>
    <w:rsid w:val="006906C0"/>
    <w:rsid w:val="0069072F"/>
    <w:rsid w:val="00690903"/>
    <w:rsid w:val="006909C4"/>
    <w:rsid w:val="00690C63"/>
    <w:rsid w:val="00690D89"/>
    <w:rsid w:val="0069104A"/>
    <w:rsid w:val="00691200"/>
    <w:rsid w:val="00691EF4"/>
    <w:rsid w:val="0069205A"/>
    <w:rsid w:val="00692306"/>
    <w:rsid w:val="006924DF"/>
    <w:rsid w:val="006932F4"/>
    <w:rsid w:val="006939EC"/>
    <w:rsid w:val="00693B13"/>
    <w:rsid w:val="00693D24"/>
    <w:rsid w:val="00694059"/>
    <w:rsid w:val="006946C2"/>
    <w:rsid w:val="00695083"/>
    <w:rsid w:val="0069521F"/>
    <w:rsid w:val="006953B9"/>
    <w:rsid w:val="006958A9"/>
    <w:rsid w:val="00697190"/>
    <w:rsid w:val="006974F7"/>
    <w:rsid w:val="006979CE"/>
    <w:rsid w:val="00697A2D"/>
    <w:rsid w:val="00697BA5"/>
    <w:rsid w:val="006A027B"/>
    <w:rsid w:val="006A077C"/>
    <w:rsid w:val="006A19CA"/>
    <w:rsid w:val="006A19F8"/>
    <w:rsid w:val="006A1C61"/>
    <w:rsid w:val="006A2091"/>
    <w:rsid w:val="006A2AC9"/>
    <w:rsid w:val="006A2FDF"/>
    <w:rsid w:val="006A377B"/>
    <w:rsid w:val="006A3DB5"/>
    <w:rsid w:val="006A4647"/>
    <w:rsid w:val="006A4EC8"/>
    <w:rsid w:val="006A4FAA"/>
    <w:rsid w:val="006A69C6"/>
    <w:rsid w:val="006A76A2"/>
    <w:rsid w:val="006B0614"/>
    <w:rsid w:val="006B0988"/>
    <w:rsid w:val="006B0FAE"/>
    <w:rsid w:val="006B1504"/>
    <w:rsid w:val="006B19B7"/>
    <w:rsid w:val="006B1D35"/>
    <w:rsid w:val="006B1EDB"/>
    <w:rsid w:val="006B1F74"/>
    <w:rsid w:val="006B2457"/>
    <w:rsid w:val="006B260F"/>
    <w:rsid w:val="006B2764"/>
    <w:rsid w:val="006B28B2"/>
    <w:rsid w:val="006B2AFC"/>
    <w:rsid w:val="006B3195"/>
    <w:rsid w:val="006B35AB"/>
    <w:rsid w:val="006B3748"/>
    <w:rsid w:val="006B47EB"/>
    <w:rsid w:val="006B50C8"/>
    <w:rsid w:val="006B5D1D"/>
    <w:rsid w:val="006B61EF"/>
    <w:rsid w:val="006B6763"/>
    <w:rsid w:val="006B6B68"/>
    <w:rsid w:val="006B6F96"/>
    <w:rsid w:val="006B784B"/>
    <w:rsid w:val="006B7B16"/>
    <w:rsid w:val="006C0166"/>
    <w:rsid w:val="006C174C"/>
    <w:rsid w:val="006C186B"/>
    <w:rsid w:val="006C2A01"/>
    <w:rsid w:val="006C2AAF"/>
    <w:rsid w:val="006C2D3E"/>
    <w:rsid w:val="006C308D"/>
    <w:rsid w:val="006C3576"/>
    <w:rsid w:val="006C3D60"/>
    <w:rsid w:val="006C3E38"/>
    <w:rsid w:val="006C4DED"/>
    <w:rsid w:val="006C528E"/>
    <w:rsid w:val="006C5BED"/>
    <w:rsid w:val="006C5F03"/>
    <w:rsid w:val="006C7E26"/>
    <w:rsid w:val="006D028C"/>
    <w:rsid w:val="006D051F"/>
    <w:rsid w:val="006D05E0"/>
    <w:rsid w:val="006D1DD2"/>
    <w:rsid w:val="006D1EE6"/>
    <w:rsid w:val="006D226C"/>
    <w:rsid w:val="006D2C1C"/>
    <w:rsid w:val="006D3067"/>
    <w:rsid w:val="006D398D"/>
    <w:rsid w:val="006D3F3A"/>
    <w:rsid w:val="006D42FE"/>
    <w:rsid w:val="006D63AA"/>
    <w:rsid w:val="006D6461"/>
    <w:rsid w:val="006D6507"/>
    <w:rsid w:val="006D6659"/>
    <w:rsid w:val="006D67AD"/>
    <w:rsid w:val="006D6A61"/>
    <w:rsid w:val="006D7013"/>
    <w:rsid w:val="006D736B"/>
    <w:rsid w:val="006D77A7"/>
    <w:rsid w:val="006E01F6"/>
    <w:rsid w:val="006E042D"/>
    <w:rsid w:val="006E0A53"/>
    <w:rsid w:val="006E0BCB"/>
    <w:rsid w:val="006E29A6"/>
    <w:rsid w:val="006E2D0C"/>
    <w:rsid w:val="006E2E0B"/>
    <w:rsid w:val="006E3254"/>
    <w:rsid w:val="006E3F54"/>
    <w:rsid w:val="006E4602"/>
    <w:rsid w:val="006E4632"/>
    <w:rsid w:val="006E46F8"/>
    <w:rsid w:val="006E4E9F"/>
    <w:rsid w:val="006E58B8"/>
    <w:rsid w:val="006E6131"/>
    <w:rsid w:val="006E6676"/>
    <w:rsid w:val="006E66A0"/>
    <w:rsid w:val="006E670F"/>
    <w:rsid w:val="006E679B"/>
    <w:rsid w:val="006E71D0"/>
    <w:rsid w:val="006E7479"/>
    <w:rsid w:val="006E758D"/>
    <w:rsid w:val="006E7F10"/>
    <w:rsid w:val="006F09D8"/>
    <w:rsid w:val="006F0EB9"/>
    <w:rsid w:val="006F1402"/>
    <w:rsid w:val="006F15B1"/>
    <w:rsid w:val="006F1DCB"/>
    <w:rsid w:val="006F21D0"/>
    <w:rsid w:val="006F226C"/>
    <w:rsid w:val="006F288A"/>
    <w:rsid w:val="006F2BF0"/>
    <w:rsid w:val="006F3218"/>
    <w:rsid w:val="006F32FE"/>
    <w:rsid w:val="006F368C"/>
    <w:rsid w:val="006F5CF5"/>
    <w:rsid w:val="006F5F3B"/>
    <w:rsid w:val="006F61EA"/>
    <w:rsid w:val="006F6B68"/>
    <w:rsid w:val="006F6BF0"/>
    <w:rsid w:val="006F71F8"/>
    <w:rsid w:val="006F7F17"/>
    <w:rsid w:val="00700265"/>
    <w:rsid w:val="0070101B"/>
    <w:rsid w:val="00701792"/>
    <w:rsid w:val="00701A73"/>
    <w:rsid w:val="0070219D"/>
    <w:rsid w:val="00702A90"/>
    <w:rsid w:val="00702BC9"/>
    <w:rsid w:val="00703293"/>
    <w:rsid w:val="00703401"/>
    <w:rsid w:val="007037CC"/>
    <w:rsid w:val="00703B7C"/>
    <w:rsid w:val="00703ECA"/>
    <w:rsid w:val="00704939"/>
    <w:rsid w:val="00704BED"/>
    <w:rsid w:val="007059F9"/>
    <w:rsid w:val="00706615"/>
    <w:rsid w:val="00707034"/>
    <w:rsid w:val="00707157"/>
    <w:rsid w:val="007078BD"/>
    <w:rsid w:val="00707B9F"/>
    <w:rsid w:val="00707F31"/>
    <w:rsid w:val="007104E9"/>
    <w:rsid w:val="007119BD"/>
    <w:rsid w:val="00711B26"/>
    <w:rsid w:val="007134AB"/>
    <w:rsid w:val="0071400B"/>
    <w:rsid w:val="00714301"/>
    <w:rsid w:val="007143AC"/>
    <w:rsid w:val="0071452A"/>
    <w:rsid w:val="00714B27"/>
    <w:rsid w:val="00714B5E"/>
    <w:rsid w:val="00715332"/>
    <w:rsid w:val="007158A9"/>
    <w:rsid w:val="00715D2B"/>
    <w:rsid w:val="00715EE2"/>
    <w:rsid w:val="007167DD"/>
    <w:rsid w:val="00716FAC"/>
    <w:rsid w:val="007206E3"/>
    <w:rsid w:val="00720857"/>
    <w:rsid w:val="007210D6"/>
    <w:rsid w:val="00722102"/>
    <w:rsid w:val="00722673"/>
    <w:rsid w:val="00722BF4"/>
    <w:rsid w:val="0072443A"/>
    <w:rsid w:val="00724A3A"/>
    <w:rsid w:val="007250D6"/>
    <w:rsid w:val="0072525D"/>
    <w:rsid w:val="00725B80"/>
    <w:rsid w:val="00725FDA"/>
    <w:rsid w:val="00726D80"/>
    <w:rsid w:val="00726F0F"/>
    <w:rsid w:val="0072704F"/>
    <w:rsid w:val="00727919"/>
    <w:rsid w:val="00727A03"/>
    <w:rsid w:val="00727CDF"/>
    <w:rsid w:val="00730608"/>
    <w:rsid w:val="00730882"/>
    <w:rsid w:val="00731996"/>
    <w:rsid w:val="007322E2"/>
    <w:rsid w:val="0073296C"/>
    <w:rsid w:val="00732C34"/>
    <w:rsid w:val="00732CC0"/>
    <w:rsid w:val="007332D1"/>
    <w:rsid w:val="00733BB8"/>
    <w:rsid w:val="007351F3"/>
    <w:rsid w:val="00735331"/>
    <w:rsid w:val="00735437"/>
    <w:rsid w:val="007358A8"/>
    <w:rsid w:val="0073659A"/>
    <w:rsid w:val="007367A3"/>
    <w:rsid w:val="00737AFC"/>
    <w:rsid w:val="00737E97"/>
    <w:rsid w:val="007400AD"/>
    <w:rsid w:val="007411E7"/>
    <w:rsid w:val="007414B9"/>
    <w:rsid w:val="00741829"/>
    <w:rsid w:val="00741A05"/>
    <w:rsid w:val="00742F2C"/>
    <w:rsid w:val="007432A2"/>
    <w:rsid w:val="007436CE"/>
    <w:rsid w:val="00743D90"/>
    <w:rsid w:val="0074460C"/>
    <w:rsid w:val="007446D2"/>
    <w:rsid w:val="00744E56"/>
    <w:rsid w:val="007456A0"/>
    <w:rsid w:val="00745743"/>
    <w:rsid w:val="00745D9F"/>
    <w:rsid w:val="00746F3A"/>
    <w:rsid w:val="00747209"/>
    <w:rsid w:val="0074724E"/>
    <w:rsid w:val="00750258"/>
    <w:rsid w:val="007503E2"/>
    <w:rsid w:val="0075085F"/>
    <w:rsid w:val="007512FD"/>
    <w:rsid w:val="0075219B"/>
    <w:rsid w:val="00752A5B"/>
    <w:rsid w:val="00753A20"/>
    <w:rsid w:val="00754457"/>
    <w:rsid w:val="007547F4"/>
    <w:rsid w:val="00754AB6"/>
    <w:rsid w:val="00754CE2"/>
    <w:rsid w:val="0075521B"/>
    <w:rsid w:val="00755302"/>
    <w:rsid w:val="00756958"/>
    <w:rsid w:val="00757339"/>
    <w:rsid w:val="00757CBD"/>
    <w:rsid w:val="00757D20"/>
    <w:rsid w:val="00757EAA"/>
    <w:rsid w:val="00760DF1"/>
    <w:rsid w:val="00760E53"/>
    <w:rsid w:val="007610AF"/>
    <w:rsid w:val="0076141E"/>
    <w:rsid w:val="007617A3"/>
    <w:rsid w:val="00762767"/>
    <w:rsid w:val="00762B82"/>
    <w:rsid w:val="00762F67"/>
    <w:rsid w:val="0076322E"/>
    <w:rsid w:val="0076337B"/>
    <w:rsid w:val="007635DB"/>
    <w:rsid w:val="0076485F"/>
    <w:rsid w:val="00764FE7"/>
    <w:rsid w:val="00765964"/>
    <w:rsid w:val="00765B37"/>
    <w:rsid w:val="00765C95"/>
    <w:rsid w:val="00766329"/>
    <w:rsid w:val="00766474"/>
    <w:rsid w:val="007664DC"/>
    <w:rsid w:val="0076674A"/>
    <w:rsid w:val="007668A8"/>
    <w:rsid w:val="007669FA"/>
    <w:rsid w:val="00766B90"/>
    <w:rsid w:val="00767218"/>
    <w:rsid w:val="0076737D"/>
    <w:rsid w:val="007706D6"/>
    <w:rsid w:val="00770F1E"/>
    <w:rsid w:val="0077175D"/>
    <w:rsid w:val="00771761"/>
    <w:rsid w:val="0077289A"/>
    <w:rsid w:val="00772A58"/>
    <w:rsid w:val="00772C31"/>
    <w:rsid w:val="00772E19"/>
    <w:rsid w:val="00772FC4"/>
    <w:rsid w:val="00773070"/>
    <w:rsid w:val="00773EE0"/>
    <w:rsid w:val="00774897"/>
    <w:rsid w:val="00774D81"/>
    <w:rsid w:val="00774DA4"/>
    <w:rsid w:val="007754F5"/>
    <w:rsid w:val="00775D13"/>
    <w:rsid w:val="0077641A"/>
    <w:rsid w:val="00776428"/>
    <w:rsid w:val="00776C80"/>
    <w:rsid w:val="00777AEC"/>
    <w:rsid w:val="00777D76"/>
    <w:rsid w:val="0078096E"/>
    <w:rsid w:val="00780A64"/>
    <w:rsid w:val="007817A2"/>
    <w:rsid w:val="0078227B"/>
    <w:rsid w:val="00783262"/>
    <w:rsid w:val="007841AC"/>
    <w:rsid w:val="0078437A"/>
    <w:rsid w:val="0078491F"/>
    <w:rsid w:val="007850C9"/>
    <w:rsid w:val="007851D1"/>
    <w:rsid w:val="0078532A"/>
    <w:rsid w:val="0078544A"/>
    <w:rsid w:val="00785ABE"/>
    <w:rsid w:val="00786247"/>
    <w:rsid w:val="00786381"/>
    <w:rsid w:val="0078649E"/>
    <w:rsid w:val="00787F54"/>
    <w:rsid w:val="007901A7"/>
    <w:rsid w:val="007914DC"/>
    <w:rsid w:val="007919CE"/>
    <w:rsid w:val="007921CC"/>
    <w:rsid w:val="007924C9"/>
    <w:rsid w:val="00792E44"/>
    <w:rsid w:val="0079320C"/>
    <w:rsid w:val="0079327A"/>
    <w:rsid w:val="00793328"/>
    <w:rsid w:val="007934E0"/>
    <w:rsid w:val="00793E52"/>
    <w:rsid w:val="00795714"/>
    <w:rsid w:val="0079577B"/>
    <w:rsid w:val="0079695E"/>
    <w:rsid w:val="00796EE7"/>
    <w:rsid w:val="007974EB"/>
    <w:rsid w:val="0079751D"/>
    <w:rsid w:val="0079762A"/>
    <w:rsid w:val="0079794F"/>
    <w:rsid w:val="00797A1B"/>
    <w:rsid w:val="007A00BB"/>
    <w:rsid w:val="007A0273"/>
    <w:rsid w:val="007A0578"/>
    <w:rsid w:val="007A072A"/>
    <w:rsid w:val="007A15DC"/>
    <w:rsid w:val="007A179D"/>
    <w:rsid w:val="007A1B7C"/>
    <w:rsid w:val="007A2098"/>
    <w:rsid w:val="007A26AC"/>
    <w:rsid w:val="007A2D0A"/>
    <w:rsid w:val="007A30D7"/>
    <w:rsid w:val="007A3174"/>
    <w:rsid w:val="007A42CA"/>
    <w:rsid w:val="007A6230"/>
    <w:rsid w:val="007A656B"/>
    <w:rsid w:val="007A6FFC"/>
    <w:rsid w:val="007A725C"/>
    <w:rsid w:val="007A7362"/>
    <w:rsid w:val="007A7F9D"/>
    <w:rsid w:val="007B03E9"/>
    <w:rsid w:val="007B0BCE"/>
    <w:rsid w:val="007B148E"/>
    <w:rsid w:val="007B3308"/>
    <w:rsid w:val="007B482D"/>
    <w:rsid w:val="007B57D3"/>
    <w:rsid w:val="007B5E0F"/>
    <w:rsid w:val="007B665B"/>
    <w:rsid w:val="007B673C"/>
    <w:rsid w:val="007B6A40"/>
    <w:rsid w:val="007B6CE0"/>
    <w:rsid w:val="007B6D7E"/>
    <w:rsid w:val="007B70EB"/>
    <w:rsid w:val="007B73CE"/>
    <w:rsid w:val="007B7918"/>
    <w:rsid w:val="007C0231"/>
    <w:rsid w:val="007C02F3"/>
    <w:rsid w:val="007C08BC"/>
    <w:rsid w:val="007C1233"/>
    <w:rsid w:val="007C20AE"/>
    <w:rsid w:val="007C2CB4"/>
    <w:rsid w:val="007C326D"/>
    <w:rsid w:val="007C3973"/>
    <w:rsid w:val="007C41BF"/>
    <w:rsid w:val="007C457D"/>
    <w:rsid w:val="007C45F3"/>
    <w:rsid w:val="007C4B1A"/>
    <w:rsid w:val="007C5628"/>
    <w:rsid w:val="007C5E97"/>
    <w:rsid w:val="007C68C3"/>
    <w:rsid w:val="007C6A6B"/>
    <w:rsid w:val="007C6B23"/>
    <w:rsid w:val="007C6D4D"/>
    <w:rsid w:val="007C6DAF"/>
    <w:rsid w:val="007D018D"/>
    <w:rsid w:val="007D06CE"/>
    <w:rsid w:val="007D0884"/>
    <w:rsid w:val="007D0E09"/>
    <w:rsid w:val="007D1633"/>
    <w:rsid w:val="007D17E3"/>
    <w:rsid w:val="007D197D"/>
    <w:rsid w:val="007D2870"/>
    <w:rsid w:val="007D2B31"/>
    <w:rsid w:val="007D2B8D"/>
    <w:rsid w:val="007D350A"/>
    <w:rsid w:val="007D398C"/>
    <w:rsid w:val="007D3E98"/>
    <w:rsid w:val="007D5230"/>
    <w:rsid w:val="007D5EA8"/>
    <w:rsid w:val="007D6080"/>
    <w:rsid w:val="007D63C8"/>
    <w:rsid w:val="007D668B"/>
    <w:rsid w:val="007D69AD"/>
    <w:rsid w:val="007D73F1"/>
    <w:rsid w:val="007D762C"/>
    <w:rsid w:val="007D774B"/>
    <w:rsid w:val="007D79B9"/>
    <w:rsid w:val="007D7BD1"/>
    <w:rsid w:val="007D7D1C"/>
    <w:rsid w:val="007D7EE1"/>
    <w:rsid w:val="007E018A"/>
    <w:rsid w:val="007E07BD"/>
    <w:rsid w:val="007E0AF2"/>
    <w:rsid w:val="007E1031"/>
    <w:rsid w:val="007E13FE"/>
    <w:rsid w:val="007E175C"/>
    <w:rsid w:val="007E2096"/>
    <w:rsid w:val="007E2CD9"/>
    <w:rsid w:val="007E2EB7"/>
    <w:rsid w:val="007E3C61"/>
    <w:rsid w:val="007E3DD3"/>
    <w:rsid w:val="007E4F41"/>
    <w:rsid w:val="007E4F42"/>
    <w:rsid w:val="007E55AB"/>
    <w:rsid w:val="007E5B7B"/>
    <w:rsid w:val="007E62FC"/>
    <w:rsid w:val="007E64B1"/>
    <w:rsid w:val="007E65F3"/>
    <w:rsid w:val="007E69C5"/>
    <w:rsid w:val="007E6C40"/>
    <w:rsid w:val="007E7231"/>
    <w:rsid w:val="007E7290"/>
    <w:rsid w:val="007E7AF1"/>
    <w:rsid w:val="007E7FAE"/>
    <w:rsid w:val="007F03E6"/>
    <w:rsid w:val="007F1171"/>
    <w:rsid w:val="007F1212"/>
    <w:rsid w:val="007F14AD"/>
    <w:rsid w:val="007F1B12"/>
    <w:rsid w:val="007F2486"/>
    <w:rsid w:val="007F2676"/>
    <w:rsid w:val="007F2BBA"/>
    <w:rsid w:val="007F4631"/>
    <w:rsid w:val="007F47A4"/>
    <w:rsid w:val="007F4E7D"/>
    <w:rsid w:val="007F6869"/>
    <w:rsid w:val="007F6C20"/>
    <w:rsid w:val="007F6FAB"/>
    <w:rsid w:val="007F71A0"/>
    <w:rsid w:val="007F7445"/>
    <w:rsid w:val="007F7A15"/>
    <w:rsid w:val="007F7C06"/>
    <w:rsid w:val="007F7F5F"/>
    <w:rsid w:val="008005E9"/>
    <w:rsid w:val="00800800"/>
    <w:rsid w:val="00800A79"/>
    <w:rsid w:val="0080173C"/>
    <w:rsid w:val="0080179F"/>
    <w:rsid w:val="00801FC1"/>
    <w:rsid w:val="00802A2B"/>
    <w:rsid w:val="00802CA1"/>
    <w:rsid w:val="008030D8"/>
    <w:rsid w:val="008032E3"/>
    <w:rsid w:val="008036EC"/>
    <w:rsid w:val="008037D4"/>
    <w:rsid w:val="00803C68"/>
    <w:rsid w:val="00803EB7"/>
    <w:rsid w:val="008041F9"/>
    <w:rsid w:val="00804C76"/>
    <w:rsid w:val="00804E4E"/>
    <w:rsid w:val="00805123"/>
    <w:rsid w:val="00805991"/>
    <w:rsid w:val="008059C6"/>
    <w:rsid w:val="00806082"/>
    <w:rsid w:val="00806321"/>
    <w:rsid w:val="008070CD"/>
    <w:rsid w:val="0080755C"/>
    <w:rsid w:val="00807DF5"/>
    <w:rsid w:val="00807FF8"/>
    <w:rsid w:val="00810068"/>
    <w:rsid w:val="0081082C"/>
    <w:rsid w:val="00810EB9"/>
    <w:rsid w:val="008114C3"/>
    <w:rsid w:val="00812573"/>
    <w:rsid w:val="008126BB"/>
    <w:rsid w:val="00812A76"/>
    <w:rsid w:val="00813220"/>
    <w:rsid w:val="00813250"/>
    <w:rsid w:val="00813BDF"/>
    <w:rsid w:val="00813C6A"/>
    <w:rsid w:val="008141E9"/>
    <w:rsid w:val="00814ADA"/>
    <w:rsid w:val="00815100"/>
    <w:rsid w:val="00815224"/>
    <w:rsid w:val="00815321"/>
    <w:rsid w:val="0081562A"/>
    <w:rsid w:val="00816306"/>
    <w:rsid w:val="008167A8"/>
    <w:rsid w:val="00816CAC"/>
    <w:rsid w:val="00816F6E"/>
    <w:rsid w:val="00820678"/>
    <w:rsid w:val="008209AC"/>
    <w:rsid w:val="00820F49"/>
    <w:rsid w:val="00821A81"/>
    <w:rsid w:val="00822A78"/>
    <w:rsid w:val="00822EDA"/>
    <w:rsid w:val="00822FFB"/>
    <w:rsid w:val="00823032"/>
    <w:rsid w:val="008231D2"/>
    <w:rsid w:val="008232C9"/>
    <w:rsid w:val="008233C1"/>
    <w:rsid w:val="0082459C"/>
    <w:rsid w:val="008248D7"/>
    <w:rsid w:val="0082523A"/>
    <w:rsid w:val="0082562B"/>
    <w:rsid w:val="00825AF8"/>
    <w:rsid w:val="00825DAF"/>
    <w:rsid w:val="00826A1A"/>
    <w:rsid w:val="00826DDF"/>
    <w:rsid w:val="00827183"/>
    <w:rsid w:val="00827673"/>
    <w:rsid w:val="00827859"/>
    <w:rsid w:val="00827B5F"/>
    <w:rsid w:val="00827DFB"/>
    <w:rsid w:val="008300DC"/>
    <w:rsid w:val="00830575"/>
    <w:rsid w:val="008305DA"/>
    <w:rsid w:val="0083262D"/>
    <w:rsid w:val="0083284D"/>
    <w:rsid w:val="00832E24"/>
    <w:rsid w:val="00832F4C"/>
    <w:rsid w:val="008333AE"/>
    <w:rsid w:val="008334C5"/>
    <w:rsid w:val="008341C2"/>
    <w:rsid w:val="00834232"/>
    <w:rsid w:val="00834245"/>
    <w:rsid w:val="00834EA9"/>
    <w:rsid w:val="00834EDD"/>
    <w:rsid w:val="00835783"/>
    <w:rsid w:val="00835A6C"/>
    <w:rsid w:val="0083624B"/>
    <w:rsid w:val="00836370"/>
    <w:rsid w:val="00836DF4"/>
    <w:rsid w:val="00837105"/>
    <w:rsid w:val="008402BC"/>
    <w:rsid w:val="008403AE"/>
    <w:rsid w:val="00840426"/>
    <w:rsid w:val="0084056E"/>
    <w:rsid w:val="00840D88"/>
    <w:rsid w:val="00841317"/>
    <w:rsid w:val="0084193B"/>
    <w:rsid w:val="008421DE"/>
    <w:rsid w:val="008435F0"/>
    <w:rsid w:val="00843684"/>
    <w:rsid w:val="00843F82"/>
    <w:rsid w:val="00844565"/>
    <w:rsid w:val="0084489A"/>
    <w:rsid w:val="00844C7E"/>
    <w:rsid w:val="00845415"/>
    <w:rsid w:val="00845E97"/>
    <w:rsid w:val="00846083"/>
    <w:rsid w:val="008470CB"/>
    <w:rsid w:val="0084747D"/>
    <w:rsid w:val="00847628"/>
    <w:rsid w:val="0084769C"/>
    <w:rsid w:val="008476F4"/>
    <w:rsid w:val="00847CEA"/>
    <w:rsid w:val="0085033B"/>
    <w:rsid w:val="0085049D"/>
    <w:rsid w:val="00850535"/>
    <w:rsid w:val="00850666"/>
    <w:rsid w:val="00850751"/>
    <w:rsid w:val="0085237D"/>
    <w:rsid w:val="00853688"/>
    <w:rsid w:val="008537C1"/>
    <w:rsid w:val="00853A2D"/>
    <w:rsid w:val="00854620"/>
    <w:rsid w:val="00855DE4"/>
    <w:rsid w:val="0085620A"/>
    <w:rsid w:val="00856448"/>
    <w:rsid w:val="0085650A"/>
    <w:rsid w:val="008567B2"/>
    <w:rsid w:val="00856A32"/>
    <w:rsid w:val="00856E17"/>
    <w:rsid w:val="00856F55"/>
    <w:rsid w:val="00856FE2"/>
    <w:rsid w:val="00857BAC"/>
    <w:rsid w:val="008601E1"/>
    <w:rsid w:val="00860353"/>
    <w:rsid w:val="008607AC"/>
    <w:rsid w:val="00860896"/>
    <w:rsid w:val="008624F6"/>
    <w:rsid w:val="008635A7"/>
    <w:rsid w:val="0086377B"/>
    <w:rsid w:val="00863995"/>
    <w:rsid w:val="008650B3"/>
    <w:rsid w:val="0086527D"/>
    <w:rsid w:val="0086595C"/>
    <w:rsid w:val="00865BB8"/>
    <w:rsid w:val="00865C0E"/>
    <w:rsid w:val="0086675D"/>
    <w:rsid w:val="00866C21"/>
    <w:rsid w:val="00866DCC"/>
    <w:rsid w:val="00866E72"/>
    <w:rsid w:val="0086758E"/>
    <w:rsid w:val="0087017A"/>
    <w:rsid w:val="008704A7"/>
    <w:rsid w:val="00870656"/>
    <w:rsid w:val="00870B3D"/>
    <w:rsid w:val="00870B5C"/>
    <w:rsid w:val="0087266A"/>
    <w:rsid w:val="008730BE"/>
    <w:rsid w:val="0087380A"/>
    <w:rsid w:val="00874319"/>
    <w:rsid w:val="008754C1"/>
    <w:rsid w:val="008764E8"/>
    <w:rsid w:val="00876C91"/>
    <w:rsid w:val="00876FF6"/>
    <w:rsid w:val="0087728C"/>
    <w:rsid w:val="00877895"/>
    <w:rsid w:val="0087792F"/>
    <w:rsid w:val="00877BF3"/>
    <w:rsid w:val="00877C72"/>
    <w:rsid w:val="00877EE3"/>
    <w:rsid w:val="00880304"/>
    <w:rsid w:val="0088064C"/>
    <w:rsid w:val="008806EF"/>
    <w:rsid w:val="0088080D"/>
    <w:rsid w:val="00880889"/>
    <w:rsid w:val="00880B24"/>
    <w:rsid w:val="0088117A"/>
    <w:rsid w:val="008814F4"/>
    <w:rsid w:val="008817CE"/>
    <w:rsid w:val="0088220D"/>
    <w:rsid w:val="00882B39"/>
    <w:rsid w:val="00882DFD"/>
    <w:rsid w:val="008832E4"/>
    <w:rsid w:val="00883F71"/>
    <w:rsid w:val="008852E1"/>
    <w:rsid w:val="008858E2"/>
    <w:rsid w:val="00885E32"/>
    <w:rsid w:val="00886861"/>
    <w:rsid w:val="00886F0E"/>
    <w:rsid w:val="00887218"/>
    <w:rsid w:val="008872E2"/>
    <w:rsid w:val="00887A4B"/>
    <w:rsid w:val="00887AA5"/>
    <w:rsid w:val="00887DE1"/>
    <w:rsid w:val="008908C9"/>
    <w:rsid w:val="00890AF5"/>
    <w:rsid w:val="00890BFE"/>
    <w:rsid w:val="00891F76"/>
    <w:rsid w:val="00892073"/>
    <w:rsid w:val="0089302D"/>
    <w:rsid w:val="00893102"/>
    <w:rsid w:val="008934BB"/>
    <w:rsid w:val="00893B71"/>
    <w:rsid w:val="00893DB0"/>
    <w:rsid w:val="0089420C"/>
    <w:rsid w:val="00894C76"/>
    <w:rsid w:val="00894CEC"/>
    <w:rsid w:val="00895C46"/>
    <w:rsid w:val="00896265"/>
    <w:rsid w:val="008975D1"/>
    <w:rsid w:val="00897E14"/>
    <w:rsid w:val="008A052D"/>
    <w:rsid w:val="008A1F1F"/>
    <w:rsid w:val="008A24A7"/>
    <w:rsid w:val="008A2A2A"/>
    <w:rsid w:val="008A2E9C"/>
    <w:rsid w:val="008A31D3"/>
    <w:rsid w:val="008A3426"/>
    <w:rsid w:val="008A3847"/>
    <w:rsid w:val="008A3DAE"/>
    <w:rsid w:val="008A459A"/>
    <w:rsid w:val="008A55F3"/>
    <w:rsid w:val="008A6D9D"/>
    <w:rsid w:val="008A7939"/>
    <w:rsid w:val="008A7CFB"/>
    <w:rsid w:val="008A7D3A"/>
    <w:rsid w:val="008B0A21"/>
    <w:rsid w:val="008B0D80"/>
    <w:rsid w:val="008B13E3"/>
    <w:rsid w:val="008B180A"/>
    <w:rsid w:val="008B260E"/>
    <w:rsid w:val="008B2ABE"/>
    <w:rsid w:val="008B2EDB"/>
    <w:rsid w:val="008B3710"/>
    <w:rsid w:val="008B499E"/>
    <w:rsid w:val="008B4D1A"/>
    <w:rsid w:val="008B4E55"/>
    <w:rsid w:val="008B519C"/>
    <w:rsid w:val="008B578D"/>
    <w:rsid w:val="008B58C8"/>
    <w:rsid w:val="008B5BF7"/>
    <w:rsid w:val="008B664D"/>
    <w:rsid w:val="008B6817"/>
    <w:rsid w:val="008B720D"/>
    <w:rsid w:val="008B7E0E"/>
    <w:rsid w:val="008C0A82"/>
    <w:rsid w:val="008C1A52"/>
    <w:rsid w:val="008C1BD7"/>
    <w:rsid w:val="008C1E6B"/>
    <w:rsid w:val="008C292C"/>
    <w:rsid w:val="008C2B81"/>
    <w:rsid w:val="008C3A06"/>
    <w:rsid w:val="008C3BCC"/>
    <w:rsid w:val="008C3EA7"/>
    <w:rsid w:val="008C4293"/>
    <w:rsid w:val="008C4D58"/>
    <w:rsid w:val="008C4E7F"/>
    <w:rsid w:val="008C5412"/>
    <w:rsid w:val="008C6014"/>
    <w:rsid w:val="008C64ED"/>
    <w:rsid w:val="008C6E4D"/>
    <w:rsid w:val="008C6EBE"/>
    <w:rsid w:val="008C7DF2"/>
    <w:rsid w:val="008D006F"/>
    <w:rsid w:val="008D02D4"/>
    <w:rsid w:val="008D062C"/>
    <w:rsid w:val="008D0801"/>
    <w:rsid w:val="008D088B"/>
    <w:rsid w:val="008D14B0"/>
    <w:rsid w:val="008D2591"/>
    <w:rsid w:val="008D26F9"/>
    <w:rsid w:val="008D2763"/>
    <w:rsid w:val="008D29E5"/>
    <w:rsid w:val="008D2D0B"/>
    <w:rsid w:val="008D33A9"/>
    <w:rsid w:val="008D3E3E"/>
    <w:rsid w:val="008D4836"/>
    <w:rsid w:val="008D4DD9"/>
    <w:rsid w:val="008D5354"/>
    <w:rsid w:val="008D5786"/>
    <w:rsid w:val="008D58B3"/>
    <w:rsid w:val="008D5D2A"/>
    <w:rsid w:val="008D604F"/>
    <w:rsid w:val="008D6CC9"/>
    <w:rsid w:val="008D6FA0"/>
    <w:rsid w:val="008E159E"/>
    <w:rsid w:val="008E194B"/>
    <w:rsid w:val="008E22E5"/>
    <w:rsid w:val="008E2E31"/>
    <w:rsid w:val="008E371A"/>
    <w:rsid w:val="008E390C"/>
    <w:rsid w:val="008E39A3"/>
    <w:rsid w:val="008E440B"/>
    <w:rsid w:val="008E4547"/>
    <w:rsid w:val="008E4674"/>
    <w:rsid w:val="008E4705"/>
    <w:rsid w:val="008E5086"/>
    <w:rsid w:val="008E52B3"/>
    <w:rsid w:val="008E53B8"/>
    <w:rsid w:val="008E57CD"/>
    <w:rsid w:val="008E597C"/>
    <w:rsid w:val="008E5A12"/>
    <w:rsid w:val="008E5B2F"/>
    <w:rsid w:val="008E5BB2"/>
    <w:rsid w:val="008E720A"/>
    <w:rsid w:val="008E7B25"/>
    <w:rsid w:val="008F0794"/>
    <w:rsid w:val="008F0F02"/>
    <w:rsid w:val="008F1377"/>
    <w:rsid w:val="008F1549"/>
    <w:rsid w:val="008F157C"/>
    <w:rsid w:val="008F1DD0"/>
    <w:rsid w:val="008F227C"/>
    <w:rsid w:val="008F302C"/>
    <w:rsid w:val="008F32B8"/>
    <w:rsid w:val="008F3656"/>
    <w:rsid w:val="008F3A16"/>
    <w:rsid w:val="008F3E45"/>
    <w:rsid w:val="008F4156"/>
    <w:rsid w:val="008F4353"/>
    <w:rsid w:val="008F4A43"/>
    <w:rsid w:val="008F4BC7"/>
    <w:rsid w:val="008F4EC1"/>
    <w:rsid w:val="008F53E8"/>
    <w:rsid w:val="008F59F1"/>
    <w:rsid w:val="008F5CF0"/>
    <w:rsid w:val="008F7280"/>
    <w:rsid w:val="008F7FA6"/>
    <w:rsid w:val="00900B9D"/>
    <w:rsid w:val="00900FA4"/>
    <w:rsid w:val="00901335"/>
    <w:rsid w:val="00902293"/>
    <w:rsid w:val="00902669"/>
    <w:rsid w:val="0090292A"/>
    <w:rsid w:val="00902A84"/>
    <w:rsid w:val="00902EF9"/>
    <w:rsid w:val="009035F6"/>
    <w:rsid w:val="009042CB"/>
    <w:rsid w:val="009046CE"/>
    <w:rsid w:val="00904AD7"/>
    <w:rsid w:val="00904DEE"/>
    <w:rsid w:val="009057AF"/>
    <w:rsid w:val="009058BF"/>
    <w:rsid w:val="0090598A"/>
    <w:rsid w:val="00906421"/>
    <w:rsid w:val="00906D68"/>
    <w:rsid w:val="00907E3E"/>
    <w:rsid w:val="00907F78"/>
    <w:rsid w:val="00910C92"/>
    <w:rsid w:val="00910DB2"/>
    <w:rsid w:val="0091190F"/>
    <w:rsid w:val="009119AA"/>
    <w:rsid w:val="00911E66"/>
    <w:rsid w:val="00912BA2"/>
    <w:rsid w:val="00912C82"/>
    <w:rsid w:val="00912F3E"/>
    <w:rsid w:val="00912F76"/>
    <w:rsid w:val="00912FFB"/>
    <w:rsid w:val="00913F10"/>
    <w:rsid w:val="00913F26"/>
    <w:rsid w:val="009158CC"/>
    <w:rsid w:val="00915BF4"/>
    <w:rsid w:val="009163CC"/>
    <w:rsid w:val="00916EAE"/>
    <w:rsid w:val="00917FFE"/>
    <w:rsid w:val="00920B86"/>
    <w:rsid w:val="00921310"/>
    <w:rsid w:val="0092140D"/>
    <w:rsid w:val="009215B5"/>
    <w:rsid w:val="009216A0"/>
    <w:rsid w:val="00922875"/>
    <w:rsid w:val="009231AC"/>
    <w:rsid w:val="009240AA"/>
    <w:rsid w:val="009247FB"/>
    <w:rsid w:val="00924C79"/>
    <w:rsid w:val="00925960"/>
    <w:rsid w:val="0092648C"/>
    <w:rsid w:val="00926714"/>
    <w:rsid w:val="00926AA8"/>
    <w:rsid w:val="00926D66"/>
    <w:rsid w:val="009308B0"/>
    <w:rsid w:val="00932217"/>
    <w:rsid w:val="0093235D"/>
    <w:rsid w:val="00932DAB"/>
    <w:rsid w:val="009338CE"/>
    <w:rsid w:val="00933D6B"/>
    <w:rsid w:val="00933DB7"/>
    <w:rsid w:val="009340F6"/>
    <w:rsid w:val="0093609D"/>
    <w:rsid w:val="00936E35"/>
    <w:rsid w:val="009373CA"/>
    <w:rsid w:val="009373CF"/>
    <w:rsid w:val="00937802"/>
    <w:rsid w:val="00937BED"/>
    <w:rsid w:val="0094021F"/>
    <w:rsid w:val="009402E6"/>
    <w:rsid w:val="009403A6"/>
    <w:rsid w:val="00941193"/>
    <w:rsid w:val="00941A3A"/>
    <w:rsid w:val="00941A56"/>
    <w:rsid w:val="009423B8"/>
    <w:rsid w:val="009426DC"/>
    <w:rsid w:val="00942741"/>
    <w:rsid w:val="00942979"/>
    <w:rsid w:val="00943006"/>
    <w:rsid w:val="009436CC"/>
    <w:rsid w:val="00943D8C"/>
    <w:rsid w:val="009442CA"/>
    <w:rsid w:val="00944C78"/>
    <w:rsid w:val="00944D82"/>
    <w:rsid w:val="00944EAF"/>
    <w:rsid w:val="00944F1E"/>
    <w:rsid w:val="00945885"/>
    <w:rsid w:val="00945DC8"/>
    <w:rsid w:val="00946A32"/>
    <w:rsid w:val="00950C7A"/>
    <w:rsid w:val="009511FE"/>
    <w:rsid w:val="009514FF"/>
    <w:rsid w:val="00951FBB"/>
    <w:rsid w:val="009520D2"/>
    <w:rsid w:val="009523DA"/>
    <w:rsid w:val="009526B9"/>
    <w:rsid w:val="00952A9B"/>
    <w:rsid w:val="00952BA7"/>
    <w:rsid w:val="00952D40"/>
    <w:rsid w:val="009530A4"/>
    <w:rsid w:val="009532DB"/>
    <w:rsid w:val="009533D6"/>
    <w:rsid w:val="009545DF"/>
    <w:rsid w:val="00954A70"/>
    <w:rsid w:val="00954DC0"/>
    <w:rsid w:val="00955518"/>
    <w:rsid w:val="00955CD9"/>
    <w:rsid w:val="00955F00"/>
    <w:rsid w:val="00956458"/>
    <w:rsid w:val="0095664C"/>
    <w:rsid w:val="00957201"/>
    <w:rsid w:val="00957543"/>
    <w:rsid w:val="009575B8"/>
    <w:rsid w:val="00957BA8"/>
    <w:rsid w:val="00957E2F"/>
    <w:rsid w:val="009608D4"/>
    <w:rsid w:val="00960EF0"/>
    <w:rsid w:val="009619AC"/>
    <w:rsid w:val="00961BF1"/>
    <w:rsid w:val="00962072"/>
    <w:rsid w:val="00962668"/>
    <w:rsid w:val="00962794"/>
    <w:rsid w:val="00962CFE"/>
    <w:rsid w:val="00962FDF"/>
    <w:rsid w:val="0096412D"/>
    <w:rsid w:val="0096424D"/>
    <w:rsid w:val="00964EAE"/>
    <w:rsid w:val="0096526F"/>
    <w:rsid w:val="00965A1C"/>
    <w:rsid w:val="0096604E"/>
    <w:rsid w:val="00966BDC"/>
    <w:rsid w:val="00966D8F"/>
    <w:rsid w:val="0096713C"/>
    <w:rsid w:val="009672BA"/>
    <w:rsid w:val="0096741F"/>
    <w:rsid w:val="00967A78"/>
    <w:rsid w:val="00967AA8"/>
    <w:rsid w:val="00967B49"/>
    <w:rsid w:val="00967BAD"/>
    <w:rsid w:val="00970020"/>
    <w:rsid w:val="00970772"/>
    <w:rsid w:val="009709D2"/>
    <w:rsid w:val="009718B7"/>
    <w:rsid w:val="00971BA5"/>
    <w:rsid w:val="00972123"/>
    <w:rsid w:val="00972166"/>
    <w:rsid w:val="00972D7D"/>
    <w:rsid w:val="00973AA3"/>
    <w:rsid w:val="00973ED2"/>
    <w:rsid w:val="009742CB"/>
    <w:rsid w:val="009744A0"/>
    <w:rsid w:val="009744B3"/>
    <w:rsid w:val="009747CA"/>
    <w:rsid w:val="00974F50"/>
    <w:rsid w:val="009751C4"/>
    <w:rsid w:val="0097672E"/>
    <w:rsid w:val="009800DC"/>
    <w:rsid w:val="009800FA"/>
    <w:rsid w:val="009803E9"/>
    <w:rsid w:val="00980654"/>
    <w:rsid w:val="00980B8F"/>
    <w:rsid w:val="00980BD5"/>
    <w:rsid w:val="00981D09"/>
    <w:rsid w:val="00981D86"/>
    <w:rsid w:val="009820EB"/>
    <w:rsid w:val="00982223"/>
    <w:rsid w:val="00983BCB"/>
    <w:rsid w:val="00983D22"/>
    <w:rsid w:val="0098486F"/>
    <w:rsid w:val="00985066"/>
    <w:rsid w:val="0098522C"/>
    <w:rsid w:val="00985AA6"/>
    <w:rsid w:val="009862BF"/>
    <w:rsid w:val="009862DB"/>
    <w:rsid w:val="00986A73"/>
    <w:rsid w:val="00986AD8"/>
    <w:rsid w:val="00990220"/>
    <w:rsid w:val="009905CC"/>
    <w:rsid w:val="00990777"/>
    <w:rsid w:val="00990B7B"/>
    <w:rsid w:val="00990C21"/>
    <w:rsid w:val="00990D17"/>
    <w:rsid w:val="00992691"/>
    <w:rsid w:val="009928D9"/>
    <w:rsid w:val="00992926"/>
    <w:rsid w:val="00993873"/>
    <w:rsid w:val="00994339"/>
    <w:rsid w:val="00994487"/>
    <w:rsid w:val="00994A6E"/>
    <w:rsid w:val="00994B2E"/>
    <w:rsid w:val="0099512F"/>
    <w:rsid w:val="00995A69"/>
    <w:rsid w:val="009961D9"/>
    <w:rsid w:val="009962F3"/>
    <w:rsid w:val="00996D96"/>
    <w:rsid w:val="00997844"/>
    <w:rsid w:val="0099787D"/>
    <w:rsid w:val="00997A39"/>
    <w:rsid w:val="00997E94"/>
    <w:rsid w:val="009A019A"/>
    <w:rsid w:val="009A02F7"/>
    <w:rsid w:val="009A05E1"/>
    <w:rsid w:val="009A05ED"/>
    <w:rsid w:val="009A07D9"/>
    <w:rsid w:val="009A0977"/>
    <w:rsid w:val="009A0CEB"/>
    <w:rsid w:val="009A1B04"/>
    <w:rsid w:val="009A1BA9"/>
    <w:rsid w:val="009A25CB"/>
    <w:rsid w:val="009A2628"/>
    <w:rsid w:val="009A280E"/>
    <w:rsid w:val="009A292D"/>
    <w:rsid w:val="009A2B32"/>
    <w:rsid w:val="009A39F5"/>
    <w:rsid w:val="009A3AED"/>
    <w:rsid w:val="009A3C76"/>
    <w:rsid w:val="009A3DE8"/>
    <w:rsid w:val="009A554A"/>
    <w:rsid w:val="009A597A"/>
    <w:rsid w:val="009A77E8"/>
    <w:rsid w:val="009A79E2"/>
    <w:rsid w:val="009B0269"/>
    <w:rsid w:val="009B045F"/>
    <w:rsid w:val="009B120A"/>
    <w:rsid w:val="009B22F5"/>
    <w:rsid w:val="009B36D8"/>
    <w:rsid w:val="009B47F6"/>
    <w:rsid w:val="009B4A98"/>
    <w:rsid w:val="009B4F1C"/>
    <w:rsid w:val="009B5A50"/>
    <w:rsid w:val="009B63A0"/>
    <w:rsid w:val="009B64ED"/>
    <w:rsid w:val="009B6EC1"/>
    <w:rsid w:val="009B724F"/>
    <w:rsid w:val="009B7377"/>
    <w:rsid w:val="009B7E9A"/>
    <w:rsid w:val="009C0428"/>
    <w:rsid w:val="009C14A0"/>
    <w:rsid w:val="009C15D1"/>
    <w:rsid w:val="009C1749"/>
    <w:rsid w:val="009C2B8B"/>
    <w:rsid w:val="009C4C21"/>
    <w:rsid w:val="009C5258"/>
    <w:rsid w:val="009C5263"/>
    <w:rsid w:val="009C585A"/>
    <w:rsid w:val="009C59F5"/>
    <w:rsid w:val="009C5E77"/>
    <w:rsid w:val="009C6DD3"/>
    <w:rsid w:val="009C6FDA"/>
    <w:rsid w:val="009C72D7"/>
    <w:rsid w:val="009C73BE"/>
    <w:rsid w:val="009D00AA"/>
    <w:rsid w:val="009D0445"/>
    <w:rsid w:val="009D06B6"/>
    <w:rsid w:val="009D1390"/>
    <w:rsid w:val="009D1628"/>
    <w:rsid w:val="009D1707"/>
    <w:rsid w:val="009D1847"/>
    <w:rsid w:val="009D1B58"/>
    <w:rsid w:val="009D204C"/>
    <w:rsid w:val="009D2133"/>
    <w:rsid w:val="009D3A70"/>
    <w:rsid w:val="009D3D8B"/>
    <w:rsid w:val="009D48FD"/>
    <w:rsid w:val="009D4E71"/>
    <w:rsid w:val="009D4EFA"/>
    <w:rsid w:val="009D5749"/>
    <w:rsid w:val="009D5F12"/>
    <w:rsid w:val="009D604F"/>
    <w:rsid w:val="009D6974"/>
    <w:rsid w:val="009D7152"/>
    <w:rsid w:val="009D7958"/>
    <w:rsid w:val="009D7AC3"/>
    <w:rsid w:val="009E0708"/>
    <w:rsid w:val="009E0E0B"/>
    <w:rsid w:val="009E0E93"/>
    <w:rsid w:val="009E175D"/>
    <w:rsid w:val="009E1C83"/>
    <w:rsid w:val="009E1E73"/>
    <w:rsid w:val="009E2D61"/>
    <w:rsid w:val="009E2DBD"/>
    <w:rsid w:val="009E38F5"/>
    <w:rsid w:val="009E39F6"/>
    <w:rsid w:val="009E3A9F"/>
    <w:rsid w:val="009E41CC"/>
    <w:rsid w:val="009E457C"/>
    <w:rsid w:val="009E4B27"/>
    <w:rsid w:val="009E4C32"/>
    <w:rsid w:val="009E4EA2"/>
    <w:rsid w:val="009E52E0"/>
    <w:rsid w:val="009E5B54"/>
    <w:rsid w:val="009E5C6C"/>
    <w:rsid w:val="009E5EE5"/>
    <w:rsid w:val="009E5F2C"/>
    <w:rsid w:val="009E5F38"/>
    <w:rsid w:val="009E7481"/>
    <w:rsid w:val="009E7712"/>
    <w:rsid w:val="009E7C3D"/>
    <w:rsid w:val="009F03EA"/>
    <w:rsid w:val="009F0442"/>
    <w:rsid w:val="009F0606"/>
    <w:rsid w:val="009F0FC1"/>
    <w:rsid w:val="009F2085"/>
    <w:rsid w:val="009F2933"/>
    <w:rsid w:val="009F2D95"/>
    <w:rsid w:val="009F34AA"/>
    <w:rsid w:val="009F6298"/>
    <w:rsid w:val="009F62C8"/>
    <w:rsid w:val="009F6858"/>
    <w:rsid w:val="009F6BA8"/>
    <w:rsid w:val="009F7262"/>
    <w:rsid w:val="009F776B"/>
    <w:rsid w:val="009F7ECA"/>
    <w:rsid w:val="00A010AF"/>
    <w:rsid w:val="00A01187"/>
    <w:rsid w:val="00A0156F"/>
    <w:rsid w:val="00A01EC7"/>
    <w:rsid w:val="00A0237F"/>
    <w:rsid w:val="00A02A13"/>
    <w:rsid w:val="00A02E3F"/>
    <w:rsid w:val="00A03649"/>
    <w:rsid w:val="00A05668"/>
    <w:rsid w:val="00A05B69"/>
    <w:rsid w:val="00A05CD4"/>
    <w:rsid w:val="00A05F91"/>
    <w:rsid w:val="00A05FE0"/>
    <w:rsid w:val="00A06244"/>
    <w:rsid w:val="00A0695B"/>
    <w:rsid w:val="00A0698B"/>
    <w:rsid w:val="00A06AB8"/>
    <w:rsid w:val="00A0761D"/>
    <w:rsid w:val="00A07EA7"/>
    <w:rsid w:val="00A10475"/>
    <w:rsid w:val="00A1066F"/>
    <w:rsid w:val="00A107B8"/>
    <w:rsid w:val="00A108A5"/>
    <w:rsid w:val="00A10AAC"/>
    <w:rsid w:val="00A10F00"/>
    <w:rsid w:val="00A11400"/>
    <w:rsid w:val="00A11C16"/>
    <w:rsid w:val="00A11EFC"/>
    <w:rsid w:val="00A12521"/>
    <w:rsid w:val="00A127E9"/>
    <w:rsid w:val="00A1393A"/>
    <w:rsid w:val="00A13C01"/>
    <w:rsid w:val="00A146E0"/>
    <w:rsid w:val="00A147CD"/>
    <w:rsid w:val="00A149D4"/>
    <w:rsid w:val="00A14B4C"/>
    <w:rsid w:val="00A15330"/>
    <w:rsid w:val="00A153E8"/>
    <w:rsid w:val="00A155C2"/>
    <w:rsid w:val="00A1597B"/>
    <w:rsid w:val="00A15FC0"/>
    <w:rsid w:val="00A16146"/>
    <w:rsid w:val="00A167EF"/>
    <w:rsid w:val="00A16CEB"/>
    <w:rsid w:val="00A16D83"/>
    <w:rsid w:val="00A16ECA"/>
    <w:rsid w:val="00A20185"/>
    <w:rsid w:val="00A20424"/>
    <w:rsid w:val="00A20C8D"/>
    <w:rsid w:val="00A21182"/>
    <w:rsid w:val="00A21333"/>
    <w:rsid w:val="00A21A84"/>
    <w:rsid w:val="00A21CB3"/>
    <w:rsid w:val="00A21E00"/>
    <w:rsid w:val="00A22726"/>
    <w:rsid w:val="00A22B1C"/>
    <w:rsid w:val="00A22DB3"/>
    <w:rsid w:val="00A232D4"/>
    <w:rsid w:val="00A2449F"/>
    <w:rsid w:val="00A24719"/>
    <w:rsid w:val="00A24EE6"/>
    <w:rsid w:val="00A2580B"/>
    <w:rsid w:val="00A2604E"/>
    <w:rsid w:val="00A26337"/>
    <w:rsid w:val="00A2667A"/>
    <w:rsid w:val="00A268FE"/>
    <w:rsid w:val="00A27275"/>
    <w:rsid w:val="00A2744D"/>
    <w:rsid w:val="00A27C35"/>
    <w:rsid w:val="00A300E2"/>
    <w:rsid w:val="00A30A0E"/>
    <w:rsid w:val="00A30E4F"/>
    <w:rsid w:val="00A317F0"/>
    <w:rsid w:val="00A318B9"/>
    <w:rsid w:val="00A319DE"/>
    <w:rsid w:val="00A32E6D"/>
    <w:rsid w:val="00A333B0"/>
    <w:rsid w:val="00A33752"/>
    <w:rsid w:val="00A33BFD"/>
    <w:rsid w:val="00A346C9"/>
    <w:rsid w:val="00A346CE"/>
    <w:rsid w:val="00A34A48"/>
    <w:rsid w:val="00A353DC"/>
    <w:rsid w:val="00A35588"/>
    <w:rsid w:val="00A35A60"/>
    <w:rsid w:val="00A36578"/>
    <w:rsid w:val="00A36977"/>
    <w:rsid w:val="00A374A6"/>
    <w:rsid w:val="00A37663"/>
    <w:rsid w:val="00A37A36"/>
    <w:rsid w:val="00A40407"/>
    <w:rsid w:val="00A40415"/>
    <w:rsid w:val="00A40D05"/>
    <w:rsid w:val="00A40D13"/>
    <w:rsid w:val="00A41159"/>
    <w:rsid w:val="00A414F5"/>
    <w:rsid w:val="00A4160A"/>
    <w:rsid w:val="00A4244F"/>
    <w:rsid w:val="00A42A61"/>
    <w:rsid w:val="00A4450F"/>
    <w:rsid w:val="00A445DA"/>
    <w:rsid w:val="00A4494F"/>
    <w:rsid w:val="00A454A1"/>
    <w:rsid w:val="00A45653"/>
    <w:rsid w:val="00A46125"/>
    <w:rsid w:val="00A47733"/>
    <w:rsid w:val="00A477E3"/>
    <w:rsid w:val="00A505BA"/>
    <w:rsid w:val="00A51666"/>
    <w:rsid w:val="00A52729"/>
    <w:rsid w:val="00A52CE2"/>
    <w:rsid w:val="00A53020"/>
    <w:rsid w:val="00A53047"/>
    <w:rsid w:val="00A53D87"/>
    <w:rsid w:val="00A53EFE"/>
    <w:rsid w:val="00A5449B"/>
    <w:rsid w:val="00A54CD8"/>
    <w:rsid w:val="00A5514F"/>
    <w:rsid w:val="00A551FC"/>
    <w:rsid w:val="00A5596F"/>
    <w:rsid w:val="00A55B79"/>
    <w:rsid w:val="00A5693C"/>
    <w:rsid w:val="00A5787D"/>
    <w:rsid w:val="00A578BB"/>
    <w:rsid w:val="00A57971"/>
    <w:rsid w:val="00A57E27"/>
    <w:rsid w:val="00A6033F"/>
    <w:rsid w:val="00A60491"/>
    <w:rsid w:val="00A60FEC"/>
    <w:rsid w:val="00A61182"/>
    <w:rsid w:val="00A6153E"/>
    <w:rsid w:val="00A61F66"/>
    <w:rsid w:val="00A62179"/>
    <w:rsid w:val="00A62492"/>
    <w:rsid w:val="00A62CBB"/>
    <w:rsid w:val="00A631CC"/>
    <w:rsid w:val="00A63B6D"/>
    <w:rsid w:val="00A63BF4"/>
    <w:rsid w:val="00A63CB4"/>
    <w:rsid w:val="00A64D9D"/>
    <w:rsid w:val="00A6505B"/>
    <w:rsid w:val="00A660C7"/>
    <w:rsid w:val="00A664FF"/>
    <w:rsid w:val="00A667AF"/>
    <w:rsid w:val="00A66CB5"/>
    <w:rsid w:val="00A6789B"/>
    <w:rsid w:val="00A67B4A"/>
    <w:rsid w:val="00A67D42"/>
    <w:rsid w:val="00A67D5D"/>
    <w:rsid w:val="00A67EC1"/>
    <w:rsid w:val="00A70030"/>
    <w:rsid w:val="00A703A5"/>
    <w:rsid w:val="00A706D8"/>
    <w:rsid w:val="00A71297"/>
    <w:rsid w:val="00A71A1E"/>
    <w:rsid w:val="00A72B94"/>
    <w:rsid w:val="00A73A4C"/>
    <w:rsid w:val="00A740A7"/>
    <w:rsid w:val="00A740B2"/>
    <w:rsid w:val="00A742A4"/>
    <w:rsid w:val="00A74BE1"/>
    <w:rsid w:val="00A74EEF"/>
    <w:rsid w:val="00A75ECB"/>
    <w:rsid w:val="00A76A39"/>
    <w:rsid w:val="00A76C17"/>
    <w:rsid w:val="00A76F83"/>
    <w:rsid w:val="00A772B6"/>
    <w:rsid w:val="00A7742C"/>
    <w:rsid w:val="00A804B5"/>
    <w:rsid w:val="00A80760"/>
    <w:rsid w:val="00A80B2D"/>
    <w:rsid w:val="00A80C6E"/>
    <w:rsid w:val="00A80DC6"/>
    <w:rsid w:val="00A81E42"/>
    <w:rsid w:val="00A821F2"/>
    <w:rsid w:val="00A82A6B"/>
    <w:rsid w:val="00A83904"/>
    <w:rsid w:val="00A83FAA"/>
    <w:rsid w:val="00A840EC"/>
    <w:rsid w:val="00A8435A"/>
    <w:rsid w:val="00A8449C"/>
    <w:rsid w:val="00A84F0B"/>
    <w:rsid w:val="00A8553E"/>
    <w:rsid w:val="00A85762"/>
    <w:rsid w:val="00A8595D"/>
    <w:rsid w:val="00A85DDF"/>
    <w:rsid w:val="00A85FFB"/>
    <w:rsid w:val="00A86041"/>
    <w:rsid w:val="00A86F80"/>
    <w:rsid w:val="00A87111"/>
    <w:rsid w:val="00A8776F"/>
    <w:rsid w:val="00A87910"/>
    <w:rsid w:val="00A87BE7"/>
    <w:rsid w:val="00A87E24"/>
    <w:rsid w:val="00A903F3"/>
    <w:rsid w:val="00A90474"/>
    <w:rsid w:val="00A90661"/>
    <w:rsid w:val="00A9074F"/>
    <w:rsid w:val="00A90776"/>
    <w:rsid w:val="00A90AD5"/>
    <w:rsid w:val="00A90E81"/>
    <w:rsid w:val="00A911AA"/>
    <w:rsid w:val="00A91424"/>
    <w:rsid w:val="00A929B6"/>
    <w:rsid w:val="00A93481"/>
    <w:rsid w:val="00A93D14"/>
    <w:rsid w:val="00A943C8"/>
    <w:rsid w:val="00A945C8"/>
    <w:rsid w:val="00A94768"/>
    <w:rsid w:val="00A94F04"/>
    <w:rsid w:val="00A952A3"/>
    <w:rsid w:val="00A959DB"/>
    <w:rsid w:val="00A96591"/>
    <w:rsid w:val="00A97C88"/>
    <w:rsid w:val="00AA00D5"/>
    <w:rsid w:val="00AA0278"/>
    <w:rsid w:val="00AA0546"/>
    <w:rsid w:val="00AA05F4"/>
    <w:rsid w:val="00AA13F5"/>
    <w:rsid w:val="00AA1DD2"/>
    <w:rsid w:val="00AA22DC"/>
    <w:rsid w:val="00AA2772"/>
    <w:rsid w:val="00AA2DC8"/>
    <w:rsid w:val="00AA4DB2"/>
    <w:rsid w:val="00AA57AB"/>
    <w:rsid w:val="00AA5B7A"/>
    <w:rsid w:val="00AA6272"/>
    <w:rsid w:val="00AA6498"/>
    <w:rsid w:val="00AA6D25"/>
    <w:rsid w:val="00AA74BD"/>
    <w:rsid w:val="00AA7645"/>
    <w:rsid w:val="00AA784E"/>
    <w:rsid w:val="00AA7CB2"/>
    <w:rsid w:val="00AB03BC"/>
    <w:rsid w:val="00AB05C2"/>
    <w:rsid w:val="00AB0AC8"/>
    <w:rsid w:val="00AB0F93"/>
    <w:rsid w:val="00AB14F7"/>
    <w:rsid w:val="00AB157B"/>
    <w:rsid w:val="00AB2491"/>
    <w:rsid w:val="00AB2C52"/>
    <w:rsid w:val="00AB31A8"/>
    <w:rsid w:val="00AB4099"/>
    <w:rsid w:val="00AB4114"/>
    <w:rsid w:val="00AB51D5"/>
    <w:rsid w:val="00AB57CD"/>
    <w:rsid w:val="00AB64D7"/>
    <w:rsid w:val="00AB6D5B"/>
    <w:rsid w:val="00AB79AC"/>
    <w:rsid w:val="00AB7CE9"/>
    <w:rsid w:val="00AC00CB"/>
    <w:rsid w:val="00AC041B"/>
    <w:rsid w:val="00AC0B0F"/>
    <w:rsid w:val="00AC139D"/>
    <w:rsid w:val="00AC1ABA"/>
    <w:rsid w:val="00AC1D78"/>
    <w:rsid w:val="00AC1E91"/>
    <w:rsid w:val="00AC1F31"/>
    <w:rsid w:val="00AC2D3D"/>
    <w:rsid w:val="00AC2F59"/>
    <w:rsid w:val="00AC3D0D"/>
    <w:rsid w:val="00AC4A74"/>
    <w:rsid w:val="00AC5F62"/>
    <w:rsid w:val="00AC620E"/>
    <w:rsid w:val="00AC6DB3"/>
    <w:rsid w:val="00AC7106"/>
    <w:rsid w:val="00AC737C"/>
    <w:rsid w:val="00AC7441"/>
    <w:rsid w:val="00AC7ADA"/>
    <w:rsid w:val="00AD0A08"/>
    <w:rsid w:val="00AD1330"/>
    <w:rsid w:val="00AD1C31"/>
    <w:rsid w:val="00AD21E6"/>
    <w:rsid w:val="00AD26D1"/>
    <w:rsid w:val="00AD27DF"/>
    <w:rsid w:val="00AD36F9"/>
    <w:rsid w:val="00AD40FE"/>
    <w:rsid w:val="00AD48F4"/>
    <w:rsid w:val="00AD5ED5"/>
    <w:rsid w:val="00AD5EDC"/>
    <w:rsid w:val="00AD6B07"/>
    <w:rsid w:val="00AD78F3"/>
    <w:rsid w:val="00AD7A4E"/>
    <w:rsid w:val="00AE04F5"/>
    <w:rsid w:val="00AE0576"/>
    <w:rsid w:val="00AE0FB5"/>
    <w:rsid w:val="00AE136F"/>
    <w:rsid w:val="00AE1524"/>
    <w:rsid w:val="00AE1B28"/>
    <w:rsid w:val="00AE2016"/>
    <w:rsid w:val="00AE21BC"/>
    <w:rsid w:val="00AE2649"/>
    <w:rsid w:val="00AE27B1"/>
    <w:rsid w:val="00AE2D90"/>
    <w:rsid w:val="00AE318E"/>
    <w:rsid w:val="00AE330E"/>
    <w:rsid w:val="00AE355E"/>
    <w:rsid w:val="00AE378A"/>
    <w:rsid w:val="00AE3813"/>
    <w:rsid w:val="00AE4427"/>
    <w:rsid w:val="00AE5000"/>
    <w:rsid w:val="00AE52E7"/>
    <w:rsid w:val="00AE5373"/>
    <w:rsid w:val="00AE548A"/>
    <w:rsid w:val="00AE54A0"/>
    <w:rsid w:val="00AE5901"/>
    <w:rsid w:val="00AE605C"/>
    <w:rsid w:val="00AE673E"/>
    <w:rsid w:val="00AE6C5A"/>
    <w:rsid w:val="00AE70C7"/>
    <w:rsid w:val="00AE7525"/>
    <w:rsid w:val="00AE7927"/>
    <w:rsid w:val="00AE79CA"/>
    <w:rsid w:val="00AE7E03"/>
    <w:rsid w:val="00AE7E80"/>
    <w:rsid w:val="00AF06E6"/>
    <w:rsid w:val="00AF1178"/>
    <w:rsid w:val="00AF18F7"/>
    <w:rsid w:val="00AF19B2"/>
    <w:rsid w:val="00AF1EC7"/>
    <w:rsid w:val="00AF1F7D"/>
    <w:rsid w:val="00AF204C"/>
    <w:rsid w:val="00AF2CFD"/>
    <w:rsid w:val="00AF2DC9"/>
    <w:rsid w:val="00AF327D"/>
    <w:rsid w:val="00AF33CC"/>
    <w:rsid w:val="00AF424D"/>
    <w:rsid w:val="00AF466A"/>
    <w:rsid w:val="00AF5A8D"/>
    <w:rsid w:val="00AF5EF9"/>
    <w:rsid w:val="00AF600F"/>
    <w:rsid w:val="00AF6360"/>
    <w:rsid w:val="00AF6B22"/>
    <w:rsid w:val="00AF6BE1"/>
    <w:rsid w:val="00AF762D"/>
    <w:rsid w:val="00AF7D4C"/>
    <w:rsid w:val="00AF7E18"/>
    <w:rsid w:val="00AF7F08"/>
    <w:rsid w:val="00B003D3"/>
    <w:rsid w:val="00B0079F"/>
    <w:rsid w:val="00B0202F"/>
    <w:rsid w:val="00B03177"/>
    <w:rsid w:val="00B03618"/>
    <w:rsid w:val="00B03F9D"/>
    <w:rsid w:val="00B04418"/>
    <w:rsid w:val="00B04825"/>
    <w:rsid w:val="00B04DB0"/>
    <w:rsid w:val="00B0502A"/>
    <w:rsid w:val="00B051D4"/>
    <w:rsid w:val="00B05B94"/>
    <w:rsid w:val="00B05BCB"/>
    <w:rsid w:val="00B061ED"/>
    <w:rsid w:val="00B065AB"/>
    <w:rsid w:val="00B06FF8"/>
    <w:rsid w:val="00B07A4A"/>
    <w:rsid w:val="00B07D6B"/>
    <w:rsid w:val="00B10579"/>
    <w:rsid w:val="00B11084"/>
    <w:rsid w:val="00B11941"/>
    <w:rsid w:val="00B11D4A"/>
    <w:rsid w:val="00B11F4D"/>
    <w:rsid w:val="00B12122"/>
    <w:rsid w:val="00B1256D"/>
    <w:rsid w:val="00B127BA"/>
    <w:rsid w:val="00B12F92"/>
    <w:rsid w:val="00B134EA"/>
    <w:rsid w:val="00B14627"/>
    <w:rsid w:val="00B1503A"/>
    <w:rsid w:val="00B15202"/>
    <w:rsid w:val="00B1539C"/>
    <w:rsid w:val="00B159D5"/>
    <w:rsid w:val="00B16063"/>
    <w:rsid w:val="00B164F9"/>
    <w:rsid w:val="00B17A2A"/>
    <w:rsid w:val="00B2019C"/>
    <w:rsid w:val="00B2065F"/>
    <w:rsid w:val="00B20B03"/>
    <w:rsid w:val="00B20E79"/>
    <w:rsid w:val="00B210E9"/>
    <w:rsid w:val="00B212D8"/>
    <w:rsid w:val="00B213FA"/>
    <w:rsid w:val="00B21500"/>
    <w:rsid w:val="00B21A02"/>
    <w:rsid w:val="00B21CF1"/>
    <w:rsid w:val="00B22570"/>
    <w:rsid w:val="00B22AAA"/>
    <w:rsid w:val="00B22EBB"/>
    <w:rsid w:val="00B233E8"/>
    <w:rsid w:val="00B234F0"/>
    <w:rsid w:val="00B2362C"/>
    <w:rsid w:val="00B2365B"/>
    <w:rsid w:val="00B2376F"/>
    <w:rsid w:val="00B23CE5"/>
    <w:rsid w:val="00B246A0"/>
    <w:rsid w:val="00B24D39"/>
    <w:rsid w:val="00B24DFD"/>
    <w:rsid w:val="00B250DC"/>
    <w:rsid w:val="00B26AEE"/>
    <w:rsid w:val="00B272B7"/>
    <w:rsid w:val="00B3046D"/>
    <w:rsid w:val="00B30B6E"/>
    <w:rsid w:val="00B3117B"/>
    <w:rsid w:val="00B313D0"/>
    <w:rsid w:val="00B31403"/>
    <w:rsid w:val="00B31A72"/>
    <w:rsid w:val="00B31A8E"/>
    <w:rsid w:val="00B31AC5"/>
    <w:rsid w:val="00B31CD4"/>
    <w:rsid w:val="00B3202A"/>
    <w:rsid w:val="00B327BF"/>
    <w:rsid w:val="00B32C17"/>
    <w:rsid w:val="00B33B09"/>
    <w:rsid w:val="00B33E56"/>
    <w:rsid w:val="00B34473"/>
    <w:rsid w:val="00B345B9"/>
    <w:rsid w:val="00B3477B"/>
    <w:rsid w:val="00B34854"/>
    <w:rsid w:val="00B34A17"/>
    <w:rsid w:val="00B359DC"/>
    <w:rsid w:val="00B35F50"/>
    <w:rsid w:val="00B3666B"/>
    <w:rsid w:val="00B3731D"/>
    <w:rsid w:val="00B3742D"/>
    <w:rsid w:val="00B37D3F"/>
    <w:rsid w:val="00B40F69"/>
    <w:rsid w:val="00B41504"/>
    <w:rsid w:val="00B4168E"/>
    <w:rsid w:val="00B41CFF"/>
    <w:rsid w:val="00B41D8C"/>
    <w:rsid w:val="00B427AC"/>
    <w:rsid w:val="00B434A5"/>
    <w:rsid w:val="00B44696"/>
    <w:rsid w:val="00B44900"/>
    <w:rsid w:val="00B44BC3"/>
    <w:rsid w:val="00B454C5"/>
    <w:rsid w:val="00B4567D"/>
    <w:rsid w:val="00B4581E"/>
    <w:rsid w:val="00B46985"/>
    <w:rsid w:val="00B46D4D"/>
    <w:rsid w:val="00B476C3"/>
    <w:rsid w:val="00B476E0"/>
    <w:rsid w:val="00B479EB"/>
    <w:rsid w:val="00B50D1C"/>
    <w:rsid w:val="00B50DE3"/>
    <w:rsid w:val="00B513A0"/>
    <w:rsid w:val="00B51AB9"/>
    <w:rsid w:val="00B53A01"/>
    <w:rsid w:val="00B53B0A"/>
    <w:rsid w:val="00B53DC8"/>
    <w:rsid w:val="00B56008"/>
    <w:rsid w:val="00B56942"/>
    <w:rsid w:val="00B56F48"/>
    <w:rsid w:val="00B5708C"/>
    <w:rsid w:val="00B57CD8"/>
    <w:rsid w:val="00B57F2E"/>
    <w:rsid w:val="00B57FE3"/>
    <w:rsid w:val="00B60539"/>
    <w:rsid w:val="00B605C1"/>
    <w:rsid w:val="00B608ED"/>
    <w:rsid w:val="00B608F0"/>
    <w:rsid w:val="00B60DA5"/>
    <w:rsid w:val="00B610F1"/>
    <w:rsid w:val="00B61600"/>
    <w:rsid w:val="00B6167A"/>
    <w:rsid w:val="00B620CA"/>
    <w:rsid w:val="00B63101"/>
    <w:rsid w:val="00B63F1E"/>
    <w:rsid w:val="00B65355"/>
    <w:rsid w:val="00B65954"/>
    <w:rsid w:val="00B664AF"/>
    <w:rsid w:val="00B673E2"/>
    <w:rsid w:val="00B679BA"/>
    <w:rsid w:val="00B70438"/>
    <w:rsid w:val="00B70480"/>
    <w:rsid w:val="00B70972"/>
    <w:rsid w:val="00B70AFF"/>
    <w:rsid w:val="00B70D2B"/>
    <w:rsid w:val="00B7111F"/>
    <w:rsid w:val="00B717B0"/>
    <w:rsid w:val="00B719D7"/>
    <w:rsid w:val="00B71A54"/>
    <w:rsid w:val="00B71F2A"/>
    <w:rsid w:val="00B721E1"/>
    <w:rsid w:val="00B727A9"/>
    <w:rsid w:val="00B73353"/>
    <w:rsid w:val="00B735CE"/>
    <w:rsid w:val="00B73B1C"/>
    <w:rsid w:val="00B74E6D"/>
    <w:rsid w:val="00B75606"/>
    <w:rsid w:val="00B756A3"/>
    <w:rsid w:val="00B75B7E"/>
    <w:rsid w:val="00B7631F"/>
    <w:rsid w:val="00B76BD4"/>
    <w:rsid w:val="00B76E2B"/>
    <w:rsid w:val="00B81384"/>
    <w:rsid w:val="00B81591"/>
    <w:rsid w:val="00B815D5"/>
    <w:rsid w:val="00B81C1D"/>
    <w:rsid w:val="00B82262"/>
    <w:rsid w:val="00B83233"/>
    <w:rsid w:val="00B8336D"/>
    <w:rsid w:val="00B84310"/>
    <w:rsid w:val="00B845CB"/>
    <w:rsid w:val="00B85389"/>
    <w:rsid w:val="00B854B3"/>
    <w:rsid w:val="00B85507"/>
    <w:rsid w:val="00B8560D"/>
    <w:rsid w:val="00B8564F"/>
    <w:rsid w:val="00B85FF1"/>
    <w:rsid w:val="00B869CC"/>
    <w:rsid w:val="00B86CB0"/>
    <w:rsid w:val="00B87195"/>
    <w:rsid w:val="00B9010C"/>
    <w:rsid w:val="00B9028A"/>
    <w:rsid w:val="00B906C6"/>
    <w:rsid w:val="00B90B2E"/>
    <w:rsid w:val="00B90D5E"/>
    <w:rsid w:val="00B910B0"/>
    <w:rsid w:val="00B92032"/>
    <w:rsid w:val="00B92363"/>
    <w:rsid w:val="00B92419"/>
    <w:rsid w:val="00B92EEF"/>
    <w:rsid w:val="00B94847"/>
    <w:rsid w:val="00B94BA0"/>
    <w:rsid w:val="00B956F3"/>
    <w:rsid w:val="00B9654F"/>
    <w:rsid w:val="00B97C37"/>
    <w:rsid w:val="00B97F95"/>
    <w:rsid w:val="00BA016A"/>
    <w:rsid w:val="00BA1299"/>
    <w:rsid w:val="00BA138D"/>
    <w:rsid w:val="00BA17BE"/>
    <w:rsid w:val="00BA180B"/>
    <w:rsid w:val="00BA2A9D"/>
    <w:rsid w:val="00BA2C7A"/>
    <w:rsid w:val="00BA35F9"/>
    <w:rsid w:val="00BA46B2"/>
    <w:rsid w:val="00BA4937"/>
    <w:rsid w:val="00BA49BF"/>
    <w:rsid w:val="00BA584F"/>
    <w:rsid w:val="00BA5CE0"/>
    <w:rsid w:val="00BA5DE6"/>
    <w:rsid w:val="00BA62C4"/>
    <w:rsid w:val="00BA6899"/>
    <w:rsid w:val="00BA698B"/>
    <w:rsid w:val="00BA7715"/>
    <w:rsid w:val="00BB019E"/>
    <w:rsid w:val="00BB16AB"/>
    <w:rsid w:val="00BB18C2"/>
    <w:rsid w:val="00BB1C24"/>
    <w:rsid w:val="00BB1D2B"/>
    <w:rsid w:val="00BB1DB5"/>
    <w:rsid w:val="00BB2668"/>
    <w:rsid w:val="00BB26D1"/>
    <w:rsid w:val="00BB2A2D"/>
    <w:rsid w:val="00BB30AB"/>
    <w:rsid w:val="00BB33F6"/>
    <w:rsid w:val="00BB3DF7"/>
    <w:rsid w:val="00BB4154"/>
    <w:rsid w:val="00BB4670"/>
    <w:rsid w:val="00BB514B"/>
    <w:rsid w:val="00BB7C60"/>
    <w:rsid w:val="00BB7F09"/>
    <w:rsid w:val="00BC03B5"/>
    <w:rsid w:val="00BC0982"/>
    <w:rsid w:val="00BC1661"/>
    <w:rsid w:val="00BC1CA2"/>
    <w:rsid w:val="00BC1D6C"/>
    <w:rsid w:val="00BC26B1"/>
    <w:rsid w:val="00BC2BA8"/>
    <w:rsid w:val="00BC35A6"/>
    <w:rsid w:val="00BC3E14"/>
    <w:rsid w:val="00BC4DDC"/>
    <w:rsid w:val="00BC4E00"/>
    <w:rsid w:val="00BC4E74"/>
    <w:rsid w:val="00BC501A"/>
    <w:rsid w:val="00BC54B4"/>
    <w:rsid w:val="00BC5592"/>
    <w:rsid w:val="00BC7782"/>
    <w:rsid w:val="00BC799C"/>
    <w:rsid w:val="00BC79FA"/>
    <w:rsid w:val="00BC7C4B"/>
    <w:rsid w:val="00BC7D8C"/>
    <w:rsid w:val="00BC7E6A"/>
    <w:rsid w:val="00BD03E7"/>
    <w:rsid w:val="00BD0CF3"/>
    <w:rsid w:val="00BD0FCE"/>
    <w:rsid w:val="00BD1730"/>
    <w:rsid w:val="00BD1999"/>
    <w:rsid w:val="00BD1DC1"/>
    <w:rsid w:val="00BD1F9A"/>
    <w:rsid w:val="00BD26CC"/>
    <w:rsid w:val="00BD2831"/>
    <w:rsid w:val="00BD2CFB"/>
    <w:rsid w:val="00BD3206"/>
    <w:rsid w:val="00BD39FD"/>
    <w:rsid w:val="00BD4328"/>
    <w:rsid w:val="00BD4661"/>
    <w:rsid w:val="00BD5221"/>
    <w:rsid w:val="00BD5430"/>
    <w:rsid w:val="00BD5A1D"/>
    <w:rsid w:val="00BD6259"/>
    <w:rsid w:val="00BD635C"/>
    <w:rsid w:val="00BD65B5"/>
    <w:rsid w:val="00BD6BE0"/>
    <w:rsid w:val="00BD7207"/>
    <w:rsid w:val="00BD74F6"/>
    <w:rsid w:val="00BD78B6"/>
    <w:rsid w:val="00BD7A15"/>
    <w:rsid w:val="00BD7C8B"/>
    <w:rsid w:val="00BD7E0E"/>
    <w:rsid w:val="00BE1181"/>
    <w:rsid w:val="00BE1280"/>
    <w:rsid w:val="00BE1454"/>
    <w:rsid w:val="00BE156D"/>
    <w:rsid w:val="00BE17CA"/>
    <w:rsid w:val="00BE1935"/>
    <w:rsid w:val="00BE28C4"/>
    <w:rsid w:val="00BE3FE7"/>
    <w:rsid w:val="00BE495B"/>
    <w:rsid w:val="00BE4A61"/>
    <w:rsid w:val="00BE4FBE"/>
    <w:rsid w:val="00BE53A5"/>
    <w:rsid w:val="00BE5F6D"/>
    <w:rsid w:val="00BE615A"/>
    <w:rsid w:val="00BE6E47"/>
    <w:rsid w:val="00BE6F83"/>
    <w:rsid w:val="00BE717C"/>
    <w:rsid w:val="00BE764C"/>
    <w:rsid w:val="00BE7745"/>
    <w:rsid w:val="00BE776E"/>
    <w:rsid w:val="00BE7E89"/>
    <w:rsid w:val="00BF2356"/>
    <w:rsid w:val="00BF2B3A"/>
    <w:rsid w:val="00BF2E05"/>
    <w:rsid w:val="00BF319E"/>
    <w:rsid w:val="00BF3580"/>
    <w:rsid w:val="00BF3B50"/>
    <w:rsid w:val="00BF4BE9"/>
    <w:rsid w:val="00BF4E21"/>
    <w:rsid w:val="00BF54FE"/>
    <w:rsid w:val="00BF6108"/>
    <w:rsid w:val="00BF692A"/>
    <w:rsid w:val="00BF72B2"/>
    <w:rsid w:val="00BF7731"/>
    <w:rsid w:val="00C00F01"/>
    <w:rsid w:val="00C01357"/>
    <w:rsid w:val="00C0188A"/>
    <w:rsid w:val="00C0201E"/>
    <w:rsid w:val="00C0217A"/>
    <w:rsid w:val="00C03644"/>
    <w:rsid w:val="00C046C6"/>
    <w:rsid w:val="00C05076"/>
    <w:rsid w:val="00C05749"/>
    <w:rsid w:val="00C05F39"/>
    <w:rsid w:val="00C06A11"/>
    <w:rsid w:val="00C06A6F"/>
    <w:rsid w:val="00C06AC8"/>
    <w:rsid w:val="00C06B1E"/>
    <w:rsid w:val="00C07272"/>
    <w:rsid w:val="00C100DB"/>
    <w:rsid w:val="00C10A61"/>
    <w:rsid w:val="00C10C6E"/>
    <w:rsid w:val="00C10F08"/>
    <w:rsid w:val="00C113BF"/>
    <w:rsid w:val="00C114F3"/>
    <w:rsid w:val="00C1175A"/>
    <w:rsid w:val="00C14538"/>
    <w:rsid w:val="00C148BB"/>
    <w:rsid w:val="00C14AB0"/>
    <w:rsid w:val="00C154F0"/>
    <w:rsid w:val="00C15769"/>
    <w:rsid w:val="00C15961"/>
    <w:rsid w:val="00C15BC9"/>
    <w:rsid w:val="00C15D70"/>
    <w:rsid w:val="00C15DDF"/>
    <w:rsid w:val="00C15FF9"/>
    <w:rsid w:val="00C168A4"/>
    <w:rsid w:val="00C1738A"/>
    <w:rsid w:val="00C176B7"/>
    <w:rsid w:val="00C17B62"/>
    <w:rsid w:val="00C204EA"/>
    <w:rsid w:val="00C20505"/>
    <w:rsid w:val="00C20932"/>
    <w:rsid w:val="00C21B4C"/>
    <w:rsid w:val="00C21CAD"/>
    <w:rsid w:val="00C21FB2"/>
    <w:rsid w:val="00C227E0"/>
    <w:rsid w:val="00C2290D"/>
    <w:rsid w:val="00C23266"/>
    <w:rsid w:val="00C23335"/>
    <w:rsid w:val="00C24B02"/>
    <w:rsid w:val="00C24D79"/>
    <w:rsid w:val="00C25B27"/>
    <w:rsid w:val="00C26180"/>
    <w:rsid w:val="00C26851"/>
    <w:rsid w:val="00C274A4"/>
    <w:rsid w:val="00C304BF"/>
    <w:rsid w:val="00C30A76"/>
    <w:rsid w:val="00C3151C"/>
    <w:rsid w:val="00C31654"/>
    <w:rsid w:val="00C31AEB"/>
    <w:rsid w:val="00C32993"/>
    <w:rsid w:val="00C335C3"/>
    <w:rsid w:val="00C33671"/>
    <w:rsid w:val="00C33FA7"/>
    <w:rsid w:val="00C34A3B"/>
    <w:rsid w:val="00C34B95"/>
    <w:rsid w:val="00C34D03"/>
    <w:rsid w:val="00C34FF8"/>
    <w:rsid w:val="00C3591B"/>
    <w:rsid w:val="00C35F90"/>
    <w:rsid w:val="00C3668F"/>
    <w:rsid w:val="00C36C45"/>
    <w:rsid w:val="00C37519"/>
    <w:rsid w:val="00C402CA"/>
    <w:rsid w:val="00C41568"/>
    <w:rsid w:val="00C416A6"/>
    <w:rsid w:val="00C41922"/>
    <w:rsid w:val="00C41C0E"/>
    <w:rsid w:val="00C43626"/>
    <w:rsid w:val="00C443C9"/>
    <w:rsid w:val="00C445BD"/>
    <w:rsid w:val="00C44DA8"/>
    <w:rsid w:val="00C451F8"/>
    <w:rsid w:val="00C452F3"/>
    <w:rsid w:val="00C45580"/>
    <w:rsid w:val="00C45E02"/>
    <w:rsid w:val="00C464C7"/>
    <w:rsid w:val="00C465D5"/>
    <w:rsid w:val="00C46878"/>
    <w:rsid w:val="00C46976"/>
    <w:rsid w:val="00C5006D"/>
    <w:rsid w:val="00C500BF"/>
    <w:rsid w:val="00C513C5"/>
    <w:rsid w:val="00C513CB"/>
    <w:rsid w:val="00C51820"/>
    <w:rsid w:val="00C51CD8"/>
    <w:rsid w:val="00C524E5"/>
    <w:rsid w:val="00C526E3"/>
    <w:rsid w:val="00C52868"/>
    <w:rsid w:val="00C52D72"/>
    <w:rsid w:val="00C53025"/>
    <w:rsid w:val="00C53235"/>
    <w:rsid w:val="00C536DF"/>
    <w:rsid w:val="00C53736"/>
    <w:rsid w:val="00C547F4"/>
    <w:rsid w:val="00C54C78"/>
    <w:rsid w:val="00C54C7F"/>
    <w:rsid w:val="00C54D6E"/>
    <w:rsid w:val="00C55BEE"/>
    <w:rsid w:val="00C55DDA"/>
    <w:rsid w:val="00C56BE1"/>
    <w:rsid w:val="00C56D4E"/>
    <w:rsid w:val="00C5746C"/>
    <w:rsid w:val="00C579A2"/>
    <w:rsid w:val="00C57C2D"/>
    <w:rsid w:val="00C618C4"/>
    <w:rsid w:val="00C61BB1"/>
    <w:rsid w:val="00C61F7E"/>
    <w:rsid w:val="00C61FD8"/>
    <w:rsid w:val="00C621BD"/>
    <w:rsid w:val="00C621D5"/>
    <w:rsid w:val="00C621F1"/>
    <w:rsid w:val="00C624BF"/>
    <w:rsid w:val="00C628E0"/>
    <w:rsid w:val="00C62F25"/>
    <w:rsid w:val="00C63589"/>
    <w:rsid w:val="00C635BA"/>
    <w:rsid w:val="00C63773"/>
    <w:rsid w:val="00C63BB7"/>
    <w:rsid w:val="00C63EB3"/>
    <w:rsid w:val="00C6425E"/>
    <w:rsid w:val="00C6466B"/>
    <w:rsid w:val="00C649E6"/>
    <w:rsid w:val="00C64CAB"/>
    <w:rsid w:val="00C65059"/>
    <w:rsid w:val="00C66080"/>
    <w:rsid w:val="00C66706"/>
    <w:rsid w:val="00C66E3B"/>
    <w:rsid w:val="00C670BC"/>
    <w:rsid w:val="00C67147"/>
    <w:rsid w:val="00C673AE"/>
    <w:rsid w:val="00C67878"/>
    <w:rsid w:val="00C70024"/>
    <w:rsid w:val="00C7004B"/>
    <w:rsid w:val="00C70283"/>
    <w:rsid w:val="00C706A1"/>
    <w:rsid w:val="00C70864"/>
    <w:rsid w:val="00C70CE4"/>
    <w:rsid w:val="00C71295"/>
    <w:rsid w:val="00C71427"/>
    <w:rsid w:val="00C71998"/>
    <w:rsid w:val="00C71A93"/>
    <w:rsid w:val="00C72898"/>
    <w:rsid w:val="00C72B66"/>
    <w:rsid w:val="00C72FA2"/>
    <w:rsid w:val="00C72FE2"/>
    <w:rsid w:val="00C731EB"/>
    <w:rsid w:val="00C73805"/>
    <w:rsid w:val="00C7453A"/>
    <w:rsid w:val="00C749EF"/>
    <w:rsid w:val="00C74C00"/>
    <w:rsid w:val="00C752D5"/>
    <w:rsid w:val="00C75549"/>
    <w:rsid w:val="00C76120"/>
    <w:rsid w:val="00C762BD"/>
    <w:rsid w:val="00C76729"/>
    <w:rsid w:val="00C77007"/>
    <w:rsid w:val="00C7723D"/>
    <w:rsid w:val="00C776DC"/>
    <w:rsid w:val="00C77B69"/>
    <w:rsid w:val="00C77F87"/>
    <w:rsid w:val="00C8014C"/>
    <w:rsid w:val="00C8063D"/>
    <w:rsid w:val="00C80B6E"/>
    <w:rsid w:val="00C81607"/>
    <w:rsid w:val="00C81ACA"/>
    <w:rsid w:val="00C820C0"/>
    <w:rsid w:val="00C83429"/>
    <w:rsid w:val="00C8379A"/>
    <w:rsid w:val="00C83B7D"/>
    <w:rsid w:val="00C84013"/>
    <w:rsid w:val="00C8443C"/>
    <w:rsid w:val="00C845E1"/>
    <w:rsid w:val="00C846F2"/>
    <w:rsid w:val="00C84EE5"/>
    <w:rsid w:val="00C85297"/>
    <w:rsid w:val="00C856B7"/>
    <w:rsid w:val="00C85718"/>
    <w:rsid w:val="00C85FCE"/>
    <w:rsid w:val="00C86632"/>
    <w:rsid w:val="00C86C58"/>
    <w:rsid w:val="00C8760B"/>
    <w:rsid w:val="00C87634"/>
    <w:rsid w:val="00C8772C"/>
    <w:rsid w:val="00C8792F"/>
    <w:rsid w:val="00C90419"/>
    <w:rsid w:val="00C90637"/>
    <w:rsid w:val="00C90845"/>
    <w:rsid w:val="00C908C9"/>
    <w:rsid w:val="00C909E3"/>
    <w:rsid w:val="00C90BC0"/>
    <w:rsid w:val="00C90C1F"/>
    <w:rsid w:val="00C91126"/>
    <w:rsid w:val="00C916AA"/>
    <w:rsid w:val="00C91CAC"/>
    <w:rsid w:val="00C92C6B"/>
    <w:rsid w:val="00C92E85"/>
    <w:rsid w:val="00C93768"/>
    <w:rsid w:val="00C94469"/>
    <w:rsid w:val="00C94A42"/>
    <w:rsid w:val="00C954B2"/>
    <w:rsid w:val="00C95DF4"/>
    <w:rsid w:val="00C964A6"/>
    <w:rsid w:val="00C96C95"/>
    <w:rsid w:val="00CA0756"/>
    <w:rsid w:val="00CA07E0"/>
    <w:rsid w:val="00CA1722"/>
    <w:rsid w:val="00CA1E10"/>
    <w:rsid w:val="00CA3586"/>
    <w:rsid w:val="00CA3732"/>
    <w:rsid w:val="00CA38AD"/>
    <w:rsid w:val="00CA446C"/>
    <w:rsid w:val="00CA4745"/>
    <w:rsid w:val="00CA531E"/>
    <w:rsid w:val="00CA63A0"/>
    <w:rsid w:val="00CA647B"/>
    <w:rsid w:val="00CA653A"/>
    <w:rsid w:val="00CA664E"/>
    <w:rsid w:val="00CA6ABD"/>
    <w:rsid w:val="00CA6C7D"/>
    <w:rsid w:val="00CA6D8E"/>
    <w:rsid w:val="00CA7CF4"/>
    <w:rsid w:val="00CB0F65"/>
    <w:rsid w:val="00CB17EC"/>
    <w:rsid w:val="00CB1CA9"/>
    <w:rsid w:val="00CB20C1"/>
    <w:rsid w:val="00CB34F9"/>
    <w:rsid w:val="00CB3E73"/>
    <w:rsid w:val="00CB437A"/>
    <w:rsid w:val="00CB44BA"/>
    <w:rsid w:val="00CB4515"/>
    <w:rsid w:val="00CB47DB"/>
    <w:rsid w:val="00CB4F8A"/>
    <w:rsid w:val="00CB51B7"/>
    <w:rsid w:val="00CB53D1"/>
    <w:rsid w:val="00CB6ACF"/>
    <w:rsid w:val="00CB6B50"/>
    <w:rsid w:val="00CB6EAE"/>
    <w:rsid w:val="00CB7123"/>
    <w:rsid w:val="00CB72FB"/>
    <w:rsid w:val="00CB78B2"/>
    <w:rsid w:val="00CB798A"/>
    <w:rsid w:val="00CC0516"/>
    <w:rsid w:val="00CC089F"/>
    <w:rsid w:val="00CC16EA"/>
    <w:rsid w:val="00CC18C7"/>
    <w:rsid w:val="00CC18FF"/>
    <w:rsid w:val="00CC1D2C"/>
    <w:rsid w:val="00CC1F13"/>
    <w:rsid w:val="00CC2B09"/>
    <w:rsid w:val="00CC2CC1"/>
    <w:rsid w:val="00CC2D99"/>
    <w:rsid w:val="00CC3758"/>
    <w:rsid w:val="00CC3BDB"/>
    <w:rsid w:val="00CC446C"/>
    <w:rsid w:val="00CC45C7"/>
    <w:rsid w:val="00CC49D9"/>
    <w:rsid w:val="00CC4D7E"/>
    <w:rsid w:val="00CC4F77"/>
    <w:rsid w:val="00CC538A"/>
    <w:rsid w:val="00CC55CC"/>
    <w:rsid w:val="00CC5F7B"/>
    <w:rsid w:val="00CC5FFB"/>
    <w:rsid w:val="00CC63EC"/>
    <w:rsid w:val="00CC647D"/>
    <w:rsid w:val="00CC6BBD"/>
    <w:rsid w:val="00CC7029"/>
    <w:rsid w:val="00CD0A56"/>
    <w:rsid w:val="00CD1EF5"/>
    <w:rsid w:val="00CD2615"/>
    <w:rsid w:val="00CD2845"/>
    <w:rsid w:val="00CD30FB"/>
    <w:rsid w:val="00CD3307"/>
    <w:rsid w:val="00CD3932"/>
    <w:rsid w:val="00CD3E15"/>
    <w:rsid w:val="00CD416E"/>
    <w:rsid w:val="00CD46C3"/>
    <w:rsid w:val="00CD48BC"/>
    <w:rsid w:val="00CD571F"/>
    <w:rsid w:val="00CD5F8F"/>
    <w:rsid w:val="00CD6357"/>
    <w:rsid w:val="00CD638E"/>
    <w:rsid w:val="00CD7845"/>
    <w:rsid w:val="00CD7E33"/>
    <w:rsid w:val="00CE0990"/>
    <w:rsid w:val="00CE0B6B"/>
    <w:rsid w:val="00CE1412"/>
    <w:rsid w:val="00CE18B9"/>
    <w:rsid w:val="00CE1BBE"/>
    <w:rsid w:val="00CE207F"/>
    <w:rsid w:val="00CE23CC"/>
    <w:rsid w:val="00CE28CD"/>
    <w:rsid w:val="00CE2914"/>
    <w:rsid w:val="00CE295D"/>
    <w:rsid w:val="00CE300E"/>
    <w:rsid w:val="00CE3096"/>
    <w:rsid w:val="00CE38C3"/>
    <w:rsid w:val="00CE449E"/>
    <w:rsid w:val="00CE4814"/>
    <w:rsid w:val="00CE4A0D"/>
    <w:rsid w:val="00CE4D54"/>
    <w:rsid w:val="00CE57A3"/>
    <w:rsid w:val="00CE5A47"/>
    <w:rsid w:val="00CE6937"/>
    <w:rsid w:val="00CE79FF"/>
    <w:rsid w:val="00CE7A85"/>
    <w:rsid w:val="00CE7B6E"/>
    <w:rsid w:val="00CE7E1F"/>
    <w:rsid w:val="00CF093B"/>
    <w:rsid w:val="00CF0B51"/>
    <w:rsid w:val="00CF0CB1"/>
    <w:rsid w:val="00CF16B9"/>
    <w:rsid w:val="00CF1807"/>
    <w:rsid w:val="00CF18D5"/>
    <w:rsid w:val="00CF19BD"/>
    <w:rsid w:val="00CF1FA0"/>
    <w:rsid w:val="00CF22A1"/>
    <w:rsid w:val="00CF262F"/>
    <w:rsid w:val="00CF3E23"/>
    <w:rsid w:val="00CF495F"/>
    <w:rsid w:val="00CF49CB"/>
    <w:rsid w:val="00CF5543"/>
    <w:rsid w:val="00CF72B8"/>
    <w:rsid w:val="00CF7DF4"/>
    <w:rsid w:val="00CF7EF5"/>
    <w:rsid w:val="00D00E5D"/>
    <w:rsid w:val="00D015C4"/>
    <w:rsid w:val="00D01CB0"/>
    <w:rsid w:val="00D01F46"/>
    <w:rsid w:val="00D01F49"/>
    <w:rsid w:val="00D029A0"/>
    <w:rsid w:val="00D0414A"/>
    <w:rsid w:val="00D049EC"/>
    <w:rsid w:val="00D04F97"/>
    <w:rsid w:val="00D05C5B"/>
    <w:rsid w:val="00D0668A"/>
    <w:rsid w:val="00D06E69"/>
    <w:rsid w:val="00D071C1"/>
    <w:rsid w:val="00D072EA"/>
    <w:rsid w:val="00D103D5"/>
    <w:rsid w:val="00D10A08"/>
    <w:rsid w:val="00D1189F"/>
    <w:rsid w:val="00D122E2"/>
    <w:rsid w:val="00D12C9C"/>
    <w:rsid w:val="00D134FF"/>
    <w:rsid w:val="00D135BC"/>
    <w:rsid w:val="00D1360B"/>
    <w:rsid w:val="00D14825"/>
    <w:rsid w:val="00D14827"/>
    <w:rsid w:val="00D14E17"/>
    <w:rsid w:val="00D15417"/>
    <w:rsid w:val="00D157B2"/>
    <w:rsid w:val="00D15B54"/>
    <w:rsid w:val="00D15E00"/>
    <w:rsid w:val="00D15E31"/>
    <w:rsid w:val="00D1617F"/>
    <w:rsid w:val="00D16B50"/>
    <w:rsid w:val="00D17928"/>
    <w:rsid w:val="00D17BB4"/>
    <w:rsid w:val="00D17C7C"/>
    <w:rsid w:val="00D17E68"/>
    <w:rsid w:val="00D205D1"/>
    <w:rsid w:val="00D20616"/>
    <w:rsid w:val="00D21093"/>
    <w:rsid w:val="00D21169"/>
    <w:rsid w:val="00D21371"/>
    <w:rsid w:val="00D21E88"/>
    <w:rsid w:val="00D22319"/>
    <w:rsid w:val="00D22B63"/>
    <w:rsid w:val="00D22C5D"/>
    <w:rsid w:val="00D22CD1"/>
    <w:rsid w:val="00D2301E"/>
    <w:rsid w:val="00D23291"/>
    <w:rsid w:val="00D23C2B"/>
    <w:rsid w:val="00D23DE2"/>
    <w:rsid w:val="00D24779"/>
    <w:rsid w:val="00D249F8"/>
    <w:rsid w:val="00D24A9C"/>
    <w:rsid w:val="00D24BEE"/>
    <w:rsid w:val="00D257B4"/>
    <w:rsid w:val="00D26895"/>
    <w:rsid w:val="00D26B95"/>
    <w:rsid w:val="00D273FD"/>
    <w:rsid w:val="00D27571"/>
    <w:rsid w:val="00D27786"/>
    <w:rsid w:val="00D278EC"/>
    <w:rsid w:val="00D27C76"/>
    <w:rsid w:val="00D27EAA"/>
    <w:rsid w:val="00D30285"/>
    <w:rsid w:val="00D30486"/>
    <w:rsid w:val="00D30731"/>
    <w:rsid w:val="00D308A4"/>
    <w:rsid w:val="00D308AC"/>
    <w:rsid w:val="00D30A18"/>
    <w:rsid w:val="00D315D2"/>
    <w:rsid w:val="00D324E5"/>
    <w:rsid w:val="00D327F7"/>
    <w:rsid w:val="00D3280A"/>
    <w:rsid w:val="00D32A67"/>
    <w:rsid w:val="00D3301E"/>
    <w:rsid w:val="00D3310C"/>
    <w:rsid w:val="00D33150"/>
    <w:rsid w:val="00D33FD1"/>
    <w:rsid w:val="00D344C0"/>
    <w:rsid w:val="00D34C7F"/>
    <w:rsid w:val="00D35405"/>
    <w:rsid w:val="00D35E80"/>
    <w:rsid w:val="00D35FFF"/>
    <w:rsid w:val="00D376D6"/>
    <w:rsid w:val="00D3782A"/>
    <w:rsid w:val="00D378F5"/>
    <w:rsid w:val="00D379D5"/>
    <w:rsid w:val="00D412B9"/>
    <w:rsid w:val="00D42227"/>
    <w:rsid w:val="00D4252E"/>
    <w:rsid w:val="00D4282D"/>
    <w:rsid w:val="00D466DF"/>
    <w:rsid w:val="00D46ED3"/>
    <w:rsid w:val="00D473D9"/>
    <w:rsid w:val="00D47C0D"/>
    <w:rsid w:val="00D500CD"/>
    <w:rsid w:val="00D501DD"/>
    <w:rsid w:val="00D50417"/>
    <w:rsid w:val="00D52394"/>
    <w:rsid w:val="00D527F7"/>
    <w:rsid w:val="00D52E8E"/>
    <w:rsid w:val="00D52F14"/>
    <w:rsid w:val="00D52F5E"/>
    <w:rsid w:val="00D5373F"/>
    <w:rsid w:val="00D538FD"/>
    <w:rsid w:val="00D53F41"/>
    <w:rsid w:val="00D54ECF"/>
    <w:rsid w:val="00D55858"/>
    <w:rsid w:val="00D55C24"/>
    <w:rsid w:val="00D56386"/>
    <w:rsid w:val="00D5752F"/>
    <w:rsid w:val="00D576E2"/>
    <w:rsid w:val="00D579FC"/>
    <w:rsid w:val="00D60766"/>
    <w:rsid w:val="00D6097E"/>
    <w:rsid w:val="00D60B55"/>
    <w:rsid w:val="00D60BCC"/>
    <w:rsid w:val="00D61911"/>
    <w:rsid w:val="00D6226A"/>
    <w:rsid w:val="00D62FA1"/>
    <w:rsid w:val="00D632AF"/>
    <w:rsid w:val="00D63434"/>
    <w:rsid w:val="00D637F8"/>
    <w:rsid w:val="00D65C88"/>
    <w:rsid w:val="00D660EF"/>
    <w:rsid w:val="00D66119"/>
    <w:rsid w:val="00D669B2"/>
    <w:rsid w:val="00D671FF"/>
    <w:rsid w:val="00D674A2"/>
    <w:rsid w:val="00D7022F"/>
    <w:rsid w:val="00D70798"/>
    <w:rsid w:val="00D711BB"/>
    <w:rsid w:val="00D71692"/>
    <w:rsid w:val="00D72333"/>
    <w:rsid w:val="00D72470"/>
    <w:rsid w:val="00D72534"/>
    <w:rsid w:val="00D73886"/>
    <w:rsid w:val="00D73AC2"/>
    <w:rsid w:val="00D73E02"/>
    <w:rsid w:val="00D73E2A"/>
    <w:rsid w:val="00D74029"/>
    <w:rsid w:val="00D74222"/>
    <w:rsid w:val="00D743CB"/>
    <w:rsid w:val="00D74700"/>
    <w:rsid w:val="00D76760"/>
    <w:rsid w:val="00D7683D"/>
    <w:rsid w:val="00D76978"/>
    <w:rsid w:val="00D76C7B"/>
    <w:rsid w:val="00D7763B"/>
    <w:rsid w:val="00D77EFA"/>
    <w:rsid w:val="00D804A8"/>
    <w:rsid w:val="00D808AA"/>
    <w:rsid w:val="00D80CFB"/>
    <w:rsid w:val="00D81F53"/>
    <w:rsid w:val="00D82121"/>
    <w:rsid w:val="00D84774"/>
    <w:rsid w:val="00D855D2"/>
    <w:rsid w:val="00D856CD"/>
    <w:rsid w:val="00D8596A"/>
    <w:rsid w:val="00D85FAE"/>
    <w:rsid w:val="00D8721D"/>
    <w:rsid w:val="00D87332"/>
    <w:rsid w:val="00D87B0F"/>
    <w:rsid w:val="00D87BEB"/>
    <w:rsid w:val="00D900BF"/>
    <w:rsid w:val="00D90683"/>
    <w:rsid w:val="00D91442"/>
    <w:rsid w:val="00D91FBE"/>
    <w:rsid w:val="00D926D5"/>
    <w:rsid w:val="00D9313F"/>
    <w:rsid w:val="00D93365"/>
    <w:rsid w:val="00D93743"/>
    <w:rsid w:val="00D937DE"/>
    <w:rsid w:val="00D944A2"/>
    <w:rsid w:val="00D946D0"/>
    <w:rsid w:val="00D956B3"/>
    <w:rsid w:val="00D95E25"/>
    <w:rsid w:val="00D96C73"/>
    <w:rsid w:val="00D97614"/>
    <w:rsid w:val="00D97971"/>
    <w:rsid w:val="00DA0416"/>
    <w:rsid w:val="00DA0601"/>
    <w:rsid w:val="00DA08C0"/>
    <w:rsid w:val="00DA0DDC"/>
    <w:rsid w:val="00DA11DF"/>
    <w:rsid w:val="00DA17F5"/>
    <w:rsid w:val="00DA21EB"/>
    <w:rsid w:val="00DA23BE"/>
    <w:rsid w:val="00DA24DA"/>
    <w:rsid w:val="00DA2C86"/>
    <w:rsid w:val="00DA2D36"/>
    <w:rsid w:val="00DA3492"/>
    <w:rsid w:val="00DA3768"/>
    <w:rsid w:val="00DA3E1A"/>
    <w:rsid w:val="00DA46C4"/>
    <w:rsid w:val="00DA4D0D"/>
    <w:rsid w:val="00DA4EC6"/>
    <w:rsid w:val="00DA561A"/>
    <w:rsid w:val="00DA5D7C"/>
    <w:rsid w:val="00DA5E54"/>
    <w:rsid w:val="00DA60DE"/>
    <w:rsid w:val="00DA614A"/>
    <w:rsid w:val="00DA6893"/>
    <w:rsid w:val="00DA6E94"/>
    <w:rsid w:val="00DA7211"/>
    <w:rsid w:val="00DA791C"/>
    <w:rsid w:val="00DB0195"/>
    <w:rsid w:val="00DB02BC"/>
    <w:rsid w:val="00DB18C8"/>
    <w:rsid w:val="00DB19EA"/>
    <w:rsid w:val="00DB3863"/>
    <w:rsid w:val="00DB431B"/>
    <w:rsid w:val="00DB47A0"/>
    <w:rsid w:val="00DB52AB"/>
    <w:rsid w:val="00DB5B89"/>
    <w:rsid w:val="00DB5BD7"/>
    <w:rsid w:val="00DB7541"/>
    <w:rsid w:val="00DB7C41"/>
    <w:rsid w:val="00DC0077"/>
    <w:rsid w:val="00DC0C69"/>
    <w:rsid w:val="00DC173B"/>
    <w:rsid w:val="00DC175C"/>
    <w:rsid w:val="00DC1C59"/>
    <w:rsid w:val="00DC1CC1"/>
    <w:rsid w:val="00DC1F16"/>
    <w:rsid w:val="00DC1FB6"/>
    <w:rsid w:val="00DC2117"/>
    <w:rsid w:val="00DC2912"/>
    <w:rsid w:val="00DC2ADE"/>
    <w:rsid w:val="00DC3B85"/>
    <w:rsid w:val="00DC3D7F"/>
    <w:rsid w:val="00DC40CA"/>
    <w:rsid w:val="00DC51B3"/>
    <w:rsid w:val="00DC54FE"/>
    <w:rsid w:val="00DC5902"/>
    <w:rsid w:val="00DC5E86"/>
    <w:rsid w:val="00DC6982"/>
    <w:rsid w:val="00DC6F63"/>
    <w:rsid w:val="00DC7B8A"/>
    <w:rsid w:val="00DD0B80"/>
    <w:rsid w:val="00DD1CE0"/>
    <w:rsid w:val="00DD214C"/>
    <w:rsid w:val="00DD35D1"/>
    <w:rsid w:val="00DD3A9E"/>
    <w:rsid w:val="00DD3BD6"/>
    <w:rsid w:val="00DD432F"/>
    <w:rsid w:val="00DD5696"/>
    <w:rsid w:val="00DD59A8"/>
    <w:rsid w:val="00DD5A5B"/>
    <w:rsid w:val="00DD6A78"/>
    <w:rsid w:val="00DD6F3A"/>
    <w:rsid w:val="00DD75B0"/>
    <w:rsid w:val="00DD7624"/>
    <w:rsid w:val="00DD7E7B"/>
    <w:rsid w:val="00DE02DA"/>
    <w:rsid w:val="00DE0F12"/>
    <w:rsid w:val="00DE1792"/>
    <w:rsid w:val="00DE1C90"/>
    <w:rsid w:val="00DE1CD4"/>
    <w:rsid w:val="00DE3583"/>
    <w:rsid w:val="00DE3BE9"/>
    <w:rsid w:val="00DE50DF"/>
    <w:rsid w:val="00DE5726"/>
    <w:rsid w:val="00DE6278"/>
    <w:rsid w:val="00DE6CE8"/>
    <w:rsid w:val="00DE71AC"/>
    <w:rsid w:val="00DE7482"/>
    <w:rsid w:val="00DE7A2D"/>
    <w:rsid w:val="00DE7DCC"/>
    <w:rsid w:val="00DF1829"/>
    <w:rsid w:val="00DF1DF8"/>
    <w:rsid w:val="00DF43D1"/>
    <w:rsid w:val="00DF4496"/>
    <w:rsid w:val="00DF44F9"/>
    <w:rsid w:val="00DF52E4"/>
    <w:rsid w:val="00DF5A76"/>
    <w:rsid w:val="00DF5CBC"/>
    <w:rsid w:val="00DF60A9"/>
    <w:rsid w:val="00DF61C8"/>
    <w:rsid w:val="00DF6775"/>
    <w:rsid w:val="00DF681F"/>
    <w:rsid w:val="00DF790D"/>
    <w:rsid w:val="00DF7B28"/>
    <w:rsid w:val="00DF7BFA"/>
    <w:rsid w:val="00DF7C92"/>
    <w:rsid w:val="00E00CC7"/>
    <w:rsid w:val="00E01EFE"/>
    <w:rsid w:val="00E020B4"/>
    <w:rsid w:val="00E02862"/>
    <w:rsid w:val="00E02A71"/>
    <w:rsid w:val="00E02AB0"/>
    <w:rsid w:val="00E02ADD"/>
    <w:rsid w:val="00E03772"/>
    <w:rsid w:val="00E03EA5"/>
    <w:rsid w:val="00E050C0"/>
    <w:rsid w:val="00E0517B"/>
    <w:rsid w:val="00E05CCE"/>
    <w:rsid w:val="00E05E62"/>
    <w:rsid w:val="00E065E6"/>
    <w:rsid w:val="00E0678E"/>
    <w:rsid w:val="00E07DCE"/>
    <w:rsid w:val="00E101E2"/>
    <w:rsid w:val="00E10906"/>
    <w:rsid w:val="00E11911"/>
    <w:rsid w:val="00E11B69"/>
    <w:rsid w:val="00E11F33"/>
    <w:rsid w:val="00E1201B"/>
    <w:rsid w:val="00E1212E"/>
    <w:rsid w:val="00E121C7"/>
    <w:rsid w:val="00E12A80"/>
    <w:rsid w:val="00E12F2C"/>
    <w:rsid w:val="00E1340D"/>
    <w:rsid w:val="00E136BA"/>
    <w:rsid w:val="00E136D7"/>
    <w:rsid w:val="00E13A16"/>
    <w:rsid w:val="00E15189"/>
    <w:rsid w:val="00E156E9"/>
    <w:rsid w:val="00E160B0"/>
    <w:rsid w:val="00E163FA"/>
    <w:rsid w:val="00E16492"/>
    <w:rsid w:val="00E164EE"/>
    <w:rsid w:val="00E16681"/>
    <w:rsid w:val="00E16BE3"/>
    <w:rsid w:val="00E16CA5"/>
    <w:rsid w:val="00E17B9D"/>
    <w:rsid w:val="00E200BA"/>
    <w:rsid w:val="00E21E7F"/>
    <w:rsid w:val="00E22431"/>
    <w:rsid w:val="00E226A8"/>
    <w:rsid w:val="00E22A04"/>
    <w:rsid w:val="00E22E1F"/>
    <w:rsid w:val="00E23503"/>
    <w:rsid w:val="00E236BF"/>
    <w:rsid w:val="00E24083"/>
    <w:rsid w:val="00E243D9"/>
    <w:rsid w:val="00E24734"/>
    <w:rsid w:val="00E255C4"/>
    <w:rsid w:val="00E25EA7"/>
    <w:rsid w:val="00E2617A"/>
    <w:rsid w:val="00E27474"/>
    <w:rsid w:val="00E2753A"/>
    <w:rsid w:val="00E278A3"/>
    <w:rsid w:val="00E27D25"/>
    <w:rsid w:val="00E27F96"/>
    <w:rsid w:val="00E30156"/>
    <w:rsid w:val="00E3034E"/>
    <w:rsid w:val="00E305B0"/>
    <w:rsid w:val="00E30686"/>
    <w:rsid w:val="00E311BB"/>
    <w:rsid w:val="00E3126D"/>
    <w:rsid w:val="00E32299"/>
    <w:rsid w:val="00E32F68"/>
    <w:rsid w:val="00E3323C"/>
    <w:rsid w:val="00E334C8"/>
    <w:rsid w:val="00E33EF8"/>
    <w:rsid w:val="00E341D1"/>
    <w:rsid w:val="00E3499B"/>
    <w:rsid w:val="00E34C33"/>
    <w:rsid w:val="00E34CAA"/>
    <w:rsid w:val="00E35561"/>
    <w:rsid w:val="00E35583"/>
    <w:rsid w:val="00E35E29"/>
    <w:rsid w:val="00E35EB2"/>
    <w:rsid w:val="00E35F71"/>
    <w:rsid w:val="00E3638E"/>
    <w:rsid w:val="00E3662E"/>
    <w:rsid w:val="00E36643"/>
    <w:rsid w:val="00E371C3"/>
    <w:rsid w:val="00E371F5"/>
    <w:rsid w:val="00E3726B"/>
    <w:rsid w:val="00E3769D"/>
    <w:rsid w:val="00E3788C"/>
    <w:rsid w:val="00E379B5"/>
    <w:rsid w:val="00E37B4B"/>
    <w:rsid w:val="00E37DBC"/>
    <w:rsid w:val="00E40340"/>
    <w:rsid w:val="00E40711"/>
    <w:rsid w:val="00E40A3C"/>
    <w:rsid w:val="00E42438"/>
    <w:rsid w:val="00E427A6"/>
    <w:rsid w:val="00E4291C"/>
    <w:rsid w:val="00E42A6C"/>
    <w:rsid w:val="00E42F3C"/>
    <w:rsid w:val="00E42F59"/>
    <w:rsid w:val="00E43E5D"/>
    <w:rsid w:val="00E44275"/>
    <w:rsid w:val="00E44F64"/>
    <w:rsid w:val="00E4566D"/>
    <w:rsid w:val="00E45F08"/>
    <w:rsid w:val="00E45F50"/>
    <w:rsid w:val="00E466B4"/>
    <w:rsid w:val="00E467D7"/>
    <w:rsid w:val="00E46BFE"/>
    <w:rsid w:val="00E470AC"/>
    <w:rsid w:val="00E471B0"/>
    <w:rsid w:val="00E47919"/>
    <w:rsid w:val="00E47961"/>
    <w:rsid w:val="00E50208"/>
    <w:rsid w:val="00E50F0D"/>
    <w:rsid w:val="00E50FF6"/>
    <w:rsid w:val="00E51852"/>
    <w:rsid w:val="00E526E8"/>
    <w:rsid w:val="00E5281D"/>
    <w:rsid w:val="00E52CA6"/>
    <w:rsid w:val="00E52EF5"/>
    <w:rsid w:val="00E530B9"/>
    <w:rsid w:val="00E536B0"/>
    <w:rsid w:val="00E537DB"/>
    <w:rsid w:val="00E53B98"/>
    <w:rsid w:val="00E54041"/>
    <w:rsid w:val="00E5412C"/>
    <w:rsid w:val="00E54580"/>
    <w:rsid w:val="00E54790"/>
    <w:rsid w:val="00E547C0"/>
    <w:rsid w:val="00E54B4D"/>
    <w:rsid w:val="00E54C34"/>
    <w:rsid w:val="00E54D1E"/>
    <w:rsid w:val="00E555CF"/>
    <w:rsid w:val="00E55C55"/>
    <w:rsid w:val="00E55D83"/>
    <w:rsid w:val="00E55E62"/>
    <w:rsid w:val="00E5690F"/>
    <w:rsid w:val="00E56E38"/>
    <w:rsid w:val="00E57A0C"/>
    <w:rsid w:val="00E57A22"/>
    <w:rsid w:val="00E60E4C"/>
    <w:rsid w:val="00E617BD"/>
    <w:rsid w:val="00E6230A"/>
    <w:rsid w:val="00E62837"/>
    <w:rsid w:val="00E63031"/>
    <w:rsid w:val="00E6350D"/>
    <w:rsid w:val="00E63536"/>
    <w:rsid w:val="00E63DE7"/>
    <w:rsid w:val="00E64CCA"/>
    <w:rsid w:val="00E65283"/>
    <w:rsid w:val="00E654F5"/>
    <w:rsid w:val="00E666C9"/>
    <w:rsid w:val="00E671C5"/>
    <w:rsid w:val="00E672B1"/>
    <w:rsid w:val="00E70398"/>
    <w:rsid w:val="00E7058F"/>
    <w:rsid w:val="00E7067A"/>
    <w:rsid w:val="00E70893"/>
    <w:rsid w:val="00E7112F"/>
    <w:rsid w:val="00E715F3"/>
    <w:rsid w:val="00E71846"/>
    <w:rsid w:val="00E719ED"/>
    <w:rsid w:val="00E71D93"/>
    <w:rsid w:val="00E7238B"/>
    <w:rsid w:val="00E72EFE"/>
    <w:rsid w:val="00E741CA"/>
    <w:rsid w:val="00E743C0"/>
    <w:rsid w:val="00E7488C"/>
    <w:rsid w:val="00E74D4C"/>
    <w:rsid w:val="00E7501D"/>
    <w:rsid w:val="00E7520B"/>
    <w:rsid w:val="00E75B15"/>
    <w:rsid w:val="00E7652A"/>
    <w:rsid w:val="00E765C5"/>
    <w:rsid w:val="00E76DEB"/>
    <w:rsid w:val="00E770F8"/>
    <w:rsid w:val="00E77B74"/>
    <w:rsid w:val="00E77BCB"/>
    <w:rsid w:val="00E802E3"/>
    <w:rsid w:val="00E80ABD"/>
    <w:rsid w:val="00E81372"/>
    <w:rsid w:val="00E816BE"/>
    <w:rsid w:val="00E82853"/>
    <w:rsid w:val="00E8323E"/>
    <w:rsid w:val="00E83C85"/>
    <w:rsid w:val="00E84542"/>
    <w:rsid w:val="00E84DAF"/>
    <w:rsid w:val="00E8533D"/>
    <w:rsid w:val="00E857A9"/>
    <w:rsid w:val="00E8584B"/>
    <w:rsid w:val="00E86B22"/>
    <w:rsid w:val="00E86CD1"/>
    <w:rsid w:val="00E86DFC"/>
    <w:rsid w:val="00E87FB8"/>
    <w:rsid w:val="00E909E0"/>
    <w:rsid w:val="00E90F17"/>
    <w:rsid w:val="00E91269"/>
    <w:rsid w:val="00E91477"/>
    <w:rsid w:val="00E916B3"/>
    <w:rsid w:val="00E91BFD"/>
    <w:rsid w:val="00E91D15"/>
    <w:rsid w:val="00E92255"/>
    <w:rsid w:val="00E92867"/>
    <w:rsid w:val="00E92902"/>
    <w:rsid w:val="00E92E3C"/>
    <w:rsid w:val="00E92EEE"/>
    <w:rsid w:val="00E92F29"/>
    <w:rsid w:val="00E932EE"/>
    <w:rsid w:val="00E93B91"/>
    <w:rsid w:val="00E93C3A"/>
    <w:rsid w:val="00E9402D"/>
    <w:rsid w:val="00E9423C"/>
    <w:rsid w:val="00E952CC"/>
    <w:rsid w:val="00E95540"/>
    <w:rsid w:val="00E95C60"/>
    <w:rsid w:val="00E96817"/>
    <w:rsid w:val="00E96EA0"/>
    <w:rsid w:val="00E977D8"/>
    <w:rsid w:val="00E9798B"/>
    <w:rsid w:val="00EA0637"/>
    <w:rsid w:val="00EA08FD"/>
    <w:rsid w:val="00EA0F7F"/>
    <w:rsid w:val="00EA14FC"/>
    <w:rsid w:val="00EA1A36"/>
    <w:rsid w:val="00EA1FF1"/>
    <w:rsid w:val="00EA232B"/>
    <w:rsid w:val="00EA2645"/>
    <w:rsid w:val="00EA26C5"/>
    <w:rsid w:val="00EA38BC"/>
    <w:rsid w:val="00EA41BE"/>
    <w:rsid w:val="00EA6145"/>
    <w:rsid w:val="00EA683E"/>
    <w:rsid w:val="00EA6A9D"/>
    <w:rsid w:val="00EA6BF1"/>
    <w:rsid w:val="00EA7324"/>
    <w:rsid w:val="00EB06BD"/>
    <w:rsid w:val="00EB0A70"/>
    <w:rsid w:val="00EB0E33"/>
    <w:rsid w:val="00EB1442"/>
    <w:rsid w:val="00EB16DB"/>
    <w:rsid w:val="00EB1A98"/>
    <w:rsid w:val="00EB1B1A"/>
    <w:rsid w:val="00EB1EE5"/>
    <w:rsid w:val="00EB2221"/>
    <w:rsid w:val="00EB2A94"/>
    <w:rsid w:val="00EB2DE6"/>
    <w:rsid w:val="00EB3461"/>
    <w:rsid w:val="00EB4092"/>
    <w:rsid w:val="00EB48B5"/>
    <w:rsid w:val="00EB5243"/>
    <w:rsid w:val="00EB55BC"/>
    <w:rsid w:val="00EB55F4"/>
    <w:rsid w:val="00EB5979"/>
    <w:rsid w:val="00EB6405"/>
    <w:rsid w:val="00EB6C1E"/>
    <w:rsid w:val="00EB6FBF"/>
    <w:rsid w:val="00EB767E"/>
    <w:rsid w:val="00EB7C4E"/>
    <w:rsid w:val="00EC015D"/>
    <w:rsid w:val="00EC0249"/>
    <w:rsid w:val="00EC04D1"/>
    <w:rsid w:val="00EC0E72"/>
    <w:rsid w:val="00EC14A9"/>
    <w:rsid w:val="00EC1A0F"/>
    <w:rsid w:val="00EC1CA8"/>
    <w:rsid w:val="00EC2359"/>
    <w:rsid w:val="00EC2763"/>
    <w:rsid w:val="00EC354D"/>
    <w:rsid w:val="00EC3CA1"/>
    <w:rsid w:val="00EC46A7"/>
    <w:rsid w:val="00EC4C91"/>
    <w:rsid w:val="00EC5001"/>
    <w:rsid w:val="00EC5925"/>
    <w:rsid w:val="00EC5BF8"/>
    <w:rsid w:val="00EC6945"/>
    <w:rsid w:val="00EC743E"/>
    <w:rsid w:val="00EC7BBA"/>
    <w:rsid w:val="00EC7E88"/>
    <w:rsid w:val="00ED0626"/>
    <w:rsid w:val="00ED1CB0"/>
    <w:rsid w:val="00ED1CBC"/>
    <w:rsid w:val="00ED2807"/>
    <w:rsid w:val="00ED34AA"/>
    <w:rsid w:val="00ED4013"/>
    <w:rsid w:val="00ED41E0"/>
    <w:rsid w:val="00ED5793"/>
    <w:rsid w:val="00ED58F6"/>
    <w:rsid w:val="00ED5A08"/>
    <w:rsid w:val="00ED5E98"/>
    <w:rsid w:val="00ED66F9"/>
    <w:rsid w:val="00ED6AB0"/>
    <w:rsid w:val="00ED6EB8"/>
    <w:rsid w:val="00ED6FEE"/>
    <w:rsid w:val="00EE1425"/>
    <w:rsid w:val="00EE1E5E"/>
    <w:rsid w:val="00EE1F8E"/>
    <w:rsid w:val="00EE29E5"/>
    <w:rsid w:val="00EE33E7"/>
    <w:rsid w:val="00EE351E"/>
    <w:rsid w:val="00EE3626"/>
    <w:rsid w:val="00EE365B"/>
    <w:rsid w:val="00EE4965"/>
    <w:rsid w:val="00EE4E88"/>
    <w:rsid w:val="00EE50A6"/>
    <w:rsid w:val="00EE5128"/>
    <w:rsid w:val="00EE5784"/>
    <w:rsid w:val="00EE6002"/>
    <w:rsid w:val="00EE6CEB"/>
    <w:rsid w:val="00EE7562"/>
    <w:rsid w:val="00EF13A3"/>
    <w:rsid w:val="00EF13C2"/>
    <w:rsid w:val="00EF162E"/>
    <w:rsid w:val="00EF1AE8"/>
    <w:rsid w:val="00EF1AFF"/>
    <w:rsid w:val="00EF2176"/>
    <w:rsid w:val="00EF2950"/>
    <w:rsid w:val="00EF3237"/>
    <w:rsid w:val="00EF3660"/>
    <w:rsid w:val="00EF3D99"/>
    <w:rsid w:val="00EF4454"/>
    <w:rsid w:val="00EF5231"/>
    <w:rsid w:val="00EF5F4C"/>
    <w:rsid w:val="00EF707D"/>
    <w:rsid w:val="00EF7984"/>
    <w:rsid w:val="00F00086"/>
    <w:rsid w:val="00F01575"/>
    <w:rsid w:val="00F02533"/>
    <w:rsid w:val="00F032FB"/>
    <w:rsid w:val="00F037A6"/>
    <w:rsid w:val="00F03CC8"/>
    <w:rsid w:val="00F03E4E"/>
    <w:rsid w:val="00F04609"/>
    <w:rsid w:val="00F04DDE"/>
    <w:rsid w:val="00F04E3F"/>
    <w:rsid w:val="00F04EB0"/>
    <w:rsid w:val="00F0525B"/>
    <w:rsid w:val="00F05CA1"/>
    <w:rsid w:val="00F05F1C"/>
    <w:rsid w:val="00F05F55"/>
    <w:rsid w:val="00F06B82"/>
    <w:rsid w:val="00F07375"/>
    <w:rsid w:val="00F0765E"/>
    <w:rsid w:val="00F07AD0"/>
    <w:rsid w:val="00F11267"/>
    <w:rsid w:val="00F11337"/>
    <w:rsid w:val="00F11833"/>
    <w:rsid w:val="00F123FB"/>
    <w:rsid w:val="00F126EC"/>
    <w:rsid w:val="00F139A4"/>
    <w:rsid w:val="00F152F9"/>
    <w:rsid w:val="00F155E0"/>
    <w:rsid w:val="00F1629F"/>
    <w:rsid w:val="00F16E2A"/>
    <w:rsid w:val="00F17441"/>
    <w:rsid w:val="00F17751"/>
    <w:rsid w:val="00F177FA"/>
    <w:rsid w:val="00F17816"/>
    <w:rsid w:val="00F20394"/>
    <w:rsid w:val="00F2145C"/>
    <w:rsid w:val="00F217D8"/>
    <w:rsid w:val="00F22AA6"/>
    <w:rsid w:val="00F23975"/>
    <w:rsid w:val="00F23F94"/>
    <w:rsid w:val="00F24241"/>
    <w:rsid w:val="00F24352"/>
    <w:rsid w:val="00F244DB"/>
    <w:rsid w:val="00F246BE"/>
    <w:rsid w:val="00F249DA"/>
    <w:rsid w:val="00F24A3B"/>
    <w:rsid w:val="00F24B8E"/>
    <w:rsid w:val="00F2502C"/>
    <w:rsid w:val="00F251A4"/>
    <w:rsid w:val="00F25336"/>
    <w:rsid w:val="00F255E6"/>
    <w:rsid w:val="00F25FF3"/>
    <w:rsid w:val="00F2650B"/>
    <w:rsid w:val="00F26754"/>
    <w:rsid w:val="00F276CF"/>
    <w:rsid w:val="00F3062A"/>
    <w:rsid w:val="00F3088A"/>
    <w:rsid w:val="00F31569"/>
    <w:rsid w:val="00F31F57"/>
    <w:rsid w:val="00F3262C"/>
    <w:rsid w:val="00F333BD"/>
    <w:rsid w:val="00F3389F"/>
    <w:rsid w:val="00F33B5B"/>
    <w:rsid w:val="00F342B6"/>
    <w:rsid w:val="00F345CD"/>
    <w:rsid w:val="00F37170"/>
    <w:rsid w:val="00F37193"/>
    <w:rsid w:val="00F37283"/>
    <w:rsid w:val="00F37463"/>
    <w:rsid w:val="00F377A5"/>
    <w:rsid w:val="00F37859"/>
    <w:rsid w:val="00F37B0C"/>
    <w:rsid w:val="00F414D0"/>
    <w:rsid w:val="00F41B73"/>
    <w:rsid w:val="00F42251"/>
    <w:rsid w:val="00F43192"/>
    <w:rsid w:val="00F4326B"/>
    <w:rsid w:val="00F436B2"/>
    <w:rsid w:val="00F43872"/>
    <w:rsid w:val="00F43A17"/>
    <w:rsid w:val="00F43C04"/>
    <w:rsid w:val="00F43CB0"/>
    <w:rsid w:val="00F441D4"/>
    <w:rsid w:val="00F44460"/>
    <w:rsid w:val="00F4493E"/>
    <w:rsid w:val="00F44C2A"/>
    <w:rsid w:val="00F46411"/>
    <w:rsid w:val="00F46712"/>
    <w:rsid w:val="00F46E2C"/>
    <w:rsid w:val="00F46F8D"/>
    <w:rsid w:val="00F471C1"/>
    <w:rsid w:val="00F476C0"/>
    <w:rsid w:val="00F50440"/>
    <w:rsid w:val="00F506FE"/>
    <w:rsid w:val="00F50C1F"/>
    <w:rsid w:val="00F50EEE"/>
    <w:rsid w:val="00F5101C"/>
    <w:rsid w:val="00F5141B"/>
    <w:rsid w:val="00F5170E"/>
    <w:rsid w:val="00F5195A"/>
    <w:rsid w:val="00F51EE3"/>
    <w:rsid w:val="00F5200B"/>
    <w:rsid w:val="00F52383"/>
    <w:rsid w:val="00F52B6F"/>
    <w:rsid w:val="00F52FB6"/>
    <w:rsid w:val="00F53233"/>
    <w:rsid w:val="00F535F2"/>
    <w:rsid w:val="00F53BEA"/>
    <w:rsid w:val="00F53CE7"/>
    <w:rsid w:val="00F540E0"/>
    <w:rsid w:val="00F5418F"/>
    <w:rsid w:val="00F546A9"/>
    <w:rsid w:val="00F54AB6"/>
    <w:rsid w:val="00F557C2"/>
    <w:rsid w:val="00F5589D"/>
    <w:rsid w:val="00F56029"/>
    <w:rsid w:val="00F56AC7"/>
    <w:rsid w:val="00F56B7E"/>
    <w:rsid w:val="00F57CE8"/>
    <w:rsid w:val="00F610EA"/>
    <w:rsid w:val="00F61792"/>
    <w:rsid w:val="00F61F71"/>
    <w:rsid w:val="00F6321F"/>
    <w:rsid w:val="00F64166"/>
    <w:rsid w:val="00F6427E"/>
    <w:rsid w:val="00F64B52"/>
    <w:rsid w:val="00F64F4F"/>
    <w:rsid w:val="00F6589B"/>
    <w:rsid w:val="00F66176"/>
    <w:rsid w:val="00F66C5C"/>
    <w:rsid w:val="00F670E7"/>
    <w:rsid w:val="00F6715B"/>
    <w:rsid w:val="00F67557"/>
    <w:rsid w:val="00F70100"/>
    <w:rsid w:val="00F70416"/>
    <w:rsid w:val="00F70443"/>
    <w:rsid w:val="00F710DD"/>
    <w:rsid w:val="00F7115E"/>
    <w:rsid w:val="00F718F3"/>
    <w:rsid w:val="00F71F3A"/>
    <w:rsid w:val="00F7249C"/>
    <w:rsid w:val="00F7292F"/>
    <w:rsid w:val="00F72BB0"/>
    <w:rsid w:val="00F74486"/>
    <w:rsid w:val="00F74AD2"/>
    <w:rsid w:val="00F7506C"/>
    <w:rsid w:val="00F7520C"/>
    <w:rsid w:val="00F75EA4"/>
    <w:rsid w:val="00F76D47"/>
    <w:rsid w:val="00F77555"/>
    <w:rsid w:val="00F80260"/>
    <w:rsid w:val="00F803AF"/>
    <w:rsid w:val="00F80AFF"/>
    <w:rsid w:val="00F813B7"/>
    <w:rsid w:val="00F81B98"/>
    <w:rsid w:val="00F81DD2"/>
    <w:rsid w:val="00F8214F"/>
    <w:rsid w:val="00F82851"/>
    <w:rsid w:val="00F8288F"/>
    <w:rsid w:val="00F82D47"/>
    <w:rsid w:val="00F8330D"/>
    <w:rsid w:val="00F848CE"/>
    <w:rsid w:val="00F84D2D"/>
    <w:rsid w:val="00F8584B"/>
    <w:rsid w:val="00F85A58"/>
    <w:rsid w:val="00F861CE"/>
    <w:rsid w:val="00F8777A"/>
    <w:rsid w:val="00F900C5"/>
    <w:rsid w:val="00F9023A"/>
    <w:rsid w:val="00F90424"/>
    <w:rsid w:val="00F9042B"/>
    <w:rsid w:val="00F90611"/>
    <w:rsid w:val="00F909B4"/>
    <w:rsid w:val="00F916CE"/>
    <w:rsid w:val="00F91B42"/>
    <w:rsid w:val="00F91CFE"/>
    <w:rsid w:val="00F92646"/>
    <w:rsid w:val="00F92688"/>
    <w:rsid w:val="00F92A09"/>
    <w:rsid w:val="00F932D8"/>
    <w:rsid w:val="00F9353E"/>
    <w:rsid w:val="00F94104"/>
    <w:rsid w:val="00F94AFB"/>
    <w:rsid w:val="00F94F17"/>
    <w:rsid w:val="00F94F1E"/>
    <w:rsid w:val="00F950FE"/>
    <w:rsid w:val="00F953F4"/>
    <w:rsid w:val="00F954C9"/>
    <w:rsid w:val="00F95AAA"/>
    <w:rsid w:val="00F95FAA"/>
    <w:rsid w:val="00F9611A"/>
    <w:rsid w:val="00F964C9"/>
    <w:rsid w:val="00F97E83"/>
    <w:rsid w:val="00FA10F4"/>
    <w:rsid w:val="00FA145B"/>
    <w:rsid w:val="00FA186A"/>
    <w:rsid w:val="00FA1908"/>
    <w:rsid w:val="00FA2411"/>
    <w:rsid w:val="00FA266B"/>
    <w:rsid w:val="00FA2804"/>
    <w:rsid w:val="00FA2CE1"/>
    <w:rsid w:val="00FA2D82"/>
    <w:rsid w:val="00FA30FE"/>
    <w:rsid w:val="00FA3441"/>
    <w:rsid w:val="00FA4851"/>
    <w:rsid w:val="00FA48BC"/>
    <w:rsid w:val="00FA4CAF"/>
    <w:rsid w:val="00FA50DD"/>
    <w:rsid w:val="00FA571E"/>
    <w:rsid w:val="00FA59A6"/>
    <w:rsid w:val="00FA5B66"/>
    <w:rsid w:val="00FA5BF8"/>
    <w:rsid w:val="00FA7319"/>
    <w:rsid w:val="00FA73E1"/>
    <w:rsid w:val="00FA7ADB"/>
    <w:rsid w:val="00FA7CE8"/>
    <w:rsid w:val="00FA7E57"/>
    <w:rsid w:val="00FA7ED0"/>
    <w:rsid w:val="00FA7F57"/>
    <w:rsid w:val="00FB064B"/>
    <w:rsid w:val="00FB070C"/>
    <w:rsid w:val="00FB0B9A"/>
    <w:rsid w:val="00FB0FF9"/>
    <w:rsid w:val="00FB125A"/>
    <w:rsid w:val="00FB14AB"/>
    <w:rsid w:val="00FB1893"/>
    <w:rsid w:val="00FB18BB"/>
    <w:rsid w:val="00FB2763"/>
    <w:rsid w:val="00FB3822"/>
    <w:rsid w:val="00FB3D96"/>
    <w:rsid w:val="00FB3DAB"/>
    <w:rsid w:val="00FB4B9A"/>
    <w:rsid w:val="00FB4CF3"/>
    <w:rsid w:val="00FB5177"/>
    <w:rsid w:val="00FB62F8"/>
    <w:rsid w:val="00FB6A67"/>
    <w:rsid w:val="00FB7619"/>
    <w:rsid w:val="00FB7D77"/>
    <w:rsid w:val="00FC054B"/>
    <w:rsid w:val="00FC0832"/>
    <w:rsid w:val="00FC0C5A"/>
    <w:rsid w:val="00FC1EAF"/>
    <w:rsid w:val="00FC23CC"/>
    <w:rsid w:val="00FC2486"/>
    <w:rsid w:val="00FC2CC4"/>
    <w:rsid w:val="00FC2D15"/>
    <w:rsid w:val="00FC3031"/>
    <w:rsid w:val="00FC395E"/>
    <w:rsid w:val="00FC3D01"/>
    <w:rsid w:val="00FC4957"/>
    <w:rsid w:val="00FC4C96"/>
    <w:rsid w:val="00FC4FEB"/>
    <w:rsid w:val="00FC561F"/>
    <w:rsid w:val="00FC599B"/>
    <w:rsid w:val="00FC5AC4"/>
    <w:rsid w:val="00FC5BD9"/>
    <w:rsid w:val="00FC6530"/>
    <w:rsid w:val="00FC65BA"/>
    <w:rsid w:val="00FC6890"/>
    <w:rsid w:val="00FC748D"/>
    <w:rsid w:val="00FC7B74"/>
    <w:rsid w:val="00FD0370"/>
    <w:rsid w:val="00FD0B28"/>
    <w:rsid w:val="00FD0BEF"/>
    <w:rsid w:val="00FD2088"/>
    <w:rsid w:val="00FD2273"/>
    <w:rsid w:val="00FD2738"/>
    <w:rsid w:val="00FD2FF2"/>
    <w:rsid w:val="00FD31AB"/>
    <w:rsid w:val="00FD32B7"/>
    <w:rsid w:val="00FD3646"/>
    <w:rsid w:val="00FD3B14"/>
    <w:rsid w:val="00FD3D34"/>
    <w:rsid w:val="00FD402D"/>
    <w:rsid w:val="00FD4922"/>
    <w:rsid w:val="00FD4D3C"/>
    <w:rsid w:val="00FD5B3C"/>
    <w:rsid w:val="00FD6302"/>
    <w:rsid w:val="00FD6524"/>
    <w:rsid w:val="00FD6B90"/>
    <w:rsid w:val="00FD6FF0"/>
    <w:rsid w:val="00FD76E0"/>
    <w:rsid w:val="00FD78C4"/>
    <w:rsid w:val="00FD7B5D"/>
    <w:rsid w:val="00FD7B88"/>
    <w:rsid w:val="00FD7D99"/>
    <w:rsid w:val="00FE066C"/>
    <w:rsid w:val="00FE08AD"/>
    <w:rsid w:val="00FE08B4"/>
    <w:rsid w:val="00FE0E4B"/>
    <w:rsid w:val="00FE1789"/>
    <w:rsid w:val="00FE2C03"/>
    <w:rsid w:val="00FE314F"/>
    <w:rsid w:val="00FE3687"/>
    <w:rsid w:val="00FE39BD"/>
    <w:rsid w:val="00FE39E5"/>
    <w:rsid w:val="00FE3A9B"/>
    <w:rsid w:val="00FE42AA"/>
    <w:rsid w:val="00FE53EF"/>
    <w:rsid w:val="00FE55BE"/>
    <w:rsid w:val="00FE5CD1"/>
    <w:rsid w:val="00FE5DDD"/>
    <w:rsid w:val="00FE60BA"/>
    <w:rsid w:val="00FE6471"/>
    <w:rsid w:val="00FE6733"/>
    <w:rsid w:val="00FE69E5"/>
    <w:rsid w:val="00FF03B7"/>
    <w:rsid w:val="00FF0438"/>
    <w:rsid w:val="00FF0A29"/>
    <w:rsid w:val="00FF11E2"/>
    <w:rsid w:val="00FF13B8"/>
    <w:rsid w:val="00FF181F"/>
    <w:rsid w:val="00FF2389"/>
    <w:rsid w:val="00FF2C6E"/>
    <w:rsid w:val="00FF2E8B"/>
    <w:rsid w:val="00FF311F"/>
    <w:rsid w:val="00FF34D9"/>
    <w:rsid w:val="00FF3F9E"/>
    <w:rsid w:val="00FF41D7"/>
    <w:rsid w:val="00FF46A9"/>
    <w:rsid w:val="00FF4920"/>
    <w:rsid w:val="00FF4A33"/>
    <w:rsid w:val="00FF51FB"/>
    <w:rsid w:val="00FF5DF5"/>
    <w:rsid w:val="00FF5E03"/>
    <w:rsid w:val="00FF65BE"/>
    <w:rsid w:val="00FF6B0A"/>
    <w:rsid w:val="00FF6BE9"/>
    <w:rsid w:val="00FF6E88"/>
    <w:rsid w:val="00FF7931"/>
    <w:rsid w:val="03A5048D"/>
    <w:rsid w:val="04651159"/>
    <w:rsid w:val="08C37475"/>
    <w:rsid w:val="09AB3198"/>
    <w:rsid w:val="0D6C4AF2"/>
    <w:rsid w:val="0ED607B2"/>
    <w:rsid w:val="100600B9"/>
    <w:rsid w:val="14333EE4"/>
    <w:rsid w:val="18FE328C"/>
    <w:rsid w:val="197776E5"/>
    <w:rsid w:val="1A0F7B3F"/>
    <w:rsid w:val="20907ED2"/>
    <w:rsid w:val="267931E2"/>
    <w:rsid w:val="2A327F93"/>
    <w:rsid w:val="2AF54075"/>
    <w:rsid w:val="2CC90260"/>
    <w:rsid w:val="30F72E36"/>
    <w:rsid w:val="31955728"/>
    <w:rsid w:val="32D15F81"/>
    <w:rsid w:val="37BD7AB4"/>
    <w:rsid w:val="382F7B78"/>
    <w:rsid w:val="3B5822C0"/>
    <w:rsid w:val="3F924CDE"/>
    <w:rsid w:val="403535CA"/>
    <w:rsid w:val="41DC3058"/>
    <w:rsid w:val="45B425BD"/>
    <w:rsid w:val="467B0F5B"/>
    <w:rsid w:val="46F83F84"/>
    <w:rsid w:val="480C08C4"/>
    <w:rsid w:val="487E3DE3"/>
    <w:rsid w:val="4CB8316F"/>
    <w:rsid w:val="51BB7900"/>
    <w:rsid w:val="52120376"/>
    <w:rsid w:val="532F32A1"/>
    <w:rsid w:val="536D2BFD"/>
    <w:rsid w:val="55DB1088"/>
    <w:rsid w:val="578D7D83"/>
    <w:rsid w:val="59B22965"/>
    <w:rsid w:val="5D5850AB"/>
    <w:rsid w:val="604D4D70"/>
    <w:rsid w:val="60725A38"/>
    <w:rsid w:val="609A11BE"/>
    <w:rsid w:val="6F3C2E54"/>
    <w:rsid w:val="6FBB613C"/>
    <w:rsid w:val="70016F85"/>
    <w:rsid w:val="70631796"/>
    <w:rsid w:val="73E5086F"/>
    <w:rsid w:val="7B7974F0"/>
    <w:rsid w:val="7C0814C8"/>
    <w:rsid w:val="7DCC1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99"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99" w:semiHidden="0" w:name="Table Simple 2"/>
    <w:lsdException w:qFormat="1" w:unhideWhenUsed="0" w:uiPriority="99" w:semiHidden="0" w:name="Table Simple 3"/>
    <w:lsdException w:qFormat="1" w:unhideWhenUsed="0" w:uiPriority="0"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0"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0" w:semiHidden="0" w:name="Table Grid 1"/>
    <w:lsdException w:qFormat="1" w:unhideWhenUsed="0" w:uiPriority="99" w:semiHidden="0" w:name="Table Grid 2"/>
    <w:lsdException w:qFormat="1" w:unhideWhenUsed="0" w:uiPriority="99" w:semiHidden="0" w:name="Table Grid 3"/>
    <w:lsdException w:qFormat="1" w:unhideWhenUsed="0" w:uiPriority="0"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0"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51"/>
    <w:qFormat/>
    <w:uiPriority w:val="0"/>
    <w:pPr>
      <w:keepNext/>
      <w:keepLines/>
      <w:spacing w:before="240" w:after="240" w:line="480" w:lineRule="auto"/>
      <w:jc w:val="center"/>
      <w:outlineLvl w:val="0"/>
    </w:pPr>
    <w:rPr>
      <w:rFonts w:eastAsia="黑体"/>
      <w:b/>
      <w:bCs/>
      <w:kern w:val="44"/>
      <w:sz w:val="32"/>
      <w:szCs w:val="32"/>
    </w:rPr>
  </w:style>
  <w:style w:type="paragraph" w:styleId="4">
    <w:name w:val="heading 2"/>
    <w:basedOn w:val="1"/>
    <w:next w:val="1"/>
    <w:link w:val="152"/>
    <w:qFormat/>
    <w:uiPriority w:val="0"/>
    <w:pPr>
      <w:keepNext/>
      <w:keepLines/>
      <w:spacing w:before="120" w:after="120" w:line="360" w:lineRule="auto"/>
      <w:outlineLvl w:val="1"/>
    </w:pPr>
    <w:rPr>
      <w:rFonts w:eastAsia="黑体"/>
      <w:b/>
      <w:bCs/>
      <w:color w:val="000000"/>
      <w:sz w:val="30"/>
      <w:szCs w:val="28"/>
    </w:rPr>
  </w:style>
  <w:style w:type="paragraph" w:styleId="5">
    <w:name w:val="heading 3"/>
    <w:next w:val="1"/>
    <w:link w:val="153"/>
    <w:qFormat/>
    <w:uiPriority w:val="0"/>
    <w:pPr>
      <w:keepNext/>
      <w:keepLines/>
      <w:numPr>
        <w:ilvl w:val="2"/>
        <w:numId w:val="1"/>
      </w:numPr>
      <w:tabs>
        <w:tab w:val="left" w:pos="0"/>
      </w:tabs>
      <w:spacing w:line="600" w:lineRule="auto"/>
      <w:outlineLvl w:val="2"/>
    </w:pPr>
    <w:rPr>
      <w:rFonts w:ascii="Times New Roman" w:hAnsi="Times New Roman" w:eastAsia="楷体" w:cs="Times New Roman"/>
      <w:b/>
      <w:bCs/>
      <w:kern w:val="2"/>
      <w:sz w:val="28"/>
      <w:szCs w:val="32"/>
      <w:lang w:val="en-US" w:eastAsia="zh-CN" w:bidi="ar-SA"/>
    </w:rPr>
  </w:style>
  <w:style w:type="paragraph" w:styleId="6">
    <w:name w:val="heading 4"/>
    <w:basedOn w:val="1"/>
    <w:next w:val="1"/>
    <w:link w:val="15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55"/>
    <w:qFormat/>
    <w:uiPriority w:val="9"/>
    <w:pPr>
      <w:keepNext/>
      <w:keepLines/>
      <w:spacing w:line="500" w:lineRule="exact"/>
      <w:jc w:val="left"/>
      <w:outlineLvl w:val="4"/>
    </w:pPr>
    <w:rPr>
      <w:rFonts w:eastAsia="华文隶书"/>
      <w:b/>
      <w:bCs/>
      <w:sz w:val="24"/>
      <w:szCs w:val="28"/>
    </w:rPr>
  </w:style>
  <w:style w:type="paragraph" w:styleId="8">
    <w:name w:val="heading 6"/>
    <w:basedOn w:val="1"/>
    <w:next w:val="1"/>
    <w:link w:val="156"/>
    <w:qFormat/>
    <w:uiPriority w:val="9"/>
    <w:pPr>
      <w:keepNext/>
      <w:keepLines/>
      <w:tabs>
        <w:tab w:val="left" w:pos="425"/>
      </w:tabs>
      <w:adjustRightInd w:val="0"/>
      <w:spacing w:before="240" w:after="64" w:line="320" w:lineRule="atLeast"/>
      <w:ind w:left="425"/>
      <w:textAlignment w:val="baseline"/>
      <w:outlineLvl w:val="5"/>
    </w:pPr>
    <w:rPr>
      <w:rFonts w:ascii="Arial" w:hAnsi="Arial" w:eastAsia="黑体"/>
      <w:b/>
      <w:kern w:val="0"/>
      <w:sz w:val="24"/>
      <w:szCs w:val="20"/>
    </w:rPr>
  </w:style>
  <w:style w:type="paragraph" w:styleId="9">
    <w:name w:val="heading 7"/>
    <w:basedOn w:val="1"/>
    <w:next w:val="1"/>
    <w:link w:val="157"/>
    <w:qFormat/>
    <w:uiPriority w:val="9"/>
    <w:pPr>
      <w:keepNext/>
      <w:keepLines/>
      <w:tabs>
        <w:tab w:val="left" w:pos="425"/>
      </w:tabs>
      <w:adjustRightInd w:val="0"/>
      <w:spacing w:before="240" w:after="64" w:line="320" w:lineRule="atLeast"/>
      <w:ind w:left="425"/>
      <w:textAlignment w:val="baseline"/>
      <w:outlineLvl w:val="6"/>
    </w:pPr>
    <w:rPr>
      <w:b/>
      <w:kern w:val="0"/>
      <w:sz w:val="24"/>
      <w:szCs w:val="20"/>
    </w:rPr>
  </w:style>
  <w:style w:type="paragraph" w:styleId="10">
    <w:name w:val="heading 8"/>
    <w:basedOn w:val="1"/>
    <w:next w:val="1"/>
    <w:link w:val="158"/>
    <w:qFormat/>
    <w:uiPriority w:val="9"/>
    <w:pPr>
      <w:keepNext/>
      <w:keepLines/>
      <w:overflowPunct w:val="0"/>
      <w:topLinePunct/>
      <w:autoSpaceDE w:val="0"/>
      <w:autoSpaceDN w:val="0"/>
      <w:adjustRightInd w:val="0"/>
      <w:snapToGrid w:val="0"/>
      <w:spacing w:before="240" w:after="64" w:line="320" w:lineRule="atLeast"/>
      <w:textAlignment w:val="baseline"/>
      <w:outlineLvl w:val="7"/>
    </w:pPr>
    <w:rPr>
      <w:rFonts w:ascii="Arial" w:hAnsi="Arial" w:eastAsia="黑体"/>
      <w:spacing w:val="8"/>
      <w:kern w:val="0"/>
      <w:sz w:val="24"/>
      <w:szCs w:val="20"/>
    </w:rPr>
  </w:style>
  <w:style w:type="paragraph" w:styleId="11">
    <w:name w:val="heading 9"/>
    <w:basedOn w:val="1"/>
    <w:next w:val="1"/>
    <w:link w:val="159"/>
    <w:qFormat/>
    <w:uiPriority w:val="9"/>
    <w:pPr>
      <w:keepNext/>
      <w:keepLines/>
      <w:overflowPunct w:val="0"/>
      <w:topLinePunct/>
      <w:autoSpaceDE w:val="0"/>
      <w:autoSpaceDN w:val="0"/>
      <w:adjustRightInd w:val="0"/>
      <w:snapToGrid w:val="0"/>
      <w:spacing w:before="240" w:after="64" w:line="320" w:lineRule="atLeast"/>
      <w:textAlignment w:val="baseline"/>
      <w:outlineLvl w:val="8"/>
    </w:pPr>
    <w:rPr>
      <w:rFonts w:ascii="Arial" w:hAnsi="Arial" w:eastAsia="黑体"/>
      <w:spacing w:val="8"/>
      <w:kern w:val="0"/>
      <w:sz w:val="24"/>
      <w:szCs w:val="20"/>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77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heme="minorEastAsia" w:cstheme="minorBidi"/>
      <w:kern w:val="2"/>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39"/>
    <w:pPr>
      <w:ind w:left="1260"/>
      <w:jc w:val="left"/>
    </w:pPr>
    <w:rPr>
      <w:rFonts w:ascii="Calibri" w:hAnsi="Calibri" w:cs="Calibri"/>
      <w:sz w:val="18"/>
      <w:szCs w:val="18"/>
    </w:rPr>
  </w:style>
  <w:style w:type="paragraph" w:styleId="14">
    <w:name w:val="List Number 2"/>
    <w:basedOn w:val="1"/>
    <w:qFormat/>
    <w:uiPriority w:val="0"/>
    <w:pPr>
      <w:tabs>
        <w:tab w:val="left" w:pos="780"/>
      </w:tabs>
      <w:ind w:left="360"/>
    </w:pPr>
  </w:style>
  <w:style w:type="paragraph" w:styleId="15">
    <w:name w:val="table of authorities"/>
    <w:basedOn w:val="1"/>
    <w:next w:val="1"/>
    <w:qFormat/>
    <w:uiPriority w:val="0"/>
    <w:pPr>
      <w:ind w:left="420" w:leftChars="200"/>
    </w:pPr>
  </w:style>
  <w:style w:type="paragraph" w:styleId="16">
    <w:name w:val="Note Heading"/>
    <w:basedOn w:val="1"/>
    <w:next w:val="1"/>
    <w:link w:val="1095"/>
    <w:qFormat/>
    <w:uiPriority w:val="0"/>
    <w:pPr>
      <w:jc w:val="center"/>
    </w:pPr>
    <w:rPr>
      <w:rFonts w:asciiTheme="minorHAnsi" w:hAnsiTheme="minorHAnsi" w:cstheme="minorBidi"/>
    </w:rPr>
  </w:style>
  <w:style w:type="paragraph" w:styleId="17">
    <w:name w:val="List Bullet 4"/>
    <w:basedOn w:val="1"/>
    <w:qFormat/>
    <w:uiPriority w:val="0"/>
    <w:pPr>
      <w:tabs>
        <w:tab w:val="left" w:pos="1281"/>
        <w:tab w:val="left" w:pos="1620"/>
      </w:tabs>
      <w:ind w:left="1281" w:hanging="720"/>
    </w:pPr>
  </w:style>
  <w:style w:type="paragraph" w:styleId="18">
    <w:name w:val="index 8"/>
    <w:basedOn w:val="1"/>
    <w:next w:val="1"/>
    <w:qFormat/>
    <w:uiPriority w:val="0"/>
    <w:pPr>
      <w:ind w:left="1400" w:leftChars="1400"/>
    </w:pPr>
  </w:style>
  <w:style w:type="paragraph" w:styleId="19">
    <w:name w:val="E-mail Signature"/>
    <w:basedOn w:val="1"/>
    <w:link w:val="802"/>
    <w:qFormat/>
    <w:uiPriority w:val="0"/>
    <w:rPr>
      <w:rFonts w:asciiTheme="minorHAnsi" w:hAnsiTheme="minorHAnsi" w:cstheme="minorBidi"/>
    </w:rPr>
  </w:style>
  <w:style w:type="paragraph" w:styleId="20">
    <w:name w:val="List Number"/>
    <w:basedOn w:val="1"/>
    <w:qFormat/>
    <w:uiPriority w:val="0"/>
    <w:pPr>
      <w:tabs>
        <w:tab w:val="left" w:pos="360"/>
        <w:tab w:val="left" w:pos="720"/>
      </w:tabs>
      <w:ind w:left="431" w:hanging="431"/>
    </w:pPr>
  </w:style>
  <w:style w:type="paragraph" w:styleId="21">
    <w:name w:val="Normal Indent"/>
    <w:basedOn w:val="1"/>
    <w:link w:val="178"/>
    <w:qFormat/>
    <w:uiPriority w:val="0"/>
    <w:pPr>
      <w:ind w:firstLine="420"/>
    </w:pPr>
    <w:rPr>
      <w:sz w:val="28"/>
      <w:szCs w:val="20"/>
    </w:rPr>
  </w:style>
  <w:style w:type="paragraph" w:styleId="22">
    <w:name w:val="caption"/>
    <w:basedOn w:val="1"/>
    <w:next w:val="1"/>
    <w:link w:val="176"/>
    <w:qFormat/>
    <w:uiPriority w:val="0"/>
    <w:pPr>
      <w:spacing w:line="360" w:lineRule="auto"/>
      <w:jc w:val="center"/>
    </w:pPr>
    <w:rPr>
      <w:rFonts w:eastAsia="黑体"/>
      <w:b/>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widowControl/>
      <w:tabs>
        <w:tab w:val="left" w:pos="360"/>
      </w:tabs>
      <w:spacing w:line="360" w:lineRule="auto"/>
      <w:ind w:left="360" w:hanging="360" w:hangingChars="200"/>
      <w:contextualSpacing/>
      <w:jc w:val="left"/>
    </w:pPr>
    <w:rPr>
      <w:sz w:val="24"/>
    </w:rPr>
  </w:style>
  <w:style w:type="paragraph" w:styleId="25">
    <w:name w:val="envelope address"/>
    <w:basedOn w:val="1"/>
    <w:qFormat/>
    <w:uiPriority w:val="0"/>
    <w:pPr>
      <w:snapToGrid w:val="0"/>
      <w:ind w:left="100" w:leftChars="1400"/>
    </w:pPr>
    <w:rPr>
      <w:rFonts w:ascii="Arial" w:hAnsi="Arial" w:cs="Arial"/>
      <w:sz w:val="24"/>
    </w:rPr>
  </w:style>
  <w:style w:type="paragraph" w:styleId="26">
    <w:name w:val="Document Map"/>
    <w:basedOn w:val="1"/>
    <w:link w:val="943"/>
    <w:qFormat/>
    <w:uiPriority w:val="0"/>
    <w:rPr>
      <w:rFonts w:ascii="宋体" w:hAnsiTheme="minorHAnsi" w:eastAsiaTheme="minorEastAsia" w:cstheme="minorBidi"/>
      <w:sz w:val="18"/>
      <w:szCs w:val="18"/>
    </w:rPr>
  </w:style>
  <w:style w:type="paragraph" w:styleId="27">
    <w:name w:val="toa heading"/>
    <w:basedOn w:val="1"/>
    <w:next w:val="1"/>
    <w:qFormat/>
    <w:uiPriority w:val="0"/>
    <w:pPr>
      <w:spacing w:before="120" w:line="500" w:lineRule="exact"/>
    </w:pPr>
    <w:rPr>
      <w:rFonts w:ascii="Arial" w:hAnsi="Arial"/>
      <w:kern w:val="0"/>
      <w:sz w:val="24"/>
      <w:szCs w:val="20"/>
    </w:rPr>
  </w:style>
  <w:style w:type="paragraph" w:styleId="28">
    <w:name w:val="annotation text"/>
    <w:basedOn w:val="1"/>
    <w:link w:val="174"/>
    <w:qFormat/>
    <w:uiPriority w:val="99"/>
    <w:pPr>
      <w:jc w:val="left"/>
    </w:pPr>
  </w:style>
  <w:style w:type="paragraph" w:styleId="29">
    <w:name w:val="index 6"/>
    <w:basedOn w:val="1"/>
    <w:next w:val="1"/>
    <w:qFormat/>
    <w:uiPriority w:val="0"/>
    <w:pPr>
      <w:ind w:left="1000" w:leftChars="1000"/>
    </w:pPr>
  </w:style>
  <w:style w:type="paragraph" w:styleId="30">
    <w:name w:val="Salutation"/>
    <w:basedOn w:val="1"/>
    <w:next w:val="1"/>
    <w:link w:val="1097"/>
    <w:qFormat/>
    <w:uiPriority w:val="0"/>
    <w:rPr>
      <w:rFonts w:asciiTheme="minorHAnsi" w:hAnsiTheme="minorHAnsi" w:cstheme="minorBidi"/>
    </w:rPr>
  </w:style>
  <w:style w:type="paragraph" w:styleId="31">
    <w:name w:val="Body Text 3"/>
    <w:basedOn w:val="1"/>
    <w:link w:val="801"/>
    <w:qFormat/>
    <w:uiPriority w:val="0"/>
    <w:rPr>
      <w:rFonts w:asciiTheme="minorHAnsi" w:hAnsiTheme="minorHAnsi" w:cstheme="minorBidi"/>
      <w:sz w:val="24"/>
    </w:rPr>
  </w:style>
  <w:style w:type="paragraph" w:styleId="32">
    <w:name w:val="Closing"/>
    <w:basedOn w:val="1"/>
    <w:link w:val="1048"/>
    <w:qFormat/>
    <w:uiPriority w:val="0"/>
    <w:pPr>
      <w:widowControl/>
      <w:ind w:left="4252"/>
      <w:jc w:val="left"/>
    </w:pPr>
    <w:rPr>
      <w:rFonts w:ascii="Arial" w:hAnsi="Arial" w:eastAsia="MS Gothic" w:cstheme="minorBidi"/>
      <w:spacing w:val="-5"/>
      <w:szCs w:val="22"/>
      <w:lang w:eastAsia="ja-JP" w:bidi="he-IL"/>
    </w:rPr>
  </w:style>
  <w:style w:type="paragraph" w:styleId="33">
    <w:name w:val="List Bullet 3"/>
    <w:basedOn w:val="1"/>
    <w:qFormat/>
    <w:uiPriority w:val="0"/>
    <w:pPr>
      <w:tabs>
        <w:tab w:val="left" w:pos="920"/>
        <w:tab w:val="left" w:pos="1200"/>
      </w:tabs>
      <w:ind w:left="920" w:hanging="360"/>
    </w:pPr>
  </w:style>
  <w:style w:type="paragraph" w:styleId="34">
    <w:name w:val="Body Text"/>
    <w:basedOn w:val="1"/>
    <w:link w:val="555"/>
    <w:qFormat/>
    <w:uiPriority w:val="1"/>
    <w:pPr>
      <w:spacing w:line="0" w:lineRule="atLeast"/>
    </w:pPr>
    <w:rPr>
      <w:rFonts w:ascii="宋体" w:hAnsi="宋体" w:cstheme="minorBidi"/>
    </w:rPr>
  </w:style>
  <w:style w:type="paragraph" w:styleId="35">
    <w:name w:val="Body Text Indent"/>
    <w:basedOn w:val="1"/>
    <w:link w:val="948"/>
    <w:unhideWhenUsed/>
    <w:qFormat/>
    <w:uiPriority w:val="0"/>
    <w:pPr>
      <w:spacing w:after="120"/>
      <w:ind w:left="420" w:leftChars="200"/>
    </w:pPr>
  </w:style>
  <w:style w:type="paragraph" w:styleId="36">
    <w:name w:val="List Number 3"/>
    <w:basedOn w:val="1"/>
    <w:qFormat/>
    <w:uiPriority w:val="0"/>
    <w:pPr>
      <w:tabs>
        <w:tab w:val="left" w:pos="720"/>
        <w:tab w:val="left" w:pos="1200"/>
      </w:tabs>
      <w:ind w:left="431" w:hanging="431"/>
    </w:pPr>
  </w:style>
  <w:style w:type="paragraph" w:styleId="37">
    <w:name w:val="List 2"/>
    <w:basedOn w:val="1"/>
    <w:link w:val="424"/>
    <w:qFormat/>
    <w:uiPriority w:val="0"/>
    <w:pPr>
      <w:spacing w:line="360" w:lineRule="auto"/>
      <w:ind w:left="840" w:hanging="420"/>
    </w:pPr>
    <w:rPr>
      <w:rFonts w:asciiTheme="minorHAnsi" w:hAnsiTheme="minorHAnsi" w:cstheme="minorBidi"/>
      <w:sz w:val="24"/>
      <w:szCs w:val="22"/>
    </w:rPr>
  </w:style>
  <w:style w:type="paragraph" w:styleId="38">
    <w:name w:val="List Continue"/>
    <w:basedOn w:val="1"/>
    <w:qFormat/>
    <w:uiPriority w:val="0"/>
    <w:pPr>
      <w:spacing w:after="120"/>
      <w:ind w:left="420" w:leftChars="200"/>
    </w:pPr>
  </w:style>
  <w:style w:type="paragraph" w:styleId="39">
    <w:name w:val="Block Text"/>
    <w:basedOn w:val="1"/>
    <w:qFormat/>
    <w:uiPriority w:val="0"/>
    <w:pPr>
      <w:spacing w:line="560" w:lineRule="exact"/>
      <w:ind w:left="-113" w:right="-113" w:firstLine="624"/>
    </w:pPr>
    <w:rPr>
      <w:rFonts w:ascii="仿宋_GB2312" w:eastAsia="仿宋_GB2312"/>
      <w:sz w:val="30"/>
      <w:szCs w:val="20"/>
    </w:rPr>
  </w:style>
  <w:style w:type="paragraph" w:styleId="40">
    <w:name w:val="List Bullet 2"/>
    <w:basedOn w:val="1"/>
    <w:qFormat/>
    <w:uiPriority w:val="0"/>
    <w:pPr>
      <w:tabs>
        <w:tab w:val="left" w:pos="780"/>
      </w:tabs>
      <w:spacing w:line="360" w:lineRule="auto"/>
    </w:pPr>
    <w:rPr>
      <w:sz w:val="24"/>
      <w:szCs w:val="20"/>
    </w:rPr>
  </w:style>
  <w:style w:type="paragraph" w:styleId="41">
    <w:name w:val="HTML Address"/>
    <w:basedOn w:val="1"/>
    <w:link w:val="768"/>
    <w:qFormat/>
    <w:uiPriority w:val="0"/>
    <w:rPr>
      <w:rFonts w:asciiTheme="minorHAnsi" w:hAnsiTheme="minorHAnsi" w:eastAsiaTheme="minorEastAsia" w:cstheme="minorBidi"/>
      <w:i/>
      <w:iCs/>
    </w:rPr>
  </w:style>
  <w:style w:type="paragraph" w:styleId="42">
    <w:name w:val="index 4"/>
    <w:basedOn w:val="1"/>
    <w:next w:val="1"/>
    <w:qFormat/>
    <w:uiPriority w:val="0"/>
    <w:pPr>
      <w:ind w:left="600" w:leftChars="600"/>
    </w:pPr>
  </w:style>
  <w:style w:type="paragraph" w:styleId="43">
    <w:name w:val="toc 5"/>
    <w:basedOn w:val="1"/>
    <w:next w:val="1"/>
    <w:qFormat/>
    <w:uiPriority w:val="39"/>
    <w:pPr>
      <w:ind w:left="840"/>
      <w:jc w:val="left"/>
    </w:pPr>
    <w:rPr>
      <w:rFonts w:ascii="Calibri" w:hAnsi="Calibri" w:cs="Calibri"/>
      <w:sz w:val="18"/>
      <w:szCs w:val="18"/>
    </w:rPr>
  </w:style>
  <w:style w:type="paragraph" w:styleId="44">
    <w:name w:val="toc 3"/>
    <w:basedOn w:val="1"/>
    <w:next w:val="1"/>
    <w:unhideWhenUsed/>
    <w:qFormat/>
    <w:uiPriority w:val="39"/>
    <w:pPr>
      <w:ind w:left="840" w:leftChars="400"/>
    </w:pPr>
  </w:style>
  <w:style w:type="paragraph" w:styleId="45">
    <w:name w:val="Plain Text"/>
    <w:basedOn w:val="1"/>
    <w:link w:val="743"/>
    <w:qFormat/>
    <w:uiPriority w:val="0"/>
    <w:rPr>
      <w:rFonts w:ascii="宋体" w:hAnsi="Courier New" w:cstheme="minorBidi"/>
      <w:szCs w:val="22"/>
    </w:rPr>
  </w:style>
  <w:style w:type="paragraph" w:styleId="46">
    <w:name w:val="List Bullet 5"/>
    <w:basedOn w:val="1"/>
    <w:qFormat/>
    <w:uiPriority w:val="0"/>
    <w:pPr>
      <w:tabs>
        <w:tab w:val="left" w:pos="432"/>
        <w:tab w:val="left" w:pos="2040"/>
      </w:tabs>
      <w:ind w:left="432" w:hanging="432"/>
    </w:pPr>
  </w:style>
  <w:style w:type="paragraph" w:styleId="47">
    <w:name w:val="List Number 4"/>
    <w:basedOn w:val="1"/>
    <w:qFormat/>
    <w:uiPriority w:val="0"/>
    <w:pPr>
      <w:tabs>
        <w:tab w:val="left" w:pos="720"/>
        <w:tab w:val="left" w:pos="1620"/>
      </w:tabs>
      <w:ind w:left="431" w:hanging="431"/>
    </w:pPr>
  </w:style>
  <w:style w:type="paragraph" w:styleId="48">
    <w:name w:val="toc 8"/>
    <w:basedOn w:val="1"/>
    <w:next w:val="1"/>
    <w:qFormat/>
    <w:uiPriority w:val="39"/>
    <w:pPr>
      <w:ind w:left="1470"/>
      <w:jc w:val="left"/>
    </w:pPr>
    <w:rPr>
      <w:rFonts w:ascii="Calibri" w:hAnsi="Calibri" w:cs="Calibri"/>
      <w:sz w:val="18"/>
      <w:szCs w:val="18"/>
    </w:rPr>
  </w:style>
  <w:style w:type="paragraph" w:styleId="49">
    <w:name w:val="index 3"/>
    <w:basedOn w:val="1"/>
    <w:next w:val="1"/>
    <w:qFormat/>
    <w:uiPriority w:val="0"/>
    <w:pPr>
      <w:ind w:left="400" w:leftChars="400"/>
    </w:pPr>
  </w:style>
  <w:style w:type="paragraph" w:styleId="50">
    <w:name w:val="Date"/>
    <w:basedOn w:val="1"/>
    <w:next w:val="1"/>
    <w:link w:val="980"/>
    <w:qFormat/>
    <w:uiPriority w:val="0"/>
    <w:pPr>
      <w:adjustRightInd w:val="0"/>
      <w:spacing w:line="360" w:lineRule="atLeast"/>
      <w:textAlignment w:val="baseline"/>
    </w:pPr>
    <w:rPr>
      <w:rFonts w:asciiTheme="minorHAnsi" w:hAnsiTheme="minorHAnsi" w:cstheme="minorBidi"/>
      <w:sz w:val="28"/>
      <w:szCs w:val="22"/>
    </w:rPr>
  </w:style>
  <w:style w:type="paragraph" w:styleId="51">
    <w:name w:val="Body Text Indent 2"/>
    <w:basedOn w:val="1"/>
    <w:link w:val="453"/>
    <w:qFormat/>
    <w:uiPriority w:val="0"/>
    <w:pPr>
      <w:ind w:firstLine="630" w:firstLineChars="225"/>
    </w:pPr>
    <w:rPr>
      <w:rFonts w:asciiTheme="minorHAnsi" w:hAnsiTheme="minorHAnsi" w:cstheme="minorBidi"/>
      <w:sz w:val="28"/>
    </w:rPr>
  </w:style>
  <w:style w:type="paragraph" w:styleId="52">
    <w:name w:val="endnote text"/>
    <w:basedOn w:val="1"/>
    <w:link w:val="756"/>
    <w:qFormat/>
    <w:uiPriority w:val="0"/>
    <w:pPr>
      <w:snapToGrid w:val="0"/>
      <w:jc w:val="left"/>
    </w:pPr>
    <w:rPr>
      <w:rFonts w:ascii="Arial" w:hAnsi="Arial" w:eastAsiaTheme="minorEastAsia" w:cstheme="minorBidi"/>
      <w:b/>
      <w:bCs/>
      <w:sz w:val="32"/>
      <w:szCs w:val="32"/>
    </w:rPr>
  </w:style>
  <w:style w:type="paragraph" w:styleId="53">
    <w:name w:val="List Continue 5"/>
    <w:basedOn w:val="1"/>
    <w:qFormat/>
    <w:uiPriority w:val="0"/>
    <w:pPr>
      <w:spacing w:after="120"/>
      <w:ind w:left="2100" w:leftChars="1000"/>
    </w:pPr>
  </w:style>
  <w:style w:type="paragraph" w:styleId="54">
    <w:name w:val="Balloon Text"/>
    <w:basedOn w:val="1"/>
    <w:link w:val="208"/>
    <w:unhideWhenUsed/>
    <w:qFormat/>
    <w:uiPriority w:val="0"/>
    <w:rPr>
      <w:sz w:val="18"/>
      <w:szCs w:val="18"/>
    </w:rPr>
  </w:style>
  <w:style w:type="paragraph" w:styleId="55">
    <w:name w:val="footer"/>
    <w:basedOn w:val="1"/>
    <w:link w:val="172"/>
    <w:qFormat/>
    <w:uiPriority w:val="0"/>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cs="Arial"/>
    </w:rPr>
  </w:style>
  <w:style w:type="paragraph" w:styleId="57">
    <w:name w:val="header"/>
    <w:basedOn w:val="1"/>
    <w:link w:val="175"/>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068"/>
    <w:qFormat/>
    <w:uiPriority w:val="0"/>
    <w:pPr>
      <w:ind w:left="100" w:leftChars="2100"/>
    </w:pPr>
    <w:rPr>
      <w:rFonts w:asciiTheme="minorHAnsi" w:hAnsiTheme="minorHAnsi" w:eastAsiaTheme="minorEastAsia" w:cstheme="minorBidi"/>
    </w:rPr>
  </w:style>
  <w:style w:type="paragraph" w:styleId="59">
    <w:name w:val="toc 1"/>
    <w:basedOn w:val="1"/>
    <w:next w:val="1"/>
    <w:qFormat/>
    <w:uiPriority w:val="39"/>
  </w:style>
  <w:style w:type="paragraph" w:styleId="60">
    <w:name w:val="List Continue 4"/>
    <w:basedOn w:val="1"/>
    <w:qFormat/>
    <w:uiPriority w:val="0"/>
    <w:pPr>
      <w:spacing w:after="120"/>
      <w:ind w:left="1680" w:leftChars="800"/>
    </w:pPr>
  </w:style>
  <w:style w:type="paragraph" w:styleId="61">
    <w:name w:val="toc 4"/>
    <w:basedOn w:val="1"/>
    <w:next w:val="1"/>
    <w:qFormat/>
    <w:uiPriority w:val="39"/>
    <w:pPr>
      <w:ind w:left="630"/>
      <w:jc w:val="left"/>
    </w:pPr>
    <w:rPr>
      <w:rFonts w:ascii="Calibri" w:hAnsi="Calibri" w:cs="Calibri"/>
      <w:sz w:val="18"/>
      <w:szCs w:val="18"/>
    </w:rPr>
  </w:style>
  <w:style w:type="paragraph" w:styleId="62">
    <w:name w:val="index heading"/>
    <w:basedOn w:val="1"/>
    <w:next w:val="63"/>
    <w:qFormat/>
    <w:uiPriority w:val="0"/>
    <w:rPr>
      <w:rFonts w:ascii="Arial" w:hAnsi="Arial" w:cs="Arial"/>
      <w:b/>
      <w:bCs/>
    </w:rPr>
  </w:style>
  <w:style w:type="paragraph" w:styleId="63">
    <w:name w:val="index 1"/>
    <w:basedOn w:val="1"/>
    <w:next w:val="1"/>
    <w:qFormat/>
    <w:uiPriority w:val="0"/>
  </w:style>
  <w:style w:type="paragraph" w:styleId="64">
    <w:name w:val="Subtitle"/>
    <w:basedOn w:val="1"/>
    <w:next w:val="1"/>
    <w:link w:val="171"/>
    <w:qFormat/>
    <w:uiPriority w:val="0"/>
    <w:pPr>
      <w:spacing w:before="240" w:after="60" w:line="312" w:lineRule="auto"/>
      <w:jc w:val="center"/>
      <w:outlineLvl w:val="1"/>
    </w:pPr>
    <w:rPr>
      <w:rFonts w:ascii="Calibri Light" w:hAnsi="Calibri Light" w:eastAsiaTheme="minorEastAsia" w:cstheme="minorBidi"/>
      <w:b/>
      <w:bCs/>
      <w:kern w:val="28"/>
      <w:sz w:val="32"/>
      <w:szCs w:val="32"/>
    </w:rPr>
  </w:style>
  <w:style w:type="paragraph" w:styleId="65">
    <w:name w:val="List Number 5"/>
    <w:basedOn w:val="1"/>
    <w:qFormat/>
    <w:uiPriority w:val="0"/>
    <w:pPr>
      <w:tabs>
        <w:tab w:val="left" w:pos="432"/>
        <w:tab w:val="left" w:pos="2040"/>
      </w:tabs>
      <w:ind w:left="432" w:hanging="432"/>
    </w:pPr>
  </w:style>
  <w:style w:type="paragraph" w:styleId="66">
    <w:name w:val="List"/>
    <w:basedOn w:val="1"/>
    <w:qFormat/>
    <w:uiPriority w:val="0"/>
    <w:pPr>
      <w:ind w:left="200" w:hanging="200" w:hangingChars="200"/>
    </w:pPr>
  </w:style>
  <w:style w:type="paragraph" w:styleId="67">
    <w:name w:val="footnote text"/>
    <w:basedOn w:val="1"/>
    <w:next w:val="11"/>
    <w:link w:val="997"/>
    <w:qFormat/>
    <w:uiPriority w:val="99"/>
    <w:pPr>
      <w:spacing w:line="360" w:lineRule="auto"/>
      <w:ind w:firstLine="510"/>
    </w:pPr>
    <w:rPr>
      <w:rFonts w:asciiTheme="minorHAnsi" w:hAnsiTheme="minorHAnsi" w:eastAsiaTheme="minorEastAsia" w:cstheme="minorBidi"/>
    </w:rPr>
  </w:style>
  <w:style w:type="paragraph" w:styleId="68">
    <w:name w:val="toc 6"/>
    <w:basedOn w:val="1"/>
    <w:next w:val="1"/>
    <w:qFormat/>
    <w:uiPriority w:val="39"/>
    <w:pPr>
      <w:ind w:left="1050"/>
      <w:jc w:val="left"/>
    </w:pPr>
    <w:rPr>
      <w:rFonts w:ascii="Calibri" w:hAnsi="Calibri" w:cs="Calibri"/>
      <w:sz w:val="18"/>
      <w:szCs w:val="18"/>
    </w:rPr>
  </w:style>
  <w:style w:type="paragraph" w:styleId="69">
    <w:name w:val="List 5"/>
    <w:basedOn w:val="1"/>
    <w:qFormat/>
    <w:uiPriority w:val="0"/>
    <w:pPr>
      <w:tabs>
        <w:tab w:val="left" w:pos="780"/>
      </w:tabs>
      <w:spacing w:line="360" w:lineRule="auto"/>
    </w:pPr>
    <w:rPr>
      <w:rFonts w:hint="eastAsia"/>
      <w:sz w:val="24"/>
      <w:szCs w:val="20"/>
    </w:rPr>
  </w:style>
  <w:style w:type="paragraph" w:styleId="70">
    <w:name w:val="Body Text Indent 3"/>
    <w:basedOn w:val="1"/>
    <w:link w:val="164"/>
    <w:qFormat/>
    <w:uiPriority w:val="0"/>
    <w:pPr>
      <w:adjustRightInd w:val="0"/>
      <w:spacing w:after="120" w:line="360" w:lineRule="atLeast"/>
      <w:ind w:left="420" w:leftChars="200"/>
      <w:textAlignment w:val="baseline"/>
    </w:pPr>
    <w:rPr>
      <w:rFonts w:ascii="Calibri" w:hAnsi="Calibri"/>
      <w:spacing w:val="-2"/>
      <w:kern w:val="0"/>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840" w:leftChars="200" w:hanging="420" w:hangingChars="200"/>
    </w:pPr>
  </w:style>
  <w:style w:type="paragraph" w:styleId="74">
    <w:name w:val="toc 2"/>
    <w:basedOn w:val="1"/>
    <w:next w:val="1"/>
    <w:qFormat/>
    <w:uiPriority w:val="39"/>
    <w:pPr>
      <w:ind w:left="420" w:leftChars="200"/>
    </w:pPr>
  </w:style>
  <w:style w:type="paragraph" w:styleId="75">
    <w:name w:val="toc 9"/>
    <w:basedOn w:val="1"/>
    <w:next w:val="1"/>
    <w:qFormat/>
    <w:uiPriority w:val="39"/>
    <w:pPr>
      <w:ind w:left="1680"/>
      <w:jc w:val="left"/>
    </w:pPr>
    <w:rPr>
      <w:rFonts w:ascii="Calibri" w:hAnsi="Calibri" w:cs="Calibri"/>
      <w:sz w:val="18"/>
      <w:szCs w:val="18"/>
    </w:rPr>
  </w:style>
  <w:style w:type="paragraph" w:styleId="76">
    <w:name w:val="Body Text 2"/>
    <w:basedOn w:val="1"/>
    <w:link w:val="998"/>
    <w:qFormat/>
    <w:uiPriority w:val="0"/>
    <w:rPr>
      <w:rFonts w:asciiTheme="minorHAnsi" w:hAnsiTheme="minorHAnsi" w:cstheme="minorBidi"/>
      <w:sz w:val="28"/>
    </w:r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840" w:leftChars="400"/>
    </w:pPr>
  </w:style>
  <w:style w:type="paragraph" w:styleId="79">
    <w:name w:val="Message Header"/>
    <w:basedOn w:val="1"/>
    <w:link w:val="102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Theme="minorEastAsia" w:cstheme="minorBidi"/>
      <w:sz w:val="24"/>
      <w:shd w:val="pct20" w:color="auto" w:fill="auto"/>
    </w:rPr>
  </w:style>
  <w:style w:type="paragraph" w:styleId="80">
    <w:name w:val="HTML Preformatted"/>
    <w:basedOn w:val="1"/>
    <w:link w:val="76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Theme="minorEastAsia" w:cstheme="minorBidi"/>
      <w:szCs w:val="21"/>
    </w:rPr>
  </w:style>
  <w:style w:type="paragraph" w:styleId="81">
    <w:name w:val="Normal (Web)"/>
    <w:basedOn w:val="1"/>
    <w:link w:val="204"/>
    <w:qFormat/>
    <w:uiPriority w:val="99"/>
    <w:pPr>
      <w:widowControl/>
      <w:jc w:val="left"/>
    </w:pPr>
    <w:rPr>
      <w:rFonts w:ascii="宋体" w:hAnsi="宋体" w:cs="宋体"/>
      <w:sz w:val="24"/>
    </w:rPr>
  </w:style>
  <w:style w:type="paragraph" w:styleId="82">
    <w:name w:val="List Continue 3"/>
    <w:basedOn w:val="1"/>
    <w:qFormat/>
    <w:uiPriority w:val="0"/>
    <w:pPr>
      <w:spacing w:after="120"/>
      <w:ind w:left="1260" w:leftChars="600"/>
    </w:pPr>
  </w:style>
  <w:style w:type="paragraph" w:styleId="83">
    <w:name w:val="index 2"/>
    <w:basedOn w:val="1"/>
    <w:next w:val="1"/>
    <w:qFormat/>
    <w:uiPriority w:val="0"/>
    <w:pPr>
      <w:ind w:left="200" w:leftChars="200"/>
    </w:pPr>
  </w:style>
  <w:style w:type="paragraph" w:styleId="84">
    <w:name w:val="Title"/>
    <w:basedOn w:val="1"/>
    <w:next w:val="1"/>
    <w:link w:val="177"/>
    <w:qFormat/>
    <w:uiPriority w:val="0"/>
    <w:pPr>
      <w:spacing w:before="240" w:after="60"/>
      <w:jc w:val="center"/>
      <w:outlineLvl w:val="0"/>
    </w:pPr>
    <w:rPr>
      <w:rFonts w:ascii="Calibri Light" w:hAnsi="Calibri Light"/>
      <w:b/>
      <w:bCs/>
      <w:sz w:val="32"/>
      <w:szCs w:val="32"/>
    </w:rPr>
  </w:style>
  <w:style w:type="paragraph" w:styleId="85">
    <w:name w:val="annotation subject"/>
    <w:basedOn w:val="28"/>
    <w:next w:val="28"/>
    <w:link w:val="207"/>
    <w:unhideWhenUsed/>
    <w:qFormat/>
    <w:uiPriority w:val="0"/>
    <w:rPr>
      <w:b/>
      <w:bCs/>
    </w:rPr>
  </w:style>
  <w:style w:type="paragraph" w:styleId="86">
    <w:name w:val="Body Text First Indent"/>
    <w:basedOn w:val="34"/>
    <w:link w:val="984"/>
    <w:qFormat/>
    <w:uiPriority w:val="99"/>
    <w:pPr>
      <w:spacing w:after="120" w:line="240" w:lineRule="auto"/>
      <w:ind w:firstLine="420" w:firstLineChars="100"/>
    </w:pPr>
  </w:style>
  <w:style w:type="paragraph" w:styleId="87">
    <w:name w:val="Body Text First Indent 2"/>
    <w:basedOn w:val="35"/>
    <w:link w:val="947"/>
    <w:qFormat/>
    <w:uiPriority w:val="99"/>
    <w:pPr>
      <w:ind w:left="0" w:leftChars="0" w:firstLine="210"/>
    </w:pPr>
    <w:rPr>
      <w:rFonts w:asciiTheme="minorHAnsi" w:hAnsiTheme="minorHAnsi" w:cstheme="minorBidi"/>
      <w:szCs w:val="22"/>
    </w:r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qFormat/>
    <w:uiPriority w:val="99"/>
    <w:pPr>
      <w:widowControl w:val="0"/>
      <w:jc w:val="both"/>
    </w:p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qFormat/>
    <w:uiPriority w:val="99"/>
    <w:pPr>
      <w:widowControl w:val="0"/>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1">
    <w:name w:val="Table List 5"/>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qFormat/>
    <w:uiPriority w:val="99"/>
    <w:pPr>
      <w:widowControl w:val="0"/>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qFormat/>
    <w:uiPriority w:val="22"/>
    <w:rPr>
      <w:b/>
      <w:bCs/>
    </w:rPr>
  </w:style>
  <w:style w:type="character" w:styleId="135">
    <w:name w:val="endnote reference"/>
    <w:qFormat/>
    <w:uiPriority w:val="99"/>
    <w:rPr>
      <w:vertAlign w:val="superscript"/>
    </w:rPr>
  </w:style>
  <w:style w:type="character" w:styleId="136">
    <w:name w:val="page number"/>
    <w:basedOn w:val="133"/>
    <w:qFormat/>
    <w:uiPriority w:val="0"/>
  </w:style>
  <w:style w:type="character" w:styleId="137">
    <w:name w:val="FollowedHyperlink"/>
    <w:qFormat/>
    <w:uiPriority w:val="99"/>
    <w:rPr>
      <w:color w:val="800080"/>
      <w:u w:val="single"/>
    </w:rPr>
  </w:style>
  <w:style w:type="character" w:styleId="138">
    <w:name w:val="Emphasis"/>
    <w:qFormat/>
    <w:uiPriority w:val="0"/>
    <w:rPr>
      <w:rFonts w:ascii="Arial Black" w:hAnsi="Arial Black"/>
      <w:sz w:val="18"/>
      <w:lang w:eastAsia="ja-JP"/>
    </w:rPr>
  </w:style>
  <w:style w:type="character" w:styleId="139">
    <w:name w:val="line number"/>
    <w:qFormat/>
    <w:uiPriority w:val="0"/>
  </w:style>
  <w:style w:type="character" w:styleId="140">
    <w:name w:val="HTML Definition"/>
    <w:qFormat/>
    <w:uiPriority w:val="99"/>
    <w:rPr>
      <w:i/>
      <w:iCs/>
    </w:rPr>
  </w:style>
  <w:style w:type="character" w:styleId="141">
    <w:name w:val="HTML Typewriter"/>
    <w:qFormat/>
    <w:uiPriority w:val="0"/>
    <w:rPr>
      <w:rFonts w:ascii="黑体" w:hAnsi="Courier New" w:eastAsia="黑体" w:cs="Courier New"/>
      <w:sz w:val="24"/>
      <w:szCs w:val="24"/>
    </w:rPr>
  </w:style>
  <w:style w:type="character" w:styleId="142">
    <w:name w:val="HTML Acronym"/>
    <w:basedOn w:val="133"/>
    <w:qFormat/>
    <w:uiPriority w:val="99"/>
  </w:style>
  <w:style w:type="character" w:styleId="143">
    <w:name w:val="HTML Variable"/>
    <w:qFormat/>
    <w:uiPriority w:val="99"/>
    <w:rPr>
      <w:i/>
      <w:iCs/>
    </w:rPr>
  </w:style>
  <w:style w:type="character" w:styleId="144">
    <w:name w:val="Hyperlink"/>
    <w:qFormat/>
    <w:uiPriority w:val="99"/>
    <w:rPr>
      <w:color w:val="0000FF"/>
      <w:u w:val="single"/>
    </w:rPr>
  </w:style>
  <w:style w:type="character" w:styleId="145">
    <w:name w:val="HTML Code"/>
    <w:qFormat/>
    <w:uiPriority w:val="0"/>
    <w:rPr>
      <w:rFonts w:ascii="黑体" w:hAnsi="Courier New" w:eastAsia="黑体" w:cs="Courier New"/>
      <w:sz w:val="24"/>
      <w:szCs w:val="24"/>
    </w:rPr>
  </w:style>
  <w:style w:type="character" w:styleId="146">
    <w:name w:val="annotation reference"/>
    <w:qFormat/>
    <w:uiPriority w:val="0"/>
    <w:rPr>
      <w:sz w:val="21"/>
      <w:szCs w:val="21"/>
    </w:rPr>
  </w:style>
  <w:style w:type="character" w:styleId="147">
    <w:name w:val="HTML Cite"/>
    <w:qFormat/>
    <w:uiPriority w:val="0"/>
    <w:rPr>
      <w:i/>
      <w:iCs/>
    </w:rPr>
  </w:style>
  <w:style w:type="character" w:styleId="148">
    <w:name w:val="footnote reference"/>
    <w:qFormat/>
    <w:uiPriority w:val="99"/>
    <w:rPr>
      <w:vertAlign w:val="superscript"/>
    </w:rPr>
  </w:style>
  <w:style w:type="character" w:styleId="149">
    <w:name w:val="HTML Keyboard"/>
    <w:qFormat/>
    <w:uiPriority w:val="99"/>
    <w:rPr>
      <w:rFonts w:ascii="Courier New" w:hAnsi="Courier New" w:cs="Courier New"/>
      <w:sz w:val="20"/>
      <w:szCs w:val="20"/>
    </w:rPr>
  </w:style>
  <w:style w:type="character" w:styleId="150">
    <w:name w:val="HTML Sample"/>
    <w:qFormat/>
    <w:uiPriority w:val="0"/>
    <w:rPr>
      <w:rFonts w:ascii="Courier New" w:hAnsi="Courier New" w:cs="Courier New"/>
    </w:rPr>
  </w:style>
  <w:style w:type="character" w:customStyle="1" w:styleId="151">
    <w:name w:val="标题 1 Char4"/>
    <w:link w:val="3"/>
    <w:qFormat/>
    <w:uiPriority w:val="0"/>
    <w:rPr>
      <w:rFonts w:ascii="Times New Roman" w:hAnsi="Times New Roman" w:eastAsia="黑体" w:cs="Times New Roman"/>
      <w:b/>
      <w:bCs/>
      <w:kern w:val="44"/>
      <w:sz w:val="32"/>
      <w:szCs w:val="32"/>
    </w:rPr>
  </w:style>
  <w:style w:type="character" w:customStyle="1" w:styleId="152">
    <w:name w:val="标题 2 Char2"/>
    <w:basedOn w:val="133"/>
    <w:link w:val="4"/>
    <w:qFormat/>
    <w:uiPriority w:val="0"/>
    <w:rPr>
      <w:rFonts w:ascii="Times New Roman" w:hAnsi="Times New Roman" w:eastAsia="黑体" w:cs="Times New Roman"/>
      <w:b/>
      <w:bCs/>
      <w:color w:val="000000"/>
      <w:sz w:val="30"/>
      <w:szCs w:val="28"/>
    </w:rPr>
  </w:style>
  <w:style w:type="character" w:customStyle="1" w:styleId="153">
    <w:name w:val="标题 3 Char2"/>
    <w:basedOn w:val="133"/>
    <w:link w:val="5"/>
    <w:qFormat/>
    <w:uiPriority w:val="0"/>
    <w:rPr>
      <w:rFonts w:ascii="Times New Roman" w:hAnsi="Times New Roman" w:eastAsia="楷体" w:cs="Times New Roman"/>
      <w:b/>
      <w:bCs/>
      <w:kern w:val="2"/>
      <w:sz w:val="28"/>
      <w:szCs w:val="32"/>
    </w:rPr>
  </w:style>
  <w:style w:type="character" w:customStyle="1" w:styleId="154">
    <w:name w:val="标题 4 Char3"/>
    <w:basedOn w:val="133"/>
    <w:link w:val="6"/>
    <w:qFormat/>
    <w:uiPriority w:val="0"/>
    <w:rPr>
      <w:rFonts w:asciiTheme="majorHAnsi" w:hAnsiTheme="majorHAnsi" w:eastAsiaTheme="majorEastAsia" w:cstheme="majorBidi"/>
      <w:b/>
      <w:bCs/>
      <w:sz w:val="28"/>
      <w:szCs w:val="28"/>
    </w:rPr>
  </w:style>
  <w:style w:type="character" w:customStyle="1" w:styleId="155">
    <w:name w:val="标题 5 Char1"/>
    <w:basedOn w:val="133"/>
    <w:link w:val="7"/>
    <w:qFormat/>
    <w:uiPriority w:val="9"/>
    <w:rPr>
      <w:rFonts w:ascii="Times New Roman" w:hAnsi="Times New Roman" w:eastAsia="华文隶书" w:cs="Times New Roman"/>
      <w:b/>
      <w:bCs/>
      <w:sz w:val="24"/>
      <w:szCs w:val="28"/>
    </w:rPr>
  </w:style>
  <w:style w:type="character" w:customStyle="1" w:styleId="156">
    <w:name w:val="标题 6 Char1"/>
    <w:basedOn w:val="133"/>
    <w:link w:val="8"/>
    <w:qFormat/>
    <w:uiPriority w:val="9"/>
    <w:rPr>
      <w:rFonts w:ascii="Arial" w:hAnsi="Arial" w:eastAsia="黑体" w:cs="Times New Roman"/>
      <w:b/>
      <w:kern w:val="0"/>
      <w:sz w:val="24"/>
      <w:szCs w:val="20"/>
    </w:rPr>
  </w:style>
  <w:style w:type="character" w:customStyle="1" w:styleId="157">
    <w:name w:val="标题 7 Char1"/>
    <w:basedOn w:val="133"/>
    <w:link w:val="9"/>
    <w:qFormat/>
    <w:uiPriority w:val="9"/>
    <w:rPr>
      <w:rFonts w:ascii="Times New Roman" w:hAnsi="Times New Roman" w:eastAsia="宋体" w:cs="Times New Roman"/>
      <w:b/>
      <w:kern w:val="0"/>
      <w:sz w:val="24"/>
      <w:szCs w:val="20"/>
    </w:rPr>
  </w:style>
  <w:style w:type="character" w:customStyle="1" w:styleId="158">
    <w:name w:val="标题 8 Char1"/>
    <w:basedOn w:val="133"/>
    <w:link w:val="10"/>
    <w:qFormat/>
    <w:uiPriority w:val="9"/>
    <w:rPr>
      <w:rFonts w:ascii="Arial" w:hAnsi="Arial" w:eastAsia="黑体" w:cs="Times New Roman"/>
      <w:spacing w:val="8"/>
      <w:kern w:val="0"/>
      <w:sz w:val="24"/>
      <w:szCs w:val="20"/>
    </w:rPr>
  </w:style>
  <w:style w:type="character" w:customStyle="1" w:styleId="159">
    <w:name w:val="标题 9 Char1"/>
    <w:basedOn w:val="133"/>
    <w:link w:val="11"/>
    <w:qFormat/>
    <w:uiPriority w:val="9"/>
    <w:rPr>
      <w:rFonts w:ascii="Arial" w:hAnsi="Arial" w:eastAsia="黑体" w:cs="Times New Roman"/>
      <w:spacing w:val="8"/>
      <w:kern w:val="0"/>
      <w:sz w:val="24"/>
      <w:szCs w:val="20"/>
    </w:rPr>
  </w:style>
  <w:style w:type="character" w:customStyle="1" w:styleId="160">
    <w:name w:val="标题 1 Char"/>
    <w:basedOn w:val="133"/>
    <w:qFormat/>
    <w:uiPriority w:val="0"/>
    <w:rPr>
      <w:rFonts w:ascii="Times New Roman" w:hAnsi="Times New Roman" w:eastAsia="宋体" w:cs="Times New Roman"/>
      <w:b/>
      <w:bCs/>
      <w:kern w:val="44"/>
      <w:sz w:val="44"/>
      <w:szCs w:val="44"/>
    </w:rPr>
  </w:style>
  <w:style w:type="paragraph" w:customStyle="1" w:styleId="161">
    <w:name w:val="11"/>
    <w:basedOn w:val="1"/>
    <w:qFormat/>
    <w:uiPriority w:val="0"/>
    <w:pPr>
      <w:widowControl/>
      <w:jc w:val="left"/>
    </w:pPr>
    <w:rPr>
      <w:rFonts w:ascii="宋体"/>
      <w:kern w:val="0"/>
      <w:sz w:val="24"/>
    </w:rPr>
  </w:style>
  <w:style w:type="paragraph" w:customStyle="1" w:styleId="162">
    <w:name w:val="正文-RED"/>
    <w:link w:val="163"/>
    <w:qFormat/>
    <w:uiPriority w:val="0"/>
    <w:pPr>
      <w:spacing w:line="360" w:lineRule="auto"/>
      <w:ind w:firstLine="420"/>
      <w:jc w:val="both"/>
    </w:pPr>
    <w:rPr>
      <w:rFonts w:ascii="Times New Roman" w:hAnsi="Times New Roman" w:eastAsia="宋体" w:cs="Times New Roman"/>
      <w:kern w:val="2"/>
      <w:sz w:val="24"/>
      <w:szCs w:val="22"/>
      <w:lang w:val="en-US" w:eastAsia="zh-CN" w:bidi="ar-SA"/>
    </w:rPr>
  </w:style>
  <w:style w:type="character" w:customStyle="1" w:styleId="163">
    <w:name w:val="正文-RED Char"/>
    <w:link w:val="162"/>
    <w:qFormat/>
    <w:uiPriority w:val="0"/>
    <w:rPr>
      <w:rFonts w:ascii="Times New Roman" w:hAnsi="Times New Roman" w:eastAsia="宋体" w:cs="Times New Roman"/>
      <w:sz w:val="24"/>
    </w:rPr>
  </w:style>
  <w:style w:type="character" w:customStyle="1" w:styleId="164">
    <w:name w:val="正文文本缩进 3 Char5"/>
    <w:basedOn w:val="133"/>
    <w:link w:val="70"/>
    <w:qFormat/>
    <w:uiPriority w:val="0"/>
    <w:rPr>
      <w:rFonts w:ascii="Calibri" w:hAnsi="Calibri" w:eastAsia="宋体" w:cs="Times New Roman"/>
      <w:spacing w:val="-2"/>
      <w:kern w:val="0"/>
      <w:sz w:val="16"/>
      <w:szCs w:val="16"/>
    </w:rPr>
  </w:style>
  <w:style w:type="paragraph" w:customStyle="1" w:styleId="165">
    <w:name w:val="表格-RED"/>
    <w:link w:val="166"/>
    <w:qFormat/>
    <w:uiPriority w:val="0"/>
    <w:pPr>
      <w:jc w:val="center"/>
    </w:pPr>
    <w:rPr>
      <w:rFonts w:ascii="Times New Roman" w:hAnsi="宋体" w:eastAsia="宋体" w:cs="Times New Roman"/>
      <w:kern w:val="2"/>
      <w:sz w:val="18"/>
      <w:szCs w:val="18"/>
      <w:lang w:val="en-US" w:eastAsia="zh-CN" w:bidi="ar-SA"/>
    </w:rPr>
  </w:style>
  <w:style w:type="character" w:customStyle="1" w:styleId="166">
    <w:name w:val="表格-RED Char"/>
    <w:link w:val="165"/>
    <w:qFormat/>
    <w:uiPriority w:val="0"/>
    <w:rPr>
      <w:rFonts w:ascii="Times New Roman" w:hAnsi="宋体" w:eastAsia="宋体" w:cs="Times New Roman"/>
      <w:sz w:val="18"/>
      <w:szCs w:val="18"/>
    </w:rPr>
  </w:style>
  <w:style w:type="paragraph" w:customStyle="1" w:styleId="167">
    <w:name w:val="题注-RED"/>
    <w:basedOn w:val="1"/>
    <w:link w:val="168"/>
    <w:qFormat/>
    <w:uiPriority w:val="0"/>
    <w:pPr>
      <w:widowControl/>
      <w:spacing w:line="360" w:lineRule="auto"/>
      <w:jc w:val="center"/>
    </w:pPr>
    <w:rPr>
      <w:rFonts w:ascii="宋体" w:hAnsi="宋体" w:eastAsia="黑体" w:cs="宋体"/>
      <w:b/>
      <w:kern w:val="0"/>
      <w:lang w:val="zh-CN"/>
    </w:rPr>
  </w:style>
  <w:style w:type="character" w:customStyle="1" w:styleId="168">
    <w:name w:val="题注-RED Char"/>
    <w:link w:val="167"/>
    <w:qFormat/>
    <w:uiPriority w:val="0"/>
    <w:rPr>
      <w:rFonts w:ascii="宋体" w:hAnsi="宋体" w:eastAsia="黑体" w:cs="宋体"/>
      <w:b/>
      <w:kern w:val="0"/>
      <w:szCs w:val="24"/>
      <w:lang w:val="zh-CN"/>
    </w:rPr>
  </w:style>
  <w:style w:type="character" w:customStyle="1" w:styleId="169">
    <w:name w:val="标题 4 Char2"/>
    <w:qFormat/>
    <w:uiPriority w:val="0"/>
    <w:rPr>
      <w:rFonts w:eastAsia="华文细黑"/>
      <w:b/>
      <w:bCs/>
      <w:color w:val="000000"/>
      <w:kern w:val="2"/>
      <w:sz w:val="24"/>
      <w:szCs w:val="24"/>
      <w:lang w:val="en-US" w:eastAsia="zh-CN" w:bidi="ar-SA"/>
    </w:rPr>
  </w:style>
  <w:style w:type="character" w:customStyle="1" w:styleId="170">
    <w:name w:val="表头样式1 Char Char"/>
    <w:qFormat/>
    <w:uiPriority w:val="0"/>
    <w:rPr>
      <w:rFonts w:eastAsia="宋体"/>
      <w:b/>
      <w:bCs/>
      <w:sz w:val="21"/>
      <w:szCs w:val="21"/>
      <w:lang w:val="en-US" w:eastAsia="zh-CN" w:bidi="ar-SA"/>
    </w:rPr>
  </w:style>
  <w:style w:type="character" w:customStyle="1" w:styleId="171">
    <w:name w:val="副标题 Char8"/>
    <w:link w:val="64"/>
    <w:qFormat/>
    <w:uiPriority w:val="0"/>
    <w:rPr>
      <w:rFonts w:ascii="Calibri Light" w:hAnsi="Calibri Light"/>
      <w:b/>
      <w:bCs/>
      <w:kern w:val="28"/>
      <w:sz w:val="32"/>
      <w:szCs w:val="32"/>
    </w:rPr>
  </w:style>
  <w:style w:type="character" w:customStyle="1" w:styleId="172">
    <w:name w:val="页脚 Char4"/>
    <w:basedOn w:val="133"/>
    <w:link w:val="55"/>
    <w:qFormat/>
    <w:uiPriority w:val="0"/>
    <w:rPr>
      <w:rFonts w:ascii="Times New Roman" w:hAnsi="Times New Roman" w:eastAsia="宋体" w:cs="Times New Roman"/>
      <w:sz w:val="18"/>
      <w:szCs w:val="18"/>
    </w:rPr>
  </w:style>
  <w:style w:type="character" w:customStyle="1" w:styleId="173">
    <w:name w:val="副标题 Char1"/>
    <w:basedOn w:val="133"/>
    <w:qFormat/>
    <w:uiPriority w:val="11"/>
    <w:rPr>
      <w:rFonts w:eastAsia="宋体" w:asciiTheme="majorHAnsi" w:hAnsiTheme="majorHAnsi" w:cstheme="majorBidi"/>
      <w:b/>
      <w:bCs/>
      <w:kern w:val="28"/>
      <w:sz w:val="32"/>
      <w:szCs w:val="32"/>
    </w:rPr>
  </w:style>
  <w:style w:type="character" w:customStyle="1" w:styleId="174">
    <w:name w:val="批注文字 Char4"/>
    <w:basedOn w:val="133"/>
    <w:link w:val="28"/>
    <w:qFormat/>
    <w:uiPriority w:val="99"/>
    <w:rPr>
      <w:rFonts w:ascii="Times New Roman" w:hAnsi="Times New Roman" w:eastAsia="宋体" w:cs="Times New Roman"/>
      <w:szCs w:val="24"/>
    </w:rPr>
  </w:style>
  <w:style w:type="character" w:customStyle="1" w:styleId="175">
    <w:name w:val="页眉 Char3"/>
    <w:basedOn w:val="133"/>
    <w:link w:val="57"/>
    <w:qFormat/>
    <w:uiPriority w:val="0"/>
    <w:rPr>
      <w:rFonts w:ascii="Times New Roman" w:hAnsi="Times New Roman" w:eastAsia="宋体" w:cs="Times New Roman"/>
      <w:sz w:val="18"/>
      <w:szCs w:val="18"/>
    </w:rPr>
  </w:style>
  <w:style w:type="character" w:customStyle="1" w:styleId="176">
    <w:name w:val="题注 Char4"/>
    <w:link w:val="22"/>
    <w:qFormat/>
    <w:uiPriority w:val="0"/>
    <w:rPr>
      <w:rFonts w:ascii="Times New Roman" w:hAnsi="Times New Roman" w:eastAsia="黑体" w:cs="Times New Roman"/>
      <w:b/>
      <w:sz w:val="20"/>
      <w:szCs w:val="20"/>
    </w:rPr>
  </w:style>
  <w:style w:type="character" w:customStyle="1" w:styleId="177">
    <w:name w:val="标题 Char7"/>
    <w:basedOn w:val="133"/>
    <w:link w:val="84"/>
    <w:qFormat/>
    <w:uiPriority w:val="0"/>
    <w:rPr>
      <w:rFonts w:ascii="Calibri Light" w:hAnsi="Calibri Light" w:eastAsia="宋体" w:cs="Times New Roman"/>
      <w:b/>
      <w:bCs/>
      <w:sz w:val="32"/>
      <w:szCs w:val="32"/>
    </w:rPr>
  </w:style>
  <w:style w:type="character" w:customStyle="1" w:styleId="178">
    <w:name w:val="正文缩进 Char"/>
    <w:link w:val="21"/>
    <w:qFormat/>
    <w:uiPriority w:val="0"/>
    <w:rPr>
      <w:rFonts w:ascii="Times New Roman" w:hAnsi="Times New Roman" w:eastAsia="宋体" w:cs="Times New Roman"/>
      <w:sz w:val="28"/>
      <w:szCs w:val="20"/>
    </w:rPr>
  </w:style>
  <w:style w:type="paragraph" w:customStyle="1" w:styleId="179">
    <w:name w:val="Table Paragraph"/>
    <w:basedOn w:val="1"/>
    <w:qFormat/>
    <w:uiPriority w:val="1"/>
    <w:pPr>
      <w:autoSpaceDE w:val="0"/>
      <w:autoSpaceDN w:val="0"/>
      <w:jc w:val="center"/>
    </w:pPr>
    <w:rPr>
      <w:rFonts w:ascii="宋体" w:hAnsi="宋体" w:cs="宋体"/>
      <w:kern w:val="0"/>
      <w:sz w:val="22"/>
      <w:szCs w:val="22"/>
      <w:lang w:eastAsia="en-US"/>
    </w:rPr>
  </w:style>
  <w:style w:type="paragraph" w:customStyle="1" w:styleId="180">
    <w:name w:val="Default"/>
    <w:unhideWhenUsed/>
    <w:qFormat/>
    <w:uiPriority w:val="0"/>
    <w:pPr>
      <w:widowControl w:val="0"/>
      <w:autoSpaceDE w:val="0"/>
      <w:autoSpaceDN w:val="0"/>
      <w:spacing w:line="240" w:lineRule="atLeast"/>
    </w:pPr>
    <w:rPr>
      <w:rFonts w:hint="eastAsia" w:ascii="宋体" w:hAnsi="Times New Roman" w:eastAsia="宋体" w:cs="Times New Roman"/>
      <w:color w:val="000000"/>
      <w:sz w:val="24"/>
      <w:lang w:val="en-US" w:eastAsia="zh-CN" w:bidi="ar-SA"/>
    </w:rPr>
  </w:style>
  <w:style w:type="paragraph" w:customStyle="1" w:styleId="181">
    <w:name w:val="君邦正文"/>
    <w:basedOn w:val="1"/>
    <w:link w:val="182"/>
    <w:qFormat/>
    <w:uiPriority w:val="0"/>
    <w:pPr>
      <w:spacing w:after="60" w:line="360" w:lineRule="auto"/>
      <w:ind w:firstLine="200" w:firstLineChars="200"/>
    </w:pPr>
    <w:rPr>
      <w:sz w:val="24"/>
      <w:szCs w:val="20"/>
    </w:rPr>
  </w:style>
  <w:style w:type="character" w:customStyle="1" w:styleId="182">
    <w:name w:val="君邦正文 Char2"/>
    <w:link w:val="181"/>
    <w:qFormat/>
    <w:uiPriority w:val="0"/>
    <w:rPr>
      <w:rFonts w:ascii="Times New Roman" w:hAnsi="Times New Roman" w:eastAsia="宋体" w:cs="Times New Roman"/>
      <w:sz w:val="24"/>
      <w:szCs w:val="20"/>
    </w:rPr>
  </w:style>
  <w:style w:type="paragraph" w:customStyle="1" w:styleId="183">
    <w:name w:val="序号-RED"/>
    <w:basedOn w:val="162"/>
    <w:qFormat/>
    <w:uiPriority w:val="0"/>
    <w:pPr>
      <w:numPr>
        <w:ilvl w:val="0"/>
        <w:numId w:val="2"/>
      </w:numPr>
    </w:pPr>
    <w:rPr>
      <w:lang w:val="zh-CN"/>
    </w:rPr>
  </w:style>
  <w:style w:type="paragraph" w:customStyle="1" w:styleId="184">
    <w:name w:val="列出段落1"/>
    <w:basedOn w:val="1"/>
    <w:qFormat/>
    <w:uiPriority w:val="99"/>
    <w:pPr>
      <w:ind w:firstLine="420" w:firstLineChars="200"/>
    </w:pPr>
  </w:style>
  <w:style w:type="paragraph" w:customStyle="1" w:styleId="185">
    <w:name w:val="CT"/>
    <w:basedOn w:val="1"/>
    <w:qFormat/>
    <w:uiPriority w:val="0"/>
    <w:pPr>
      <w:snapToGrid w:val="0"/>
      <w:spacing w:before="240" w:line="360" w:lineRule="auto"/>
      <w:jc w:val="center"/>
    </w:pPr>
    <w:rPr>
      <w:rFonts w:ascii="黑体" w:hAnsi="黑体" w:eastAsia="黑体"/>
      <w:b/>
      <w:lang w:val="zh-CN"/>
    </w:rPr>
  </w:style>
  <w:style w:type="paragraph" w:styleId="186">
    <w:name w:val="List Paragraph"/>
    <w:basedOn w:val="1"/>
    <w:link w:val="187"/>
    <w:qFormat/>
    <w:uiPriority w:val="1"/>
    <w:pPr>
      <w:ind w:firstLine="420" w:firstLineChars="200"/>
    </w:pPr>
  </w:style>
  <w:style w:type="character" w:customStyle="1" w:styleId="187">
    <w:name w:val="列出段落 Char2"/>
    <w:link w:val="186"/>
    <w:qFormat/>
    <w:uiPriority w:val="34"/>
    <w:rPr>
      <w:rFonts w:ascii="Times New Roman" w:hAnsi="Times New Roman" w:eastAsia="宋体" w:cs="Times New Roman"/>
      <w:szCs w:val="24"/>
    </w:rPr>
  </w:style>
  <w:style w:type="paragraph" w:customStyle="1" w:styleId="188">
    <w:name w:val="样式8"/>
    <w:basedOn w:val="21"/>
    <w:qFormat/>
    <w:uiPriority w:val="0"/>
    <w:pPr>
      <w:spacing w:after="60" w:line="360" w:lineRule="auto"/>
      <w:ind w:firstLine="480" w:firstLineChars="200"/>
    </w:pPr>
    <w:rPr>
      <w:rFonts w:hAnsi="宋体"/>
      <w:sz w:val="24"/>
      <w:szCs w:val="24"/>
    </w:rPr>
  </w:style>
  <w:style w:type="character" w:customStyle="1" w:styleId="189">
    <w:name w:val="表格 Char"/>
    <w:link w:val="190"/>
    <w:qFormat/>
    <w:uiPriority w:val="0"/>
    <w:rPr>
      <w:rFonts w:ascii="Times New Roman" w:hAnsi="Times New Roman" w:eastAsia="仿宋_GB2312"/>
      <w:sz w:val="24"/>
    </w:rPr>
  </w:style>
  <w:style w:type="paragraph" w:customStyle="1" w:styleId="190">
    <w:name w:val="表格"/>
    <w:basedOn w:val="1"/>
    <w:next w:val="1"/>
    <w:link w:val="189"/>
    <w:qFormat/>
    <w:uiPriority w:val="0"/>
    <w:pPr>
      <w:adjustRightInd w:val="0"/>
      <w:snapToGrid w:val="0"/>
      <w:spacing w:line="240" w:lineRule="atLeast"/>
      <w:jc w:val="center"/>
      <w:textAlignment w:val="baseline"/>
    </w:pPr>
    <w:rPr>
      <w:rFonts w:eastAsia="仿宋_GB2312" w:cstheme="minorBidi"/>
      <w:sz w:val="24"/>
      <w:szCs w:val="22"/>
    </w:rPr>
  </w:style>
  <w:style w:type="paragraph" w:customStyle="1" w:styleId="191">
    <w:name w:val="表内容"/>
    <w:basedOn w:val="1"/>
    <w:qFormat/>
    <w:uiPriority w:val="0"/>
    <w:pPr>
      <w:widowControl/>
      <w:adjustRightInd w:val="0"/>
      <w:snapToGrid w:val="0"/>
      <w:spacing w:line="360" w:lineRule="atLeast"/>
      <w:jc w:val="center"/>
      <w:textAlignment w:val="baseline"/>
    </w:pPr>
    <w:rPr>
      <w:rFonts w:ascii="Calibri" w:hAnsi="Calibri"/>
      <w:snapToGrid w:val="0"/>
      <w:spacing w:val="-2"/>
      <w:kern w:val="0"/>
      <w:sz w:val="28"/>
      <w:szCs w:val="20"/>
    </w:rPr>
  </w:style>
  <w:style w:type="character" w:customStyle="1" w:styleId="192">
    <w:name w:val="样式1 Char"/>
    <w:link w:val="193"/>
    <w:qFormat/>
    <w:uiPriority w:val="0"/>
    <w:rPr>
      <w:rFonts w:ascii="Arial" w:hAnsi="Arial" w:eastAsia="宋体" w:cs="Arial"/>
      <w:color w:val="000000"/>
      <w:sz w:val="24"/>
      <w:szCs w:val="24"/>
    </w:rPr>
  </w:style>
  <w:style w:type="paragraph" w:customStyle="1" w:styleId="193">
    <w:name w:val="样式1"/>
    <w:basedOn w:val="1"/>
    <w:link w:val="192"/>
    <w:qFormat/>
    <w:uiPriority w:val="0"/>
    <w:pPr>
      <w:spacing w:line="500" w:lineRule="exact"/>
      <w:ind w:firstLine="480" w:firstLineChars="200"/>
    </w:pPr>
    <w:rPr>
      <w:rFonts w:ascii="Arial" w:hAnsi="Arial" w:cs="Arial"/>
      <w:color w:val="000000"/>
      <w:sz w:val="24"/>
    </w:rPr>
  </w:style>
  <w:style w:type="character" w:customStyle="1" w:styleId="194">
    <w:name w:val="表内格式 Char1"/>
    <w:link w:val="195"/>
    <w:qFormat/>
    <w:uiPriority w:val="0"/>
    <w:rPr>
      <w:rFonts w:eastAsia="宋体"/>
      <w:sz w:val="18"/>
    </w:rPr>
  </w:style>
  <w:style w:type="paragraph" w:customStyle="1" w:styleId="195">
    <w:name w:val="表内格式"/>
    <w:basedOn w:val="1"/>
    <w:link w:val="194"/>
    <w:qFormat/>
    <w:uiPriority w:val="0"/>
    <w:pPr>
      <w:jc w:val="center"/>
    </w:pPr>
    <w:rPr>
      <w:rFonts w:asciiTheme="minorHAnsi" w:hAnsiTheme="minorHAnsi" w:cstheme="minorBidi"/>
      <w:sz w:val="18"/>
      <w:szCs w:val="22"/>
    </w:rPr>
  </w:style>
  <w:style w:type="character" w:customStyle="1" w:styleId="196">
    <w:name w:val="【正文】 Char"/>
    <w:link w:val="197"/>
    <w:qFormat/>
    <w:uiPriority w:val="0"/>
    <w:rPr>
      <w:rFonts w:eastAsia="宋体"/>
      <w:sz w:val="24"/>
      <w:szCs w:val="24"/>
    </w:rPr>
  </w:style>
  <w:style w:type="paragraph" w:customStyle="1" w:styleId="197">
    <w:name w:val="【正文】"/>
    <w:basedOn w:val="1"/>
    <w:link w:val="196"/>
    <w:qFormat/>
    <w:uiPriority w:val="0"/>
    <w:pPr>
      <w:adjustRightInd w:val="0"/>
      <w:spacing w:line="360" w:lineRule="auto"/>
      <w:ind w:firstLine="482"/>
      <w:jc w:val="left"/>
      <w:textAlignment w:val="baseline"/>
    </w:pPr>
    <w:rPr>
      <w:rFonts w:asciiTheme="minorHAnsi" w:hAnsiTheme="minorHAnsi" w:cstheme="minorBidi"/>
      <w:sz w:val="24"/>
    </w:rPr>
  </w:style>
  <w:style w:type="character" w:customStyle="1" w:styleId="198">
    <w:name w:val="天环正文 字符"/>
    <w:link w:val="199"/>
    <w:qFormat/>
    <w:uiPriority w:val="0"/>
    <w:rPr>
      <w:sz w:val="24"/>
      <w:szCs w:val="24"/>
    </w:rPr>
  </w:style>
  <w:style w:type="paragraph" w:customStyle="1" w:styleId="199">
    <w:name w:val="天环正文"/>
    <w:basedOn w:val="1"/>
    <w:link w:val="198"/>
    <w:qFormat/>
    <w:uiPriority w:val="0"/>
    <w:pPr>
      <w:spacing w:line="360" w:lineRule="auto"/>
      <w:ind w:firstLine="200" w:firstLineChars="200"/>
    </w:pPr>
    <w:rPr>
      <w:rFonts w:asciiTheme="minorHAnsi" w:hAnsiTheme="minorHAnsi" w:eastAsiaTheme="minorEastAsia" w:cstheme="minorBidi"/>
      <w:sz w:val="24"/>
    </w:rPr>
  </w:style>
  <w:style w:type="paragraph" w:customStyle="1" w:styleId="200">
    <w:name w:val="_Style 1698"/>
    <w:basedOn w:val="1"/>
    <w:next w:val="186"/>
    <w:qFormat/>
    <w:uiPriority w:val="0"/>
    <w:pPr>
      <w:ind w:firstLine="420" w:firstLineChars="200"/>
    </w:pPr>
    <w:rPr>
      <w:rFonts w:ascii="Calibri" w:hAnsi="Calibri"/>
      <w:szCs w:val="22"/>
    </w:rPr>
  </w:style>
  <w:style w:type="character" w:customStyle="1" w:styleId="201">
    <w:name w:val="表头 字符"/>
    <w:qFormat/>
    <w:uiPriority w:val="0"/>
    <w:rPr>
      <w:rFonts w:cs="Arial"/>
      <w:b/>
      <w:color w:val="000000"/>
      <w:sz w:val="24"/>
      <w:szCs w:val="21"/>
    </w:rPr>
  </w:style>
  <w:style w:type="character" w:customStyle="1" w:styleId="202">
    <w:name w:val="正文小四 Char"/>
    <w:link w:val="203"/>
    <w:qFormat/>
    <w:uiPriority w:val="0"/>
    <w:rPr>
      <w:rFonts w:eastAsia="宋体"/>
      <w:sz w:val="24"/>
    </w:rPr>
  </w:style>
  <w:style w:type="paragraph" w:customStyle="1" w:styleId="203">
    <w:name w:val="正文小四"/>
    <w:basedOn w:val="1"/>
    <w:link w:val="202"/>
    <w:qFormat/>
    <w:uiPriority w:val="0"/>
    <w:pPr>
      <w:spacing w:line="360" w:lineRule="auto"/>
      <w:ind w:firstLine="360" w:firstLineChars="150"/>
      <w:jc w:val="left"/>
    </w:pPr>
    <w:rPr>
      <w:rFonts w:asciiTheme="minorHAnsi" w:hAnsiTheme="minorHAnsi" w:cstheme="minorBidi"/>
      <w:sz w:val="24"/>
      <w:szCs w:val="22"/>
    </w:rPr>
  </w:style>
  <w:style w:type="character" w:customStyle="1" w:styleId="204">
    <w:name w:val="普通(网站) Char2"/>
    <w:link w:val="81"/>
    <w:qFormat/>
    <w:uiPriority w:val="0"/>
    <w:rPr>
      <w:rFonts w:ascii="宋体" w:hAnsi="宋体" w:eastAsia="宋体" w:cs="宋体"/>
      <w:sz w:val="24"/>
      <w:szCs w:val="24"/>
    </w:rPr>
  </w:style>
  <w:style w:type="paragraph" w:customStyle="1" w:styleId="205">
    <w:name w:val="一级条标题"/>
    <w:basedOn w:val="1"/>
    <w:next w:val="1"/>
    <w:qFormat/>
    <w:uiPriority w:val="0"/>
    <w:pPr>
      <w:widowControl/>
      <w:tabs>
        <w:tab w:val="left" w:pos="0"/>
        <w:tab w:val="left" w:pos="360"/>
      </w:tabs>
      <w:outlineLvl w:val="2"/>
    </w:pPr>
    <w:rPr>
      <w:rFonts w:ascii="黑体" w:eastAsia="黑体"/>
      <w:kern w:val="0"/>
      <w:szCs w:val="20"/>
    </w:rPr>
  </w:style>
  <w:style w:type="paragraph" w:customStyle="1" w:styleId="206">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207">
    <w:name w:val="批注主题 Char7"/>
    <w:basedOn w:val="174"/>
    <w:link w:val="85"/>
    <w:qFormat/>
    <w:uiPriority w:val="0"/>
    <w:rPr>
      <w:rFonts w:ascii="Times New Roman" w:hAnsi="Times New Roman" w:eastAsia="宋体" w:cs="Times New Roman"/>
      <w:b/>
      <w:bCs/>
      <w:szCs w:val="24"/>
    </w:rPr>
  </w:style>
  <w:style w:type="character" w:customStyle="1" w:styleId="208">
    <w:name w:val="批注框文本 Char6"/>
    <w:basedOn w:val="133"/>
    <w:link w:val="54"/>
    <w:qFormat/>
    <w:uiPriority w:val="0"/>
    <w:rPr>
      <w:rFonts w:ascii="Times New Roman" w:hAnsi="Times New Roman" w:eastAsia="宋体" w:cs="Times New Roman"/>
      <w:sz w:val="18"/>
      <w:szCs w:val="18"/>
    </w:rPr>
  </w:style>
  <w:style w:type="character" w:customStyle="1" w:styleId="209">
    <w:name w:val="表头 Char1"/>
    <w:link w:val="210"/>
    <w:qFormat/>
    <w:uiPriority w:val="0"/>
    <w:rPr>
      <w:rFonts w:ascii="Arial" w:eastAsia="黑体" w:cs="Arial"/>
      <w:b/>
      <w:color w:val="000000"/>
      <w:szCs w:val="21"/>
    </w:rPr>
  </w:style>
  <w:style w:type="paragraph" w:customStyle="1" w:styleId="210">
    <w:name w:val="表头"/>
    <w:basedOn w:val="1"/>
    <w:link w:val="209"/>
    <w:qFormat/>
    <w:uiPriority w:val="0"/>
    <w:pPr>
      <w:adjustRightInd w:val="0"/>
      <w:spacing w:before="120" w:after="120" w:line="360" w:lineRule="atLeast"/>
      <w:jc w:val="center"/>
    </w:pPr>
    <w:rPr>
      <w:rFonts w:ascii="Arial" w:eastAsia="黑体" w:cs="Arial" w:hAnsiTheme="minorHAnsi"/>
      <w:b/>
      <w:color w:val="000000"/>
      <w:szCs w:val="21"/>
    </w:rPr>
  </w:style>
  <w:style w:type="character" w:customStyle="1" w:styleId="211">
    <w:name w:val="表格文本 字符"/>
    <w:link w:val="212"/>
    <w:qFormat/>
    <w:uiPriority w:val="0"/>
  </w:style>
  <w:style w:type="paragraph" w:customStyle="1" w:styleId="212">
    <w:name w:val="表格文本"/>
    <w:basedOn w:val="1"/>
    <w:next w:val="1"/>
    <w:link w:val="211"/>
    <w:qFormat/>
    <w:uiPriority w:val="0"/>
    <w:pPr>
      <w:spacing w:line="240" w:lineRule="exact"/>
    </w:pPr>
    <w:rPr>
      <w:rFonts w:asciiTheme="minorHAnsi" w:hAnsiTheme="minorHAnsi" w:eastAsiaTheme="minorEastAsia" w:cstheme="minorBidi"/>
      <w:szCs w:val="22"/>
    </w:rPr>
  </w:style>
  <w:style w:type="character" w:customStyle="1" w:styleId="213">
    <w:name w:val="Char Char282"/>
    <w:qFormat/>
    <w:uiPriority w:val="0"/>
    <w:rPr>
      <w:rFonts w:hint="eastAsia" w:ascii="宋体" w:hAnsi="宋体" w:eastAsia="宋体"/>
      <w:kern w:val="2"/>
      <w:sz w:val="18"/>
      <w:szCs w:val="18"/>
      <w:lang w:val="en-US" w:eastAsia="zh-CN" w:bidi="ar-SA"/>
    </w:rPr>
  </w:style>
  <w:style w:type="character" w:customStyle="1" w:styleId="214">
    <w:name w:val="样式 样式 小四 左 首行缩进:  2 字符 + 首行缩进:  2 字符 Char Char"/>
    <w:link w:val="215"/>
    <w:qFormat/>
    <w:locked/>
    <w:uiPriority w:val="0"/>
    <w:rPr>
      <w:sz w:val="28"/>
    </w:rPr>
  </w:style>
  <w:style w:type="paragraph" w:customStyle="1" w:styleId="215">
    <w:name w:val="样式 样式 小四 左 首行缩进:  2 字符 + 首行缩进:  2 字符 Char"/>
    <w:basedOn w:val="1"/>
    <w:link w:val="214"/>
    <w:qFormat/>
    <w:uiPriority w:val="0"/>
    <w:pPr>
      <w:adjustRightInd w:val="0"/>
      <w:spacing w:line="360" w:lineRule="auto"/>
      <w:ind w:right="-56" w:rightChars="-20" w:firstLine="560" w:firstLineChars="200"/>
      <w:jc w:val="left"/>
    </w:pPr>
    <w:rPr>
      <w:rFonts w:asciiTheme="minorHAnsi" w:hAnsiTheme="minorHAnsi" w:eastAsiaTheme="minorEastAsia" w:cstheme="minorBidi"/>
      <w:sz w:val="28"/>
      <w:szCs w:val="22"/>
    </w:rPr>
  </w:style>
  <w:style w:type="character" w:customStyle="1" w:styleId="216">
    <w:name w:val="A-正文 Char"/>
    <w:qFormat/>
    <w:uiPriority w:val="0"/>
    <w:rPr>
      <w:kern w:val="2"/>
      <w:sz w:val="24"/>
      <w:szCs w:val="24"/>
    </w:rPr>
  </w:style>
  <w:style w:type="character" w:customStyle="1" w:styleId="217">
    <w:name w:val="HTML 定义11"/>
    <w:qFormat/>
    <w:uiPriority w:val="0"/>
    <w:rPr>
      <w:i/>
      <w:iCs/>
    </w:rPr>
  </w:style>
  <w:style w:type="character" w:customStyle="1" w:styleId="218">
    <w:name w:val="Char Char132"/>
    <w:qFormat/>
    <w:uiPriority w:val="0"/>
    <w:rPr>
      <w:rFonts w:hint="eastAsia" w:ascii="宋体" w:hAnsi="Courier New" w:eastAsia="宋体"/>
      <w:sz w:val="21"/>
      <w:szCs w:val="21"/>
      <w:lang w:bidi="ar-SA"/>
    </w:rPr>
  </w:style>
  <w:style w:type="character" w:customStyle="1" w:styleId="219">
    <w:name w:val="Char Char172"/>
    <w:qFormat/>
    <w:uiPriority w:val="0"/>
    <w:rPr>
      <w:rFonts w:hint="eastAsia" w:ascii="宋体" w:hAnsi="宋体" w:eastAsia="宋体"/>
      <w:kern w:val="2"/>
      <w:sz w:val="18"/>
      <w:szCs w:val="18"/>
      <w:lang w:val="en-US" w:eastAsia="zh-CN" w:bidi="ar-SA"/>
    </w:rPr>
  </w:style>
  <w:style w:type="character" w:customStyle="1" w:styleId="220">
    <w:name w:val="Char Char82"/>
    <w:qFormat/>
    <w:locked/>
    <w:uiPriority w:val="0"/>
    <w:rPr>
      <w:rFonts w:ascii="仿宋_GB2312" w:hAnsi="Courier New" w:eastAsia="仿宋_GB2312"/>
      <w:sz w:val="28"/>
      <w:lang w:val="en-US" w:eastAsia="zh-CN" w:bidi="ar-SA"/>
    </w:rPr>
  </w:style>
  <w:style w:type="character" w:customStyle="1" w:styleId="221">
    <w:name w:val="HTML 样本11"/>
    <w:qFormat/>
    <w:uiPriority w:val="0"/>
    <w:rPr>
      <w:rFonts w:ascii="Courier New" w:hAnsi="Courier New" w:cs="Courier New"/>
    </w:rPr>
  </w:style>
  <w:style w:type="character" w:customStyle="1" w:styleId="222">
    <w:name w:val="样式 标题 2 + 加粗 Char"/>
    <w:link w:val="223"/>
    <w:qFormat/>
    <w:locked/>
    <w:uiPriority w:val="0"/>
    <w:rPr>
      <w:rFonts w:ascii="黑体" w:hAnsi="黑体" w:eastAsia="黑体"/>
      <w:b/>
      <w:bCs/>
      <w:sz w:val="28"/>
      <w:szCs w:val="28"/>
    </w:rPr>
  </w:style>
  <w:style w:type="paragraph" w:customStyle="1" w:styleId="223">
    <w:name w:val="样式 标题 2 + 加粗"/>
    <w:basedOn w:val="4"/>
    <w:link w:val="222"/>
    <w:qFormat/>
    <w:uiPriority w:val="0"/>
    <w:pPr>
      <w:keepLines w:val="0"/>
      <w:spacing w:before="0" w:beforeLines="50" w:after="0" w:afterLines="50" w:line="240" w:lineRule="auto"/>
    </w:pPr>
    <w:rPr>
      <w:rFonts w:ascii="黑体" w:hAnsi="黑体" w:cstheme="minorBidi"/>
      <w:color w:val="auto"/>
      <w:sz w:val="28"/>
    </w:rPr>
  </w:style>
  <w:style w:type="character" w:customStyle="1" w:styleId="224">
    <w:name w:val="Char Char510"/>
    <w:qFormat/>
    <w:uiPriority w:val="0"/>
    <w:rPr>
      <w:rFonts w:eastAsia="宋体"/>
      <w:kern w:val="2"/>
      <w:sz w:val="21"/>
      <w:szCs w:val="24"/>
      <w:lang w:val="en-US" w:eastAsia="zh-CN" w:bidi="ar-SA"/>
    </w:rPr>
  </w:style>
  <w:style w:type="character" w:customStyle="1" w:styleId="225">
    <w:name w:val="Char Char Char4"/>
    <w:qFormat/>
    <w:uiPriority w:val="0"/>
    <w:rPr>
      <w:rFonts w:ascii="Tahoma" w:hAnsi="Tahoma" w:eastAsia="宋体"/>
      <w:kern w:val="2"/>
      <w:sz w:val="24"/>
      <w:lang w:val="en-US" w:eastAsia="zh-CN" w:bidi="ar-SA"/>
    </w:rPr>
  </w:style>
  <w:style w:type="character" w:customStyle="1" w:styleId="226">
    <w:name w:val="Char Char182"/>
    <w:qFormat/>
    <w:uiPriority w:val="0"/>
    <w:rPr>
      <w:kern w:val="2"/>
      <w:sz w:val="18"/>
      <w:szCs w:val="18"/>
    </w:rPr>
  </w:style>
  <w:style w:type="character" w:customStyle="1" w:styleId="227">
    <w:name w:val="文本 Char"/>
    <w:link w:val="228"/>
    <w:qFormat/>
    <w:locked/>
    <w:uiPriority w:val="0"/>
    <w:rPr>
      <w:rFonts w:ascii="宋体" w:hAnsi="宋体"/>
      <w:kern w:val="21"/>
      <w:szCs w:val="24"/>
    </w:rPr>
  </w:style>
  <w:style w:type="paragraph" w:customStyle="1" w:styleId="228">
    <w:name w:val="文本"/>
    <w:basedOn w:val="1"/>
    <w:link w:val="227"/>
    <w:qFormat/>
    <w:uiPriority w:val="0"/>
    <w:pPr>
      <w:tabs>
        <w:tab w:val="right" w:leader="dot" w:pos="8296"/>
      </w:tabs>
      <w:adjustRightInd w:val="0"/>
      <w:snapToGrid w:val="0"/>
      <w:spacing w:beforeLines="20"/>
      <w:jc w:val="center"/>
    </w:pPr>
    <w:rPr>
      <w:rFonts w:ascii="宋体" w:hAnsi="宋体" w:eastAsiaTheme="minorEastAsia" w:cstheme="minorBidi"/>
      <w:kern w:val="21"/>
    </w:rPr>
  </w:style>
  <w:style w:type="character" w:customStyle="1" w:styleId="229">
    <w:name w:val="Char Char292"/>
    <w:qFormat/>
    <w:uiPriority w:val="0"/>
    <w:rPr>
      <w:rFonts w:hint="eastAsia" w:ascii="黑体" w:hAnsi="黑体" w:eastAsia="黑体"/>
      <w:bCs/>
      <w:kern w:val="2"/>
      <w:sz w:val="24"/>
      <w:lang w:val="en-US" w:eastAsia="zh-CN" w:bidi="ar-SA"/>
    </w:rPr>
  </w:style>
  <w:style w:type="character" w:customStyle="1" w:styleId="230">
    <w:name w:val="Char Char322"/>
    <w:qFormat/>
    <w:uiPriority w:val="0"/>
    <w:rPr>
      <w:rFonts w:hint="default" w:ascii="Arial" w:hAnsi="Arial" w:cs="Arial"/>
      <w:b/>
      <w:kern w:val="2"/>
      <w:sz w:val="21"/>
    </w:rPr>
  </w:style>
  <w:style w:type="character" w:customStyle="1" w:styleId="231">
    <w:name w:val="款项 Char"/>
    <w:link w:val="232"/>
    <w:qFormat/>
    <w:locked/>
    <w:uiPriority w:val="0"/>
    <w:rPr>
      <w:rFonts w:ascii="Arial" w:hAnsi="Arial" w:cs="Arial"/>
      <w:b/>
      <w:sz w:val="24"/>
      <w:szCs w:val="24"/>
    </w:rPr>
  </w:style>
  <w:style w:type="paragraph" w:customStyle="1" w:styleId="232">
    <w:name w:val="款项"/>
    <w:basedOn w:val="1"/>
    <w:next w:val="1"/>
    <w:link w:val="231"/>
    <w:qFormat/>
    <w:uiPriority w:val="0"/>
    <w:pPr>
      <w:tabs>
        <w:tab w:val="left" w:pos="3626"/>
      </w:tabs>
      <w:spacing w:line="480" w:lineRule="exact"/>
    </w:pPr>
    <w:rPr>
      <w:rFonts w:ascii="Arial" w:hAnsi="Arial" w:cs="Arial" w:eastAsiaTheme="minorEastAsia"/>
      <w:b/>
      <w:sz w:val="24"/>
    </w:rPr>
  </w:style>
  <w:style w:type="character" w:customStyle="1" w:styleId="233">
    <w:name w:val="Char Char381"/>
    <w:qFormat/>
    <w:uiPriority w:val="0"/>
    <w:rPr>
      <w:rFonts w:ascii="Cambria" w:hAnsi="Cambria" w:eastAsia="宋体" w:cs="Times New Roman"/>
      <w:b/>
      <w:bCs/>
      <w:kern w:val="2"/>
      <w:sz w:val="32"/>
      <w:szCs w:val="32"/>
    </w:rPr>
  </w:style>
  <w:style w:type="character" w:customStyle="1" w:styleId="234">
    <w:name w:val="超链接2"/>
    <w:qFormat/>
    <w:uiPriority w:val="0"/>
    <w:rPr>
      <w:color w:val="0000FF"/>
      <w:u w:val="single"/>
    </w:rPr>
  </w:style>
  <w:style w:type="character" w:customStyle="1" w:styleId="235">
    <w:name w:val="标题11"/>
    <w:qFormat/>
    <w:uiPriority w:val="0"/>
  </w:style>
  <w:style w:type="character" w:customStyle="1" w:styleId="236">
    <w:name w:val="Char Char302"/>
    <w:qFormat/>
    <w:uiPriority w:val="0"/>
    <w:rPr>
      <w:rFonts w:hint="default" w:ascii="Arial" w:hAnsi="Arial" w:eastAsia="黑体" w:cs="Arial"/>
      <w:b/>
      <w:bCs/>
      <w:kern w:val="2"/>
      <w:sz w:val="32"/>
      <w:szCs w:val="32"/>
      <w:lang w:val="en-US" w:eastAsia="zh-CN" w:bidi="ar-SA"/>
    </w:rPr>
  </w:style>
  <w:style w:type="character" w:customStyle="1" w:styleId="237">
    <w:name w:val="正文首行缩进 Char Char1"/>
    <w:qFormat/>
    <w:uiPriority w:val="0"/>
    <w:rPr>
      <w:kern w:val="2"/>
      <w:sz w:val="21"/>
      <w:szCs w:val="24"/>
    </w:rPr>
  </w:style>
  <w:style w:type="character" w:customStyle="1" w:styleId="238">
    <w:name w:val="表格标题智汇元 字符"/>
    <w:link w:val="239"/>
    <w:qFormat/>
    <w:uiPriority w:val="0"/>
    <w:rPr>
      <w:rFonts w:eastAsia="黑体"/>
      <w:sz w:val="24"/>
    </w:rPr>
  </w:style>
  <w:style w:type="paragraph" w:customStyle="1" w:styleId="239">
    <w:name w:val="表格标题智汇元"/>
    <w:basedOn w:val="1"/>
    <w:link w:val="238"/>
    <w:qFormat/>
    <w:uiPriority w:val="0"/>
    <w:pPr>
      <w:keepNext/>
      <w:widowControl/>
      <w:spacing w:before="50" w:beforeLines="50"/>
      <w:jc w:val="center"/>
    </w:pPr>
    <w:rPr>
      <w:rFonts w:eastAsia="黑体" w:asciiTheme="minorHAnsi" w:hAnsiTheme="minorHAnsi" w:cstheme="minorBidi"/>
      <w:sz w:val="24"/>
      <w:szCs w:val="22"/>
    </w:rPr>
  </w:style>
  <w:style w:type="character" w:customStyle="1" w:styleId="240">
    <w:name w:val="未处理的提及1"/>
    <w:unhideWhenUsed/>
    <w:qFormat/>
    <w:uiPriority w:val="99"/>
    <w:rPr>
      <w:color w:val="605E5C"/>
      <w:shd w:val="clear" w:color="auto" w:fill="E1DFDD"/>
    </w:rPr>
  </w:style>
  <w:style w:type="character" w:customStyle="1" w:styleId="241">
    <w:name w:val="已访问的超链接11"/>
    <w:qFormat/>
    <w:uiPriority w:val="0"/>
    <w:rPr>
      <w:color w:val="800080"/>
      <w:u w:val="single"/>
    </w:rPr>
  </w:style>
  <w:style w:type="character" w:customStyle="1" w:styleId="242">
    <w:name w:val="Char Char210"/>
    <w:qFormat/>
    <w:uiPriority w:val="0"/>
    <w:rPr>
      <w:rFonts w:ascii="Arial" w:hAnsi="Arial" w:eastAsia="黑体"/>
      <w:kern w:val="2"/>
      <w:sz w:val="21"/>
      <w:szCs w:val="21"/>
      <w:lang w:val="en-US" w:eastAsia="zh-CN" w:bidi="ar-SA"/>
    </w:rPr>
  </w:style>
  <w:style w:type="character" w:customStyle="1" w:styleId="243">
    <w:name w:val="Char Char262"/>
    <w:qFormat/>
    <w:uiPriority w:val="0"/>
    <w:rPr>
      <w:rFonts w:hint="default" w:ascii="Arial" w:hAnsi="Arial" w:eastAsia="黑体" w:cs="Arial"/>
      <w:b/>
      <w:kern w:val="2"/>
      <w:sz w:val="28"/>
    </w:rPr>
  </w:style>
  <w:style w:type="character" w:customStyle="1" w:styleId="244">
    <w:name w:val="列表段落 字符"/>
    <w:qFormat/>
    <w:locked/>
    <w:uiPriority w:val="0"/>
    <w:rPr>
      <w:rFonts w:ascii="Calibri" w:hAnsi="Calibri"/>
      <w:kern w:val="2"/>
      <w:sz w:val="21"/>
      <w:szCs w:val="24"/>
    </w:rPr>
  </w:style>
  <w:style w:type="character" w:customStyle="1" w:styleId="245">
    <w:name w:val="Char Char372"/>
    <w:qFormat/>
    <w:uiPriority w:val="0"/>
    <w:rPr>
      <w:rFonts w:hint="eastAsia" w:ascii="宋体" w:hAnsi="宋体" w:eastAsia="宋体"/>
      <w:kern w:val="2"/>
      <w:sz w:val="18"/>
      <w:szCs w:val="18"/>
    </w:rPr>
  </w:style>
  <w:style w:type="character" w:customStyle="1" w:styleId="246">
    <w:name w:val="批注引用11"/>
    <w:qFormat/>
    <w:uiPriority w:val="0"/>
    <w:rPr>
      <w:sz w:val="21"/>
      <w:szCs w:val="21"/>
    </w:rPr>
  </w:style>
  <w:style w:type="character" w:customStyle="1" w:styleId="247">
    <w:name w:val="Char Char112"/>
    <w:qFormat/>
    <w:uiPriority w:val="0"/>
    <w:rPr>
      <w:rFonts w:ascii="宋体" w:eastAsia="宋体"/>
      <w:kern w:val="2"/>
      <w:sz w:val="21"/>
      <w:lang w:val="en-US" w:eastAsia="zh-CN" w:bidi="ar-SA"/>
    </w:rPr>
  </w:style>
  <w:style w:type="character" w:customStyle="1" w:styleId="248">
    <w:name w:val="HTML 变量11"/>
    <w:qFormat/>
    <w:uiPriority w:val="0"/>
    <w:rPr>
      <w:i/>
      <w:iCs/>
    </w:rPr>
  </w:style>
  <w:style w:type="character" w:customStyle="1" w:styleId="249">
    <w:name w:val="HTML 缩写11"/>
    <w:qFormat/>
    <w:uiPriority w:val="0"/>
  </w:style>
  <w:style w:type="character" w:customStyle="1" w:styleId="250">
    <w:name w:val="日期 Char1"/>
    <w:qFormat/>
    <w:uiPriority w:val="0"/>
    <w:rPr>
      <w:rFonts w:ascii="Times New Roman" w:hAnsi="Times New Roman"/>
      <w:kern w:val="2"/>
      <w:sz w:val="21"/>
      <w:szCs w:val="24"/>
    </w:rPr>
  </w:style>
  <w:style w:type="character" w:customStyle="1" w:styleId="251">
    <w:name w:val="unnamed1"/>
    <w:qFormat/>
    <w:uiPriority w:val="0"/>
  </w:style>
  <w:style w:type="character" w:customStyle="1" w:styleId="252">
    <w:name w:val="FollowedHyperlink1"/>
    <w:qFormat/>
    <w:uiPriority w:val="0"/>
    <w:rPr>
      <w:rFonts w:hint="default" w:ascii="Times New Roman" w:hAnsi="Times New Roman" w:cs="Times New Roman"/>
      <w:color w:val="800080"/>
      <w:u w:val="single"/>
    </w:rPr>
  </w:style>
  <w:style w:type="character" w:customStyle="1" w:styleId="253">
    <w:name w:val="样式 样式 正文样式 + + (符号) 宋体 小四 Char"/>
    <w:link w:val="254"/>
    <w:qFormat/>
    <w:uiPriority w:val="0"/>
    <w:rPr>
      <w:rFonts w:hAnsi="宋体" w:eastAsia="宋体"/>
      <w:color w:val="000000"/>
      <w:sz w:val="24"/>
      <w:szCs w:val="24"/>
    </w:rPr>
  </w:style>
  <w:style w:type="paragraph" w:customStyle="1" w:styleId="254">
    <w:name w:val="样式 样式 正文样式 + + (符号) 宋体 小四"/>
    <w:basedOn w:val="1"/>
    <w:link w:val="253"/>
    <w:qFormat/>
    <w:uiPriority w:val="0"/>
    <w:pPr>
      <w:widowControl/>
      <w:adjustRightInd w:val="0"/>
      <w:snapToGrid w:val="0"/>
      <w:spacing w:line="360" w:lineRule="auto"/>
      <w:ind w:firstLine="480"/>
      <w:jc w:val="left"/>
    </w:pPr>
    <w:rPr>
      <w:rFonts w:hAnsi="宋体" w:asciiTheme="minorHAnsi" w:cstheme="minorBidi"/>
      <w:color w:val="000000"/>
      <w:sz w:val="24"/>
    </w:rPr>
  </w:style>
  <w:style w:type="character" w:customStyle="1" w:styleId="255">
    <w:name w:val="title2"/>
    <w:qFormat/>
    <w:uiPriority w:val="0"/>
    <w:rPr>
      <w:b/>
      <w:bCs/>
      <w:color w:val="660000"/>
      <w:sz w:val="27"/>
      <w:szCs w:val="27"/>
    </w:rPr>
  </w:style>
  <w:style w:type="character" w:customStyle="1" w:styleId="256">
    <w:name w:val="样式 表格 + 宋体 五号 Char"/>
    <w:qFormat/>
    <w:uiPriority w:val="0"/>
    <w:rPr>
      <w:rFonts w:ascii="宋体" w:hAnsi="宋体" w:eastAsia="宋体"/>
      <w:snapToGrid w:val="0"/>
      <w:sz w:val="21"/>
      <w:lang w:val="en-US" w:eastAsia="zh-CN" w:bidi="ar-SA"/>
    </w:rPr>
  </w:style>
  <w:style w:type="character" w:customStyle="1" w:styleId="257">
    <w:name w:val="bt11"/>
    <w:qFormat/>
    <w:uiPriority w:val="0"/>
    <w:rPr>
      <w:rFonts w:hint="eastAsia" w:ascii="黑体" w:eastAsia="黑体"/>
      <w:color w:val="000000"/>
      <w:sz w:val="28"/>
      <w:szCs w:val="28"/>
    </w:rPr>
  </w:style>
  <w:style w:type="character" w:customStyle="1" w:styleId="258">
    <w:name w:val="HTML 键盘1"/>
    <w:qFormat/>
    <w:uiPriority w:val="0"/>
    <w:rPr>
      <w:rFonts w:ascii="Courier New" w:hAnsi="Courier New" w:cs="Courier New"/>
      <w:sz w:val="20"/>
      <w:szCs w:val="20"/>
    </w:rPr>
  </w:style>
  <w:style w:type="character" w:customStyle="1" w:styleId="259">
    <w:name w:val="表格 32 Char"/>
    <w:link w:val="260"/>
    <w:qFormat/>
    <w:uiPriority w:val="0"/>
    <w:rPr>
      <w:rFonts w:ascii="宋体" w:hAnsi="宋体" w:eastAsia="仿宋_GB2312" w:cs="宋体"/>
      <w:sz w:val="24"/>
    </w:rPr>
  </w:style>
  <w:style w:type="paragraph" w:customStyle="1" w:styleId="260">
    <w:name w:val="表格 32"/>
    <w:basedOn w:val="1"/>
    <w:link w:val="259"/>
    <w:qFormat/>
    <w:uiPriority w:val="0"/>
    <w:pPr>
      <w:widowControl/>
      <w:autoSpaceDE w:val="0"/>
      <w:autoSpaceDN w:val="0"/>
      <w:adjustRightInd w:val="0"/>
      <w:jc w:val="center"/>
      <w:textAlignment w:val="baseline"/>
    </w:pPr>
    <w:rPr>
      <w:rFonts w:ascii="宋体" w:hAnsi="宋体" w:eastAsia="仿宋_GB2312" w:cs="宋体"/>
      <w:sz w:val="24"/>
      <w:szCs w:val="22"/>
    </w:rPr>
  </w:style>
  <w:style w:type="character" w:customStyle="1" w:styleId="261">
    <w:name w:val="HTML 样本1"/>
    <w:qFormat/>
    <w:uiPriority w:val="0"/>
    <w:rPr>
      <w:rFonts w:ascii="Courier New" w:hAnsi="Courier New" w:cs="Courier New"/>
    </w:rPr>
  </w:style>
  <w:style w:type="character" w:customStyle="1" w:styleId="262">
    <w:name w:val="pt1411"/>
    <w:qFormat/>
    <w:uiPriority w:val="0"/>
    <w:rPr>
      <w:sz w:val="21"/>
      <w:szCs w:val="21"/>
    </w:rPr>
  </w:style>
  <w:style w:type="character" w:customStyle="1" w:styleId="263">
    <w:name w:val="特点 Char"/>
    <w:qFormat/>
    <w:uiPriority w:val="0"/>
    <w:rPr>
      <w:sz w:val="21"/>
    </w:rPr>
  </w:style>
  <w:style w:type="character" w:customStyle="1" w:styleId="264">
    <w:name w:val="表、图名 Char1"/>
    <w:qFormat/>
    <w:uiPriority w:val="0"/>
    <w:rPr>
      <w:rFonts w:hint="eastAsia" w:ascii="黑体" w:hAnsi="黑体" w:eastAsia="黑体"/>
      <w:kern w:val="2"/>
      <w:sz w:val="24"/>
      <w:lang w:val="en-US" w:eastAsia="zh-CN" w:bidi="ar-SA"/>
    </w:rPr>
  </w:style>
  <w:style w:type="character" w:customStyle="1" w:styleId="265">
    <w:name w:val="尾注文本 Char11"/>
    <w:qFormat/>
    <w:uiPriority w:val="0"/>
    <w:rPr>
      <w:rFonts w:cs="Times New Roman"/>
      <w:kern w:val="2"/>
      <w:sz w:val="24"/>
      <w:szCs w:val="24"/>
    </w:rPr>
  </w:style>
  <w:style w:type="character" w:customStyle="1" w:styleId="266">
    <w:name w:val="hottext1"/>
    <w:qFormat/>
    <w:uiPriority w:val="0"/>
    <w:rPr>
      <w:rFonts w:hint="eastAsia" w:ascii="宋体" w:hAnsi="宋体" w:eastAsia="宋体"/>
      <w:color w:val="333333"/>
      <w:sz w:val="20"/>
      <w:u w:val="none"/>
    </w:rPr>
  </w:style>
  <w:style w:type="character" w:customStyle="1" w:styleId="267">
    <w:name w:val="Char Char36"/>
    <w:qFormat/>
    <w:uiPriority w:val="0"/>
    <w:rPr>
      <w:kern w:val="2"/>
      <w:sz w:val="21"/>
    </w:rPr>
  </w:style>
  <w:style w:type="character" w:customStyle="1" w:styleId="268">
    <w:name w:val="批注框文本 Char4"/>
    <w:qFormat/>
    <w:uiPriority w:val="99"/>
    <w:rPr>
      <w:kern w:val="2"/>
      <w:sz w:val="18"/>
      <w:szCs w:val="18"/>
      <w:lang w:bidi="ar-SA"/>
    </w:rPr>
  </w:style>
  <w:style w:type="character" w:customStyle="1" w:styleId="269">
    <w:name w:val="Char Char12"/>
    <w:qFormat/>
    <w:uiPriority w:val="0"/>
    <w:rPr>
      <w:snapToGrid w:val="0"/>
      <w:sz w:val="24"/>
    </w:rPr>
  </w:style>
  <w:style w:type="character" w:customStyle="1" w:styleId="270">
    <w:name w:val="Char Char29"/>
    <w:qFormat/>
    <w:uiPriority w:val="0"/>
    <w:rPr>
      <w:rFonts w:hint="eastAsia" w:ascii="黑体" w:hAnsi="黑体" w:eastAsia="黑体"/>
      <w:bCs/>
      <w:kern w:val="2"/>
      <w:sz w:val="24"/>
      <w:lang w:val="en-US" w:eastAsia="zh-CN" w:bidi="ar-SA"/>
    </w:rPr>
  </w:style>
  <w:style w:type="character" w:customStyle="1" w:styleId="271">
    <w:name w:val="9p1"/>
    <w:qFormat/>
    <w:uiPriority w:val="0"/>
    <w:rPr>
      <w:sz w:val="18"/>
      <w:szCs w:val="18"/>
    </w:rPr>
  </w:style>
  <w:style w:type="character" w:customStyle="1" w:styleId="272">
    <w:name w:val="样式2 Char"/>
    <w:link w:val="273"/>
    <w:qFormat/>
    <w:uiPriority w:val="0"/>
    <w:rPr>
      <w:rFonts w:hAnsi="宋体" w:eastAsia="宋体"/>
      <w:b/>
      <w:sz w:val="24"/>
      <w:szCs w:val="24"/>
    </w:rPr>
  </w:style>
  <w:style w:type="paragraph" w:customStyle="1" w:styleId="273">
    <w:name w:val="样式2"/>
    <w:basedOn w:val="1"/>
    <w:next w:val="1"/>
    <w:link w:val="272"/>
    <w:qFormat/>
    <w:uiPriority w:val="0"/>
    <w:pPr>
      <w:spacing w:line="360" w:lineRule="auto"/>
      <w:ind w:firstLine="482" w:firstLineChars="200"/>
    </w:pPr>
    <w:rPr>
      <w:rFonts w:hAnsi="宋体" w:asciiTheme="minorHAnsi" w:cstheme="minorBidi"/>
      <w:b/>
      <w:sz w:val="24"/>
    </w:rPr>
  </w:style>
  <w:style w:type="character" w:customStyle="1" w:styleId="274">
    <w:name w:val="样式 Char1"/>
    <w:qFormat/>
    <w:uiPriority w:val="0"/>
    <w:rPr>
      <w:rFonts w:hint="eastAsia" w:ascii="楷体_GB2312" w:eastAsia="楷体_GB2312"/>
      <w:kern w:val="2"/>
      <w:sz w:val="24"/>
      <w:szCs w:val="24"/>
    </w:rPr>
  </w:style>
  <w:style w:type="character" w:customStyle="1" w:styleId="275">
    <w:name w:val="标准表格五号 Char1"/>
    <w:qFormat/>
    <w:uiPriority w:val="0"/>
    <w:rPr>
      <w:color w:val="000000"/>
      <w:sz w:val="24"/>
      <w:szCs w:val="15"/>
      <w:lang w:bidi="ar-SA"/>
    </w:rPr>
  </w:style>
  <w:style w:type="character" w:customStyle="1" w:styleId="276">
    <w:name w:val="正文文本 3 Char1"/>
    <w:qFormat/>
    <w:uiPriority w:val="0"/>
    <w:rPr>
      <w:rFonts w:ascii="Times New Roman" w:hAnsi="Times New Roman"/>
      <w:kern w:val="2"/>
      <w:sz w:val="16"/>
      <w:szCs w:val="16"/>
    </w:rPr>
  </w:style>
  <w:style w:type="character" w:customStyle="1" w:styleId="277">
    <w:name w:val="BAOGAO正文 Char Char"/>
    <w:qFormat/>
    <w:uiPriority w:val="0"/>
    <w:rPr>
      <w:rFonts w:eastAsia="宋体"/>
      <w:kern w:val="2"/>
      <w:sz w:val="24"/>
      <w:lang w:val="en-US" w:eastAsia="zh-CN" w:bidi="ar-SA"/>
    </w:rPr>
  </w:style>
  <w:style w:type="character" w:customStyle="1" w:styleId="278">
    <w:name w:val="正文文本 Char11"/>
    <w:qFormat/>
    <w:uiPriority w:val="0"/>
    <w:rPr>
      <w:rFonts w:cs="Times New Roman"/>
      <w:kern w:val="2"/>
      <w:sz w:val="24"/>
      <w:szCs w:val="24"/>
    </w:rPr>
  </w:style>
  <w:style w:type="character" w:customStyle="1" w:styleId="279">
    <w:name w:val="文档结构图 Char21"/>
    <w:qFormat/>
    <w:uiPriority w:val="0"/>
    <w:rPr>
      <w:rFonts w:hint="eastAsia" w:ascii="宋体" w:hAnsi="宋体" w:eastAsia="宋体"/>
      <w:color w:val="000000"/>
      <w:sz w:val="18"/>
      <w:szCs w:val="18"/>
      <w:lang w:bidi="ar-SA"/>
    </w:rPr>
  </w:style>
  <w:style w:type="character" w:customStyle="1" w:styleId="280">
    <w:name w:val="ttitle11"/>
    <w:qFormat/>
    <w:uiPriority w:val="0"/>
    <w:rPr>
      <w:spacing w:val="120"/>
      <w:sz w:val="21"/>
      <w:szCs w:val="21"/>
    </w:rPr>
  </w:style>
  <w:style w:type="character" w:customStyle="1" w:styleId="281">
    <w:name w:val="rsdesckey11"/>
    <w:qFormat/>
    <w:uiPriority w:val="0"/>
    <w:rPr>
      <w:color w:val="FF0000"/>
    </w:rPr>
  </w:style>
  <w:style w:type="character" w:customStyle="1" w:styleId="282">
    <w:name w:val="HTML 打字机1"/>
    <w:qFormat/>
    <w:uiPriority w:val="0"/>
    <w:rPr>
      <w:rFonts w:ascii="Courier New" w:hAnsi="Courier New" w:cs="Courier New"/>
      <w:sz w:val="20"/>
      <w:szCs w:val="20"/>
    </w:rPr>
  </w:style>
  <w:style w:type="character" w:customStyle="1" w:styleId="283">
    <w:name w:val="样式3正文 Char"/>
    <w:link w:val="284"/>
    <w:qFormat/>
    <w:uiPriority w:val="0"/>
    <w:rPr>
      <w:sz w:val="24"/>
      <w:szCs w:val="24"/>
    </w:rPr>
  </w:style>
  <w:style w:type="paragraph" w:customStyle="1" w:styleId="284">
    <w:name w:val="样式3正文"/>
    <w:basedOn w:val="1"/>
    <w:link w:val="283"/>
    <w:qFormat/>
    <w:uiPriority w:val="0"/>
    <w:pPr>
      <w:spacing w:line="360" w:lineRule="auto"/>
      <w:ind w:firstLine="480" w:firstLineChars="200"/>
    </w:pPr>
    <w:rPr>
      <w:rFonts w:asciiTheme="minorHAnsi" w:hAnsiTheme="minorHAnsi" w:eastAsiaTheme="minorEastAsia" w:cstheme="minorBidi"/>
      <w:sz w:val="24"/>
    </w:rPr>
  </w:style>
  <w:style w:type="character" w:customStyle="1" w:styleId="285">
    <w:name w:val="标题1"/>
    <w:basedOn w:val="133"/>
    <w:qFormat/>
    <w:uiPriority w:val="0"/>
  </w:style>
  <w:style w:type="character" w:customStyle="1" w:styleId="286">
    <w:name w:val="报告表正文 Char1"/>
    <w:qFormat/>
    <w:uiPriority w:val="0"/>
    <w:rPr>
      <w:rFonts w:hint="eastAsia" w:ascii="楷体_GB2312" w:eastAsia="楷体_GB2312"/>
      <w:kern w:val="2"/>
      <w:sz w:val="24"/>
      <w:szCs w:val="24"/>
      <w:lang w:bidi="ar-SA"/>
    </w:rPr>
  </w:style>
  <w:style w:type="character" w:customStyle="1" w:styleId="287">
    <w:name w:val="BAOGAO正文 Char"/>
    <w:link w:val="288"/>
    <w:qFormat/>
    <w:uiPriority w:val="0"/>
    <w:rPr>
      <w:rFonts w:eastAsia="宋体"/>
      <w:sz w:val="24"/>
    </w:rPr>
  </w:style>
  <w:style w:type="paragraph" w:customStyle="1" w:styleId="288">
    <w:name w:val="BAOGAO正文"/>
    <w:basedOn w:val="1"/>
    <w:link w:val="287"/>
    <w:qFormat/>
    <w:uiPriority w:val="0"/>
    <w:pPr>
      <w:adjustRightInd w:val="0"/>
      <w:spacing w:line="360" w:lineRule="auto"/>
      <w:ind w:firstLine="200" w:firstLineChars="200"/>
    </w:pPr>
    <w:rPr>
      <w:rFonts w:asciiTheme="minorHAnsi" w:hAnsiTheme="minorHAnsi" w:cstheme="minorBidi"/>
      <w:sz w:val="24"/>
      <w:szCs w:val="22"/>
    </w:rPr>
  </w:style>
  <w:style w:type="character" w:customStyle="1" w:styleId="289">
    <w:name w:val="Footer Char"/>
    <w:qFormat/>
    <w:locked/>
    <w:uiPriority w:val="0"/>
    <w:rPr>
      <w:rFonts w:eastAsia="宋体" w:cs="Times New Roman"/>
      <w:kern w:val="2"/>
      <w:sz w:val="18"/>
      <w:szCs w:val="18"/>
    </w:rPr>
  </w:style>
  <w:style w:type="character" w:customStyle="1" w:styleId="290">
    <w:name w:val="BAOGAO-标题2 Char Char"/>
    <w:link w:val="291"/>
    <w:qFormat/>
    <w:uiPriority w:val="0"/>
    <w:rPr>
      <w:rFonts w:ascii="黑体" w:hAnsi="黑体" w:eastAsia="黑体"/>
      <w:b/>
      <w:bCs/>
      <w:color w:val="000000"/>
      <w:sz w:val="28"/>
      <w:szCs w:val="32"/>
    </w:rPr>
  </w:style>
  <w:style w:type="paragraph" w:customStyle="1" w:styleId="291">
    <w:name w:val="BAOGAO-标题2"/>
    <w:basedOn w:val="4"/>
    <w:link w:val="290"/>
    <w:qFormat/>
    <w:uiPriority w:val="0"/>
    <w:pPr>
      <w:spacing w:before="0" w:after="0"/>
    </w:pPr>
    <w:rPr>
      <w:rFonts w:ascii="黑体" w:hAnsi="黑体" w:cstheme="minorBidi"/>
      <w:sz w:val="28"/>
      <w:szCs w:val="32"/>
    </w:rPr>
  </w:style>
  <w:style w:type="character" w:customStyle="1" w:styleId="292">
    <w:name w:val="正文文本+西文 Char1"/>
    <w:qFormat/>
    <w:uiPriority w:val="0"/>
    <w:rPr>
      <w:rFonts w:hint="eastAsia" w:ascii="宋体" w:hAnsi="宋体" w:eastAsia="宋体"/>
      <w:kern w:val="2"/>
      <w:sz w:val="28"/>
      <w:szCs w:val="28"/>
      <w:lang w:val="en-US" w:eastAsia="zh-CN" w:bidi="en-US"/>
    </w:rPr>
  </w:style>
  <w:style w:type="character" w:customStyle="1" w:styleId="293">
    <w:name w:val="注 Char1"/>
    <w:qFormat/>
    <w:uiPriority w:val="9"/>
    <w:rPr>
      <w:rFonts w:ascii="Arial" w:hAnsi="Arial" w:eastAsia="黑体"/>
      <w:sz w:val="24"/>
      <w:lang w:val="en-US" w:eastAsia="zh-CN"/>
    </w:rPr>
  </w:style>
  <w:style w:type="character" w:customStyle="1" w:styleId="294">
    <w:name w:val="4级（小）标题 Char"/>
    <w:link w:val="295"/>
    <w:qFormat/>
    <w:uiPriority w:val="0"/>
    <w:rPr>
      <w:rFonts w:ascii="@黑体" w:hAnsi="@黑体"/>
      <w:b/>
      <w:sz w:val="24"/>
      <w:szCs w:val="24"/>
    </w:rPr>
  </w:style>
  <w:style w:type="paragraph" w:customStyle="1" w:styleId="295">
    <w:name w:val="4级（小）标题"/>
    <w:basedOn w:val="1"/>
    <w:link w:val="294"/>
    <w:qFormat/>
    <w:uiPriority w:val="0"/>
    <w:pPr>
      <w:spacing w:before="60" w:line="360" w:lineRule="auto"/>
      <w:ind w:firstLine="150" w:firstLineChars="150"/>
      <w:outlineLvl w:val="3"/>
    </w:pPr>
    <w:rPr>
      <w:rFonts w:ascii="@黑体" w:hAnsi="@黑体" w:eastAsiaTheme="minorEastAsia" w:cstheme="minorBidi"/>
      <w:b/>
      <w:sz w:val="24"/>
    </w:rPr>
  </w:style>
  <w:style w:type="character" w:customStyle="1" w:styleId="296">
    <w:name w:val="casenname1"/>
    <w:qFormat/>
    <w:uiPriority w:val="0"/>
  </w:style>
  <w:style w:type="character" w:customStyle="1" w:styleId="297">
    <w:name w:val="自定义正文 Char Char Char1"/>
    <w:qFormat/>
    <w:uiPriority w:val="0"/>
    <w:rPr>
      <w:rFonts w:hint="default" w:ascii="Times New Roman" w:hAnsi="Times New Roman" w:eastAsia="Times New Roman" w:cs="Times New Roman"/>
      <w:kern w:val="2"/>
      <w:position w:val="-28"/>
      <w:sz w:val="28"/>
      <w:szCs w:val="28"/>
      <w:lang w:val="en-US" w:eastAsia="zh-CN" w:bidi="ar-SA"/>
    </w:rPr>
  </w:style>
  <w:style w:type="character" w:customStyle="1" w:styleId="298">
    <w:name w:val="纯文本 Char2"/>
    <w:qFormat/>
    <w:uiPriority w:val="0"/>
    <w:rPr>
      <w:rFonts w:hint="eastAsia" w:ascii="宋体" w:hAnsi="Courier New" w:eastAsia="宋体"/>
      <w:kern w:val="2"/>
      <w:sz w:val="21"/>
      <w:lang w:val="en-US" w:eastAsia="zh-CN" w:bidi="ar-SA"/>
    </w:rPr>
  </w:style>
  <w:style w:type="character" w:customStyle="1" w:styleId="299">
    <w:name w:val="HTML 引文11"/>
    <w:qFormat/>
    <w:uiPriority w:val="0"/>
    <w:rPr>
      <w:i/>
      <w:iCs/>
    </w:rPr>
  </w:style>
  <w:style w:type="character" w:customStyle="1" w:styleId="300">
    <w:name w:val="段落 Char Char Char Char"/>
    <w:link w:val="301"/>
    <w:qFormat/>
    <w:locked/>
    <w:uiPriority w:val="0"/>
    <w:rPr>
      <w:rFonts w:ascii="宋体" w:hAnsi="宋体"/>
      <w:color w:val="000000"/>
      <w:kern w:val="24"/>
      <w:sz w:val="24"/>
      <w:szCs w:val="24"/>
    </w:rPr>
  </w:style>
  <w:style w:type="paragraph" w:customStyle="1" w:styleId="301">
    <w:name w:val="段落 Char Char Char"/>
    <w:basedOn w:val="1"/>
    <w:link w:val="300"/>
    <w:qFormat/>
    <w:uiPriority w:val="0"/>
    <w:pPr>
      <w:tabs>
        <w:tab w:val="left" w:pos="1021"/>
      </w:tabs>
      <w:spacing w:line="480" w:lineRule="exact"/>
      <w:ind w:firstLine="480" w:firstLineChars="200"/>
    </w:pPr>
    <w:rPr>
      <w:rFonts w:ascii="宋体" w:hAnsi="宋体" w:eastAsiaTheme="minorEastAsia" w:cstheme="minorBidi"/>
      <w:color w:val="000000"/>
      <w:kern w:val="24"/>
      <w:sz w:val="24"/>
    </w:rPr>
  </w:style>
  <w:style w:type="character" w:customStyle="1" w:styleId="302">
    <w:name w:val="我样式3 Char"/>
    <w:link w:val="303"/>
    <w:qFormat/>
    <w:locked/>
    <w:uiPriority w:val="0"/>
    <w:rPr>
      <w:b/>
      <w:bCs/>
      <w:spacing w:val="6"/>
      <w:sz w:val="30"/>
      <w:szCs w:val="30"/>
    </w:rPr>
  </w:style>
  <w:style w:type="paragraph" w:customStyle="1" w:styleId="303">
    <w:name w:val="我样式3"/>
    <w:basedOn w:val="1"/>
    <w:link w:val="302"/>
    <w:qFormat/>
    <w:uiPriority w:val="0"/>
    <w:pPr>
      <w:spacing w:before="260" w:after="260" w:line="480" w:lineRule="exact"/>
      <w:outlineLvl w:val="2"/>
    </w:pPr>
    <w:rPr>
      <w:rFonts w:asciiTheme="minorHAnsi" w:hAnsiTheme="minorHAnsi" w:eastAsiaTheme="minorEastAsia" w:cstheme="minorBidi"/>
      <w:b/>
      <w:bCs/>
      <w:spacing w:val="6"/>
      <w:sz w:val="30"/>
      <w:szCs w:val="30"/>
    </w:rPr>
  </w:style>
  <w:style w:type="character" w:customStyle="1" w:styleId="304">
    <w:name w:val="已访问的超链接111"/>
    <w:qFormat/>
    <w:uiPriority w:val="0"/>
    <w:rPr>
      <w:color w:val="800080"/>
      <w:u w:val="single"/>
    </w:rPr>
  </w:style>
  <w:style w:type="character" w:customStyle="1" w:styleId="305">
    <w:name w:val="HTML 代码11"/>
    <w:qFormat/>
    <w:uiPriority w:val="0"/>
    <w:rPr>
      <w:rFonts w:ascii="Courier New" w:hAnsi="Courier New" w:cs="Courier New"/>
      <w:sz w:val="20"/>
      <w:szCs w:val="20"/>
    </w:rPr>
  </w:style>
  <w:style w:type="character" w:customStyle="1" w:styleId="306">
    <w:name w:val="Char Char38"/>
    <w:qFormat/>
    <w:uiPriority w:val="0"/>
    <w:rPr>
      <w:rFonts w:ascii="Cambria" w:hAnsi="Cambria" w:eastAsia="宋体" w:cs="Times New Roman"/>
      <w:b/>
      <w:bCs/>
      <w:kern w:val="2"/>
      <w:sz w:val="32"/>
      <w:szCs w:val="32"/>
    </w:rPr>
  </w:style>
  <w:style w:type="character" w:customStyle="1" w:styleId="307">
    <w:name w:val="ca-71"/>
    <w:qFormat/>
    <w:uiPriority w:val="0"/>
    <w:rPr>
      <w:rFonts w:hint="default" w:ascii="Arial" w:hAnsi="Arial" w:cs="Arial"/>
      <w:b/>
      <w:bCs/>
      <w:color w:val="000000"/>
      <w:spacing w:val="-20"/>
      <w:sz w:val="22"/>
      <w:szCs w:val="22"/>
    </w:rPr>
  </w:style>
  <w:style w:type="character" w:customStyle="1" w:styleId="308">
    <w:name w:val="正文  首行缩进: 2 字符 Char"/>
    <w:link w:val="309"/>
    <w:qFormat/>
    <w:locked/>
    <w:uiPriority w:val="0"/>
    <w:rPr>
      <w:rFonts w:ascii="Arial" w:hAnsi="Arial" w:cs="Arial"/>
      <w:sz w:val="24"/>
      <w:szCs w:val="24"/>
    </w:rPr>
  </w:style>
  <w:style w:type="paragraph" w:customStyle="1" w:styleId="309">
    <w:name w:val="正文  首行缩进: 2 字符"/>
    <w:basedOn w:val="1"/>
    <w:link w:val="308"/>
    <w:qFormat/>
    <w:uiPriority w:val="0"/>
    <w:pPr>
      <w:snapToGrid w:val="0"/>
      <w:spacing w:line="360" w:lineRule="auto"/>
      <w:ind w:firstLine="480" w:firstLineChars="200"/>
    </w:pPr>
    <w:rPr>
      <w:rFonts w:ascii="Arial" w:hAnsi="Arial" w:cs="Arial" w:eastAsiaTheme="minorEastAsia"/>
      <w:sz w:val="24"/>
    </w:rPr>
  </w:style>
  <w:style w:type="character" w:customStyle="1" w:styleId="310">
    <w:name w:val="content"/>
    <w:qFormat/>
    <w:uiPriority w:val="0"/>
    <w:rPr>
      <w:rFonts w:hint="eastAsia" w:ascii="宋体" w:hAnsi="宋体" w:eastAsia="宋体"/>
      <w:b/>
      <w:spacing w:val="10"/>
      <w:kern w:val="2"/>
      <w:sz w:val="24"/>
      <w:szCs w:val="24"/>
      <w:lang w:val="en-US" w:eastAsia="zh-CN" w:bidi="ar-SA"/>
    </w:rPr>
  </w:style>
  <w:style w:type="character" w:customStyle="1" w:styleId="311">
    <w:name w:val="纯文本 Char Char Char Char Char"/>
    <w:qFormat/>
    <w:uiPriority w:val="0"/>
    <w:rPr>
      <w:rFonts w:hint="eastAsia" w:ascii="宋体" w:hAnsi="Courier New" w:eastAsia="宋体" w:cs="Courier New"/>
      <w:sz w:val="21"/>
      <w:szCs w:val="21"/>
      <w:lang w:val="en-US" w:eastAsia="zh-CN" w:bidi="ar-SA"/>
    </w:rPr>
  </w:style>
  <w:style w:type="character" w:customStyle="1" w:styleId="312">
    <w:name w:val="fsl1"/>
    <w:qFormat/>
    <w:uiPriority w:val="0"/>
    <w:rPr>
      <w:rFonts w:hint="eastAsia" w:ascii="黑体" w:hAnsi="黑体" w:eastAsia="黑体"/>
      <w:b/>
      <w:color w:val="0082C6"/>
      <w:spacing w:val="10"/>
      <w:kern w:val="44"/>
      <w:sz w:val="21"/>
      <w:lang w:val="en-US" w:eastAsia="zh-CN"/>
    </w:rPr>
  </w:style>
  <w:style w:type="character" w:customStyle="1" w:styleId="313">
    <w:name w:val="hhcwt表头 Char Char"/>
    <w:link w:val="314"/>
    <w:qFormat/>
    <w:locked/>
    <w:uiPriority w:val="0"/>
    <w:rPr>
      <w:rFonts w:ascii="楷体_GB2312" w:eastAsia="楷体_GB2312" w:cs="宋体"/>
      <w:b/>
      <w:bCs/>
      <w:sz w:val="24"/>
    </w:rPr>
  </w:style>
  <w:style w:type="paragraph" w:customStyle="1" w:styleId="314">
    <w:name w:val="hhcwt表头"/>
    <w:basedOn w:val="1"/>
    <w:link w:val="313"/>
    <w:qFormat/>
    <w:uiPriority w:val="0"/>
    <w:pPr>
      <w:spacing w:after="120" w:line="500" w:lineRule="exact"/>
      <w:jc w:val="center"/>
    </w:pPr>
    <w:rPr>
      <w:rFonts w:ascii="楷体_GB2312" w:eastAsia="楷体_GB2312" w:cs="宋体" w:hAnsiTheme="minorHAnsi"/>
      <w:b/>
      <w:bCs/>
      <w:sz w:val="24"/>
      <w:szCs w:val="22"/>
    </w:rPr>
  </w:style>
  <w:style w:type="character" w:customStyle="1" w:styleId="315">
    <w:name w:val="e011"/>
    <w:qFormat/>
    <w:uiPriority w:val="0"/>
    <w:rPr>
      <w:sz w:val="21"/>
      <w:szCs w:val="21"/>
    </w:rPr>
  </w:style>
  <w:style w:type="character" w:customStyle="1" w:styleId="316">
    <w:name w:val="表格左 Char"/>
    <w:link w:val="317"/>
    <w:qFormat/>
    <w:locked/>
    <w:uiPriority w:val="0"/>
    <w:rPr>
      <w:szCs w:val="24"/>
    </w:rPr>
  </w:style>
  <w:style w:type="paragraph" w:customStyle="1" w:styleId="317">
    <w:name w:val="表格左"/>
    <w:basedOn w:val="1"/>
    <w:link w:val="316"/>
    <w:qFormat/>
    <w:uiPriority w:val="0"/>
    <w:pPr>
      <w:spacing w:line="240" w:lineRule="atLeast"/>
      <w:jc w:val="left"/>
    </w:pPr>
    <w:rPr>
      <w:rFonts w:asciiTheme="minorHAnsi" w:hAnsiTheme="minorHAnsi" w:eastAsiaTheme="minorEastAsia" w:cstheme="minorBidi"/>
    </w:rPr>
  </w:style>
  <w:style w:type="character" w:customStyle="1" w:styleId="318">
    <w:name w:val="页脚 Char3"/>
    <w:qFormat/>
    <w:uiPriority w:val="0"/>
    <w:rPr>
      <w:rFonts w:hint="eastAsia" w:ascii="宋体" w:hAnsi="宋体" w:eastAsia="宋体"/>
      <w:kern w:val="2"/>
      <w:sz w:val="18"/>
      <w:lang w:val="en-US" w:eastAsia="zh-CN" w:bidi="ar-SA"/>
    </w:rPr>
  </w:style>
  <w:style w:type="character" w:customStyle="1" w:styleId="319">
    <w:name w:val="hhcwt表格内文字 Char"/>
    <w:link w:val="320"/>
    <w:qFormat/>
    <w:locked/>
    <w:uiPriority w:val="0"/>
    <w:rPr>
      <w:rFonts w:ascii="仿宋_GB2312" w:eastAsia="仿宋_GB2312" w:cs="宋体"/>
      <w:szCs w:val="21"/>
    </w:rPr>
  </w:style>
  <w:style w:type="paragraph" w:customStyle="1" w:styleId="320">
    <w:name w:val="hhcwt表格内文字"/>
    <w:basedOn w:val="1"/>
    <w:link w:val="319"/>
    <w:qFormat/>
    <w:uiPriority w:val="0"/>
    <w:pPr>
      <w:jc w:val="center"/>
    </w:pPr>
    <w:rPr>
      <w:rFonts w:ascii="仿宋_GB2312" w:eastAsia="仿宋_GB2312" w:cs="宋体" w:hAnsiTheme="minorHAnsi"/>
      <w:szCs w:val="21"/>
    </w:rPr>
  </w:style>
  <w:style w:type="character" w:customStyle="1" w:styleId="321">
    <w:name w:val="common1"/>
    <w:qFormat/>
    <w:uiPriority w:val="0"/>
    <w:rPr>
      <w:rFonts w:hint="eastAsia" w:ascii="黑体" w:hAnsi="黑体" w:eastAsia="黑体"/>
      <w:b/>
      <w:spacing w:val="10"/>
      <w:kern w:val="44"/>
      <w:sz w:val="18"/>
      <w:szCs w:val="18"/>
      <w:lang w:val="en-US" w:eastAsia="zh-CN"/>
    </w:rPr>
  </w:style>
  <w:style w:type="character" w:customStyle="1" w:styleId="322">
    <w:name w:val="Char Char19"/>
    <w:qFormat/>
    <w:uiPriority w:val="0"/>
    <w:rPr>
      <w:rFonts w:hint="eastAsia" w:ascii="宋体" w:hAnsi="宋体" w:eastAsia="宋体"/>
      <w:kern w:val="2"/>
      <w:sz w:val="21"/>
      <w:lang w:val="en-US" w:eastAsia="zh-CN" w:bidi="ar-SA"/>
    </w:rPr>
  </w:style>
  <w:style w:type="character" w:customStyle="1" w:styleId="323">
    <w:name w:val="正文（首行缩进两字） Char Char Char Char Char Char Char Char Char Char Char Char Char Char Char Char Char Char Char Char Char Char Char Char C"/>
    <w:qFormat/>
    <w:uiPriority w:val="0"/>
    <w:rPr>
      <w:rFonts w:hint="eastAsia" w:ascii="仿宋_GB2312" w:hAnsi="Arial Black" w:eastAsia="仿宋_GB2312"/>
      <w:kern w:val="2"/>
      <w:sz w:val="28"/>
      <w:lang w:val="en-US" w:eastAsia="zh-CN" w:bidi="ar-SA"/>
    </w:rPr>
  </w:style>
  <w:style w:type="character" w:customStyle="1" w:styleId="324">
    <w:name w:val="ca-51"/>
    <w:qFormat/>
    <w:uiPriority w:val="0"/>
    <w:rPr>
      <w:rFonts w:hint="default" w:ascii="Arial" w:hAnsi="Arial" w:cs="Arial"/>
      <w:b/>
      <w:bCs/>
      <w:color w:val="000000"/>
      <w:spacing w:val="-20"/>
      <w:sz w:val="26"/>
      <w:szCs w:val="26"/>
    </w:rPr>
  </w:style>
  <w:style w:type="character" w:customStyle="1" w:styleId="325">
    <w:name w:val="ca-91"/>
    <w:qFormat/>
    <w:uiPriority w:val="0"/>
    <w:rPr>
      <w:rFonts w:hint="default" w:ascii="Arial" w:hAnsi="Arial" w:cs="Arial"/>
      <w:color w:val="FF0000"/>
      <w:sz w:val="16"/>
      <w:szCs w:val="16"/>
    </w:rPr>
  </w:style>
  <w:style w:type="character" w:customStyle="1" w:styleId="326">
    <w:name w:val="de-unit"/>
    <w:qFormat/>
    <w:uiPriority w:val="0"/>
    <w:rPr>
      <w:rFonts w:hint="default" w:ascii="Times New Roman" w:hAnsi="Times New Roman" w:cs="Times New Roman"/>
    </w:rPr>
  </w:style>
  <w:style w:type="character" w:customStyle="1" w:styleId="327">
    <w:name w:val="l12"/>
    <w:qFormat/>
    <w:uiPriority w:val="0"/>
  </w:style>
  <w:style w:type="character" w:customStyle="1" w:styleId="328">
    <w:name w:val="keyword1"/>
    <w:qFormat/>
    <w:uiPriority w:val="0"/>
    <w:rPr>
      <w:color w:val="FF0000"/>
    </w:rPr>
  </w:style>
  <w:style w:type="character" w:customStyle="1" w:styleId="329">
    <w:name w:val="ZW Char"/>
    <w:link w:val="330"/>
    <w:qFormat/>
    <w:uiPriority w:val="0"/>
    <w:rPr>
      <w:kern w:val="24"/>
      <w:sz w:val="24"/>
      <w:szCs w:val="24"/>
    </w:rPr>
  </w:style>
  <w:style w:type="paragraph" w:customStyle="1" w:styleId="330">
    <w:name w:val="ZW"/>
    <w:basedOn w:val="1"/>
    <w:link w:val="329"/>
    <w:qFormat/>
    <w:uiPriority w:val="0"/>
    <w:pPr>
      <w:spacing w:line="500" w:lineRule="exact"/>
      <w:ind w:firstLine="480" w:firstLineChars="200"/>
    </w:pPr>
    <w:rPr>
      <w:rFonts w:asciiTheme="minorHAnsi" w:hAnsiTheme="minorHAnsi" w:eastAsiaTheme="minorEastAsia" w:cstheme="minorBidi"/>
      <w:kern w:val="24"/>
      <w:sz w:val="24"/>
    </w:rPr>
  </w:style>
  <w:style w:type="character" w:customStyle="1" w:styleId="331">
    <w:name w:val="正文（首行缩进两字） Char Char Char Char Char Char Char C"/>
    <w:qFormat/>
    <w:uiPriority w:val="0"/>
    <w:rPr>
      <w:rFonts w:hint="eastAsia" w:ascii="仿宋_GB2312" w:eastAsia="仿宋_GB2312"/>
      <w:kern w:val="2"/>
      <w:sz w:val="28"/>
      <w:szCs w:val="24"/>
      <w:lang w:val="en-US" w:eastAsia="zh-CN" w:bidi="ar-SA"/>
    </w:rPr>
  </w:style>
  <w:style w:type="character" w:customStyle="1" w:styleId="332">
    <w:name w:val="value2"/>
    <w:qFormat/>
    <w:uiPriority w:val="0"/>
    <w:rPr>
      <w:rFonts w:hint="default" w:ascii="Times New Roman" w:hAnsi="Times New Roman" w:cs="Times New Roman"/>
    </w:rPr>
  </w:style>
  <w:style w:type="character" w:customStyle="1" w:styleId="333">
    <w:name w:val="de-pnum"/>
    <w:qFormat/>
    <w:uiPriority w:val="0"/>
    <w:rPr>
      <w:rFonts w:hint="default" w:ascii="Times New Roman" w:hAnsi="Times New Roman" w:cs="Times New Roman"/>
    </w:rPr>
  </w:style>
  <w:style w:type="character" w:customStyle="1" w:styleId="334">
    <w:name w:val="样式 (西文) 宋体 小四"/>
    <w:qFormat/>
    <w:uiPriority w:val="0"/>
    <w:rPr>
      <w:rFonts w:hint="eastAsia" w:ascii="宋体" w:hAnsi="宋体" w:eastAsia="宋体"/>
      <w:sz w:val="24"/>
      <w:szCs w:val="24"/>
    </w:rPr>
  </w:style>
  <w:style w:type="character" w:customStyle="1" w:styleId="335">
    <w:name w:val="Char Char27"/>
    <w:qFormat/>
    <w:uiPriority w:val="0"/>
    <w:rPr>
      <w:rFonts w:hint="default" w:ascii="Arial" w:hAnsi="Arial" w:eastAsia="黑体" w:cs="Arial"/>
      <w:b/>
      <w:bCs/>
      <w:kern w:val="2"/>
      <w:sz w:val="28"/>
      <w:szCs w:val="28"/>
      <w:lang w:val="en-US" w:eastAsia="zh-CN" w:bidi="ar-SA"/>
    </w:rPr>
  </w:style>
  <w:style w:type="character" w:customStyle="1" w:styleId="336">
    <w:name w:val="明显引用 Char1"/>
    <w:qFormat/>
    <w:uiPriority w:val="0"/>
    <w:rPr>
      <w:b/>
      <w:bCs/>
      <w:i/>
      <w:iCs/>
      <w:color w:val="4F81BD"/>
      <w:kern w:val="2"/>
      <w:sz w:val="21"/>
      <w:szCs w:val="24"/>
    </w:rPr>
  </w:style>
  <w:style w:type="character" w:customStyle="1" w:styleId="337">
    <w:name w:val="msobodytextindent style3"/>
    <w:qFormat/>
    <w:uiPriority w:val="0"/>
  </w:style>
  <w:style w:type="character" w:customStyle="1" w:styleId="338">
    <w:name w:val="textonly"/>
    <w:qFormat/>
    <w:uiPriority w:val="0"/>
  </w:style>
  <w:style w:type="character" w:customStyle="1" w:styleId="339">
    <w:name w:val="ft-hanggao"/>
    <w:qFormat/>
    <w:uiPriority w:val="0"/>
  </w:style>
  <w:style w:type="character" w:customStyle="1" w:styleId="340">
    <w:name w:val="s1"/>
    <w:qFormat/>
    <w:uiPriority w:val="0"/>
    <w:rPr>
      <w:sz w:val="18"/>
    </w:rPr>
  </w:style>
  <w:style w:type="character" w:customStyle="1" w:styleId="341">
    <w:name w:val="ht1"/>
    <w:qFormat/>
    <w:uiPriority w:val="0"/>
    <w:rPr>
      <w:rFonts w:hint="eastAsia" w:ascii="黑体" w:hAnsi="黑体" w:eastAsia="黑体"/>
      <w:b/>
      <w:bCs/>
    </w:rPr>
  </w:style>
  <w:style w:type="character" w:customStyle="1" w:styleId="342">
    <w:name w:val="my Char"/>
    <w:link w:val="343"/>
    <w:qFormat/>
    <w:uiPriority w:val="0"/>
    <w:rPr>
      <w:rFonts w:ascii="@黑体" w:hAnsi="@黑体" w:eastAsia="Times New Roman"/>
      <w:sz w:val="24"/>
      <w:szCs w:val="24"/>
    </w:rPr>
  </w:style>
  <w:style w:type="paragraph" w:customStyle="1" w:styleId="343">
    <w:name w:val="my"/>
    <w:link w:val="342"/>
    <w:qFormat/>
    <w:uiPriority w:val="0"/>
    <w:pPr>
      <w:widowControl w:val="0"/>
      <w:spacing w:before="60" w:line="460" w:lineRule="exact"/>
      <w:ind w:firstLine="200" w:firstLineChars="200"/>
    </w:pPr>
    <w:rPr>
      <w:rFonts w:ascii="@黑体" w:hAnsi="@黑体" w:eastAsia="Times New Roman" w:cstheme="minorBidi"/>
      <w:kern w:val="2"/>
      <w:sz w:val="24"/>
      <w:szCs w:val="24"/>
      <w:lang w:val="en-US" w:eastAsia="zh-CN" w:bidi="ar-SA"/>
    </w:rPr>
  </w:style>
  <w:style w:type="character" w:customStyle="1" w:styleId="344">
    <w:name w:val="head121"/>
    <w:qFormat/>
    <w:uiPriority w:val="0"/>
    <w:rPr>
      <w:rFonts w:hint="eastAsia" w:ascii="宋体" w:hAnsi="宋体" w:eastAsia="宋体"/>
      <w:b/>
      <w:spacing w:val="10"/>
      <w:kern w:val="2"/>
      <w:sz w:val="22"/>
      <w:szCs w:val="22"/>
      <w:lang w:val="en-US" w:eastAsia="zh-CN" w:bidi="ar-SA"/>
    </w:rPr>
  </w:style>
  <w:style w:type="character" w:customStyle="1" w:styleId="345">
    <w:name w:val="第一条1"/>
    <w:qFormat/>
    <w:uiPriority w:val="0"/>
    <w:rPr>
      <w:rFonts w:hint="eastAsia" w:ascii="黑体" w:hAnsi="黑体" w:eastAsia="黑体"/>
      <w:sz w:val="24"/>
      <w:szCs w:val="24"/>
    </w:rPr>
  </w:style>
  <w:style w:type="character" w:customStyle="1" w:styleId="346">
    <w:name w:val="ca-4"/>
    <w:qFormat/>
    <w:uiPriority w:val="0"/>
  </w:style>
  <w:style w:type="character" w:customStyle="1" w:styleId="347">
    <w:name w:val="3zw1"/>
    <w:qFormat/>
    <w:uiPriority w:val="0"/>
    <w:rPr>
      <w:color w:val="000000"/>
      <w:sz w:val="21"/>
      <w:szCs w:val="21"/>
    </w:rPr>
  </w:style>
  <w:style w:type="character" w:customStyle="1" w:styleId="348">
    <w:name w:val="文本条款 Char Char"/>
    <w:qFormat/>
    <w:uiPriority w:val="0"/>
    <w:rPr>
      <w:rFonts w:hint="eastAsia" w:ascii="宋体" w:hAnsi="宋体" w:eastAsia="宋体"/>
      <w:kern w:val="2"/>
      <w:sz w:val="28"/>
      <w:lang w:val="en-US" w:eastAsia="zh-CN" w:bidi="ar-SA"/>
    </w:rPr>
  </w:style>
  <w:style w:type="character" w:customStyle="1" w:styleId="349">
    <w:name w:val="Char Char20"/>
    <w:qFormat/>
    <w:uiPriority w:val="0"/>
    <w:rPr>
      <w:rFonts w:hint="eastAsia" w:ascii="宋体" w:hAnsi="宋体" w:eastAsia="宋体"/>
      <w:color w:val="000000"/>
      <w:sz w:val="24"/>
      <w:szCs w:val="15"/>
      <w:lang w:bidi="ar-SA"/>
    </w:rPr>
  </w:style>
  <w:style w:type="character" w:customStyle="1" w:styleId="350">
    <w:name w:val="标题5 Char Char"/>
    <w:qFormat/>
    <w:uiPriority w:val="0"/>
    <w:rPr>
      <w:rFonts w:hint="default" w:ascii="Cambria" w:hAnsi="Cambria" w:eastAsia="宋体" w:cs="Times New Roman"/>
      <w:b/>
      <w:bCs/>
      <w:sz w:val="24"/>
      <w:szCs w:val="24"/>
    </w:rPr>
  </w:style>
  <w:style w:type="character" w:customStyle="1" w:styleId="351">
    <w:name w:val="BT4 Char"/>
    <w:link w:val="352"/>
    <w:qFormat/>
    <w:uiPriority w:val="0"/>
    <w:rPr>
      <w:b/>
      <w:sz w:val="24"/>
      <w:szCs w:val="24"/>
    </w:rPr>
  </w:style>
  <w:style w:type="paragraph" w:customStyle="1" w:styleId="352">
    <w:name w:val="BT4"/>
    <w:basedOn w:val="6"/>
    <w:link w:val="351"/>
    <w:qFormat/>
    <w:uiPriority w:val="0"/>
    <w:pPr>
      <w:snapToGrid w:val="0"/>
      <w:spacing w:before="0" w:after="0" w:line="500" w:lineRule="exact"/>
    </w:pPr>
    <w:rPr>
      <w:rFonts w:asciiTheme="minorHAnsi" w:hAnsiTheme="minorHAnsi" w:eastAsiaTheme="minorEastAsia" w:cstheme="minorBidi"/>
      <w:bCs w:val="0"/>
      <w:sz w:val="24"/>
      <w:szCs w:val="24"/>
    </w:rPr>
  </w:style>
  <w:style w:type="character" w:customStyle="1" w:styleId="353">
    <w:name w:val="标题 1 Char2"/>
    <w:qFormat/>
    <w:uiPriority w:val="0"/>
    <w:rPr>
      <w:rFonts w:hint="eastAsia" w:ascii="宋体" w:hAnsi="宋体" w:eastAsia="宋体"/>
      <w:b/>
      <w:kern w:val="44"/>
      <w:sz w:val="44"/>
      <w:lang w:val="en-US" w:eastAsia="zh-CN" w:bidi="ar-SA"/>
    </w:rPr>
  </w:style>
  <w:style w:type="character" w:customStyle="1" w:styleId="354">
    <w:name w:val="样式 报告正文 + 首行缩进:  2 字符 Char Char Char"/>
    <w:link w:val="355"/>
    <w:qFormat/>
    <w:uiPriority w:val="0"/>
    <w:rPr>
      <w:rFonts w:eastAsia="楷体_GB2312"/>
      <w:bCs/>
      <w:sz w:val="30"/>
      <w:szCs w:val="24"/>
    </w:rPr>
  </w:style>
  <w:style w:type="paragraph" w:customStyle="1" w:styleId="355">
    <w:name w:val="样式 报告正文 + 首行缩进:  2 字符 Char Char"/>
    <w:basedOn w:val="1"/>
    <w:link w:val="354"/>
    <w:qFormat/>
    <w:uiPriority w:val="0"/>
    <w:pPr>
      <w:spacing w:line="312" w:lineRule="auto"/>
      <w:ind w:firstLine="600" w:firstLineChars="200"/>
    </w:pPr>
    <w:rPr>
      <w:rFonts w:eastAsia="楷体_GB2312" w:asciiTheme="minorHAnsi" w:hAnsiTheme="minorHAnsi" w:cstheme="minorBidi"/>
      <w:bCs/>
      <w:sz w:val="30"/>
    </w:rPr>
  </w:style>
  <w:style w:type="character" w:customStyle="1" w:styleId="356">
    <w:name w:val="表格标题 Char1"/>
    <w:qFormat/>
    <w:uiPriority w:val="0"/>
    <w:rPr>
      <w:rFonts w:ascii="Arial" w:hAnsi="Arial" w:eastAsia="黑体"/>
      <w:b/>
      <w:sz w:val="24"/>
    </w:rPr>
  </w:style>
  <w:style w:type="character" w:customStyle="1" w:styleId="357">
    <w:name w:val="Char Char60"/>
    <w:qFormat/>
    <w:uiPriority w:val="0"/>
    <w:rPr>
      <w:rFonts w:hint="default" w:ascii="Arial" w:hAnsi="Arial" w:eastAsia="黑体" w:cs="Arial"/>
      <w:b/>
      <w:kern w:val="2"/>
      <w:sz w:val="32"/>
    </w:rPr>
  </w:style>
  <w:style w:type="character" w:customStyle="1" w:styleId="358">
    <w:name w:val="number"/>
    <w:qFormat/>
    <w:uiPriority w:val="0"/>
  </w:style>
  <w:style w:type="character" w:customStyle="1" w:styleId="359">
    <w:name w:val="表格标题 Char Char1"/>
    <w:qFormat/>
    <w:uiPriority w:val="0"/>
    <w:rPr>
      <w:rFonts w:hint="default" w:ascii="Arial" w:hAnsi="Arial" w:eastAsia="黑体" w:cs="Arial"/>
      <w:snapToGrid w:val="0"/>
      <w:color w:val="222288"/>
      <w:sz w:val="24"/>
      <w:lang w:bidi="ar-SA"/>
    </w:rPr>
  </w:style>
  <w:style w:type="character" w:customStyle="1" w:styleId="360">
    <w:name w:val="Char Char40"/>
    <w:qFormat/>
    <w:locked/>
    <w:uiPriority w:val="0"/>
    <w:rPr>
      <w:rFonts w:hint="default" w:ascii="Arial" w:hAnsi="Arial" w:eastAsia="黑体" w:cs="Arial"/>
      <w:b/>
      <w:bCs/>
      <w:kern w:val="2"/>
      <w:sz w:val="28"/>
      <w:szCs w:val="28"/>
      <w:lang w:bidi="ar-SA"/>
    </w:rPr>
  </w:style>
  <w:style w:type="character" w:customStyle="1" w:styleId="361">
    <w:name w:val="@他1"/>
    <w:qFormat/>
    <w:uiPriority w:val="0"/>
    <w:rPr>
      <w:color w:val="2B579A"/>
      <w:shd w:val="clear" w:color="auto" w:fill="E6E6E6"/>
    </w:rPr>
  </w:style>
  <w:style w:type="character" w:customStyle="1" w:styleId="362">
    <w:name w:val="Char Char58"/>
    <w:qFormat/>
    <w:uiPriority w:val="0"/>
    <w:rPr>
      <w:rFonts w:hint="default" w:ascii="Arial" w:hAnsi="Arial" w:eastAsia="黑体" w:cs="Arial"/>
      <w:b/>
      <w:bCs/>
      <w:kern w:val="2"/>
      <w:sz w:val="28"/>
      <w:szCs w:val="28"/>
    </w:rPr>
  </w:style>
  <w:style w:type="character" w:customStyle="1" w:styleId="363">
    <w:name w:val="样式 样式3 + (中文) 宋体 Char1"/>
    <w:qFormat/>
    <w:uiPriority w:val="0"/>
    <w:rPr>
      <w:rFonts w:hint="eastAsia" w:ascii="黑体" w:hAnsi="黑体" w:eastAsia="宋体"/>
      <w:b/>
      <w:color w:val="000000"/>
      <w:kern w:val="2"/>
      <w:sz w:val="21"/>
      <w:szCs w:val="21"/>
      <w:lang w:val="en-US" w:eastAsia="zh-CN" w:bidi="ar-SA"/>
    </w:rPr>
  </w:style>
  <w:style w:type="character" w:customStyle="1" w:styleId="364">
    <w:name w:val="description4"/>
    <w:basedOn w:val="133"/>
    <w:qFormat/>
    <w:uiPriority w:val="0"/>
  </w:style>
  <w:style w:type="character" w:customStyle="1" w:styleId="365">
    <w:name w:val="四级标题 字符"/>
    <w:link w:val="366"/>
    <w:qFormat/>
    <w:uiPriority w:val="0"/>
    <w:rPr>
      <w:b/>
      <w:sz w:val="24"/>
      <w:szCs w:val="24"/>
    </w:rPr>
  </w:style>
  <w:style w:type="paragraph" w:customStyle="1" w:styleId="366">
    <w:name w:val="四级标题"/>
    <w:basedOn w:val="193"/>
    <w:link w:val="365"/>
    <w:qFormat/>
    <w:uiPriority w:val="0"/>
    <w:pPr>
      <w:spacing w:line="360" w:lineRule="auto"/>
      <w:ind w:firstLine="0" w:firstLineChars="0"/>
      <w:outlineLvl w:val="3"/>
    </w:pPr>
    <w:rPr>
      <w:rFonts w:asciiTheme="minorHAnsi" w:hAnsiTheme="minorHAnsi" w:eastAsiaTheme="minorEastAsia" w:cstheme="minorBidi"/>
      <w:b/>
      <w:color w:val="auto"/>
    </w:rPr>
  </w:style>
  <w:style w:type="character" w:customStyle="1" w:styleId="367">
    <w:name w:val="p151"/>
    <w:qFormat/>
    <w:uiPriority w:val="0"/>
  </w:style>
  <w:style w:type="character" w:customStyle="1" w:styleId="368">
    <w:name w:val="中船正文 Char1"/>
    <w:qFormat/>
    <w:uiPriority w:val="0"/>
    <w:rPr>
      <w:rFonts w:hint="eastAsia" w:ascii="宋体" w:hAnsi="宋体" w:eastAsia="宋体" w:cs="宋体"/>
      <w:sz w:val="24"/>
      <w:lang w:val="en-US" w:eastAsia="zh-CN" w:bidi="ar-SA"/>
    </w:rPr>
  </w:style>
  <w:style w:type="character" w:customStyle="1" w:styleId="369">
    <w:name w:val="段 Char1"/>
    <w:qFormat/>
    <w:uiPriority w:val="0"/>
    <w:rPr>
      <w:rFonts w:hint="eastAsia" w:ascii="宋体" w:hAnsi="宋体" w:eastAsia="Times New Roman"/>
      <w:sz w:val="21"/>
      <w:lang w:val="en-US" w:eastAsia="zh-CN" w:bidi="ar-SA"/>
    </w:rPr>
  </w:style>
  <w:style w:type="character" w:customStyle="1" w:styleId="370">
    <w:name w:val="表文字 Char Char1"/>
    <w:qFormat/>
    <w:uiPriority w:val="0"/>
    <w:rPr>
      <w:rFonts w:hint="eastAsia" w:ascii="宋体" w:hAnsi="宋体" w:eastAsia="宋体"/>
      <w:snapToGrid w:val="0"/>
      <w:kern w:val="2"/>
      <w:sz w:val="21"/>
      <w:szCs w:val="21"/>
      <w:lang w:val="en-US" w:eastAsia="zh-CN" w:bidi="ar-SA"/>
    </w:rPr>
  </w:style>
  <w:style w:type="character" w:customStyle="1" w:styleId="371">
    <w:name w:val="君邦正文 Char21"/>
    <w:qFormat/>
    <w:uiPriority w:val="0"/>
    <w:rPr>
      <w:rFonts w:hint="default" w:ascii="Times New Roman" w:hAnsi="Times New Roman" w:eastAsia="Times New Roman" w:cs="Times New Roman"/>
      <w:bCs/>
      <w:snapToGrid w:val="0"/>
      <w:sz w:val="24"/>
      <w:lang w:val="en-US" w:eastAsia="zh-CN" w:bidi="ar-SA"/>
    </w:rPr>
  </w:style>
  <w:style w:type="character" w:customStyle="1" w:styleId="372">
    <w:name w:val="尾注文本 Char3"/>
    <w:qFormat/>
    <w:uiPriority w:val="0"/>
    <w:rPr>
      <w:rFonts w:hint="default" w:ascii="Arial" w:hAnsi="Arial" w:cs="Arial"/>
      <w:b/>
      <w:bCs/>
      <w:sz w:val="32"/>
      <w:szCs w:val="32"/>
      <w:lang w:bidi="ar-SA"/>
    </w:rPr>
  </w:style>
  <w:style w:type="character" w:customStyle="1" w:styleId="373">
    <w:name w:val="BAOGAO正文 Char1"/>
    <w:qFormat/>
    <w:uiPriority w:val="0"/>
    <w:rPr>
      <w:rFonts w:hint="eastAsia" w:ascii="宋体" w:hAnsi="宋体" w:eastAsia="宋体"/>
      <w:kern w:val="2"/>
      <w:sz w:val="24"/>
      <w:lang w:val="en-US" w:eastAsia="zh-CN" w:bidi="ar-SA"/>
    </w:rPr>
  </w:style>
  <w:style w:type="character" w:customStyle="1" w:styleId="374">
    <w:name w:val="HTML 地址 Char31"/>
    <w:qFormat/>
    <w:uiPriority w:val="99"/>
    <w:rPr>
      <w:i/>
      <w:iCs/>
      <w:kern w:val="2"/>
      <w:sz w:val="21"/>
      <w:szCs w:val="24"/>
      <w:lang w:bidi="ar-SA"/>
    </w:rPr>
  </w:style>
  <w:style w:type="character" w:customStyle="1" w:styleId="375">
    <w:name w:val="Char Char51"/>
    <w:qFormat/>
    <w:locked/>
    <w:uiPriority w:val="0"/>
    <w:rPr>
      <w:rFonts w:eastAsia="宋体"/>
      <w:kern w:val="2"/>
      <w:sz w:val="24"/>
      <w:lang w:val="en-US" w:eastAsia="zh-CN" w:bidi="ar-SA"/>
    </w:rPr>
  </w:style>
  <w:style w:type="character" w:customStyle="1" w:styleId="376">
    <w:name w:val="表号 Char11"/>
    <w:qFormat/>
    <w:uiPriority w:val="0"/>
    <w:rPr>
      <w:rFonts w:hint="eastAsia" w:ascii="宋体" w:hAnsi="宋体" w:eastAsia="宋体" w:cs="宋体"/>
      <w:kern w:val="2"/>
      <w:sz w:val="24"/>
      <w:szCs w:val="24"/>
      <w:lang w:val="en-US" w:eastAsia="zh-CN" w:bidi="ar-SA"/>
    </w:rPr>
  </w:style>
  <w:style w:type="character" w:customStyle="1" w:styleId="377">
    <w:name w:val="报告 Char11"/>
    <w:qFormat/>
    <w:uiPriority w:val="0"/>
    <w:rPr>
      <w:rFonts w:hint="default" w:ascii="TimesNewRoman" w:hAnsi="TimesNewRoman"/>
      <w:sz w:val="24"/>
    </w:rPr>
  </w:style>
  <w:style w:type="character" w:customStyle="1" w:styleId="378">
    <w:name w:val="Char Char352"/>
    <w:qFormat/>
    <w:uiPriority w:val="0"/>
    <w:rPr>
      <w:kern w:val="2"/>
      <w:sz w:val="18"/>
      <w:szCs w:val="18"/>
    </w:rPr>
  </w:style>
  <w:style w:type="character" w:customStyle="1" w:styleId="379">
    <w:name w:val="正文首行缩进 2 Char11"/>
    <w:qFormat/>
    <w:uiPriority w:val="0"/>
    <w:rPr>
      <w:rFonts w:cs="Times New Roman"/>
      <w:color w:val="000000"/>
      <w:kern w:val="2"/>
      <w:sz w:val="24"/>
      <w:szCs w:val="24"/>
      <w:lang w:bidi="ar-SA"/>
    </w:rPr>
  </w:style>
  <w:style w:type="character" w:customStyle="1" w:styleId="380">
    <w:name w:val="p21"/>
    <w:qFormat/>
    <w:uiPriority w:val="0"/>
    <w:rPr>
      <w:sz w:val="18"/>
      <w:szCs w:val="18"/>
    </w:rPr>
  </w:style>
  <w:style w:type="character" w:customStyle="1" w:styleId="381">
    <w:name w:val="样式3四级 Char"/>
    <w:link w:val="382"/>
    <w:qFormat/>
    <w:uiPriority w:val="0"/>
    <w:rPr>
      <w:rFonts w:ascii="仿宋_GB2312" w:hAnsi="宋体" w:eastAsia="仿宋_GB2312"/>
      <w:sz w:val="28"/>
      <w:szCs w:val="24"/>
    </w:rPr>
  </w:style>
  <w:style w:type="paragraph" w:customStyle="1" w:styleId="382">
    <w:name w:val="样式3四级"/>
    <w:basedOn w:val="1"/>
    <w:next w:val="1"/>
    <w:link w:val="381"/>
    <w:qFormat/>
    <w:uiPriority w:val="0"/>
    <w:pPr>
      <w:spacing w:line="360" w:lineRule="auto"/>
    </w:pPr>
    <w:rPr>
      <w:rFonts w:ascii="仿宋_GB2312" w:hAnsi="宋体" w:eastAsia="仿宋_GB2312" w:cstheme="minorBidi"/>
      <w:sz w:val="28"/>
    </w:rPr>
  </w:style>
  <w:style w:type="character" w:customStyle="1" w:styleId="383">
    <w:name w:val="图框 Char"/>
    <w:link w:val="384"/>
    <w:qFormat/>
    <w:uiPriority w:val="0"/>
    <w:rPr>
      <w:rFonts w:ascii="Arial" w:hAnsi="Arial" w:eastAsia="宋体"/>
      <w:szCs w:val="21"/>
    </w:rPr>
  </w:style>
  <w:style w:type="paragraph" w:customStyle="1" w:styleId="384">
    <w:name w:val="图框"/>
    <w:basedOn w:val="1"/>
    <w:link w:val="383"/>
    <w:qFormat/>
    <w:uiPriority w:val="0"/>
    <w:pPr>
      <w:jc w:val="center"/>
    </w:pPr>
    <w:rPr>
      <w:rFonts w:ascii="Arial" w:hAnsi="Arial" w:cstheme="minorBidi"/>
      <w:szCs w:val="21"/>
    </w:rPr>
  </w:style>
  <w:style w:type="character" w:customStyle="1" w:styleId="385">
    <w:name w:val="样式 表格文字居中 + Times New Roman Char"/>
    <w:qFormat/>
    <w:uiPriority w:val="0"/>
    <w:rPr>
      <w:rFonts w:ascii="宋体" w:hAnsi="宋体" w:eastAsia="宋体" w:cs="Arial Unicode MS"/>
      <w:bCs/>
      <w:snapToGrid w:val="0"/>
      <w:color w:val="000000"/>
      <w:spacing w:val="-6"/>
      <w:sz w:val="21"/>
      <w:szCs w:val="21"/>
      <w:lang w:val="en-US" w:eastAsia="zh-CN" w:bidi="ar-SA"/>
    </w:rPr>
  </w:style>
  <w:style w:type="character" w:customStyle="1" w:styleId="386">
    <w:name w:val="ttitle1"/>
    <w:qFormat/>
    <w:uiPriority w:val="0"/>
    <w:rPr>
      <w:spacing w:val="120"/>
      <w:sz w:val="21"/>
      <w:szCs w:val="21"/>
    </w:rPr>
  </w:style>
  <w:style w:type="character" w:customStyle="1" w:styleId="387">
    <w:name w:val="hb4 Char"/>
    <w:qFormat/>
    <w:uiPriority w:val="0"/>
    <w:rPr>
      <w:rFonts w:ascii="Arial Narrow" w:hAnsi="Arial Narrow" w:eastAsia="汉鼎简书宋"/>
      <w:b/>
      <w:color w:val="FF0000"/>
      <w:sz w:val="24"/>
      <w:lang w:val="en-US" w:eastAsia="zh-CN" w:bidi="ar-SA"/>
    </w:rPr>
  </w:style>
  <w:style w:type="character" w:customStyle="1" w:styleId="388">
    <w:name w:val="正文XXX Char"/>
    <w:link w:val="389"/>
    <w:qFormat/>
    <w:uiPriority w:val="0"/>
    <w:rPr>
      <w:rFonts w:ascii="Arial" w:hAnsi="Arial" w:eastAsia="宋体" w:cs="Arial"/>
      <w:color w:val="000000"/>
      <w:sz w:val="24"/>
    </w:rPr>
  </w:style>
  <w:style w:type="paragraph" w:customStyle="1" w:styleId="389">
    <w:name w:val="正文XXX"/>
    <w:basedOn w:val="1"/>
    <w:link w:val="388"/>
    <w:qFormat/>
    <w:uiPriority w:val="0"/>
    <w:pPr>
      <w:adjustRightInd w:val="0"/>
      <w:snapToGrid w:val="0"/>
      <w:spacing w:before="100" w:beforeAutospacing="1" w:after="100" w:afterAutospacing="1" w:line="400" w:lineRule="exact"/>
    </w:pPr>
    <w:rPr>
      <w:rFonts w:ascii="Arial" w:hAnsi="Arial" w:cs="Arial"/>
      <w:color w:val="000000"/>
      <w:sz w:val="24"/>
      <w:szCs w:val="22"/>
    </w:rPr>
  </w:style>
  <w:style w:type="character" w:customStyle="1" w:styleId="390">
    <w:name w:val="p15"/>
    <w:qFormat/>
    <w:uiPriority w:val="0"/>
  </w:style>
  <w:style w:type="character" w:customStyle="1" w:styleId="391">
    <w:name w:val="样式5二级 Char"/>
    <w:link w:val="392"/>
    <w:qFormat/>
    <w:uiPriority w:val="0"/>
    <w:rPr>
      <w:rFonts w:eastAsia="宋体"/>
      <w:b/>
      <w:bCs/>
      <w:sz w:val="28"/>
      <w:szCs w:val="24"/>
    </w:rPr>
  </w:style>
  <w:style w:type="paragraph" w:customStyle="1" w:styleId="392">
    <w:name w:val="样式5二级"/>
    <w:basedOn w:val="1"/>
    <w:link w:val="391"/>
    <w:qFormat/>
    <w:uiPriority w:val="0"/>
    <w:pPr>
      <w:spacing w:line="360" w:lineRule="auto"/>
    </w:pPr>
    <w:rPr>
      <w:rFonts w:asciiTheme="minorHAnsi" w:hAnsiTheme="minorHAnsi" w:cstheme="minorBidi"/>
      <w:b/>
      <w:bCs/>
      <w:sz w:val="28"/>
    </w:rPr>
  </w:style>
  <w:style w:type="character" w:customStyle="1" w:styleId="393">
    <w:name w:val="自定义正文 Char Char Char Char Char"/>
    <w:link w:val="394"/>
    <w:qFormat/>
    <w:uiPriority w:val="0"/>
    <w:rPr>
      <w:position w:val="-28"/>
      <w:sz w:val="28"/>
      <w:szCs w:val="28"/>
    </w:rPr>
  </w:style>
  <w:style w:type="paragraph" w:customStyle="1" w:styleId="394">
    <w:name w:val="自定义正文 Char Char Char Char"/>
    <w:link w:val="393"/>
    <w:qFormat/>
    <w:uiPriority w:val="0"/>
    <w:pPr>
      <w:widowControl w:val="0"/>
      <w:topLinePunct/>
      <w:adjustRightInd w:val="0"/>
      <w:snapToGrid w:val="0"/>
      <w:spacing w:line="360" w:lineRule="auto"/>
      <w:ind w:firstLine="510"/>
      <w:jc w:val="both"/>
    </w:pPr>
    <w:rPr>
      <w:rFonts w:asciiTheme="minorHAnsi" w:hAnsiTheme="minorHAnsi" w:eastAsiaTheme="minorEastAsia" w:cstheme="minorBidi"/>
      <w:kern w:val="2"/>
      <w:position w:val="-28"/>
      <w:sz w:val="28"/>
      <w:szCs w:val="28"/>
      <w:lang w:val="en-US" w:eastAsia="zh-CN" w:bidi="ar-SA"/>
    </w:rPr>
  </w:style>
  <w:style w:type="character" w:customStyle="1" w:styleId="395">
    <w:name w:val="11p1"/>
    <w:qFormat/>
    <w:uiPriority w:val="0"/>
    <w:rPr>
      <w:spacing w:val="375"/>
      <w:sz w:val="23"/>
      <w:szCs w:val="23"/>
    </w:rPr>
  </w:style>
  <w:style w:type="character" w:customStyle="1" w:styleId="396">
    <w:name w:val="签名 Char2"/>
    <w:qFormat/>
    <w:uiPriority w:val="0"/>
    <w:rPr>
      <w:rFonts w:ascii="Times New Roman" w:hAnsi="Times New Roman" w:eastAsia="宋体" w:cs="Times New Roman"/>
      <w:color w:val="000000"/>
      <w:sz w:val="24"/>
      <w:szCs w:val="15"/>
    </w:rPr>
  </w:style>
  <w:style w:type="character" w:customStyle="1" w:styleId="397">
    <w:name w:val="Body Text Indent Char"/>
    <w:semiHidden/>
    <w:qFormat/>
    <w:locked/>
    <w:uiPriority w:val="0"/>
    <w:rPr>
      <w:rFonts w:ascii="宋体" w:hAnsi="宋体" w:eastAsia="宋体"/>
      <w:kern w:val="2"/>
      <w:sz w:val="28"/>
      <w:szCs w:val="24"/>
      <w:lang w:val="en-US" w:eastAsia="zh-CN" w:bidi="ar-SA"/>
    </w:rPr>
  </w:style>
  <w:style w:type="character" w:customStyle="1" w:styleId="398">
    <w:name w:val="p4"/>
    <w:basedOn w:val="133"/>
    <w:qFormat/>
    <w:uiPriority w:val="0"/>
  </w:style>
  <w:style w:type="character" w:customStyle="1" w:styleId="399">
    <w:name w:val="样式3表头 Char Char"/>
    <w:qFormat/>
    <w:uiPriority w:val="0"/>
    <w:rPr>
      <w:rFonts w:ascii="宋体" w:hAnsi="宋体" w:eastAsia="黑体"/>
      <w:bCs/>
      <w:color w:val="000000"/>
      <w:sz w:val="24"/>
      <w:szCs w:val="24"/>
      <w:lang w:bidi="ar-SA"/>
    </w:rPr>
  </w:style>
  <w:style w:type="character" w:customStyle="1" w:styleId="400">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character" w:customStyle="1" w:styleId="401">
    <w:name w:val="标题 Char4"/>
    <w:qFormat/>
    <w:uiPriority w:val="0"/>
    <w:rPr>
      <w:rFonts w:ascii="Cambria" w:hAnsi="Cambria" w:eastAsia="宋体" w:cs="Times New Roman"/>
      <w:b/>
      <w:bCs/>
      <w:color w:val="000000"/>
      <w:sz w:val="32"/>
      <w:szCs w:val="32"/>
    </w:rPr>
  </w:style>
  <w:style w:type="character" w:customStyle="1" w:styleId="402">
    <w:name w:val="songtt1"/>
    <w:qFormat/>
    <w:uiPriority w:val="0"/>
    <w:rPr>
      <w:b/>
      <w:bCs/>
      <w:color w:val="03366B"/>
      <w:sz w:val="27"/>
      <w:szCs w:val="27"/>
      <w:u w:val="none"/>
    </w:rPr>
  </w:style>
  <w:style w:type="character" w:customStyle="1" w:styleId="403">
    <w:name w:val="脚注文本 Char3"/>
    <w:qFormat/>
    <w:uiPriority w:val="0"/>
    <w:rPr>
      <w:rFonts w:eastAsia="宋体"/>
      <w:kern w:val="2"/>
      <w:sz w:val="18"/>
      <w:szCs w:val="18"/>
      <w:lang w:val="en-US" w:eastAsia="zh-CN" w:bidi="ar-SA"/>
    </w:rPr>
  </w:style>
  <w:style w:type="character" w:customStyle="1" w:styleId="404">
    <w:name w:val="副标题 Char3"/>
    <w:qFormat/>
    <w:uiPriority w:val="0"/>
    <w:rPr>
      <w:rFonts w:ascii="Arial" w:hAnsi="Arial" w:eastAsia="宋体" w:cs="Arial"/>
      <w:b/>
      <w:bCs/>
      <w:kern w:val="28"/>
      <w:sz w:val="32"/>
      <w:szCs w:val="32"/>
      <w:lang w:val="en-US" w:eastAsia="zh-CN" w:bidi="ar-SA"/>
    </w:rPr>
  </w:style>
  <w:style w:type="character" w:customStyle="1" w:styleId="405">
    <w:name w:val="批注文字 Char1"/>
    <w:qFormat/>
    <w:uiPriority w:val="99"/>
    <w:rPr>
      <w:kern w:val="2"/>
      <w:sz w:val="21"/>
    </w:rPr>
  </w:style>
  <w:style w:type="character" w:customStyle="1" w:styleId="406">
    <w:name w:val="副标题 Char4"/>
    <w:qFormat/>
    <w:uiPriority w:val="0"/>
    <w:rPr>
      <w:rFonts w:ascii="Cambria" w:hAnsi="Cambria" w:eastAsia="宋体" w:cs="Times New Roman"/>
      <w:b/>
      <w:bCs/>
      <w:color w:val="000000"/>
      <w:kern w:val="28"/>
      <w:sz w:val="32"/>
      <w:szCs w:val="32"/>
    </w:rPr>
  </w:style>
  <w:style w:type="character" w:customStyle="1" w:styleId="407">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408">
    <w:name w:val="正文文本 2 Char1"/>
    <w:qFormat/>
    <w:uiPriority w:val="0"/>
    <w:rPr>
      <w:rFonts w:ascii="Times New Roman" w:hAnsi="Times New Roman"/>
      <w:kern w:val="2"/>
      <w:sz w:val="21"/>
      <w:szCs w:val="24"/>
    </w:rPr>
  </w:style>
  <w:style w:type="character" w:customStyle="1" w:styleId="409">
    <w:name w:val="bt_content1"/>
    <w:qFormat/>
    <w:uiPriority w:val="0"/>
    <w:rPr>
      <w:sz w:val="24"/>
      <w:szCs w:val="24"/>
    </w:rPr>
  </w:style>
  <w:style w:type="character" w:customStyle="1" w:styleId="410">
    <w:name w:val="正文内容 Char"/>
    <w:link w:val="411"/>
    <w:qFormat/>
    <w:uiPriority w:val="0"/>
    <w:rPr>
      <w:rFonts w:eastAsia="宋体"/>
      <w:sz w:val="24"/>
      <w:szCs w:val="24"/>
    </w:rPr>
  </w:style>
  <w:style w:type="paragraph" w:customStyle="1" w:styleId="411">
    <w:name w:val="正文内容"/>
    <w:basedOn w:val="1"/>
    <w:link w:val="410"/>
    <w:qFormat/>
    <w:uiPriority w:val="0"/>
    <w:pPr>
      <w:spacing w:line="360" w:lineRule="auto"/>
      <w:ind w:firstLine="200" w:firstLineChars="200"/>
      <w:jc w:val="left"/>
    </w:pPr>
    <w:rPr>
      <w:rFonts w:asciiTheme="minorHAnsi" w:hAnsiTheme="minorHAnsi" w:cstheme="minorBidi"/>
      <w:sz w:val="24"/>
    </w:rPr>
  </w:style>
  <w:style w:type="character" w:customStyle="1" w:styleId="412">
    <w:name w:val="HTML 定义1"/>
    <w:qFormat/>
    <w:uiPriority w:val="0"/>
    <w:rPr>
      <w:i/>
      <w:iCs/>
    </w:rPr>
  </w:style>
  <w:style w:type="character" w:customStyle="1" w:styleId="413">
    <w:name w:val="签名 Char5"/>
    <w:qFormat/>
    <w:uiPriority w:val="0"/>
    <w:rPr>
      <w:rFonts w:cs="Times New Roman"/>
      <w:kern w:val="2"/>
      <w:sz w:val="24"/>
      <w:szCs w:val="24"/>
    </w:rPr>
  </w:style>
  <w:style w:type="character" w:customStyle="1" w:styleId="414">
    <w:name w:val="css-text31"/>
    <w:qFormat/>
    <w:uiPriority w:val="0"/>
    <w:rPr>
      <w:sz w:val="18"/>
      <w:szCs w:val="18"/>
      <w:u w:val="none"/>
    </w:rPr>
  </w:style>
  <w:style w:type="character" w:customStyle="1" w:styleId="415">
    <w:name w:val="日期 Char11"/>
    <w:qFormat/>
    <w:uiPriority w:val="0"/>
    <w:rPr>
      <w:rFonts w:cs="Times New Roman"/>
      <w:kern w:val="2"/>
      <w:sz w:val="24"/>
      <w:szCs w:val="24"/>
    </w:rPr>
  </w:style>
  <w:style w:type="character" w:customStyle="1" w:styleId="416">
    <w:name w:val="HTML 缩写1"/>
    <w:basedOn w:val="133"/>
    <w:qFormat/>
    <w:uiPriority w:val="0"/>
  </w:style>
  <w:style w:type="character" w:customStyle="1" w:styleId="417">
    <w:name w:val="正文01 Char Char"/>
    <w:qFormat/>
    <w:uiPriority w:val="0"/>
    <w:rPr>
      <w:snapToGrid w:val="0"/>
      <w:color w:val="000000"/>
      <w:sz w:val="24"/>
      <w:szCs w:val="24"/>
      <w:lang w:bidi="ar-SA"/>
    </w:rPr>
  </w:style>
  <w:style w:type="character" w:customStyle="1" w:styleId="418">
    <w:name w:val="脚注文本 Char5"/>
    <w:qFormat/>
    <w:uiPriority w:val="0"/>
    <w:rPr>
      <w:rFonts w:cs="Times New Roman"/>
      <w:kern w:val="2"/>
      <w:sz w:val="18"/>
      <w:szCs w:val="18"/>
    </w:rPr>
  </w:style>
  <w:style w:type="character" w:customStyle="1" w:styleId="419">
    <w:name w:val="标准小标题[858D7CFB-ED40-4347-BF05-701D383B685F]"/>
    <w:link w:val="420"/>
    <w:qFormat/>
    <w:uiPriority w:val="0"/>
    <w:rPr>
      <w:rFonts w:eastAsia="仿宋_GB2312"/>
      <w:b/>
    </w:rPr>
  </w:style>
  <w:style w:type="paragraph" w:customStyle="1" w:styleId="420">
    <w:name w:val="标准小标题"/>
    <w:basedOn w:val="1"/>
    <w:link w:val="419"/>
    <w:qFormat/>
    <w:uiPriority w:val="0"/>
    <w:pPr>
      <w:spacing w:line="440" w:lineRule="exact"/>
      <w:ind w:firstLine="480" w:firstLineChars="200"/>
    </w:pPr>
    <w:rPr>
      <w:rFonts w:eastAsia="仿宋_GB2312" w:asciiTheme="minorHAnsi" w:hAnsiTheme="minorHAnsi" w:cstheme="minorBidi"/>
      <w:b/>
      <w:szCs w:val="22"/>
    </w:rPr>
  </w:style>
  <w:style w:type="character" w:customStyle="1" w:styleId="421">
    <w:name w:val="信息标题 Char4"/>
    <w:qFormat/>
    <w:locked/>
    <w:uiPriority w:val="0"/>
    <w:rPr>
      <w:rFonts w:ascii="Cambria" w:hAnsi="Cambria" w:eastAsia="宋体" w:cs="Times New Roman"/>
      <w:kern w:val="2"/>
      <w:sz w:val="24"/>
      <w:szCs w:val="24"/>
      <w:shd w:val="pct20" w:color="auto" w:fill="auto"/>
    </w:rPr>
  </w:style>
  <w:style w:type="character" w:customStyle="1" w:styleId="422">
    <w:name w:val="theinfocontent1"/>
    <w:qFormat/>
    <w:uiPriority w:val="0"/>
    <w:rPr>
      <w:rFonts w:hint="default"/>
      <w:sz w:val="20"/>
      <w:szCs w:val="20"/>
    </w:rPr>
  </w:style>
  <w:style w:type="character" w:customStyle="1" w:styleId="423">
    <w:name w:val="z-窗体底端 Char11"/>
    <w:qFormat/>
    <w:uiPriority w:val="0"/>
    <w:rPr>
      <w:rFonts w:ascii="Arial" w:hAnsi="Arial" w:cs="Arial"/>
      <w:vanish/>
      <w:kern w:val="2"/>
      <w:sz w:val="16"/>
      <w:szCs w:val="16"/>
    </w:rPr>
  </w:style>
  <w:style w:type="character" w:customStyle="1" w:styleId="424">
    <w:name w:val="列表 2 Char1"/>
    <w:link w:val="37"/>
    <w:qFormat/>
    <w:uiPriority w:val="0"/>
    <w:rPr>
      <w:rFonts w:eastAsia="宋体"/>
      <w:sz w:val="24"/>
    </w:rPr>
  </w:style>
  <w:style w:type="character" w:customStyle="1" w:styleId="425">
    <w:name w:val="样式5正文 Char Char"/>
    <w:qFormat/>
    <w:uiPriority w:val="0"/>
    <w:rPr>
      <w:rFonts w:eastAsia="宋体"/>
      <w:kern w:val="2"/>
      <w:sz w:val="24"/>
      <w:szCs w:val="24"/>
      <w:lang w:val="en-US" w:eastAsia="zh-CN" w:bidi="ar-SA"/>
    </w:rPr>
  </w:style>
  <w:style w:type="character" w:customStyle="1" w:styleId="426">
    <w:name w:val="批注引用1"/>
    <w:qFormat/>
    <w:uiPriority w:val="0"/>
    <w:rPr>
      <w:sz w:val="21"/>
      <w:szCs w:val="21"/>
    </w:rPr>
  </w:style>
  <w:style w:type="character" w:customStyle="1" w:styleId="427">
    <w:name w:val="正文文本缩进 3 Char21"/>
    <w:qFormat/>
    <w:uiPriority w:val="0"/>
    <w:rPr>
      <w:rFonts w:cs="Times New Roman"/>
      <w:kern w:val="2"/>
      <w:sz w:val="16"/>
      <w:szCs w:val="16"/>
    </w:rPr>
  </w:style>
  <w:style w:type="character" w:customStyle="1" w:styleId="428">
    <w:name w:val="注释标题 Char11"/>
    <w:qFormat/>
    <w:uiPriority w:val="0"/>
    <w:rPr>
      <w:rFonts w:cs="Times New Roman"/>
      <w:kern w:val="2"/>
      <w:sz w:val="24"/>
      <w:szCs w:val="24"/>
    </w:rPr>
  </w:style>
  <w:style w:type="character" w:customStyle="1" w:styleId="429">
    <w:name w:val="表、图名 Char"/>
    <w:link w:val="430"/>
    <w:qFormat/>
    <w:uiPriority w:val="0"/>
    <w:rPr>
      <w:rFonts w:ascii="黑体" w:eastAsia="黑体"/>
      <w:sz w:val="24"/>
    </w:rPr>
  </w:style>
  <w:style w:type="paragraph" w:customStyle="1" w:styleId="430">
    <w:name w:val="表、图名"/>
    <w:basedOn w:val="1"/>
    <w:link w:val="429"/>
    <w:qFormat/>
    <w:uiPriority w:val="0"/>
    <w:pPr>
      <w:adjustRightInd w:val="0"/>
      <w:snapToGrid w:val="0"/>
      <w:jc w:val="center"/>
    </w:pPr>
    <w:rPr>
      <w:rFonts w:ascii="黑体" w:eastAsia="黑体" w:hAnsiTheme="minorHAnsi" w:cstheme="minorBidi"/>
      <w:sz w:val="24"/>
      <w:szCs w:val="22"/>
    </w:rPr>
  </w:style>
  <w:style w:type="character" w:customStyle="1" w:styleId="431">
    <w:name w:val="正文文本 2 Char11"/>
    <w:qFormat/>
    <w:uiPriority w:val="0"/>
    <w:rPr>
      <w:rFonts w:cs="Times New Roman"/>
      <w:kern w:val="2"/>
      <w:sz w:val="24"/>
      <w:szCs w:val="24"/>
    </w:rPr>
  </w:style>
  <w:style w:type="character" w:customStyle="1" w:styleId="432">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433">
    <w:name w:val="批注主题 Char6"/>
    <w:qFormat/>
    <w:uiPriority w:val="0"/>
    <w:rPr>
      <w:rFonts w:cs="Times New Roman"/>
      <w:b/>
      <w:bCs/>
      <w:kern w:val="2"/>
      <w:sz w:val="24"/>
      <w:szCs w:val="24"/>
    </w:rPr>
  </w:style>
  <w:style w:type="character" w:customStyle="1" w:styleId="434">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435">
    <w:name w:val="Char Char2"/>
    <w:qFormat/>
    <w:uiPriority w:val="0"/>
    <w:rPr>
      <w:rFonts w:ascii="Arial" w:hAnsi="Arial" w:eastAsia="黑体"/>
      <w:kern w:val="2"/>
      <w:sz w:val="21"/>
      <w:lang w:val="en-US" w:eastAsia="zh-CN"/>
    </w:rPr>
  </w:style>
  <w:style w:type="character" w:customStyle="1" w:styleId="436">
    <w:name w:val="样式 黑体 小四"/>
    <w:semiHidden/>
    <w:qFormat/>
    <w:uiPriority w:val="0"/>
    <w:rPr>
      <w:rFonts w:ascii="黑体" w:hAnsi="黑体" w:eastAsia="黑体"/>
      <w:sz w:val="24"/>
    </w:rPr>
  </w:style>
  <w:style w:type="character" w:customStyle="1" w:styleId="437">
    <w:name w:val="文本匡小五号 Char Char Char"/>
    <w:semiHidden/>
    <w:qFormat/>
    <w:uiPriority w:val="0"/>
    <w:rPr>
      <w:rFonts w:ascii="宋体" w:hAnsi="宋体" w:eastAsia="仿宋_GB2312" w:cs="Courier New"/>
      <w:kern w:val="2"/>
      <w:sz w:val="18"/>
      <w:szCs w:val="24"/>
      <w:lang w:val="en-US" w:eastAsia="zh-CN" w:bidi="ar-SA"/>
    </w:rPr>
  </w:style>
  <w:style w:type="character" w:customStyle="1" w:styleId="438">
    <w:name w:val="页码1"/>
    <w:basedOn w:val="133"/>
    <w:qFormat/>
    <w:uiPriority w:val="0"/>
  </w:style>
  <w:style w:type="character" w:customStyle="1" w:styleId="439">
    <w:name w:val="z2"/>
    <w:basedOn w:val="133"/>
    <w:qFormat/>
    <w:uiPriority w:val="0"/>
  </w:style>
  <w:style w:type="character" w:customStyle="1" w:styleId="440">
    <w:name w:val="标题 Char1"/>
    <w:qFormat/>
    <w:uiPriority w:val="10"/>
    <w:rPr>
      <w:rFonts w:ascii="Cambria" w:hAnsi="Cambria" w:eastAsia="宋体" w:cs="Times New Roman"/>
      <w:b/>
      <w:bCs/>
      <w:color w:val="000000"/>
      <w:sz w:val="32"/>
      <w:szCs w:val="32"/>
    </w:rPr>
  </w:style>
  <w:style w:type="character" w:customStyle="1" w:styleId="441">
    <w:name w:val="表格 32 Char Char"/>
    <w:qFormat/>
    <w:uiPriority w:val="0"/>
    <w:rPr>
      <w:rFonts w:eastAsia="仿宋_GB2312"/>
      <w:sz w:val="24"/>
      <w:lang w:val="en-US" w:eastAsia="zh-CN" w:bidi="ar-SA"/>
    </w:rPr>
  </w:style>
  <w:style w:type="character" w:customStyle="1" w:styleId="442">
    <w:name w:val="文档结构图 Char2"/>
    <w:link w:val="443"/>
    <w:qFormat/>
    <w:uiPriority w:val="0"/>
    <w:rPr>
      <w:rFonts w:ascii="宋体"/>
      <w:color w:val="000000"/>
      <w:sz w:val="18"/>
      <w:szCs w:val="18"/>
    </w:rPr>
  </w:style>
  <w:style w:type="paragraph" w:customStyle="1" w:styleId="443">
    <w:name w:val="文档结构图1"/>
    <w:basedOn w:val="1"/>
    <w:link w:val="442"/>
    <w:qFormat/>
    <w:uiPriority w:val="0"/>
    <w:pPr>
      <w:spacing w:line="440" w:lineRule="exact"/>
      <w:ind w:firstLine="480" w:firstLineChars="200"/>
    </w:pPr>
    <w:rPr>
      <w:rFonts w:ascii="宋体" w:hAnsiTheme="minorHAnsi" w:eastAsiaTheme="minorEastAsia" w:cstheme="minorBidi"/>
      <w:color w:val="000000"/>
      <w:sz w:val="18"/>
      <w:szCs w:val="18"/>
    </w:rPr>
  </w:style>
  <w:style w:type="character" w:customStyle="1" w:styleId="444">
    <w:name w:val="样式1正文 Char"/>
    <w:link w:val="445"/>
    <w:qFormat/>
    <w:uiPriority w:val="0"/>
    <w:rPr>
      <w:rFonts w:ascii="仿宋_GB2312" w:hAnsi="仿宋_GB2312" w:eastAsia="仿宋_GB2312" w:cs="宋体"/>
      <w:sz w:val="28"/>
    </w:rPr>
  </w:style>
  <w:style w:type="paragraph" w:customStyle="1" w:styleId="445">
    <w:name w:val="样式1正文"/>
    <w:basedOn w:val="1"/>
    <w:link w:val="444"/>
    <w:qFormat/>
    <w:uiPriority w:val="0"/>
    <w:pPr>
      <w:ind w:firstLine="560" w:firstLineChars="200"/>
    </w:pPr>
    <w:rPr>
      <w:rFonts w:ascii="仿宋_GB2312" w:hAnsi="仿宋_GB2312" w:eastAsia="仿宋_GB2312" w:cs="宋体"/>
      <w:sz w:val="28"/>
      <w:szCs w:val="22"/>
    </w:rPr>
  </w:style>
  <w:style w:type="character" w:customStyle="1" w:styleId="446">
    <w:name w:val="Char Char4"/>
    <w:qFormat/>
    <w:uiPriority w:val="0"/>
    <w:rPr>
      <w:rFonts w:ascii="Arial" w:hAnsi="Arial" w:eastAsia="黑体"/>
      <w:b/>
      <w:kern w:val="2"/>
      <w:sz w:val="24"/>
      <w:szCs w:val="24"/>
      <w:lang w:val="en-US" w:eastAsia="zh-CN"/>
    </w:rPr>
  </w:style>
  <w:style w:type="character" w:customStyle="1" w:styleId="447">
    <w:name w:val="hb3 Char1"/>
    <w:qFormat/>
    <w:uiPriority w:val="0"/>
    <w:rPr>
      <w:rFonts w:eastAsia="宋体" w:cs="宋体"/>
      <w:b/>
      <w:kern w:val="2"/>
      <w:sz w:val="24"/>
      <w:szCs w:val="24"/>
      <w:lang w:val="en-US" w:eastAsia="zh-CN" w:bidi="ar-SA"/>
    </w:rPr>
  </w:style>
  <w:style w:type="character" w:customStyle="1" w:styleId="448">
    <w:name w:val="结束语 Char5"/>
    <w:qFormat/>
    <w:uiPriority w:val="0"/>
    <w:rPr>
      <w:rFonts w:cs="Times New Roman"/>
      <w:kern w:val="2"/>
      <w:sz w:val="24"/>
      <w:szCs w:val="24"/>
    </w:rPr>
  </w:style>
  <w:style w:type="character" w:customStyle="1" w:styleId="449">
    <w:name w:val="xiao1"/>
    <w:qFormat/>
    <w:uiPriority w:val="0"/>
    <w:rPr>
      <w:sz w:val="18"/>
      <w:szCs w:val="18"/>
    </w:rPr>
  </w:style>
  <w:style w:type="character" w:customStyle="1" w:styleId="450">
    <w:name w:val="Char Char26"/>
    <w:qFormat/>
    <w:uiPriority w:val="0"/>
    <w:rPr>
      <w:rFonts w:ascii="Arial" w:hAnsi="Arial" w:eastAsia="黑体"/>
      <w:b/>
      <w:kern w:val="2"/>
      <w:sz w:val="28"/>
    </w:rPr>
  </w:style>
  <w:style w:type="character" w:customStyle="1" w:styleId="451">
    <w:name w:val="表内小5 Char"/>
    <w:qFormat/>
    <w:uiPriority w:val="0"/>
    <w:rPr>
      <w:rFonts w:ascii="宋体" w:hAnsi="宋体" w:eastAsia="宋体"/>
      <w:kern w:val="2"/>
      <w:sz w:val="18"/>
      <w:szCs w:val="24"/>
      <w:lang w:val="en-US" w:eastAsia="zh-CN" w:bidi="ar-SA"/>
    </w:rPr>
  </w:style>
  <w:style w:type="character" w:customStyle="1" w:styleId="452">
    <w:name w:val="页脚 Char1"/>
    <w:qFormat/>
    <w:uiPriority w:val="0"/>
    <w:rPr>
      <w:rFonts w:ascii="Times New Roman" w:hAnsi="Times New Roman" w:eastAsia="宋体" w:cs="Times New Roman"/>
      <w:color w:val="000000"/>
      <w:sz w:val="18"/>
      <w:szCs w:val="18"/>
    </w:rPr>
  </w:style>
  <w:style w:type="character" w:customStyle="1" w:styleId="453">
    <w:name w:val="正文文本缩进 2 Char4"/>
    <w:link w:val="51"/>
    <w:qFormat/>
    <w:uiPriority w:val="0"/>
    <w:rPr>
      <w:rFonts w:eastAsia="宋体"/>
      <w:sz w:val="28"/>
      <w:szCs w:val="24"/>
    </w:rPr>
  </w:style>
  <w:style w:type="character" w:customStyle="1" w:styleId="454">
    <w:name w:val="Char Char6"/>
    <w:qFormat/>
    <w:uiPriority w:val="0"/>
    <w:rPr>
      <w:rFonts w:ascii="Arial" w:hAnsi="Arial" w:eastAsia="黑体"/>
      <w:b/>
      <w:bCs/>
      <w:kern w:val="2"/>
      <w:sz w:val="32"/>
      <w:szCs w:val="32"/>
      <w:lang w:val="en-US" w:eastAsia="zh-CN"/>
    </w:rPr>
  </w:style>
  <w:style w:type="character" w:customStyle="1" w:styleId="455">
    <w:name w:val="style461"/>
    <w:qFormat/>
    <w:uiPriority w:val="0"/>
  </w:style>
  <w:style w:type="character" w:customStyle="1" w:styleId="456">
    <w:name w:val="style31"/>
    <w:qFormat/>
    <w:uiPriority w:val="0"/>
    <w:rPr>
      <w:b/>
      <w:color w:val="3795D2"/>
      <w:sz w:val="14"/>
    </w:rPr>
  </w:style>
  <w:style w:type="character" w:customStyle="1" w:styleId="457">
    <w:name w:val="main1"/>
    <w:qFormat/>
    <w:uiPriority w:val="0"/>
    <w:rPr>
      <w:rFonts w:hint="eastAsia" w:ascii="宋体" w:hAnsi="宋体" w:eastAsia="宋体"/>
      <w:color w:val="0033CC"/>
      <w:sz w:val="18"/>
      <w:szCs w:val="18"/>
    </w:rPr>
  </w:style>
  <w:style w:type="character" w:customStyle="1" w:styleId="458">
    <w:name w:val="pt91"/>
    <w:qFormat/>
    <w:uiPriority w:val="0"/>
    <w:rPr>
      <w:rFonts w:hint="default"/>
      <w:color w:val="000000"/>
      <w:sz w:val="18"/>
      <w:szCs w:val="18"/>
    </w:rPr>
  </w:style>
  <w:style w:type="character" w:customStyle="1" w:styleId="459">
    <w:name w:val="正文（首行缩进两字） Char Char"/>
    <w:qFormat/>
    <w:uiPriority w:val="0"/>
    <w:rPr>
      <w:rFonts w:ascii="宋体" w:eastAsia="宋体"/>
      <w:kern w:val="2"/>
      <w:sz w:val="24"/>
      <w:lang w:val="en-US" w:eastAsia="zh-CN" w:bidi="ar-SA"/>
    </w:rPr>
  </w:style>
  <w:style w:type="character" w:customStyle="1" w:styleId="460">
    <w:name w:val="表格（小五） Char"/>
    <w:link w:val="461"/>
    <w:qFormat/>
    <w:uiPriority w:val="0"/>
    <w:rPr>
      <w:rFonts w:ascii="Arial" w:hAnsi="Arial" w:eastAsia="宋体"/>
      <w:sz w:val="18"/>
      <w:szCs w:val="24"/>
    </w:rPr>
  </w:style>
  <w:style w:type="paragraph" w:customStyle="1" w:styleId="461">
    <w:name w:val="表格（小五）"/>
    <w:basedOn w:val="1"/>
    <w:link w:val="460"/>
    <w:qFormat/>
    <w:uiPriority w:val="0"/>
    <w:pPr>
      <w:adjustRightInd w:val="0"/>
      <w:snapToGrid w:val="0"/>
      <w:spacing w:line="320" w:lineRule="exact"/>
      <w:ind w:left="-48" w:leftChars="-20" w:right="-20" w:rightChars="-20"/>
      <w:jc w:val="center"/>
      <w:textAlignment w:val="baseline"/>
    </w:pPr>
    <w:rPr>
      <w:rFonts w:ascii="Arial" w:hAnsi="Arial" w:cstheme="minorBidi"/>
      <w:sz w:val="18"/>
    </w:rPr>
  </w:style>
  <w:style w:type="character" w:customStyle="1" w:styleId="462">
    <w:name w:val="z-窗体顶端 Char1"/>
    <w:qFormat/>
    <w:uiPriority w:val="99"/>
    <w:rPr>
      <w:rFonts w:ascii="Arial" w:hAnsi="Arial" w:cs="Arial"/>
      <w:vanish/>
      <w:kern w:val="2"/>
      <w:sz w:val="16"/>
      <w:szCs w:val="16"/>
    </w:rPr>
  </w:style>
  <w:style w:type="character" w:customStyle="1" w:styleId="463">
    <w:name w:val="text_edit"/>
    <w:qFormat/>
    <w:uiPriority w:val="0"/>
  </w:style>
  <w:style w:type="character" w:customStyle="1" w:styleId="464">
    <w:name w:val="font14 style23"/>
    <w:basedOn w:val="133"/>
    <w:qFormat/>
    <w:uiPriority w:val="0"/>
  </w:style>
  <w:style w:type="character" w:customStyle="1" w:styleId="465">
    <w:name w:val="孙普文字 Char Char"/>
    <w:qFormat/>
    <w:uiPriority w:val="0"/>
    <w:rPr>
      <w:rFonts w:ascii="宋体" w:hAnsi="Courier New" w:eastAsia="宋体"/>
      <w:kern w:val="2"/>
      <w:sz w:val="21"/>
      <w:szCs w:val="24"/>
      <w:lang w:val="en-US" w:eastAsia="zh-CN" w:bidi="ar-SA"/>
    </w:rPr>
  </w:style>
  <w:style w:type="character" w:customStyle="1" w:styleId="466">
    <w:name w:val="表名 Char"/>
    <w:link w:val="467"/>
    <w:qFormat/>
    <w:uiPriority w:val="0"/>
    <w:rPr>
      <w:rFonts w:ascii="黑体" w:eastAsia="黑体"/>
      <w:kern w:val="24"/>
    </w:rPr>
  </w:style>
  <w:style w:type="paragraph" w:customStyle="1" w:styleId="467">
    <w:name w:val="表名"/>
    <w:basedOn w:val="1"/>
    <w:link w:val="466"/>
    <w:qFormat/>
    <w:uiPriority w:val="0"/>
    <w:pPr>
      <w:keepNext/>
      <w:overflowPunct w:val="0"/>
      <w:adjustRightInd w:val="0"/>
      <w:spacing w:before="240"/>
      <w:jc w:val="center"/>
      <w:textAlignment w:val="baseline"/>
    </w:pPr>
    <w:rPr>
      <w:rFonts w:ascii="黑体" w:eastAsia="黑体" w:hAnsiTheme="minorHAnsi" w:cstheme="minorBidi"/>
      <w:kern w:val="24"/>
      <w:szCs w:val="22"/>
    </w:rPr>
  </w:style>
  <w:style w:type="character" w:customStyle="1" w:styleId="468">
    <w:name w:val="style13"/>
    <w:qFormat/>
    <w:uiPriority w:val="0"/>
    <w:rPr>
      <w:sz w:val="23"/>
    </w:rPr>
  </w:style>
  <w:style w:type="character" w:customStyle="1" w:styleId="469">
    <w:name w:val="无级项 Char1"/>
    <w:qFormat/>
    <w:uiPriority w:val="9"/>
    <w:rPr>
      <w:rFonts w:ascii="宋体" w:hAnsi="Tms Rmn" w:eastAsia="宋体"/>
      <w:b/>
      <w:sz w:val="24"/>
      <w:lang w:val="en-US" w:eastAsia="zh-CN"/>
    </w:rPr>
  </w:style>
  <w:style w:type="character" w:customStyle="1" w:styleId="470">
    <w:name w:val="样式 仿宋_GB2312 小四2"/>
    <w:semiHidden/>
    <w:qFormat/>
    <w:uiPriority w:val="0"/>
    <w:rPr>
      <w:rFonts w:ascii="Times New Roman" w:hAnsi="Times New Roman" w:eastAsia="仿宋_GB2312" w:cs="Courier New"/>
      <w:kern w:val="2"/>
      <w:sz w:val="24"/>
      <w:szCs w:val="24"/>
      <w:lang w:val="en-US" w:eastAsia="zh-CN" w:bidi="ar-SA"/>
    </w:rPr>
  </w:style>
  <w:style w:type="character" w:customStyle="1" w:styleId="471">
    <w:name w:val="style4"/>
    <w:basedOn w:val="133"/>
    <w:qFormat/>
    <w:uiPriority w:val="0"/>
  </w:style>
  <w:style w:type="character" w:customStyle="1" w:styleId="472">
    <w:name w:val="样式2 Char Char"/>
    <w:qFormat/>
    <w:uiPriority w:val="0"/>
    <w:rPr>
      <w:rFonts w:eastAsia="宋体"/>
      <w:b/>
      <w:kern w:val="2"/>
      <w:sz w:val="24"/>
      <w:szCs w:val="24"/>
      <w:lang w:val="en-US" w:eastAsia="zh-CN" w:bidi="ar-SA"/>
    </w:rPr>
  </w:style>
  <w:style w:type="character" w:customStyle="1" w:styleId="473">
    <w:name w:val="description5"/>
    <w:qFormat/>
    <w:uiPriority w:val="0"/>
  </w:style>
  <w:style w:type="character" w:customStyle="1" w:styleId="474">
    <w:name w:val="信息标题 Char2"/>
    <w:qFormat/>
    <w:uiPriority w:val="0"/>
    <w:rPr>
      <w:rFonts w:ascii="Cambria" w:hAnsi="Cambria" w:eastAsia="宋体"/>
      <w:color w:val="000000"/>
      <w:kern w:val="2"/>
      <w:sz w:val="24"/>
      <w:szCs w:val="24"/>
      <w:shd w:val="pct20" w:color="auto" w:fill="auto"/>
      <w:lang w:val="en-US" w:eastAsia="zh-CN" w:bidi="ar-SA"/>
    </w:rPr>
  </w:style>
  <w:style w:type="character" w:customStyle="1" w:styleId="475">
    <w:name w:val="text_edit editable-title"/>
    <w:basedOn w:val="133"/>
    <w:qFormat/>
    <w:uiPriority w:val="0"/>
  </w:style>
  <w:style w:type="character" w:customStyle="1" w:styleId="476">
    <w:name w:val="javascript1"/>
    <w:qFormat/>
    <w:uiPriority w:val="0"/>
    <w:rPr>
      <w:rFonts w:hint="default" w:ascii="Tahoma" w:hAnsi="Tahoma" w:eastAsia="宋体" w:cs="Tahoma"/>
      <w:kern w:val="2"/>
      <w:sz w:val="18"/>
      <w:szCs w:val="18"/>
      <w:lang w:val="en-US" w:eastAsia="zh-CN" w:bidi="ar-SA"/>
    </w:rPr>
  </w:style>
  <w:style w:type="character" w:customStyle="1" w:styleId="477">
    <w:name w:val="标题1.1.1.1.1.1 Char1"/>
    <w:qFormat/>
    <w:uiPriority w:val="0"/>
    <w:rPr>
      <w:rFonts w:ascii="Arial" w:hAnsi="Arial" w:eastAsia="黑体"/>
      <w:b/>
      <w:sz w:val="24"/>
      <w:lang w:val="en-US" w:eastAsia="zh-CN"/>
    </w:rPr>
  </w:style>
  <w:style w:type="character" w:customStyle="1" w:styleId="478">
    <w:name w:val="括号格式 Char Char"/>
    <w:link w:val="479"/>
    <w:qFormat/>
    <w:uiPriority w:val="0"/>
    <w:rPr>
      <w:rFonts w:ascii="黑体" w:hAnsi="宋体" w:eastAsia="黑体"/>
      <w:b/>
      <w:sz w:val="24"/>
      <w:szCs w:val="24"/>
    </w:rPr>
  </w:style>
  <w:style w:type="paragraph" w:customStyle="1" w:styleId="479">
    <w:name w:val="括号格式"/>
    <w:basedOn w:val="1"/>
    <w:link w:val="478"/>
    <w:qFormat/>
    <w:uiPriority w:val="0"/>
    <w:pPr>
      <w:spacing w:line="440" w:lineRule="exact"/>
      <w:ind w:firstLine="361" w:firstLineChars="150"/>
      <w:jc w:val="left"/>
    </w:pPr>
    <w:rPr>
      <w:rFonts w:ascii="黑体" w:hAnsi="宋体" w:eastAsia="黑体" w:cstheme="minorBidi"/>
      <w:b/>
      <w:sz w:val="24"/>
    </w:rPr>
  </w:style>
  <w:style w:type="character" w:customStyle="1" w:styleId="480">
    <w:name w:val="Header Char"/>
    <w:semiHidden/>
    <w:qFormat/>
    <w:locked/>
    <w:uiPriority w:val="0"/>
    <w:rPr>
      <w:rFonts w:eastAsia="宋体" w:cs="Times New Roman"/>
      <w:kern w:val="2"/>
      <w:sz w:val="18"/>
      <w:szCs w:val="18"/>
    </w:rPr>
  </w:style>
  <w:style w:type="character" w:customStyle="1" w:styleId="481">
    <w:name w:val="表格标题 Char Char"/>
    <w:qFormat/>
    <w:uiPriority w:val="0"/>
    <w:rPr>
      <w:rFonts w:ascii="仿宋_GB2312" w:eastAsia="仿宋_GB2312"/>
      <w:sz w:val="28"/>
      <w:lang w:val="en-US" w:eastAsia="zh-CN" w:bidi="ar-SA"/>
    </w:rPr>
  </w:style>
  <w:style w:type="character" w:customStyle="1" w:styleId="482">
    <w:name w:val="正文文本缩进 Char1"/>
    <w:link w:val="483"/>
    <w:qFormat/>
    <w:uiPriority w:val="0"/>
    <w:rPr>
      <w:color w:val="000000"/>
      <w:sz w:val="24"/>
      <w:szCs w:val="15"/>
    </w:rPr>
  </w:style>
  <w:style w:type="paragraph" w:customStyle="1" w:styleId="483">
    <w:name w:val="正文文本缩进1"/>
    <w:basedOn w:val="1"/>
    <w:link w:val="482"/>
    <w:qFormat/>
    <w:uiPriority w:val="0"/>
    <w:pPr>
      <w:spacing w:after="120" w:line="440" w:lineRule="exact"/>
      <w:ind w:left="420" w:leftChars="200" w:firstLine="480" w:firstLineChars="200"/>
    </w:pPr>
    <w:rPr>
      <w:rFonts w:asciiTheme="minorHAnsi" w:hAnsiTheme="minorHAnsi" w:eastAsiaTheme="minorEastAsia" w:cstheme="minorBidi"/>
      <w:color w:val="000000"/>
      <w:sz w:val="24"/>
      <w:szCs w:val="15"/>
    </w:rPr>
  </w:style>
  <w:style w:type="character" w:customStyle="1" w:styleId="484">
    <w:name w:val="表 头 Char Char"/>
    <w:qFormat/>
    <w:uiPriority w:val="0"/>
    <w:rPr>
      <w:rFonts w:ascii="黑体" w:hAnsi="宋体" w:eastAsia="黑体" w:cs="Arial"/>
      <w:color w:val="000000"/>
      <w:sz w:val="24"/>
      <w:szCs w:val="24"/>
      <w:lang w:val="en-US" w:eastAsia="zh-CN" w:bidi="ar-SA"/>
    </w:rPr>
  </w:style>
  <w:style w:type="character" w:customStyle="1" w:styleId="485">
    <w:name w:val="style291"/>
    <w:qFormat/>
    <w:uiPriority w:val="0"/>
    <w:rPr>
      <w:rFonts w:hint="eastAsia" w:ascii="宋体" w:hAnsi="宋体" w:eastAsia="宋体"/>
    </w:rPr>
  </w:style>
  <w:style w:type="character" w:customStyle="1" w:styleId="486">
    <w:name w:val="标题 11"/>
    <w:qFormat/>
    <w:uiPriority w:val="0"/>
    <w:rPr>
      <w:rFonts w:ascii="宋体" w:hAnsi="宋体" w:eastAsia="宋体"/>
      <w:b/>
      <w:kern w:val="44"/>
      <w:sz w:val="36"/>
      <w:szCs w:val="32"/>
      <w:lang w:val="en-US" w:eastAsia="zh-CN" w:bidi="ar-SA"/>
    </w:rPr>
  </w:style>
  <w:style w:type="character" w:customStyle="1" w:styleId="487">
    <w:name w:val="Char Char24"/>
    <w:qFormat/>
    <w:uiPriority w:val="0"/>
    <w:rPr>
      <w:rFonts w:ascii="Arial" w:hAnsi="Arial" w:eastAsia="黑体"/>
      <w:b/>
      <w:bCs/>
      <w:kern w:val="2"/>
      <w:sz w:val="30"/>
      <w:szCs w:val="32"/>
    </w:rPr>
  </w:style>
  <w:style w:type="character" w:customStyle="1" w:styleId="488">
    <w:name w:val="xl56 Char"/>
    <w:qFormat/>
    <w:uiPriority w:val="0"/>
    <w:rPr>
      <w:rFonts w:eastAsia="Arial Unicode MS"/>
      <w:sz w:val="18"/>
      <w:szCs w:val="18"/>
      <w:lang w:val="en-US" w:eastAsia="zh-CN" w:bidi="ar-SA"/>
    </w:rPr>
  </w:style>
  <w:style w:type="character" w:customStyle="1" w:styleId="489">
    <w:name w:val="表头样式1 Char"/>
    <w:qFormat/>
    <w:uiPriority w:val="0"/>
    <w:rPr>
      <w:rFonts w:eastAsia="黑体"/>
      <w:b/>
      <w:kern w:val="2"/>
      <w:sz w:val="24"/>
      <w:lang w:val="en-US" w:eastAsia="zh-CN" w:bidi="ar-SA"/>
    </w:rPr>
  </w:style>
  <w:style w:type="character" w:customStyle="1" w:styleId="490">
    <w:name w:val="样式5正文 Char"/>
    <w:link w:val="491"/>
    <w:qFormat/>
    <w:uiPriority w:val="0"/>
    <w:rPr>
      <w:rFonts w:eastAsia="宋体"/>
      <w:sz w:val="24"/>
      <w:szCs w:val="24"/>
    </w:rPr>
  </w:style>
  <w:style w:type="paragraph" w:customStyle="1" w:styleId="491">
    <w:name w:val="样式5正文"/>
    <w:basedOn w:val="1"/>
    <w:link w:val="490"/>
    <w:qFormat/>
    <w:uiPriority w:val="0"/>
    <w:pPr>
      <w:spacing w:line="360" w:lineRule="auto"/>
      <w:ind w:firstLine="480" w:firstLineChars="200"/>
    </w:pPr>
    <w:rPr>
      <w:rFonts w:asciiTheme="minorHAnsi" w:hAnsiTheme="minorHAnsi" w:cstheme="minorBidi"/>
      <w:sz w:val="24"/>
    </w:rPr>
  </w:style>
  <w:style w:type="character" w:customStyle="1" w:styleId="492">
    <w:name w:val="款标题1.1.1.1 Char1"/>
    <w:qFormat/>
    <w:uiPriority w:val="0"/>
    <w:rPr>
      <w:rFonts w:ascii="Arial" w:hAnsi="Arial" w:eastAsia="黑体"/>
      <w:b/>
      <w:kern w:val="2"/>
      <w:sz w:val="28"/>
      <w:lang w:val="en-US" w:eastAsia="zh-CN"/>
    </w:rPr>
  </w:style>
  <w:style w:type="character" w:customStyle="1" w:styleId="493">
    <w:name w:val="表格内容 Char Char"/>
    <w:qFormat/>
    <w:uiPriority w:val="0"/>
    <w:rPr>
      <w:rFonts w:ascii="宋体" w:hAnsi="Courier New"/>
      <w:kern w:val="2"/>
      <w:sz w:val="28"/>
    </w:rPr>
  </w:style>
  <w:style w:type="character" w:customStyle="1" w:styleId="494">
    <w:name w:val="题注 Char"/>
    <w:qFormat/>
    <w:uiPriority w:val="0"/>
    <w:rPr>
      <w:rFonts w:eastAsia="宋体"/>
      <w:b/>
      <w:kern w:val="2"/>
      <w:sz w:val="21"/>
      <w:szCs w:val="24"/>
      <w:lang w:val="en-US" w:eastAsia="zh-CN" w:bidi="ar-SA"/>
    </w:rPr>
  </w:style>
  <w:style w:type="character" w:customStyle="1" w:styleId="495">
    <w:name w:val="Footer-Even Char1"/>
    <w:qFormat/>
    <w:uiPriority w:val="0"/>
    <w:rPr>
      <w:rFonts w:eastAsia="宋体"/>
      <w:kern w:val="2"/>
      <w:sz w:val="18"/>
      <w:szCs w:val="18"/>
      <w:lang w:val="en-US" w:eastAsia="zh-CN" w:bidi="ar-SA"/>
    </w:rPr>
  </w:style>
  <w:style w:type="character" w:customStyle="1" w:styleId="496">
    <w:name w:val="电子邮件签名 Char"/>
    <w:link w:val="497"/>
    <w:qFormat/>
    <w:uiPriority w:val="0"/>
    <w:rPr>
      <w:szCs w:val="24"/>
    </w:rPr>
  </w:style>
  <w:style w:type="paragraph" w:customStyle="1" w:styleId="497">
    <w:name w:val="电子邮件签名1"/>
    <w:basedOn w:val="1"/>
    <w:link w:val="496"/>
    <w:qFormat/>
    <w:uiPriority w:val="0"/>
    <w:rPr>
      <w:rFonts w:asciiTheme="minorHAnsi" w:hAnsiTheme="minorHAnsi" w:eastAsiaTheme="minorEastAsia" w:cstheme="minorBidi"/>
    </w:rPr>
  </w:style>
  <w:style w:type="character" w:customStyle="1" w:styleId="498">
    <w:name w:val="尾注文本 Char2"/>
    <w:qFormat/>
    <w:uiPriority w:val="0"/>
    <w:rPr>
      <w:rFonts w:ascii="Times New Roman" w:hAnsi="Times New Roman" w:eastAsia="宋体" w:cs="Times New Roman"/>
      <w:color w:val="000000"/>
      <w:sz w:val="24"/>
      <w:szCs w:val="15"/>
    </w:rPr>
  </w:style>
  <w:style w:type="character" w:customStyle="1" w:styleId="499">
    <w:name w:val="Char Char25"/>
    <w:qFormat/>
    <w:uiPriority w:val="0"/>
    <w:rPr>
      <w:rFonts w:ascii="Arial" w:hAnsi="Arial" w:eastAsia="黑体"/>
      <w:b/>
      <w:bCs/>
      <w:kern w:val="2"/>
      <w:sz w:val="32"/>
      <w:szCs w:val="32"/>
    </w:rPr>
  </w:style>
  <w:style w:type="character" w:customStyle="1" w:styleId="500">
    <w:name w:val="1正文段落 Char"/>
    <w:link w:val="501"/>
    <w:qFormat/>
    <w:uiPriority w:val="0"/>
    <w:rPr>
      <w:rFonts w:eastAsia="宋体"/>
      <w:snapToGrid w:val="0"/>
      <w:sz w:val="24"/>
      <w:szCs w:val="24"/>
    </w:rPr>
  </w:style>
  <w:style w:type="paragraph" w:customStyle="1" w:styleId="501">
    <w:name w:val="1正文段落"/>
    <w:basedOn w:val="1"/>
    <w:link w:val="500"/>
    <w:qFormat/>
    <w:uiPriority w:val="0"/>
    <w:pPr>
      <w:spacing w:line="360" w:lineRule="auto"/>
      <w:ind w:firstLine="480" w:firstLineChars="200"/>
      <w:jc w:val="left"/>
    </w:pPr>
    <w:rPr>
      <w:rFonts w:asciiTheme="minorHAnsi" w:hAnsiTheme="minorHAnsi" w:cstheme="minorBidi"/>
      <w:snapToGrid w:val="0"/>
      <w:sz w:val="24"/>
    </w:rPr>
  </w:style>
  <w:style w:type="character" w:customStyle="1" w:styleId="502">
    <w:name w:val="style21"/>
    <w:qFormat/>
    <w:uiPriority w:val="0"/>
    <w:rPr>
      <w:sz w:val="28"/>
    </w:rPr>
  </w:style>
  <w:style w:type="character" w:customStyle="1" w:styleId="503">
    <w:name w:val="Char Char41"/>
    <w:qFormat/>
    <w:uiPriority w:val="0"/>
    <w:rPr>
      <w:rFonts w:eastAsia="宋体"/>
      <w:b/>
      <w:bCs/>
      <w:kern w:val="2"/>
      <w:sz w:val="24"/>
      <w:szCs w:val="24"/>
      <w:lang w:val="en-US" w:eastAsia="zh-CN" w:bidi="ar-SA"/>
    </w:rPr>
  </w:style>
  <w:style w:type="character" w:customStyle="1" w:styleId="504">
    <w:name w:val="表格正文 Char1"/>
    <w:link w:val="505"/>
    <w:qFormat/>
    <w:uiPriority w:val="0"/>
    <w:rPr>
      <w:rFonts w:ascii="仿宋_GB2312" w:eastAsia="仿宋_GB2312"/>
      <w:snapToGrid w:val="0"/>
      <w:sz w:val="24"/>
    </w:rPr>
  </w:style>
  <w:style w:type="paragraph" w:customStyle="1" w:styleId="505">
    <w:name w:val="表格正文"/>
    <w:basedOn w:val="1"/>
    <w:link w:val="504"/>
    <w:qFormat/>
    <w:uiPriority w:val="0"/>
    <w:rPr>
      <w:rFonts w:ascii="仿宋_GB2312" w:eastAsia="仿宋_GB2312" w:hAnsiTheme="minorHAnsi" w:cstheme="minorBidi"/>
      <w:snapToGrid w:val="0"/>
      <w:sz w:val="24"/>
      <w:szCs w:val="22"/>
    </w:rPr>
  </w:style>
  <w:style w:type="character" w:customStyle="1" w:styleId="506">
    <w:name w:val="headline-content"/>
    <w:basedOn w:val="133"/>
    <w:qFormat/>
    <w:uiPriority w:val="0"/>
  </w:style>
  <w:style w:type="character" w:customStyle="1" w:styleId="507">
    <w:name w:val="visio图 Char Char"/>
    <w:link w:val="508"/>
    <w:qFormat/>
    <w:uiPriority w:val="0"/>
    <w:rPr>
      <w:rFonts w:ascii="Arial" w:hAnsi="Arial" w:eastAsia="黑体"/>
      <w:b/>
    </w:rPr>
  </w:style>
  <w:style w:type="paragraph" w:customStyle="1" w:styleId="508">
    <w:name w:val="visio图"/>
    <w:basedOn w:val="1"/>
    <w:link w:val="507"/>
    <w:qFormat/>
    <w:uiPriority w:val="0"/>
    <w:pPr>
      <w:tabs>
        <w:tab w:val="left" w:pos="1418"/>
      </w:tabs>
      <w:spacing w:line="360" w:lineRule="auto"/>
      <w:jc w:val="center"/>
    </w:pPr>
    <w:rPr>
      <w:rFonts w:ascii="Arial" w:hAnsi="Arial" w:eastAsia="黑体" w:cstheme="minorBidi"/>
      <w:b/>
      <w:szCs w:val="22"/>
    </w:rPr>
  </w:style>
  <w:style w:type="character" w:customStyle="1" w:styleId="509">
    <w:name w:val="宏文本 Char"/>
    <w:link w:val="510"/>
    <w:qFormat/>
    <w:uiPriority w:val="0"/>
    <w:rPr>
      <w:rFonts w:ascii="Courier New" w:hAnsi="Courier New" w:cs="Courier New"/>
      <w:sz w:val="24"/>
      <w:szCs w:val="24"/>
    </w:rPr>
  </w:style>
  <w:style w:type="paragraph" w:customStyle="1" w:styleId="510">
    <w:name w:val="宏文本1"/>
    <w:link w:val="50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character" w:customStyle="1" w:styleId="511">
    <w:name w:val="grame"/>
    <w:basedOn w:val="133"/>
    <w:qFormat/>
    <w:uiPriority w:val="0"/>
  </w:style>
  <w:style w:type="character" w:customStyle="1" w:styleId="512">
    <w:name w:val="样式 标题 3H3 + (西文) Times New Roman (中文) 宋体 四号 Char"/>
    <w:qFormat/>
    <w:uiPriority w:val="0"/>
    <w:rPr>
      <w:b/>
      <w:bCs/>
      <w:kern w:val="2"/>
      <w:sz w:val="28"/>
      <w:szCs w:val="32"/>
    </w:rPr>
  </w:style>
  <w:style w:type="character" w:customStyle="1" w:styleId="513">
    <w:name w:val="样式 加粗"/>
    <w:qFormat/>
    <w:uiPriority w:val="0"/>
    <w:rPr>
      <w:bCs/>
    </w:rPr>
  </w:style>
  <w:style w:type="character" w:customStyle="1" w:styleId="514">
    <w:name w:val="casenname"/>
    <w:qFormat/>
    <w:uiPriority w:val="0"/>
  </w:style>
  <w:style w:type="character" w:customStyle="1" w:styleId="515">
    <w:name w:val="Char Char13"/>
    <w:qFormat/>
    <w:uiPriority w:val="0"/>
    <w:rPr>
      <w:rFonts w:ascii="宋体" w:hAnsi="Courier New"/>
      <w:sz w:val="21"/>
      <w:szCs w:val="21"/>
      <w:lang w:bidi="ar-SA"/>
    </w:rPr>
  </w:style>
  <w:style w:type="character" w:customStyle="1" w:styleId="516">
    <w:name w:val="普通文字 Char2"/>
    <w:qFormat/>
    <w:uiPriority w:val="0"/>
    <w:rPr>
      <w:rFonts w:eastAsia="宋体"/>
      <w:spacing w:val="8"/>
      <w:kern w:val="2"/>
      <w:sz w:val="24"/>
      <w:lang w:val="en-US" w:eastAsia="zh-CN" w:bidi="ar-SA"/>
    </w:rPr>
  </w:style>
  <w:style w:type="character" w:customStyle="1" w:styleId="517">
    <w:name w:val="main_tdbg_760"/>
    <w:basedOn w:val="133"/>
    <w:qFormat/>
    <w:uiPriority w:val="0"/>
  </w:style>
  <w:style w:type="character" w:customStyle="1" w:styleId="518">
    <w:name w:val="样式 宋体 加粗"/>
    <w:qFormat/>
    <w:uiPriority w:val="0"/>
    <w:rPr>
      <w:rFonts w:ascii="宋体" w:hAnsi="宋体" w:eastAsia="宋体"/>
      <w:b/>
      <w:bCs/>
      <w:sz w:val="24"/>
    </w:rPr>
  </w:style>
  <w:style w:type="character" w:customStyle="1" w:styleId="519">
    <w:name w:val="HTML 变量1"/>
    <w:qFormat/>
    <w:uiPriority w:val="0"/>
    <w:rPr>
      <w:i/>
      <w:iCs/>
    </w:rPr>
  </w:style>
  <w:style w:type="character" w:customStyle="1" w:styleId="520">
    <w:name w:val="称呼 Char5"/>
    <w:qFormat/>
    <w:locked/>
    <w:uiPriority w:val="0"/>
    <w:rPr>
      <w:rFonts w:cs="Times New Roman"/>
      <w:kern w:val="2"/>
      <w:sz w:val="24"/>
      <w:szCs w:val="24"/>
    </w:rPr>
  </w:style>
  <w:style w:type="character" w:customStyle="1" w:styleId="521">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522">
    <w:name w:val="style171"/>
    <w:qFormat/>
    <w:uiPriority w:val="0"/>
    <w:rPr>
      <w:rFonts w:hint="eastAsia" w:ascii="宋体" w:hAnsi="宋体" w:eastAsia="宋体"/>
      <w:sz w:val="14"/>
    </w:rPr>
  </w:style>
  <w:style w:type="character" w:customStyle="1" w:styleId="523">
    <w:name w:val="标准表格五号 Char"/>
    <w:link w:val="524"/>
    <w:qFormat/>
    <w:uiPriority w:val="0"/>
    <w:rPr>
      <w:color w:val="000000"/>
      <w:sz w:val="24"/>
      <w:szCs w:val="15"/>
    </w:rPr>
  </w:style>
  <w:style w:type="paragraph" w:customStyle="1" w:styleId="524">
    <w:name w:val="标准表格五号"/>
    <w:basedOn w:val="1"/>
    <w:link w:val="523"/>
    <w:qFormat/>
    <w:uiPriority w:val="0"/>
    <w:pPr>
      <w:spacing w:line="240" w:lineRule="exact"/>
      <w:jc w:val="center"/>
    </w:pPr>
    <w:rPr>
      <w:rFonts w:asciiTheme="minorHAnsi" w:hAnsiTheme="minorHAnsi" w:eastAsiaTheme="minorEastAsia" w:cstheme="minorBidi"/>
      <w:color w:val="000000"/>
      <w:sz w:val="24"/>
      <w:szCs w:val="15"/>
    </w:rPr>
  </w:style>
  <w:style w:type="character" w:customStyle="1" w:styleId="525">
    <w:name w:val="报告 Char1"/>
    <w:link w:val="526"/>
    <w:qFormat/>
    <w:uiPriority w:val="0"/>
    <w:rPr>
      <w:rFonts w:ascii="TimesNewRoman" w:hAnsi="TimesNewRoman" w:eastAsia="宋体"/>
      <w:sz w:val="24"/>
    </w:rPr>
  </w:style>
  <w:style w:type="paragraph" w:customStyle="1" w:styleId="526">
    <w:name w:val="报告"/>
    <w:basedOn w:val="1"/>
    <w:link w:val="525"/>
    <w:qFormat/>
    <w:uiPriority w:val="0"/>
    <w:pPr>
      <w:adjustRightInd w:val="0"/>
      <w:spacing w:line="360" w:lineRule="auto"/>
      <w:ind w:firstLine="505"/>
      <w:textAlignment w:val="center"/>
    </w:pPr>
    <w:rPr>
      <w:rFonts w:ascii="TimesNewRoman" w:hAnsi="TimesNewRoman" w:cstheme="minorBidi"/>
      <w:sz w:val="24"/>
      <w:szCs w:val="22"/>
    </w:rPr>
  </w:style>
  <w:style w:type="character" w:customStyle="1" w:styleId="527">
    <w:name w:val="表格文字 Char"/>
    <w:link w:val="528"/>
    <w:qFormat/>
    <w:uiPriority w:val="0"/>
    <w:rPr>
      <w:rFonts w:ascii="宋体" w:hAnsi="宋体"/>
    </w:rPr>
  </w:style>
  <w:style w:type="paragraph" w:customStyle="1" w:styleId="528">
    <w:name w:val="表格文字"/>
    <w:link w:val="527"/>
    <w:qFormat/>
    <w:uiPriority w:val="0"/>
    <w:pPr>
      <w:snapToGrid w:val="0"/>
    </w:pPr>
    <w:rPr>
      <w:rFonts w:ascii="宋体" w:hAnsi="宋体" w:eastAsiaTheme="minorEastAsia" w:cstheme="minorBidi"/>
      <w:kern w:val="2"/>
      <w:sz w:val="21"/>
      <w:szCs w:val="22"/>
      <w:lang w:val="en-US" w:eastAsia="zh-CN" w:bidi="ar-SA"/>
    </w:rPr>
  </w:style>
  <w:style w:type="character" w:customStyle="1" w:styleId="529">
    <w:name w:val="脚注文本 Char"/>
    <w:qFormat/>
    <w:uiPriority w:val="99"/>
    <w:rPr>
      <w:rFonts w:ascii="Times New Roman" w:hAnsi="Times New Roman"/>
      <w:sz w:val="18"/>
      <w:szCs w:val="18"/>
    </w:rPr>
  </w:style>
  <w:style w:type="character" w:customStyle="1" w:styleId="530">
    <w:name w:val="报告书正文 Char"/>
    <w:link w:val="531"/>
    <w:qFormat/>
    <w:uiPriority w:val="0"/>
    <w:rPr>
      <w:rFonts w:ascii="Arial" w:hAnsi="Arial" w:eastAsia="宋体"/>
      <w:sz w:val="24"/>
      <w:szCs w:val="24"/>
    </w:rPr>
  </w:style>
  <w:style w:type="paragraph" w:customStyle="1" w:styleId="531">
    <w:name w:val="报告书正文"/>
    <w:basedOn w:val="1"/>
    <w:link w:val="530"/>
    <w:qFormat/>
    <w:uiPriority w:val="0"/>
    <w:pPr>
      <w:adjustRightInd w:val="0"/>
      <w:snapToGrid w:val="0"/>
      <w:spacing w:line="360" w:lineRule="auto"/>
      <w:ind w:firstLine="425"/>
      <w:textAlignment w:val="baseline"/>
    </w:pPr>
    <w:rPr>
      <w:rFonts w:ascii="Arial" w:hAnsi="Arial" w:cstheme="minorBidi"/>
      <w:sz w:val="24"/>
    </w:rPr>
  </w:style>
  <w:style w:type="character" w:customStyle="1" w:styleId="532">
    <w:name w:val="结束语 Char"/>
    <w:qFormat/>
    <w:uiPriority w:val="0"/>
    <w:rPr>
      <w:rFonts w:ascii="Times New Roman" w:hAnsi="Times New Roman"/>
      <w:szCs w:val="24"/>
    </w:rPr>
  </w:style>
  <w:style w:type="character" w:customStyle="1" w:styleId="533">
    <w:name w:val="标准证书号[858D7CFB-ED40-4347-BF05-701D383B685F]"/>
    <w:link w:val="534"/>
    <w:qFormat/>
    <w:uiPriority w:val="0"/>
    <w:rPr>
      <w:color w:val="000000"/>
      <w:sz w:val="24"/>
      <w:szCs w:val="15"/>
    </w:rPr>
  </w:style>
  <w:style w:type="paragraph" w:customStyle="1" w:styleId="534">
    <w:name w:val="标准证书号"/>
    <w:basedOn w:val="1"/>
    <w:link w:val="533"/>
    <w:qFormat/>
    <w:uiPriority w:val="0"/>
    <w:pPr>
      <w:spacing w:line="440" w:lineRule="exact"/>
      <w:ind w:firstLine="480" w:firstLineChars="200"/>
    </w:pPr>
    <w:rPr>
      <w:rFonts w:asciiTheme="minorHAnsi" w:hAnsiTheme="minorHAnsi" w:eastAsiaTheme="minorEastAsia" w:cstheme="minorBidi"/>
      <w:color w:val="000000"/>
      <w:sz w:val="24"/>
      <w:szCs w:val="15"/>
    </w:rPr>
  </w:style>
  <w:style w:type="character" w:customStyle="1" w:styleId="535">
    <w:name w:val="表格内容 Char"/>
    <w:link w:val="536"/>
    <w:qFormat/>
    <w:uiPriority w:val="0"/>
    <w:rPr>
      <w:rFonts w:eastAsia="宋体"/>
      <w:sz w:val="24"/>
    </w:rPr>
  </w:style>
  <w:style w:type="paragraph" w:customStyle="1" w:styleId="536">
    <w:name w:val="表格内容"/>
    <w:basedOn w:val="1"/>
    <w:link w:val="535"/>
    <w:qFormat/>
    <w:uiPriority w:val="0"/>
    <w:pPr>
      <w:adjustRightInd w:val="0"/>
      <w:snapToGrid w:val="0"/>
      <w:spacing w:line="360" w:lineRule="atLeast"/>
      <w:jc w:val="center"/>
    </w:pPr>
    <w:rPr>
      <w:rFonts w:asciiTheme="minorHAnsi" w:hAnsiTheme="minorHAnsi" w:cstheme="minorBidi"/>
      <w:sz w:val="24"/>
      <w:szCs w:val="22"/>
    </w:rPr>
  </w:style>
  <w:style w:type="character" w:customStyle="1" w:styleId="537">
    <w:name w:val="中船正文 Char"/>
    <w:link w:val="538"/>
    <w:qFormat/>
    <w:uiPriority w:val="0"/>
    <w:rPr>
      <w:rFonts w:eastAsia="宋体" w:cs="宋体"/>
      <w:sz w:val="24"/>
    </w:rPr>
  </w:style>
  <w:style w:type="paragraph" w:customStyle="1" w:styleId="538">
    <w:name w:val="中船正文"/>
    <w:basedOn w:val="1"/>
    <w:link w:val="537"/>
    <w:qFormat/>
    <w:uiPriority w:val="0"/>
    <w:pPr>
      <w:widowControl/>
      <w:spacing w:line="440" w:lineRule="exact"/>
      <w:ind w:firstLine="480" w:firstLineChars="200"/>
    </w:pPr>
    <w:rPr>
      <w:rFonts w:cs="宋体" w:asciiTheme="minorHAnsi" w:hAnsiTheme="minorHAnsi"/>
      <w:sz w:val="24"/>
      <w:szCs w:val="22"/>
    </w:rPr>
  </w:style>
  <w:style w:type="character" w:customStyle="1" w:styleId="539">
    <w:name w:val="段 Char"/>
    <w:link w:val="540"/>
    <w:qFormat/>
    <w:uiPriority w:val="0"/>
    <w:rPr>
      <w:rFonts w:ascii="宋体"/>
    </w:rPr>
  </w:style>
  <w:style w:type="paragraph" w:customStyle="1" w:styleId="540">
    <w:name w:val="段"/>
    <w:link w:val="539"/>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541">
    <w:name w:val="Char Char9"/>
    <w:qFormat/>
    <w:locked/>
    <w:uiPriority w:val="0"/>
    <w:rPr>
      <w:rFonts w:ascii="仿宋_GB2312" w:hAnsi="Courier New" w:eastAsia="仿宋_GB2312"/>
      <w:sz w:val="18"/>
      <w:lang w:val="en-US" w:eastAsia="zh-CN" w:bidi="ar-SA"/>
    </w:rPr>
  </w:style>
  <w:style w:type="character" w:customStyle="1" w:styleId="542">
    <w:name w:val="脚注文本 Char2"/>
    <w:qFormat/>
    <w:uiPriority w:val="0"/>
    <w:rPr>
      <w:rFonts w:ascii="Times New Roman" w:hAnsi="Times New Roman" w:eastAsia="宋体" w:cs="Times New Roman"/>
      <w:color w:val="000000"/>
      <w:sz w:val="18"/>
      <w:szCs w:val="18"/>
    </w:rPr>
  </w:style>
  <w:style w:type="character" w:customStyle="1" w:styleId="543">
    <w:name w:val="批注框文本 Char3"/>
    <w:semiHidden/>
    <w:qFormat/>
    <w:uiPriority w:val="0"/>
    <w:rPr>
      <w:rFonts w:ascii="Times New Roman" w:hAnsi="Times New Roman" w:eastAsia="宋体" w:cs="Times New Roman"/>
      <w:color w:val="000000"/>
      <w:sz w:val="18"/>
      <w:szCs w:val="18"/>
    </w:rPr>
  </w:style>
  <w:style w:type="character" w:customStyle="1" w:styleId="544">
    <w:name w:val="新正文 Char Char"/>
    <w:link w:val="545"/>
    <w:qFormat/>
    <w:uiPriority w:val="0"/>
    <w:rPr>
      <w:rFonts w:ascii="宋体" w:eastAsia="宋体"/>
      <w:bCs/>
      <w:sz w:val="24"/>
    </w:rPr>
  </w:style>
  <w:style w:type="paragraph" w:customStyle="1" w:styleId="545">
    <w:name w:val="新正文"/>
    <w:basedOn w:val="1"/>
    <w:link w:val="544"/>
    <w:qFormat/>
    <w:uiPriority w:val="0"/>
    <w:pPr>
      <w:spacing w:line="460" w:lineRule="exact"/>
      <w:ind w:firstLine="454"/>
    </w:pPr>
    <w:rPr>
      <w:rFonts w:ascii="宋体" w:hAnsiTheme="minorHAnsi" w:cstheme="minorBidi"/>
      <w:bCs/>
      <w:sz w:val="24"/>
      <w:szCs w:val="22"/>
    </w:rPr>
  </w:style>
  <w:style w:type="character" w:customStyle="1" w:styleId="546">
    <w:name w:val="电子邮件签名 Char2"/>
    <w:qFormat/>
    <w:uiPriority w:val="0"/>
    <w:rPr>
      <w:rFonts w:ascii="Times New Roman" w:hAnsi="Times New Roman" w:eastAsia="宋体" w:cs="Times New Roman"/>
      <w:color w:val="000000"/>
      <w:sz w:val="24"/>
      <w:szCs w:val="15"/>
    </w:rPr>
  </w:style>
  <w:style w:type="character" w:customStyle="1" w:styleId="547">
    <w:name w:val="结束语 Char3"/>
    <w:qFormat/>
    <w:uiPriority w:val="0"/>
    <w:rPr>
      <w:rFonts w:eastAsia="宋体"/>
      <w:kern w:val="2"/>
      <w:sz w:val="21"/>
      <w:szCs w:val="24"/>
      <w:lang w:val="en-US" w:eastAsia="zh-CN" w:bidi="ar-SA"/>
    </w:rPr>
  </w:style>
  <w:style w:type="character" w:customStyle="1" w:styleId="548">
    <w:name w:val="HTML 地址 Char"/>
    <w:link w:val="549"/>
    <w:qFormat/>
    <w:uiPriority w:val="0"/>
    <w:rPr>
      <w:i/>
      <w:iCs/>
      <w:szCs w:val="24"/>
    </w:rPr>
  </w:style>
  <w:style w:type="paragraph" w:customStyle="1" w:styleId="549">
    <w:name w:val="HTML 地址1"/>
    <w:basedOn w:val="1"/>
    <w:link w:val="548"/>
    <w:qFormat/>
    <w:uiPriority w:val="0"/>
    <w:rPr>
      <w:rFonts w:asciiTheme="minorHAnsi" w:hAnsiTheme="minorHAnsi" w:eastAsiaTheme="minorEastAsia" w:cstheme="minorBidi"/>
      <w:i/>
      <w:iCs/>
    </w:rPr>
  </w:style>
  <w:style w:type="character" w:customStyle="1" w:styleId="550">
    <w:name w:val="f141"/>
    <w:qFormat/>
    <w:uiPriority w:val="0"/>
    <w:rPr>
      <w:rFonts w:hint="default" w:ascii="ˎ̥" w:hAnsi="ˎ̥"/>
      <w:sz w:val="21"/>
      <w:szCs w:val="21"/>
    </w:rPr>
  </w:style>
  <w:style w:type="character" w:customStyle="1" w:styleId="551">
    <w:name w:val="1级标题 Char"/>
    <w:link w:val="552"/>
    <w:qFormat/>
    <w:uiPriority w:val="0"/>
    <w:rPr>
      <w:rFonts w:ascii="黑体" w:eastAsia="黑体"/>
      <w:bCs/>
      <w:kern w:val="44"/>
      <w:sz w:val="32"/>
      <w:szCs w:val="30"/>
    </w:rPr>
  </w:style>
  <w:style w:type="paragraph" w:customStyle="1" w:styleId="552">
    <w:name w:val="1级标题"/>
    <w:basedOn w:val="3"/>
    <w:link w:val="551"/>
    <w:qFormat/>
    <w:uiPriority w:val="0"/>
    <w:pPr>
      <w:keepNext w:val="0"/>
      <w:keepLines w:val="0"/>
      <w:adjustRightInd w:val="0"/>
      <w:snapToGrid w:val="0"/>
      <w:spacing w:before="0" w:after="0" w:line="360" w:lineRule="auto"/>
      <w:jc w:val="both"/>
    </w:pPr>
    <w:rPr>
      <w:rFonts w:ascii="黑体" w:hAnsiTheme="minorHAnsi" w:cstheme="minorBidi"/>
      <w:b w:val="0"/>
      <w:szCs w:val="30"/>
    </w:rPr>
  </w:style>
  <w:style w:type="character" w:customStyle="1" w:styleId="553">
    <w:name w:val="正文文本+西文 Char"/>
    <w:link w:val="554"/>
    <w:qFormat/>
    <w:uiPriority w:val="0"/>
    <w:rPr>
      <w:rFonts w:eastAsia="宋体"/>
      <w:sz w:val="28"/>
      <w:szCs w:val="28"/>
      <w:lang w:bidi="en-US"/>
    </w:rPr>
  </w:style>
  <w:style w:type="paragraph" w:customStyle="1" w:styleId="554">
    <w:name w:val="正文文本+西文"/>
    <w:basedOn w:val="34"/>
    <w:link w:val="553"/>
    <w:qFormat/>
    <w:uiPriority w:val="0"/>
    <w:pPr>
      <w:spacing w:line="360" w:lineRule="auto"/>
      <w:ind w:firstLine="560" w:firstLineChars="200"/>
    </w:pPr>
    <w:rPr>
      <w:rFonts w:asciiTheme="minorHAnsi" w:hAnsiTheme="minorHAnsi"/>
      <w:sz w:val="28"/>
      <w:szCs w:val="28"/>
      <w:lang w:bidi="en-US"/>
    </w:rPr>
  </w:style>
  <w:style w:type="character" w:customStyle="1" w:styleId="555">
    <w:name w:val="正文文本 Char4"/>
    <w:link w:val="34"/>
    <w:qFormat/>
    <w:uiPriority w:val="1"/>
    <w:rPr>
      <w:rFonts w:ascii="宋体" w:hAnsi="宋体" w:eastAsia="宋体"/>
      <w:szCs w:val="24"/>
    </w:rPr>
  </w:style>
  <w:style w:type="character" w:customStyle="1" w:styleId="556">
    <w:name w:val="Char Char59"/>
    <w:qFormat/>
    <w:uiPriority w:val="0"/>
    <w:rPr>
      <w:b/>
      <w:kern w:val="2"/>
      <w:sz w:val="32"/>
    </w:rPr>
  </w:style>
  <w:style w:type="character" w:customStyle="1" w:styleId="557">
    <w:name w:val="第一章 Char"/>
    <w:qFormat/>
    <w:uiPriority w:val="0"/>
    <w:rPr>
      <w:rFonts w:ascii="Times New Roman" w:hAnsi="Times New Roman"/>
      <w:b/>
      <w:kern w:val="44"/>
      <w:sz w:val="44"/>
    </w:rPr>
  </w:style>
  <w:style w:type="character" w:customStyle="1" w:styleId="558">
    <w:name w:val="ft"/>
    <w:qFormat/>
    <w:uiPriority w:val="0"/>
  </w:style>
  <w:style w:type="character" w:customStyle="1" w:styleId="559">
    <w:name w:val="签名 Char"/>
    <w:qFormat/>
    <w:uiPriority w:val="0"/>
    <w:rPr>
      <w:rFonts w:ascii="Times New Roman" w:hAnsi="Times New Roman"/>
      <w:szCs w:val="24"/>
    </w:rPr>
  </w:style>
  <w:style w:type="character" w:customStyle="1" w:styleId="560">
    <w:name w:val="font121"/>
    <w:qFormat/>
    <w:uiPriority w:val="0"/>
    <w:rPr>
      <w:rFonts w:hint="default" w:ascii="Times New Roman" w:hAnsi="Times New Roman" w:cs="Times New Roman"/>
      <w:color w:val="000000"/>
      <w:sz w:val="21"/>
      <w:szCs w:val="21"/>
      <w:u w:val="none"/>
    </w:rPr>
  </w:style>
  <w:style w:type="character" w:customStyle="1" w:styleId="561">
    <w:name w:val="图名 Char Char"/>
    <w:link w:val="562"/>
    <w:qFormat/>
    <w:uiPriority w:val="0"/>
    <w:rPr>
      <w:rFonts w:ascii="黑体" w:eastAsia="黑体"/>
      <w:b/>
      <w:sz w:val="24"/>
    </w:rPr>
  </w:style>
  <w:style w:type="paragraph" w:customStyle="1" w:styleId="562">
    <w:name w:val="图名"/>
    <w:basedOn w:val="1"/>
    <w:next w:val="6"/>
    <w:link w:val="561"/>
    <w:qFormat/>
    <w:uiPriority w:val="0"/>
    <w:pPr>
      <w:adjustRightInd w:val="0"/>
      <w:snapToGrid w:val="0"/>
      <w:jc w:val="center"/>
    </w:pPr>
    <w:rPr>
      <w:rFonts w:ascii="黑体" w:eastAsia="黑体" w:hAnsiTheme="minorHAnsi" w:cstheme="minorBidi"/>
      <w:b/>
      <w:sz w:val="24"/>
      <w:szCs w:val="22"/>
    </w:rPr>
  </w:style>
  <w:style w:type="character" w:customStyle="1" w:styleId="563">
    <w:name w:val="font81"/>
    <w:qFormat/>
    <w:uiPriority w:val="0"/>
    <w:rPr>
      <w:rFonts w:hint="eastAsia" w:ascii="宋体" w:hAnsi="宋体" w:eastAsia="宋体" w:cs="宋体"/>
      <w:color w:val="FF0000"/>
      <w:sz w:val="21"/>
      <w:szCs w:val="21"/>
      <w:u w:val="none"/>
    </w:rPr>
  </w:style>
  <w:style w:type="character" w:customStyle="1" w:styleId="564">
    <w:name w:val="标题 3 Char Char2"/>
    <w:qFormat/>
    <w:uiPriority w:val="0"/>
    <w:rPr>
      <w:rFonts w:hint="eastAsia" w:ascii="宋体" w:hAnsi="宋体" w:eastAsia="宋体"/>
      <w:b/>
      <w:kern w:val="2"/>
      <w:sz w:val="32"/>
      <w:lang w:val="en-US" w:eastAsia="zh-CN" w:bidi="ar-SA"/>
    </w:rPr>
  </w:style>
  <w:style w:type="character" w:customStyle="1" w:styleId="565">
    <w:name w:val="无间隔 Char1"/>
    <w:link w:val="566"/>
    <w:qFormat/>
    <w:uiPriority w:val="1"/>
    <w:rPr>
      <w:rFonts w:eastAsia="宋体"/>
      <w:sz w:val="24"/>
    </w:rPr>
  </w:style>
  <w:style w:type="paragraph" w:styleId="566">
    <w:name w:val="No Spacing"/>
    <w:link w:val="565"/>
    <w:qFormat/>
    <w:uiPriority w:val="1"/>
    <w:pPr>
      <w:widowControl w:val="0"/>
      <w:jc w:val="both"/>
    </w:pPr>
    <w:rPr>
      <w:rFonts w:eastAsia="宋体" w:asciiTheme="minorHAnsi" w:hAnsiTheme="minorHAnsi" w:cstheme="minorBidi"/>
      <w:kern w:val="2"/>
      <w:sz w:val="24"/>
      <w:szCs w:val="22"/>
      <w:lang w:val="en-US" w:eastAsia="zh-CN" w:bidi="ar-SA"/>
    </w:rPr>
  </w:style>
  <w:style w:type="character" w:customStyle="1" w:styleId="567">
    <w:name w:val="图标题 Char"/>
    <w:qFormat/>
    <w:uiPriority w:val="0"/>
    <w:rPr>
      <w:b/>
      <w:bCs/>
      <w:kern w:val="2"/>
      <w:sz w:val="24"/>
    </w:rPr>
  </w:style>
  <w:style w:type="character" w:customStyle="1" w:styleId="568">
    <w:name w:val="Char Char1"/>
    <w:qFormat/>
    <w:uiPriority w:val="0"/>
    <w:rPr>
      <w:rFonts w:eastAsia="宋体"/>
      <w:kern w:val="2"/>
      <w:sz w:val="18"/>
      <w:szCs w:val="18"/>
      <w:lang w:val="en-US" w:eastAsia="zh-CN"/>
    </w:rPr>
  </w:style>
  <w:style w:type="character" w:customStyle="1" w:styleId="569">
    <w:name w:val="Char Char56"/>
    <w:qFormat/>
    <w:uiPriority w:val="0"/>
    <w:rPr>
      <w:rFonts w:hint="default" w:ascii="Arial" w:hAnsi="Arial" w:eastAsia="黑体" w:cs="Arial"/>
      <w:b/>
      <w:sz w:val="24"/>
    </w:rPr>
  </w:style>
  <w:style w:type="character" w:customStyle="1" w:styleId="570">
    <w:name w:val="表格头 Char"/>
    <w:link w:val="571"/>
    <w:qFormat/>
    <w:uiPriority w:val="0"/>
    <w:rPr>
      <w:rFonts w:eastAsia="宋体"/>
      <w:bCs/>
      <w:kern w:val="44"/>
      <w:sz w:val="24"/>
      <w:szCs w:val="44"/>
    </w:rPr>
  </w:style>
  <w:style w:type="paragraph" w:customStyle="1" w:styleId="571">
    <w:name w:val="表格头"/>
    <w:next w:val="1"/>
    <w:link w:val="570"/>
    <w:qFormat/>
    <w:uiPriority w:val="0"/>
    <w:pPr>
      <w:spacing w:line="360" w:lineRule="auto"/>
      <w:jc w:val="center"/>
    </w:pPr>
    <w:rPr>
      <w:rFonts w:eastAsia="宋体" w:asciiTheme="minorHAnsi" w:hAnsiTheme="minorHAnsi" w:cstheme="minorBidi"/>
      <w:bCs/>
      <w:kern w:val="44"/>
      <w:sz w:val="24"/>
      <w:szCs w:val="44"/>
      <w:lang w:val="en-US" w:eastAsia="zh-CN" w:bidi="ar-SA"/>
    </w:rPr>
  </w:style>
  <w:style w:type="character" w:customStyle="1" w:styleId="572">
    <w:name w:val="jun"/>
    <w:qFormat/>
    <w:uiPriority w:val="0"/>
  </w:style>
  <w:style w:type="character" w:customStyle="1" w:styleId="573">
    <w:name w:val="信息标题 Char"/>
    <w:link w:val="574"/>
    <w:qFormat/>
    <w:uiPriority w:val="0"/>
    <w:rPr>
      <w:rFonts w:ascii="Arial" w:hAnsi="Arial" w:eastAsia="宋体"/>
      <w:sz w:val="24"/>
      <w:szCs w:val="24"/>
      <w:shd w:val="pct20" w:color="auto" w:fill="auto"/>
    </w:rPr>
  </w:style>
  <w:style w:type="paragraph" w:customStyle="1" w:styleId="574">
    <w:name w:val="信息标题2"/>
    <w:basedOn w:val="1"/>
    <w:link w:val="57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theme="minorBidi"/>
      <w:sz w:val="24"/>
      <w:shd w:val="pct20" w:color="auto" w:fill="auto"/>
    </w:rPr>
  </w:style>
  <w:style w:type="character" w:customStyle="1" w:styleId="575">
    <w:name w:val="明显引用 Char2"/>
    <w:qFormat/>
    <w:uiPriority w:val="30"/>
    <w:rPr>
      <w:b/>
      <w:bCs/>
      <w:i/>
      <w:iCs/>
      <w:color w:val="4F81BD"/>
      <w:kern w:val="2"/>
      <w:sz w:val="21"/>
      <w:szCs w:val="24"/>
    </w:rPr>
  </w:style>
  <w:style w:type="character" w:customStyle="1" w:styleId="576">
    <w:name w:val="批注主题 Char Char"/>
    <w:link w:val="577"/>
    <w:qFormat/>
    <w:locked/>
    <w:uiPriority w:val="0"/>
    <w:rPr>
      <w:b/>
      <w:color w:val="000000"/>
      <w:sz w:val="24"/>
      <w:szCs w:val="15"/>
    </w:rPr>
  </w:style>
  <w:style w:type="paragraph" w:customStyle="1" w:styleId="577">
    <w:name w:val="批注主题12"/>
    <w:basedOn w:val="1"/>
    <w:next w:val="1"/>
    <w:link w:val="576"/>
    <w:qFormat/>
    <w:uiPriority w:val="0"/>
    <w:rPr>
      <w:rFonts w:asciiTheme="minorHAnsi" w:hAnsiTheme="minorHAnsi" w:eastAsiaTheme="minorEastAsia" w:cstheme="minorBidi"/>
      <w:b/>
      <w:color w:val="000000"/>
      <w:sz w:val="24"/>
      <w:szCs w:val="15"/>
    </w:rPr>
  </w:style>
  <w:style w:type="character" w:customStyle="1" w:styleId="578">
    <w:name w:val="标题2 Char Char"/>
    <w:qFormat/>
    <w:uiPriority w:val="0"/>
    <w:rPr>
      <w:rFonts w:hint="default" w:ascii="Times New Roman" w:hAnsi="Times New Roman" w:eastAsia="宋体" w:cs="Times New Roman"/>
      <w:b/>
      <w:bCs/>
      <w:kern w:val="2"/>
      <w:sz w:val="32"/>
      <w:szCs w:val="32"/>
      <w:lang w:val="en-US" w:eastAsia="zh-CN" w:bidi="ar-SA"/>
    </w:rPr>
  </w:style>
  <w:style w:type="character" w:customStyle="1" w:styleId="579">
    <w:name w:val="样式 Char"/>
    <w:link w:val="580"/>
    <w:qFormat/>
    <w:uiPriority w:val="0"/>
    <w:rPr>
      <w:rFonts w:ascii="楷体_GB2312" w:eastAsia="楷体_GB2312"/>
      <w:sz w:val="24"/>
      <w:szCs w:val="24"/>
    </w:rPr>
  </w:style>
  <w:style w:type="paragraph" w:customStyle="1" w:styleId="580">
    <w:name w:val="样式"/>
    <w:basedOn w:val="1"/>
    <w:next w:val="70"/>
    <w:link w:val="579"/>
    <w:qFormat/>
    <w:uiPriority w:val="0"/>
    <w:pPr>
      <w:tabs>
        <w:tab w:val="left" w:pos="6720"/>
      </w:tabs>
      <w:spacing w:line="360" w:lineRule="auto"/>
      <w:ind w:firstLine="480" w:firstLineChars="200"/>
    </w:pPr>
    <w:rPr>
      <w:rFonts w:ascii="楷体_GB2312" w:eastAsia="楷体_GB2312" w:hAnsiTheme="minorHAnsi" w:cstheme="minorBidi"/>
      <w:sz w:val="24"/>
    </w:rPr>
  </w:style>
  <w:style w:type="character" w:customStyle="1" w:styleId="581">
    <w:name w:val="文档结构图 Char4"/>
    <w:qFormat/>
    <w:uiPriority w:val="0"/>
    <w:rPr>
      <w:rFonts w:hint="eastAsia" w:ascii="宋体" w:hAnsi="宋体" w:eastAsia="宋体"/>
      <w:kern w:val="2"/>
      <w:sz w:val="21"/>
      <w:lang w:val="en-US" w:eastAsia="zh-CN" w:bidi="ar-SA"/>
    </w:rPr>
  </w:style>
  <w:style w:type="character" w:customStyle="1" w:styleId="582">
    <w:name w:val="表格小五 Char"/>
    <w:link w:val="583"/>
    <w:qFormat/>
    <w:uiPriority w:val="0"/>
    <w:rPr>
      <w:rFonts w:ascii="Arial" w:hAnsi="Arial" w:cs="Arial"/>
      <w:kern w:val="40"/>
      <w:sz w:val="18"/>
      <w:szCs w:val="18"/>
    </w:rPr>
  </w:style>
  <w:style w:type="paragraph" w:customStyle="1" w:styleId="583">
    <w:name w:val="表格小五"/>
    <w:basedOn w:val="1"/>
    <w:link w:val="582"/>
    <w:qFormat/>
    <w:uiPriority w:val="0"/>
    <w:pPr>
      <w:adjustRightInd w:val="0"/>
      <w:snapToGrid w:val="0"/>
      <w:spacing w:line="320" w:lineRule="exact"/>
      <w:ind w:left="-42" w:leftChars="-20" w:right="-42" w:rightChars="-20"/>
      <w:jc w:val="center"/>
      <w:textAlignment w:val="baseline"/>
    </w:pPr>
    <w:rPr>
      <w:rFonts w:ascii="Arial" w:hAnsi="Arial" w:cs="Arial" w:eastAsiaTheme="minorEastAsia"/>
      <w:kern w:val="40"/>
      <w:sz w:val="18"/>
      <w:szCs w:val="18"/>
    </w:rPr>
  </w:style>
  <w:style w:type="character" w:customStyle="1" w:styleId="584">
    <w:name w:val="123YJ Char1"/>
    <w:qFormat/>
    <w:uiPriority w:val="0"/>
    <w:rPr>
      <w:rFonts w:hint="eastAsia" w:ascii="宋体" w:hAnsi="宋体" w:eastAsia="宋体"/>
      <w:kern w:val="2"/>
      <w:sz w:val="18"/>
      <w:szCs w:val="18"/>
      <w:lang w:val="en-US" w:eastAsia="zh-CN" w:bidi="ar-SA"/>
    </w:rPr>
  </w:style>
  <w:style w:type="character" w:customStyle="1" w:styleId="585">
    <w:name w:val="表格（5号） Char"/>
    <w:link w:val="586"/>
    <w:qFormat/>
    <w:uiPriority w:val="0"/>
    <w:rPr>
      <w:rFonts w:eastAsia="仿宋_GB2312"/>
      <w:color w:val="000000"/>
    </w:rPr>
  </w:style>
  <w:style w:type="paragraph" w:customStyle="1" w:styleId="586">
    <w:name w:val="表格（5号）"/>
    <w:link w:val="585"/>
    <w:qFormat/>
    <w:uiPriority w:val="0"/>
    <w:pPr>
      <w:adjustRightInd w:val="0"/>
      <w:snapToGrid w:val="0"/>
      <w:jc w:val="center"/>
    </w:pPr>
    <w:rPr>
      <w:rFonts w:eastAsia="仿宋_GB2312" w:asciiTheme="minorHAnsi" w:hAnsiTheme="minorHAnsi" w:cstheme="minorBidi"/>
      <w:color w:val="000000"/>
      <w:kern w:val="2"/>
      <w:sz w:val="21"/>
      <w:szCs w:val="22"/>
      <w:lang w:val="en-US" w:eastAsia="zh-CN" w:bidi="ar-SA"/>
    </w:rPr>
  </w:style>
  <w:style w:type="character" w:customStyle="1" w:styleId="587">
    <w:name w:val="Char Char55"/>
    <w:qFormat/>
    <w:uiPriority w:val="0"/>
    <w:rPr>
      <w:rFonts w:hint="eastAsia" w:ascii="宋体" w:hAnsi="Tms Rmn" w:eastAsia="宋体"/>
      <w:b/>
      <w:sz w:val="24"/>
    </w:rPr>
  </w:style>
  <w:style w:type="character" w:customStyle="1" w:styleId="588">
    <w:name w:val="表标题 Char Char"/>
    <w:link w:val="589"/>
    <w:qFormat/>
    <w:locked/>
    <w:uiPriority w:val="0"/>
    <w:rPr>
      <w:rFonts w:ascii="黑体" w:hAnsi="宋体" w:eastAsia="黑体"/>
      <w:bCs/>
      <w:sz w:val="24"/>
      <w:szCs w:val="24"/>
    </w:rPr>
  </w:style>
  <w:style w:type="paragraph" w:customStyle="1" w:styleId="589">
    <w:name w:val="表标题"/>
    <w:basedOn w:val="1"/>
    <w:link w:val="588"/>
    <w:qFormat/>
    <w:uiPriority w:val="0"/>
    <w:pPr>
      <w:autoSpaceDE w:val="0"/>
      <w:autoSpaceDN w:val="0"/>
      <w:adjustRightInd w:val="0"/>
      <w:snapToGrid w:val="0"/>
      <w:ind w:left="198" w:firstLine="480" w:firstLineChars="200"/>
      <w:jc w:val="center"/>
    </w:pPr>
    <w:rPr>
      <w:rFonts w:ascii="黑体" w:hAnsi="宋体" w:eastAsia="黑体" w:cstheme="minorBidi"/>
      <w:bCs/>
      <w:sz w:val="24"/>
    </w:rPr>
  </w:style>
  <w:style w:type="character" w:customStyle="1" w:styleId="590">
    <w:name w:val="font61"/>
    <w:qFormat/>
    <w:uiPriority w:val="0"/>
    <w:rPr>
      <w:rFonts w:hint="eastAsia" w:ascii="宋体" w:hAnsi="宋体" w:eastAsia="宋体" w:cs="宋体"/>
      <w:color w:val="000000"/>
      <w:sz w:val="21"/>
      <w:szCs w:val="21"/>
      <w:u w:val="none"/>
    </w:rPr>
  </w:style>
  <w:style w:type="character" w:customStyle="1" w:styleId="591">
    <w:name w:val="Char Char57"/>
    <w:qFormat/>
    <w:uiPriority w:val="0"/>
    <w:rPr>
      <w:rFonts w:hint="eastAsia" w:ascii="宋体" w:hAnsi="Tms Rmn" w:eastAsia="宋体"/>
      <w:b/>
      <w:sz w:val="28"/>
    </w:rPr>
  </w:style>
  <w:style w:type="character" w:customStyle="1" w:styleId="592">
    <w:name w:val="图标 Char"/>
    <w:link w:val="593"/>
    <w:qFormat/>
    <w:locked/>
    <w:uiPriority w:val="0"/>
    <w:rPr>
      <w:bCs/>
      <w:color w:val="000000"/>
      <w:sz w:val="24"/>
      <w:szCs w:val="21"/>
      <w:lang w:val="en-US" w:eastAsia="zh-CN"/>
    </w:rPr>
  </w:style>
  <w:style w:type="paragraph" w:customStyle="1" w:styleId="593">
    <w:name w:val="图标"/>
    <w:basedOn w:val="1"/>
    <w:link w:val="592"/>
    <w:qFormat/>
    <w:uiPriority w:val="0"/>
    <w:pPr>
      <w:tabs>
        <w:tab w:val="left" w:pos="1920"/>
      </w:tabs>
      <w:spacing w:line="400" w:lineRule="atLeast"/>
      <w:jc w:val="center"/>
    </w:pPr>
    <w:rPr>
      <w:rFonts w:asciiTheme="minorHAnsi" w:hAnsiTheme="minorHAnsi" w:eastAsiaTheme="minorEastAsia" w:cstheme="minorBidi"/>
      <w:bCs/>
      <w:color w:val="000000"/>
      <w:sz w:val="24"/>
      <w:szCs w:val="21"/>
    </w:rPr>
  </w:style>
  <w:style w:type="character" w:customStyle="1" w:styleId="594">
    <w:name w:val="Char Char53"/>
    <w:qFormat/>
    <w:uiPriority w:val="0"/>
    <w:rPr>
      <w:rFonts w:hint="default" w:ascii="Arial" w:hAnsi="Arial" w:eastAsia="黑体" w:cs="Arial"/>
      <w:sz w:val="21"/>
    </w:rPr>
  </w:style>
  <w:style w:type="character" w:customStyle="1" w:styleId="595">
    <w:name w:val="报告书表格 Char"/>
    <w:link w:val="596"/>
    <w:qFormat/>
    <w:uiPriority w:val="0"/>
    <w:rPr>
      <w:rFonts w:eastAsia="宋体"/>
    </w:rPr>
  </w:style>
  <w:style w:type="paragraph" w:customStyle="1" w:styleId="596">
    <w:name w:val="报告书表格"/>
    <w:basedOn w:val="1"/>
    <w:link w:val="595"/>
    <w:qFormat/>
    <w:uiPriority w:val="0"/>
    <w:pPr>
      <w:adjustRightInd w:val="0"/>
      <w:spacing w:before="60" w:after="60" w:line="240" w:lineRule="atLeast"/>
      <w:jc w:val="center"/>
      <w:textAlignment w:val="baseline"/>
    </w:pPr>
    <w:rPr>
      <w:rFonts w:asciiTheme="minorHAnsi" w:hAnsiTheme="minorHAnsi" w:cstheme="minorBidi"/>
      <w:szCs w:val="22"/>
    </w:rPr>
  </w:style>
  <w:style w:type="character" w:customStyle="1" w:styleId="597">
    <w:name w:val="标题3 Char Char"/>
    <w:qFormat/>
    <w:uiPriority w:val="0"/>
    <w:rPr>
      <w:rFonts w:hint="default" w:ascii="Times New Roman" w:hAnsi="Times New Roman" w:eastAsia="宋体" w:cs="Times New Roman"/>
      <w:b/>
      <w:bCs/>
      <w:kern w:val="2"/>
      <w:sz w:val="28"/>
      <w:szCs w:val="32"/>
      <w:lang w:val="en-US" w:eastAsia="zh-CN" w:bidi="ar-SA"/>
    </w:rPr>
  </w:style>
  <w:style w:type="character" w:customStyle="1" w:styleId="598">
    <w:name w:val="Char Char512"/>
    <w:qFormat/>
    <w:locked/>
    <w:uiPriority w:val="0"/>
    <w:rPr>
      <w:rFonts w:hint="eastAsia" w:ascii="宋体" w:hAnsi="宋体" w:eastAsia="宋体"/>
      <w:kern w:val="2"/>
      <w:sz w:val="24"/>
      <w:lang w:val="en-US" w:eastAsia="zh-CN" w:bidi="ar-SA"/>
    </w:rPr>
  </w:style>
  <w:style w:type="character" w:customStyle="1" w:styleId="599">
    <w:name w:val="报告正文 Char"/>
    <w:link w:val="600"/>
    <w:qFormat/>
    <w:locked/>
    <w:uiPriority w:val="0"/>
    <w:rPr>
      <w:rFonts w:ascii="宋体"/>
      <w:sz w:val="24"/>
    </w:rPr>
  </w:style>
  <w:style w:type="paragraph" w:customStyle="1" w:styleId="600">
    <w:name w:val="报告正文"/>
    <w:basedOn w:val="1"/>
    <w:link w:val="599"/>
    <w:qFormat/>
    <w:uiPriority w:val="0"/>
    <w:pPr>
      <w:adjustRightInd w:val="0"/>
      <w:snapToGrid w:val="0"/>
      <w:spacing w:line="360" w:lineRule="auto"/>
      <w:ind w:firstLine="200" w:firstLineChars="200"/>
    </w:pPr>
    <w:rPr>
      <w:rFonts w:ascii="宋体" w:hAnsiTheme="minorHAnsi" w:eastAsiaTheme="minorEastAsia" w:cstheme="minorBidi"/>
      <w:sz w:val="24"/>
      <w:szCs w:val="22"/>
    </w:rPr>
  </w:style>
  <w:style w:type="character" w:customStyle="1" w:styleId="601">
    <w:name w:val="Char Char54"/>
    <w:qFormat/>
    <w:uiPriority w:val="0"/>
    <w:rPr>
      <w:rFonts w:hint="default" w:ascii="Arial" w:hAnsi="Arial" w:eastAsia="黑体" w:cs="Arial"/>
      <w:sz w:val="24"/>
    </w:rPr>
  </w:style>
  <w:style w:type="character" w:customStyle="1" w:styleId="602">
    <w:name w:val="称呼 Char"/>
    <w:link w:val="603"/>
    <w:qFormat/>
    <w:uiPriority w:val="0"/>
    <w:rPr>
      <w:szCs w:val="24"/>
    </w:rPr>
  </w:style>
  <w:style w:type="paragraph" w:customStyle="1" w:styleId="603">
    <w:name w:val="称呼1"/>
    <w:basedOn w:val="1"/>
    <w:next w:val="1"/>
    <w:link w:val="602"/>
    <w:qFormat/>
    <w:uiPriority w:val="0"/>
    <w:rPr>
      <w:rFonts w:asciiTheme="minorHAnsi" w:hAnsiTheme="minorHAnsi" w:eastAsiaTheme="minorEastAsia" w:cstheme="minorBidi"/>
    </w:rPr>
  </w:style>
  <w:style w:type="character" w:customStyle="1" w:styleId="604">
    <w:name w:val="mh-map_new-tl"/>
    <w:qFormat/>
    <w:uiPriority w:val="0"/>
  </w:style>
  <w:style w:type="character" w:customStyle="1" w:styleId="605">
    <w:name w:val="~~~表头 Char"/>
    <w:link w:val="606"/>
    <w:qFormat/>
    <w:uiPriority w:val="0"/>
    <w:rPr>
      <w:rFonts w:cs="Arial"/>
      <w:b/>
      <w:color w:val="000000"/>
      <w:kern w:val="2"/>
      <w:sz w:val="21"/>
      <w:szCs w:val="24"/>
    </w:rPr>
  </w:style>
  <w:style w:type="paragraph" w:customStyle="1" w:styleId="606">
    <w:name w:val="~~~表头"/>
    <w:next w:val="1"/>
    <w:link w:val="605"/>
    <w:qFormat/>
    <w:uiPriority w:val="0"/>
    <w:pPr>
      <w:numPr>
        <w:ilvl w:val="7"/>
        <w:numId w:val="1"/>
      </w:numPr>
      <w:spacing w:beforeLines="30" w:afterLines="30"/>
      <w:jc w:val="center"/>
    </w:pPr>
    <w:rPr>
      <w:rFonts w:cs="Arial" w:asciiTheme="minorHAnsi" w:hAnsiTheme="minorHAnsi" w:eastAsiaTheme="minorEastAsia"/>
      <w:b/>
      <w:color w:val="000000"/>
      <w:kern w:val="2"/>
      <w:sz w:val="21"/>
      <w:szCs w:val="24"/>
      <w:lang w:val="en-US" w:eastAsia="zh-CN" w:bidi="ar-SA"/>
    </w:rPr>
  </w:style>
  <w:style w:type="character" w:customStyle="1" w:styleId="607">
    <w:name w:val="正文首行缩进 Char1"/>
    <w:qFormat/>
    <w:uiPriority w:val="99"/>
    <w:rPr>
      <w:rFonts w:ascii="Times New Roman" w:hAnsi="Times New Roman" w:eastAsia="宋体"/>
      <w:kern w:val="2"/>
      <w:sz w:val="21"/>
      <w:szCs w:val="22"/>
      <w:lang w:val="en-US" w:eastAsia="zh-CN" w:bidi="ar-SA"/>
    </w:rPr>
  </w:style>
  <w:style w:type="character" w:customStyle="1" w:styleId="608">
    <w:name w:val="BT3 Char"/>
    <w:link w:val="609"/>
    <w:qFormat/>
    <w:uiPriority w:val="0"/>
    <w:rPr>
      <w:b/>
      <w:sz w:val="28"/>
      <w:szCs w:val="28"/>
    </w:rPr>
  </w:style>
  <w:style w:type="paragraph" w:customStyle="1" w:styleId="609">
    <w:name w:val="BT3"/>
    <w:basedOn w:val="1"/>
    <w:link w:val="608"/>
    <w:qFormat/>
    <w:uiPriority w:val="0"/>
    <w:pPr>
      <w:snapToGrid w:val="0"/>
      <w:spacing w:before="60" w:after="60" w:line="500" w:lineRule="exact"/>
      <w:outlineLvl w:val="2"/>
    </w:pPr>
    <w:rPr>
      <w:rFonts w:asciiTheme="minorHAnsi" w:hAnsiTheme="minorHAnsi" w:eastAsiaTheme="minorEastAsia" w:cstheme="minorBidi"/>
      <w:b/>
      <w:sz w:val="28"/>
      <w:szCs w:val="28"/>
    </w:rPr>
  </w:style>
  <w:style w:type="character" w:customStyle="1" w:styleId="610">
    <w:name w:val="标题 4 Char Char"/>
    <w:link w:val="611"/>
    <w:qFormat/>
    <w:uiPriority w:val="0"/>
    <w:rPr>
      <w:rFonts w:eastAsia="宋体"/>
      <w:bCs/>
      <w:sz w:val="28"/>
      <w:szCs w:val="28"/>
    </w:rPr>
  </w:style>
  <w:style w:type="paragraph" w:customStyle="1" w:styleId="611">
    <w:name w:val="标题 41"/>
    <w:basedOn w:val="1"/>
    <w:next w:val="203"/>
    <w:link w:val="610"/>
    <w:qFormat/>
    <w:uiPriority w:val="0"/>
    <w:pPr>
      <w:keepNext/>
      <w:keepLines/>
      <w:spacing w:before="50"/>
      <w:outlineLvl w:val="3"/>
    </w:pPr>
    <w:rPr>
      <w:rFonts w:asciiTheme="minorHAnsi" w:hAnsiTheme="minorHAnsi" w:cstheme="minorBidi"/>
      <w:bCs/>
      <w:sz w:val="28"/>
      <w:szCs w:val="28"/>
    </w:rPr>
  </w:style>
  <w:style w:type="character" w:customStyle="1" w:styleId="612">
    <w:name w:val="HTML Typewriter1"/>
    <w:qFormat/>
    <w:uiPriority w:val="0"/>
    <w:rPr>
      <w:rFonts w:hint="default" w:ascii="Courier New" w:hAnsi="Courier New" w:cs="Courier New"/>
      <w:sz w:val="20"/>
      <w:szCs w:val="20"/>
    </w:rPr>
  </w:style>
  <w:style w:type="character" w:customStyle="1" w:styleId="613">
    <w:name w:val="f1"/>
    <w:qFormat/>
    <w:uiPriority w:val="0"/>
    <w:rPr>
      <w:sz w:val="18"/>
      <w:szCs w:val="18"/>
    </w:rPr>
  </w:style>
  <w:style w:type="character" w:customStyle="1" w:styleId="614">
    <w:name w:val="Char Char61"/>
    <w:qFormat/>
    <w:uiPriority w:val="0"/>
    <w:rPr>
      <w:b/>
      <w:kern w:val="44"/>
      <w:sz w:val="44"/>
    </w:rPr>
  </w:style>
  <w:style w:type="character" w:customStyle="1" w:styleId="615">
    <w:name w:val="标题12"/>
    <w:basedOn w:val="133"/>
    <w:qFormat/>
    <w:uiPriority w:val="0"/>
  </w:style>
  <w:style w:type="character" w:customStyle="1" w:styleId="616">
    <w:name w:val="Char Char10"/>
    <w:qFormat/>
    <w:locked/>
    <w:uiPriority w:val="0"/>
    <w:rPr>
      <w:rFonts w:hint="default" w:ascii="Arial" w:hAnsi="Arial" w:eastAsia="宋体" w:cs="Arial"/>
      <w:b/>
      <w:bCs/>
      <w:kern w:val="28"/>
      <w:sz w:val="32"/>
      <w:szCs w:val="32"/>
      <w:lang w:val="en-US" w:eastAsia="zh-CN" w:bidi="ar-SA"/>
    </w:rPr>
  </w:style>
  <w:style w:type="character" w:customStyle="1" w:styleId="617">
    <w:name w:val="Char Char Char"/>
    <w:qFormat/>
    <w:uiPriority w:val="0"/>
    <w:rPr>
      <w:rFonts w:ascii="Tahoma" w:hAnsi="Tahoma" w:eastAsia="宋体"/>
      <w:kern w:val="2"/>
      <w:sz w:val="24"/>
      <w:lang w:val="en-US" w:eastAsia="zh-CN" w:bidi="ar-SA"/>
    </w:rPr>
  </w:style>
  <w:style w:type="character" w:customStyle="1" w:styleId="618">
    <w:name w:val="信息计划书 标题样式 Char"/>
    <w:qFormat/>
    <w:uiPriority w:val="0"/>
    <w:rPr>
      <w:rFonts w:ascii="仿宋_GB2312" w:hAnsi="Times New Roman" w:eastAsia="仿宋_GB2312" w:cs="Times New Roman"/>
      <w:sz w:val="24"/>
      <w:szCs w:val="24"/>
    </w:rPr>
  </w:style>
  <w:style w:type="character" w:customStyle="1" w:styleId="619">
    <w:name w:val="样式 (符号) 宋体 四号 Char"/>
    <w:link w:val="620"/>
    <w:qFormat/>
    <w:uiPriority w:val="0"/>
    <w:rPr>
      <w:rFonts w:hAnsi="宋体" w:eastAsia="宋体"/>
      <w:bCs/>
      <w:sz w:val="28"/>
      <w:szCs w:val="28"/>
    </w:rPr>
  </w:style>
  <w:style w:type="paragraph" w:customStyle="1" w:styleId="620">
    <w:name w:val="样式 (符号) 宋体 四号"/>
    <w:basedOn w:val="1"/>
    <w:link w:val="619"/>
    <w:qFormat/>
    <w:uiPriority w:val="0"/>
    <w:pPr>
      <w:ind w:firstLine="560" w:firstLineChars="200"/>
    </w:pPr>
    <w:rPr>
      <w:rFonts w:hAnsi="宋体" w:asciiTheme="minorHAnsi" w:cstheme="minorBidi"/>
      <w:bCs/>
      <w:sz w:val="28"/>
      <w:szCs w:val="28"/>
    </w:rPr>
  </w:style>
  <w:style w:type="character" w:customStyle="1" w:styleId="621">
    <w:name w:val="样式 楷体_GB2312 小四"/>
    <w:qFormat/>
    <w:uiPriority w:val="0"/>
    <w:rPr>
      <w:rFonts w:hint="eastAsia" w:ascii="楷体_GB2312" w:hAnsi="楷体_GB2312" w:eastAsia="宋体"/>
      <w:sz w:val="24"/>
    </w:rPr>
  </w:style>
  <w:style w:type="character" w:customStyle="1" w:styleId="622">
    <w:name w:val="居中 Char"/>
    <w:link w:val="623"/>
    <w:qFormat/>
    <w:uiPriority w:val="0"/>
  </w:style>
  <w:style w:type="paragraph" w:customStyle="1" w:styleId="623">
    <w:name w:val="居中"/>
    <w:basedOn w:val="1"/>
    <w:link w:val="622"/>
    <w:qFormat/>
    <w:uiPriority w:val="0"/>
    <w:pPr>
      <w:spacing w:before="100" w:beforeAutospacing="1" w:after="100" w:afterAutospacing="1" w:line="360" w:lineRule="auto"/>
      <w:jc w:val="center"/>
    </w:pPr>
    <w:rPr>
      <w:rFonts w:asciiTheme="minorHAnsi" w:hAnsiTheme="minorHAnsi" w:eastAsiaTheme="minorEastAsia" w:cstheme="minorBidi"/>
      <w:szCs w:val="22"/>
    </w:rPr>
  </w:style>
  <w:style w:type="character" w:customStyle="1" w:styleId="624">
    <w:name w:val="HTML Keyboard1"/>
    <w:qFormat/>
    <w:uiPriority w:val="0"/>
    <w:rPr>
      <w:rFonts w:hint="default" w:ascii="Courier New" w:hAnsi="Courier New" w:cs="Courier New"/>
      <w:sz w:val="20"/>
      <w:szCs w:val="20"/>
    </w:rPr>
  </w:style>
  <w:style w:type="character" w:customStyle="1" w:styleId="625">
    <w:name w:val="标题1 Char"/>
    <w:qFormat/>
    <w:uiPriority w:val="0"/>
    <w:rPr>
      <w:rFonts w:ascii="黑体" w:eastAsia="黑体"/>
      <w:b/>
      <w:kern w:val="44"/>
      <w:sz w:val="32"/>
      <w:lang w:bidi="ar-SA"/>
    </w:rPr>
  </w:style>
  <w:style w:type="character" w:customStyle="1" w:styleId="626">
    <w:name w:val="Char Char382"/>
    <w:qFormat/>
    <w:locked/>
    <w:uiPriority w:val="0"/>
    <w:rPr>
      <w:rFonts w:hint="eastAsia" w:ascii="宋体" w:hAnsi="宋体" w:eastAsia="宋体"/>
      <w:kern w:val="2"/>
      <w:sz w:val="21"/>
      <w:szCs w:val="24"/>
      <w:lang w:val="en-US" w:eastAsia="zh-CN" w:bidi="ar-SA"/>
    </w:rPr>
  </w:style>
  <w:style w:type="character" w:customStyle="1" w:styleId="627">
    <w:name w:val="图标题 Char Char"/>
    <w:link w:val="628"/>
    <w:qFormat/>
    <w:uiPriority w:val="0"/>
    <w:rPr>
      <w:rFonts w:eastAsia="宋体"/>
      <w:b/>
      <w:bCs/>
      <w:sz w:val="24"/>
    </w:rPr>
  </w:style>
  <w:style w:type="paragraph" w:customStyle="1" w:styleId="628">
    <w:name w:val="图标题"/>
    <w:basedOn w:val="1"/>
    <w:link w:val="627"/>
    <w:qFormat/>
    <w:uiPriority w:val="0"/>
    <w:pPr>
      <w:framePr w:hSpace="181" w:vSpace="181" w:wrap="around" w:vAnchor="text" w:hAnchor="text" w:y="1"/>
      <w:spacing w:line="260" w:lineRule="exact"/>
      <w:jc w:val="center"/>
    </w:pPr>
    <w:rPr>
      <w:rFonts w:asciiTheme="minorHAnsi" w:hAnsiTheme="minorHAnsi" w:cstheme="minorBidi"/>
      <w:b/>
      <w:bCs/>
      <w:sz w:val="24"/>
      <w:szCs w:val="22"/>
    </w:rPr>
  </w:style>
  <w:style w:type="character" w:customStyle="1" w:styleId="629">
    <w:name w:val="三号标题 字符"/>
    <w:link w:val="630"/>
    <w:qFormat/>
    <w:uiPriority w:val="0"/>
    <w:rPr>
      <w:b/>
      <w:sz w:val="28"/>
      <w:szCs w:val="28"/>
    </w:rPr>
  </w:style>
  <w:style w:type="paragraph" w:customStyle="1" w:styleId="630">
    <w:name w:val="三号标题"/>
    <w:basedOn w:val="1"/>
    <w:link w:val="629"/>
    <w:qFormat/>
    <w:uiPriority w:val="0"/>
    <w:pPr>
      <w:spacing w:before="100" w:beforeLines="100" w:after="100" w:afterLines="100" w:line="360" w:lineRule="auto"/>
      <w:outlineLvl w:val="2"/>
    </w:pPr>
    <w:rPr>
      <w:rFonts w:asciiTheme="minorHAnsi" w:hAnsiTheme="minorHAnsi" w:eastAsiaTheme="minorEastAsia" w:cstheme="minorBidi"/>
      <w:b/>
      <w:sz w:val="28"/>
      <w:szCs w:val="28"/>
    </w:rPr>
  </w:style>
  <w:style w:type="character" w:customStyle="1" w:styleId="631">
    <w:name w:val="表格A Char"/>
    <w:link w:val="632"/>
    <w:qFormat/>
    <w:uiPriority w:val="0"/>
  </w:style>
  <w:style w:type="paragraph" w:customStyle="1" w:styleId="632">
    <w:name w:val="表格A"/>
    <w:basedOn w:val="1"/>
    <w:link w:val="631"/>
    <w:qFormat/>
    <w:uiPriority w:val="0"/>
    <w:pPr>
      <w:adjustRightInd w:val="0"/>
      <w:snapToGrid w:val="0"/>
      <w:spacing w:before="93" w:beforeLines="30" w:after="93" w:afterLines="30"/>
      <w:jc w:val="center"/>
    </w:pPr>
    <w:rPr>
      <w:rFonts w:asciiTheme="minorHAnsi" w:hAnsiTheme="minorHAnsi" w:eastAsiaTheme="minorEastAsia" w:cstheme="minorBidi"/>
      <w:szCs w:val="22"/>
    </w:rPr>
  </w:style>
  <w:style w:type="character" w:customStyle="1" w:styleId="633">
    <w:name w:val="HTML Acronym1"/>
    <w:qFormat/>
    <w:uiPriority w:val="0"/>
  </w:style>
  <w:style w:type="character" w:customStyle="1" w:styleId="634">
    <w:name w:val="标题 4 Char1"/>
    <w:qFormat/>
    <w:uiPriority w:val="0"/>
    <w:rPr>
      <w:rFonts w:ascii="Cambria" w:hAnsi="Cambria" w:eastAsia="宋体" w:cs="Times New Roman"/>
      <w:b/>
      <w:bCs/>
      <w:kern w:val="2"/>
      <w:sz w:val="28"/>
      <w:szCs w:val="28"/>
    </w:rPr>
  </w:style>
  <w:style w:type="character" w:customStyle="1" w:styleId="635">
    <w:name w:val="Char Char14"/>
    <w:qFormat/>
    <w:locked/>
    <w:uiPriority w:val="0"/>
    <w:rPr>
      <w:rFonts w:hint="eastAsia" w:ascii="宋体" w:hAnsi="宋体" w:eastAsia="宋体"/>
      <w:lang w:val="en-US" w:eastAsia="zh-CN" w:bidi="ar-SA"/>
    </w:rPr>
  </w:style>
  <w:style w:type="character" w:customStyle="1" w:styleId="636">
    <w:name w:val="title12"/>
    <w:qFormat/>
    <w:uiPriority w:val="0"/>
  </w:style>
  <w:style w:type="character" w:customStyle="1" w:styleId="637">
    <w:name w:val="HTML Cite1"/>
    <w:qFormat/>
    <w:uiPriority w:val="0"/>
    <w:rPr>
      <w:i/>
      <w:iCs/>
    </w:rPr>
  </w:style>
  <w:style w:type="character" w:customStyle="1" w:styleId="638">
    <w:name w:val="font111"/>
    <w:qFormat/>
    <w:uiPriority w:val="0"/>
    <w:rPr>
      <w:sz w:val="22"/>
      <w:szCs w:val="22"/>
    </w:rPr>
  </w:style>
  <w:style w:type="character" w:customStyle="1" w:styleId="639">
    <w:name w:val="标题 1 字符"/>
    <w:qFormat/>
    <w:uiPriority w:val="0"/>
    <w:rPr>
      <w:b/>
      <w:bCs/>
      <w:kern w:val="44"/>
      <w:sz w:val="44"/>
      <w:szCs w:val="44"/>
    </w:rPr>
  </w:style>
  <w:style w:type="character" w:customStyle="1" w:styleId="640">
    <w:name w:val="zw Char"/>
    <w:link w:val="641"/>
    <w:qFormat/>
    <w:uiPriority w:val="0"/>
    <w:rPr>
      <w:rFonts w:ascii="宋体" w:hAnsi="宋体" w:cs="宋体"/>
      <w:sz w:val="22"/>
    </w:rPr>
  </w:style>
  <w:style w:type="paragraph" w:customStyle="1" w:styleId="641">
    <w:name w:val="zw"/>
    <w:basedOn w:val="1"/>
    <w:link w:val="640"/>
    <w:qFormat/>
    <w:uiPriority w:val="0"/>
    <w:pPr>
      <w:widowControl/>
      <w:spacing w:before="100" w:beforeAutospacing="1" w:after="100" w:afterAutospacing="1" w:line="440" w:lineRule="atLeast"/>
      <w:jc w:val="left"/>
    </w:pPr>
    <w:rPr>
      <w:rFonts w:ascii="宋体" w:hAnsi="宋体" w:cs="宋体" w:eastAsiaTheme="minorEastAsia"/>
      <w:sz w:val="22"/>
      <w:szCs w:val="22"/>
    </w:rPr>
  </w:style>
  <w:style w:type="character" w:customStyle="1" w:styleId="642">
    <w:name w:val="正文01 Char Char Char"/>
    <w:qFormat/>
    <w:uiPriority w:val="0"/>
    <w:rPr>
      <w:rFonts w:ascii="@黑体" w:hAnsi="@黑体"/>
      <w:snapToGrid w:val="0"/>
      <w:color w:val="000000"/>
      <w:sz w:val="24"/>
      <w:szCs w:val="24"/>
      <w:lang w:bidi="ar-SA"/>
    </w:rPr>
  </w:style>
  <w:style w:type="character" w:customStyle="1" w:styleId="643">
    <w:name w:val="正文文本 Char1"/>
    <w:qFormat/>
    <w:uiPriority w:val="0"/>
    <w:rPr>
      <w:kern w:val="2"/>
      <w:sz w:val="24"/>
    </w:rPr>
  </w:style>
  <w:style w:type="character" w:customStyle="1" w:styleId="644">
    <w:name w:val="标题 2 Char1"/>
    <w:qFormat/>
    <w:uiPriority w:val="0"/>
    <w:rPr>
      <w:rFonts w:ascii="Cambria" w:hAnsi="Cambria" w:eastAsia="宋体"/>
      <w:b/>
      <w:bCs/>
      <w:kern w:val="2"/>
      <w:sz w:val="32"/>
      <w:szCs w:val="32"/>
      <w:lang w:val="en-US" w:eastAsia="zh-CN" w:bidi="ar-SA"/>
    </w:rPr>
  </w:style>
  <w:style w:type="character" w:customStyle="1" w:styleId="645">
    <w:name w:val="普通(Web) Char"/>
    <w:qFormat/>
    <w:locked/>
    <w:uiPriority w:val="0"/>
    <w:rPr>
      <w:rFonts w:ascii="宋体" w:hAnsi="宋体"/>
      <w:sz w:val="18"/>
      <w:szCs w:val="18"/>
    </w:rPr>
  </w:style>
  <w:style w:type="character" w:customStyle="1" w:styleId="646">
    <w:name w:val="Char Char5"/>
    <w:qFormat/>
    <w:uiPriority w:val="0"/>
    <w:rPr>
      <w:rFonts w:eastAsia="宋体"/>
      <w:kern w:val="2"/>
      <w:sz w:val="21"/>
      <w:szCs w:val="24"/>
      <w:lang w:val="en-US" w:eastAsia="zh-CN" w:bidi="ar-SA"/>
    </w:rPr>
  </w:style>
  <w:style w:type="character" w:customStyle="1" w:styleId="647">
    <w:name w:val="yva972"/>
    <w:basedOn w:val="133"/>
    <w:qFormat/>
    <w:uiPriority w:val="0"/>
  </w:style>
  <w:style w:type="character" w:customStyle="1" w:styleId="648">
    <w:name w:val="TBT Char"/>
    <w:link w:val="649"/>
    <w:qFormat/>
    <w:uiPriority w:val="0"/>
    <w:rPr>
      <w:b/>
      <w:sz w:val="24"/>
      <w:szCs w:val="24"/>
    </w:rPr>
  </w:style>
  <w:style w:type="paragraph" w:customStyle="1" w:styleId="649">
    <w:name w:val="TBT"/>
    <w:basedOn w:val="1"/>
    <w:link w:val="648"/>
    <w:qFormat/>
    <w:uiPriority w:val="0"/>
    <w:pPr>
      <w:snapToGrid w:val="0"/>
      <w:spacing w:line="500" w:lineRule="exact"/>
      <w:jc w:val="center"/>
    </w:pPr>
    <w:rPr>
      <w:rFonts w:asciiTheme="minorHAnsi" w:hAnsiTheme="minorHAnsi" w:eastAsiaTheme="minorEastAsia" w:cstheme="minorBidi"/>
      <w:b/>
      <w:sz w:val="24"/>
    </w:rPr>
  </w:style>
  <w:style w:type="character" w:customStyle="1" w:styleId="650">
    <w:name w:val="正文四号 Char"/>
    <w:link w:val="651"/>
    <w:qFormat/>
    <w:uiPriority w:val="0"/>
    <w:rPr>
      <w:sz w:val="28"/>
      <w:szCs w:val="24"/>
    </w:rPr>
  </w:style>
  <w:style w:type="paragraph" w:customStyle="1" w:styleId="651">
    <w:name w:val="正文四号"/>
    <w:basedOn w:val="1"/>
    <w:link w:val="650"/>
    <w:qFormat/>
    <w:uiPriority w:val="0"/>
    <w:pPr>
      <w:spacing w:line="360" w:lineRule="auto"/>
      <w:ind w:firstLine="200" w:firstLineChars="200"/>
    </w:pPr>
    <w:rPr>
      <w:rFonts w:asciiTheme="minorHAnsi" w:hAnsiTheme="minorHAnsi" w:eastAsiaTheme="minorEastAsia" w:cstheme="minorBidi"/>
      <w:sz w:val="28"/>
    </w:rPr>
  </w:style>
  <w:style w:type="character" w:customStyle="1" w:styleId="652">
    <w:name w:val="样式 标题 2 + 黑色 Char Char"/>
    <w:qFormat/>
    <w:uiPriority w:val="0"/>
    <w:rPr>
      <w:rFonts w:ascii="宋体" w:hAnsi="宋体" w:eastAsia="黑体"/>
      <w:b/>
      <w:bCs/>
      <w:kern w:val="2"/>
      <w:sz w:val="28"/>
      <w:szCs w:val="32"/>
      <w:lang w:val="en-US" w:eastAsia="zh-CN" w:bidi="ar-SA"/>
    </w:rPr>
  </w:style>
  <w:style w:type="character" w:customStyle="1" w:styleId="653">
    <w:name w:val="Hyperlink1"/>
    <w:qFormat/>
    <w:uiPriority w:val="0"/>
    <w:rPr>
      <w:color w:val="0000FF"/>
      <w:u w:val="single"/>
    </w:rPr>
  </w:style>
  <w:style w:type="character" w:customStyle="1" w:styleId="654">
    <w:name w:val="black_14"/>
    <w:qFormat/>
    <w:uiPriority w:val="0"/>
  </w:style>
  <w:style w:type="character" w:customStyle="1" w:styleId="655">
    <w:name w:val="HTML Variable1"/>
    <w:qFormat/>
    <w:uiPriority w:val="0"/>
    <w:rPr>
      <w:i/>
      <w:iCs/>
    </w:rPr>
  </w:style>
  <w:style w:type="character" w:customStyle="1" w:styleId="656">
    <w:name w:val="页眉 Char1"/>
    <w:qFormat/>
    <w:uiPriority w:val="0"/>
    <w:rPr>
      <w:rFonts w:ascii="Times New Roman" w:hAnsi="Times New Roman" w:eastAsia="宋体" w:cs="Times New Roman"/>
      <w:color w:val="000000"/>
      <w:sz w:val="18"/>
      <w:szCs w:val="18"/>
    </w:rPr>
  </w:style>
  <w:style w:type="character" w:customStyle="1" w:styleId="657">
    <w:name w:val="批注框文本 Char41"/>
    <w:qFormat/>
    <w:uiPriority w:val="0"/>
    <w:rPr>
      <w:kern w:val="2"/>
      <w:sz w:val="18"/>
      <w:szCs w:val="18"/>
      <w:lang w:bidi="ar-SA"/>
    </w:rPr>
  </w:style>
  <w:style w:type="character" w:customStyle="1" w:styleId="658">
    <w:name w:val="标题 21"/>
    <w:qFormat/>
    <w:uiPriority w:val="0"/>
    <w:rPr>
      <w:rFonts w:eastAsia="黑体"/>
      <w:b/>
      <w:sz w:val="28"/>
      <w:lang w:val="en-US" w:eastAsia="zh-CN" w:bidi="ar-SA"/>
    </w:rPr>
  </w:style>
  <w:style w:type="character" w:customStyle="1" w:styleId="659">
    <w:name w:val="一号标题 字符"/>
    <w:link w:val="660"/>
    <w:qFormat/>
    <w:uiPriority w:val="0"/>
    <w:rPr>
      <w:b/>
      <w:sz w:val="32"/>
      <w:szCs w:val="32"/>
    </w:rPr>
  </w:style>
  <w:style w:type="paragraph" w:customStyle="1" w:styleId="660">
    <w:name w:val="一号标题"/>
    <w:basedOn w:val="1"/>
    <w:link w:val="659"/>
    <w:qFormat/>
    <w:uiPriority w:val="0"/>
    <w:pPr>
      <w:spacing w:before="100" w:beforeLines="100" w:after="100" w:afterLines="100" w:line="360" w:lineRule="auto"/>
      <w:jc w:val="center"/>
      <w:outlineLvl w:val="0"/>
    </w:pPr>
    <w:rPr>
      <w:rFonts w:asciiTheme="minorHAnsi" w:hAnsiTheme="minorHAnsi" w:eastAsiaTheme="minorEastAsia" w:cstheme="minorBidi"/>
      <w:b/>
      <w:sz w:val="32"/>
      <w:szCs w:val="32"/>
    </w:rPr>
  </w:style>
  <w:style w:type="character" w:customStyle="1" w:styleId="661">
    <w:name w:val="chn1"/>
    <w:qFormat/>
    <w:uiPriority w:val="0"/>
    <w:rPr>
      <w:rFonts w:hint="eastAsia" w:ascii="宋体" w:hAnsi="宋体" w:eastAsia="宋体"/>
      <w:color w:val="222222"/>
      <w:sz w:val="20"/>
      <w:szCs w:val="20"/>
    </w:rPr>
  </w:style>
  <w:style w:type="character" w:customStyle="1" w:styleId="662">
    <w:name w:val="表头 字符1"/>
    <w:qFormat/>
    <w:uiPriority w:val="0"/>
    <w:rPr>
      <w:rFonts w:hint="default" w:ascii="Arial" w:hAnsi="Arial" w:cs="Arial"/>
      <w:b/>
      <w:color w:val="000000"/>
      <w:sz w:val="24"/>
      <w:szCs w:val="21"/>
    </w:rPr>
  </w:style>
  <w:style w:type="character" w:customStyle="1" w:styleId="663">
    <w:name w:val="正文文字缩进 Char Char"/>
    <w:qFormat/>
    <w:uiPriority w:val="0"/>
    <w:rPr>
      <w:kern w:val="2"/>
      <w:sz w:val="21"/>
      <w:szCs w:val="22"/>
    </w:rPr>
  </w:style>
  <w:style w:type="character" w:customStyle="1" w:styleId="664">
    <w:name w:val="批注主题 Char51"/>
    <w:qFormat/>
    <w:uiPriority w:val="0"/>
    <w:rPr>
      <w:rFonts w:hint="eastAsia" w:ascii="宋体" w:hAnsi="宋体" w:eastAsia="宋体"/>
      <w:b/>
      <w:bCs/>
      <w:kern w:val="2"/>
      <w:sz w:val="21"/>
      <w:szCs w:val="24"/>
      <w:lang w:val="en-US" w:eastAsia="zh-CN" w:bidi="ar-SA"/>
    </w:rPr>
  </w:style>
  <w:style w:type="character" w:customStyle="1" w:styleId="665">
    <w:name w:val="title11"/>
    <w:qFormat/>
    <w:uiPriority w:val="0"/>
    <w:rPr>
      <w:rFonts w:hint="eastAsia" w:ascii="黑体" w:eastAsia="黑体"/>
      <w:b/>
      <w:bCs/>
      <w:sz w:val="54"/>
      <w:szCs w:val="54"/>
    </w:rPr>
  </w:style>
  <w:style w:type="character" w:customStyle="1" w:styleId="666">
    <w:name w:val="index1"/>
    <w:qFormat/>
    <w:uiPriority w:val="0"/>
  </w:style>
  <w:style w:type="character" w:customStyle="1" w:styleId="667">
    <w:name w:val="style1311"/>
    <w:qFormat/>
    <w:uiPriority w:val="0"/>
    <w:rPr>
      <w:color w:val="333333"/>
      <w:sz w:val="24"/>
      <w:szCs w:val="24"/>
    </w:rPr>
  </w:style>
  <w:style w:type="character" w:customStyle="1" w:styleId="668">
    <w:name w:val="标题4 Char Char Char"/>
    <w:qFormat/>
    <w:uiPriority w:val="0"/>
    <w:rPr>
      <w:rFonts w:ascii="宋体" w:eastAsia="宋体"/>
      <w:kern w:val="2"/>
      <w:sz w:val="24"/>
      <w:lang w:val="en-US" w:eastAsia="zh-CN" w:bidi="ar-SA"/>
    </w:rPr>
  </w:style>
  <w:style w:type="character" w:customStyle="1" w:styleId="669">
    <w:name w:val="电子邮件签名 Char41"/>
    <w:qFormat/>
    <w:uiPriority w:val="0"/>
    <w:rPr>
      <w:rFonts w:hint="eastAsia" w:ascii="宋体" w:hAnsi="宋体" w:eastAsia="宋体"/>
      <w:kern w:val="2"/>
      <w:sz w:val="21"/>
      <w:szCs w:val="24"/>
      <w:lang w:val="en-US" w:eastAsia="zh-CN" w:bidi="ar-SA"/>
    </w:rPr>
  </w:style>
  <w:style w:type="character" w:customStyle="1" w:styleId="670">
    <w:name w:val="leftmardin-1"/>
    <w:qFormat/>
    <w:uiPriority w:val="0"/>
    <w:rPr>
      <w:rFonts w:hint="default" w:ascii="Arial" w:hAnsi="Arial" w:cs="Arial"/>
      <w:color w:val="0033CC"/>
      <w:sz w:val="18"/>
      <w:szCs w:val="18"/>
    </w:rPr>
  </w:style>
  <w:style w:type="character" w:customStyle="1" w:styleId="671">
    <w:name w:val="样式 标题 2标题21.1H2节标题 1.11.1标题2b2节标题h2第一层条4.1二级标题标题 lxb... Char1"/>
    <w:qFormat/>
    <w:uiPriority w:val="0"/>
    <w:rPr>
      <w:rFonts w:hint="default" w:ascii="Arial" w:hAnsi="Arial" w:eastAsia="黑体" w:cs="Arial"/>
      <w:b/>
      <w:bCs/>
      <w:kern w:val="2"/>
      <w:sz w:val="32"/>
      <w:szCs w:val="32"/>
      <w:lang w:bidi="ar-SA"/>
    </w:rPr>
  </w:style>
  <w:style w:type="character" w:customStyle="1" w:styleId="672">
    <w:name w:val="Char Char Char5"/>
    <w:qFormat/>
    <w:uiPriority w:val="0"/>
    <w:rPr>
      <w:rFonts w:eastAsia="黑体" w:cs="Arial"/>
      <w:b/>
      <w:bCs/>
      <w:color w:val="000000"/>
      <w:kern w:val="2"/>
      <w:sz w:val="28"/>
      <w:szCs w:val="24"/>
      <w:lang w:val="en-US" w:eastAsia="zh-CN" w:bidi="ar-SA"/>
    </w:rPr>
  </w:style>
  <w:style w:type="character" w:customStyle="1" w:styleId="673">
    <w:name w:val="样式17 Char"/>
    <w:link w:val="674"/>
    <w:qFormat/>
    <w:uiPriority w:val="0"/>
    <w:rPr>
      <w:rFonts w:ascii="@黑体" w:hAnsi="@黑体"/>
      <w:spacing w:val="20"/>
      <w:sz w:val="24"/>
    </w:rPr>
  </w:style>
  <w:style w:type="paragraph" w:customStyle="1" w:styleId="674">
    <w:name w:val="样式17"/>
    <w:basedOn w:val="1"/>
    <w:link w:val="673"/>
    <w:qFormat/>
    <w:uiPriority w:val="0"/>
    <w:pPr>
      <w:spacing w:line="400" w:lineRule="exact"/>
      <w:ind w:firstLine="200" w:firstLineChars="200"/>
    </w:pPr>
    <w:rPr>
      <w:rFonts w:ascii="@黑体" w:hAnsi="@黑体" w:eastAsiaTheme="minorEastAsia" w:cstheme="minorBidi"/>
      <w:spacing w:val="20"/>
      <w:sz w:val="24"/>
      <w:szCs w:val="22"/>
    </w:rPr>
  </w:style>
  <w:style w:type="character" w:customStyle="1" w:styleId="675">
    <w:name w:val="t-141"/>
    <w:qFormat/>
    <w:uiPriority w:val="0"/>
  </w:style>
  <w:style w:type="character" w:customStyle="1" w:styleId="676">
    <w:name w:val="article1"/>
    <w:qFormat/>
    <w:uiPriority w:val="0"/>
    <w:rPr>
      <w:b/>
      <w:bCs/>
      <w:smallCaps/>
      <w:color w:val="FF0000"/>
      <w:sz w:val="48"/>
      <w:szCs w:val="48"/>
    </w:rPr>
  </w:style>
  <w:style w:type="character" w:customStyle="1" w:styleId="677">
    <w:name w:val="bt211"/>
    <w:qFormat/>
    <w:uiPriority w:val="0"/>
    <w:rPr>
      <w:rFonts w:hint="eastAsia" w:ascii="黑体" w:hAnsi="黑体" w:eastAsia="黑体"/>
      <w:sz w:val="24"/>
      <w:szCs w:val="24"/>
    </w:rPr>
  </w:style>
  <w:style w:type="character" w:customStyle="1" w:styleId="678">
    <w:name w:val="font71"/>
    <w:qFormat/>
    <w:uiPriority w:val="0"/>
    <w:rPr>
      <w:rFonts w:hint="default" w:ascii="Times New Roman" w:hAnsi="Times New Roman" w:cs="Times New Roman"/>
      <w:color w:val="000000"/>
      <w:sz w:val="20"/>
      <w:szCs w:val="20"/>
      <w:u w:val="none"/>
    </w:rPr>
  </w:style>
  <w:style w:type="character" w:customStyle="1" w:styleId="679">
    <w:name w:val="未命名11"/>
    <w:qFormat/>
    <w:uiPriority w:val="0"/>
    <w:rPr>
      <w:rFonts w:hint="eastAsia" w:ascii="宋体" w:hAnsi="宋体" w:eastAsia="宋体"/>
      <w:b/>
      <w:spacing w:val="10"/>
      <w:kern w:val="2"/>
      <w:sz w:val="18"/>
      <w:szCs w:val="18"/>
      <w:lang w:val="en-US" w:eastAsia="zh-CN" w:bidi="ar-SA"/>
    </w:rPr>
  </w:style>
  <w:style w:type="character" w:customStyle="1" w:styleId="680">
    <w:name w:val="样式 标题 2 + (西文) Times New Roman (中文) 宋体 Char"/>
    <w:link w:val="681"/>
    <w:qFormat/>
    <w:uiPriority w:val="0"/>
    <w:rPr>
      <w:rFonts w:eastAsia="宋体"/>
      <w:sz w:val="28"/>
      <w:szCs w:val="28"/>
    </w:rPr>
  </w:style>
  <w:style w:type="paragraph" w:customStyle="1" w:styleId="681">
    <w:name w:val="样式 标题 2 + (西文) Times New Roman (中文) 宋体"/>
    <w:basedOn w:val="4"/>
    <w:link w:val="680"/>
    <w:qFormat/>
    <w:uiPriority w:val="0"/>
    <w:pPr>
      <w:tabs>
        <w:tab w:val="left" w:pos="927"/>
      </w:tabs>
      <w:spacing w:before="0" w:after="0" w:line="500" w:lineRule="atLeast"/>
      <w:ind w:firstLine="567"/>
    </w:pPr>
    <w:rPr>
      <w:rFonts w:eastAsia="宋体" w:asciiTheme="minorHAnsi" w:hAnsiTheme="minorHAnsi" w:cstheme="minorBidi"/>
      <w:b w:val="0"/>
      <w:bCs w:val="0"/>
      <w:color w:val="auto"/>
      <w:sz w:val="28"/>
    </w:rPr>
  </w:style>
  <w:style w:type="character" w:customStyle="1" w:styleId="682">
    <w:name w:val="biaoti1"/>
    <w:qFormat/>
    <w:uiPriority w:val="0"/>
    <w:rPr>
      <w:sz w:val="21"/>
      <w:szCs w:val="21"/>
      <w:u w:val="none"/>
    </w:rPr>
  </w:style>
  <w:style w:type="character" w:customStyle="1" w:styleId="683">
    <w:name w:val="页码 Char"/>
    <w:qFormat/>
    <w:uiPriority w:val="0"/>
  </w:style>
  <w:style w:type="character" w:customStyle="1" w:styleId="684">
    <w:name w:val="font01"/>
    <w:qFormat/>
    <w:uiPriority w:val="0"/>
    <w:rPr>
      <w:rFonts w:hint="default" w:ascii="Times New Roman" w:hAnsi="Times New Roman" w:cs="Times New Roman"/>
      <w:color w:val="000000"/>
      <w:sz w:val="21"/>
      <w:szCs w:val="21"/>
      <w:u w:val="none"/>
    </w:rPr>
  </w:style>
  <w:style w:type="character" w:customStyle="1" w:styleId="685">
    <w:name w:val="标题 4 Char Char Char Char Char"/>
    <w:qFormat/>
    <w:uiPriority w:val="0"/>
    <w:rPr>
      <w:rFonts w:hint="default" w:ascii="Arial" w:hAnsi="Arial" w:eastAsia="黑体" w:cs="Arial"/>
      <w:sz w:val="24"/>
      <w:lang w:val="en-US" w:eastAsia="zh-CN" w:bidi="ar-SA"/>
    </w:rPr>
  </w:style>
  <w:style w:type="character" w:customStyle="1" w:styleId="686">
    <w:name w:val="title-blue1"/>
    <w:qFormat/>
    <w:uiPriority w:val="0"/>
    <w:rPr>
      <w:rFonts w:hint="eastAsia" w:ascii="幼圆" w:hAnsi="黑体" w:eastAsia="幼圆"/>
      <w:b/>
      <w:bCs/>
      <w:color w:val="009FFF"/>
      <w:spacing w:val="75"/>
      <w:kern w:val="44"/>
      <w:sz w:val="24"/>
      <w:szCs w:val="24"/>
      <w:lang w:val="en-US" w:eastAsia="zh-CN"/>
    </w:rPr>
  </w:style>
  <w:style w:type="character" w:customStyle="1" w:styleId="687">
    <w:name w:val="headline-content2"/>
    <w:basedOn w:val="133"/>
    <w:qFormat/>
    <w:uiPriority w:val="0"/>
  </w:style>
  <w:style w:type="character" w:customStyle="1" w:styleId="688">
    <w:name w:val="批注引用 Char"/>
    <w:qFormat/>
    <w:uiPriority w:val="0"/>
  </w:style>
  <w:style w:type="character" w:customStyle="1" w:styleId="689">
    <w:name w:val="环标2 Char1"/>
    <w:link w:val="690"/>
    <w:qFormat/>
    <w:uiPriority w:val="0"/>
    <w:rPr>
      <w:rFonts w:ascii="黑体" w:hAnsi="Arial" w:eastAsia="黑体"/>
      <w:sz w:val="28"/>
    </w:rPr>
  </w:style>
  <w:style w:type="paragraph" w:customStyle="1" w:styleId="690">
    <w:name w:val="环标2"/>
    <w:basedOn w:val="4"/>
    <w:link w:val="689"/>
    <w:qFormat/>
    <w:uiPriority w:val="0"/>
    <w:pPr>
      <w:adjustRightInd w:val="0"/>
      <w:spacing w:before="60" w:after="60" w:line="312" w:lineRule="atLeast"/>
      <w:jc w:val="left"/>
      <w:textAlignment w:val="baseline"/>
    </w:pPr>
    <w:rPr>
      <w:rFonts w:ascii="黑体" w:hAnsi="Arial" w:cstheme="minorBidi"/>
      <w:b w:val="0"/>
      <w:bCs w:val="0"/>
      <w:color w:val="auto"/>
      <w:sz w:val="28"/>
      <w:szCs w:val="22"/>
    </w:rPr>
  </w:style>
  <w:style w:type="character" w:customStyle="1" w:styleId="691">
    <w:name w:val="12font1"/>
    <w:qFormat/>
    <w:uiPriority w:val="0"/>
    <w:rPr>
      <w:sz w:val="18"/>
      <w:szCs w:val="18"/>
    </w:rPr>
  </w:style>
  <w:style w:type="character" w:customStyle="1" w:styleId="692">
    <w:name w:val="环正文 Char5"/>
    <w:link w:val="693"/>
    <w:qFormat/>
    <w:uiPriority w:val="0"/>
    <w:rPr>
      <w:rFonts w:ascii="宋体" w:hAnsi="宋体" w:eastAsia="宋体"/>
      <w:sz w:val="24"/>
    </w:rPr>
  </w:style>
  <w:style w:type="paragraph" w:customStyle="1" w:styleId="693">
    <w:name w:val="环正文"/>
    <w:basedOn w:val="1"/>
    <w:link w:val="692"/>
    <w:qFormat/>
    <w:uiPriority w:val="0"/>
    <w:pPr>
      <w:widowControl/>
      <w:tabs>
        <w:tab w:val="left" w:pos="7564"/>
      </w:tabs>
      <w:suppressAutoHyphens/>
      <w:adjustRightInd w:val="0"/>
      <w:spacing w:line="240" w:lineRule="atLeast"/>
      <w:ind w:left="7" w:leftChars="3" w:firstLine="540" w:firstLineChars="197"/>
      <w:textAlignment w:val="baseline"/>
    </w:pPr>
    <w:rPr>
      <w:rFonts w:ascii="宋体" w:hAnsi="宋体" w:cstheme="minorBidi"/>
      <w:sz w:val="24"/>
      <w:szCs w:val="22"/>
    </w:rPr>
  </w:style>
  <w:style w:type="character" w:customStyle="1" w:styleId="694">
    <w:name w:val="表内格式 Char"/>
    <w:qFormat/>
    <w:uiPriority w:val="0"/>
    <w:rPr>
      <w:rFonts w:hint="default" w:ascii="Times New Roman" w:hAnsi="Times New Roman" w:eastAsia="宋体" w:cs="Times New Roman"/>
      <w:sz w:val="18"/>
      <w:szCs w:val="24"/>
    </w:rPr>
  </w:style>
  <w:style w:type="character" w:customStyle="1" w:styleId="695">
    <w:name w:val="环标1 Char1"/>
    <w:link w:val="696"/>
    <w:qFormat/>
    <w:uiPriority w:val="0"/>
    <w:rPr>
      <w:rFonts w:ascii="黑体" w:hAnsi="Courier New" w:eastAsia="黑体"/>
      <w:kern w:val="44"/>
      <w:sz w:val="32"/>
    </w:rPr>
  </w:style>
  <w:style w:type="paragraph" w:customStyle="1" w:styleId="696">
    <w:name w:val="环标1"/>
    <w:basedOn w:val="3"/>
    <w:link w:val="695"/>
    <w:qFormat/>
    <w:uiPriority w:val="0"/>
    <w:pPr>
      <w:keepNext w:val="0"/>
      <w:keepLines w:val="0"/>
      <w:adjustRightInd w:val="0"/>
      <w:spacing w:before="0" w:after="120" w:line="312" w:lineRule="atLeast"/>
      <w:jc w:val="left"/>
      <w:textAlignment w:val="baseline"/>
    </w:pPr>
    <w:rPr>
      <w:rFonts w:ascii="黑体" w:hAnsi="Courier New" w:cstheme="minorBidi"/>
      <w:b w:val="0"/>
      <w:bCs w:val="0"/>
      <w:szCs w:val="22"/>
    </w:rPr>
  </w:style>
  <w:style w:type="character" w:customStyle="1" w:styleId="697">
    <w:name w:val="Char Char52"/>
    <w:qFormat/>
    <w:uiPriority w:val="0"/>
    <w:rPr>
      <w:rFonts w:hint="eastAsia" w:ascii="宋体" w:hAnsi="宋体" w:eastAsia="宋体"/>
      <w:b/>
      <w:sz w:val="24"/>
      <w:lang w:val="en-US" w:eastAsia="zh-CN" w:bidi="ar-SA"/>
    </w:rPr>
  </w:style>
  <w:style w:type="character" w:customStyle="1" w:styleId="698">
    <w:name w:val="title21"/>
    <w:qFormat/>
    <w:uiPriority w:val="0"/>
    <w:rPr>
      <w:rFonts w:hint="eastAsia" w:ascii="黑体" w:eastAsia="黑体"/>
      <w:b/>
      <w:bCs/>
      <w:sz w:val="45"/>
      <w:szCs w:val="45"/>
    </w:rPr>
  </w:style>
  <w:style w:type="character" w:customStyle="1" w:styleId="699">
    <w:name w:val="正文文字缩进 2 Char Char"/>
    <w:qFormat/>
    <w:uiPriority w:val="0"/>
    <w:rPr>
      <w:rFonts w:hint="eastAsia" w:ascii="宋体" w:hAnsi="宋体" w:eastAsia="宋体"/>
      <w:lang w:val="en-US" w:eastAsia="zh-CN" w:bidi="ar-SA"/>
    </w:rPr>
  </w:style>
  <w:style w:type="character" w:customStyle="1" w:styleId="700">
    <w:name w:val="彪哥 Char"/>
    <w:link w:val="701"/>
    <w:qFormat/>
    <w:uiPriority w:val="0"/>
    <w:rPr>
      <w:rFonts w:eastAsia="宋体"/>
      <w:position w:val="-2"/>
      <w:szCs w:val="24"/>
    </w:rPr>
  </w:style>
  <w:style w:type="paragraph" w:customStyle="1" w:styleId="701">
    <w:name w:val="彪哥"/>
    <w:basedOn w:val="1"/>
    <w:link w:val="700"/>
    <w:qFormat/>
    <w:uiPriority w:val="0"/>
    <w:pPr>
      <w:widowControl/>
      <w:spacing w:line="360" w:lineRule="auto"/>
      <w:jc w:val="center"/>
    </w:pPr>
    <w:rPr>
      <w:rFonts w:asciiTheme="minorHAnsi" w:hAnsiTheme="minorHAnsi" w:cstheme="minorBidi"/>
      <w:position w:val="-2"/>
    </w:rPr>
  </w:style>
  <w:style w:type="character" w:customStyle="1" w:styleId="702">
    <w:name w:val="info"/>
    <w:qFormat/>
    <w:uiPriority w:val="0"/>
  </w:style>
  <w:style w:type="character" w:customStyle="1" w:styleId="703">
    <w:name w:val="表内格式 Char Char"/>
    <w:qFormat/>
    <w:uiPriority w:val="0"/>
    <w:rPr>
      <w:kern w:val="2"/>
      <w:sz w:val="18"/>
      <w:lang w:bidi="ar-SA"/>
    </w:rPr>
  </w:style>
  <w:style w:type="character" w:customStyle="1" w:styleId="704">
    <w:name w:val="Char Char11"/>
    <w:qFormat/>
    <w:uiPriority w:val="0"/>
    <w:rPr>
      <w:rFonts w:ascii="宋体" w:eastAsia="宋体"/>
      <w:kern w:val="2"/>
      <w:sz w:val="21"/>
      <w:lang w:val="en-US" w:eastAsia="zh-CN" w:bidi="ar-SA"/>
    </w:rPr>
  </w:style>
  <w:style w:type="character" w:customStyle="1" w:styleId="705">
    <w:name w:val="环表头 Char3"/>
    <w:link w:val="706"/>
    <w:qFormat/>
    <w:uiPriority w:val="0"/>
    <w:rPr>
      <w:rFonts w:ascii="黑体" w:hAnsi="宋体" w:eastAsia="黑体" w:cs="Courier New"/>
      <w:sz w:val="24"/>
    </w:rPr>
  </w:style>
  <w:style w:type="paragraph" w:customStyle="1" w:styleId="706">
    <w:name w:val="环表头"/>
    <w:basedOn w:val="693"/>
    <w:next w:val="1"/>
    <w:link w:val="705"/>
    <w:qFormat/>
    <w:uiPriority w:val="0"/>
    <w:pPr>
      <w:ind w:left="0" w:leftChars="0" w:firstLine="0" w:firstLineChars="0"/>
      <w:jc w:val="center"/>
    </w:pPr>
    <w:rPr>
      <w:rFonts w:ascii="黑体" w:eastAsia="黑体" w:cs="Courier New"/>
    </w:rPr>
  </w:style>
  <w:style w:type="character" w:customStyle="1" w:styleId="707">
    <w:name w:val="题注 Char3"/>
    <w:qFormat/>
    <w:uiPriority w:val="0"/>
    <w:rPr>
      <w:rFonts w:hint="eastAsia" w:ascii="宋体" w:hAnsi="宋体" w:eastAsia="宋体"/>
      <w:b/>
      <w:kern w:val="2"/>
      <w:sz w:val="21"/>
      <w:szCs w:val="24"/>
      <w:lang w:val="en-US" w:eastAsia="zh-CN" w:bidi="ar-SA"/>
    </w:rPr>
  </w:style>
  <w:style w:type="character" w:customStyle="1" w:styleId="708">
    <w:name w:val="BT1 Char"/>
    <w:link w:val="709"/>
    <w:qFormat/>
    <w:uiPriority w:val="0"/>
    <w:rPr>
      <w:b/>
      <w:kern w:val="44"/>
      <w:sz w:val="32"/>
      <w:szCs w:val="32"/>
    </w:rPr>
  </w:style>
  <w:style w:type="paragraph" w:customStyle="1" w:styleId="709">
    <w:name w:val="BT1"/>
    <w:basedOn w:val="3"/>
    <w:link w:val="708"/>
    <w:qFormat/>
    <w:uiPriority w:val="0"/>
    <w:pPr>
      <w:pageBreakBefore/>
      <w:snapToGrid w:val="0"/>
      <w:spacing w:before="200" w:after="160" w:line="500" w:lineRule="exact"/>
      <w:jc w:val="both"/>
    </w:pPr>
    <w:rPr>
      <w:rFonts w:asciiTheme="minorHAnsi" w:hAnsiTheme="minorHAnsi" w:eastAsiaTheme="minorEastAsia" w:cstheme="minorBidi"/>
      <w:bCs w:val="0"/>
    </w:rPr>
  </w:style>
  <w:style w:type="character" w:customStyle="1" w:styleId="710">
    <w:name w:val="正文5 Char"/>
    <w:link w:val="711"/>
    <w:qFormat/>
    <w:uiPriority w:val="0"/>
    <w:rPr>
      <w:rFonts w:ascii="宋体" w:eastAsia="宋体"/>
      <w:sz w:val="24"/>
    </w:rPr>
  </w:style>
  <w:style w:type="paragraph" w:customStyle="1" w:styleId="711">
    <w:name w:val="正文5"/>
    <w:link w:val="710"/>
    <w:qFormat/>
    <w:uiPriority w:val="0"/>
    <w:pPr>
      <w:widowControl w:val="0"/>
      <w:adjustRightInd w:val="0"/>
      <w:spacing w:line="360" w:lineRule="atLeast"/>
      <w:textAlignment w:val="baseline"/>
    </w:pPr>
    <w:rPr>
      <w:rFonts w:ascii="宋体" w:eastAsia="宋体" w:hAnsiTheme="minorHAnsi" w:cstheme="minorBidi"/>
      <w:kern w:val="2"/>
      <w:sz w:val="24"/>
      <w:szCs w:val="22"/>
      <w:lang w:val="en-US" w:eastAsia="zh-CN" w:bidi="ar-SA"/>
    </w:rPr>
  </w:style>
  <w:style w:type="character" w:customStyle="1" w:styleId="712">
    <w:name w:val="表格文字 Char1"/>
    <w:qFormat/>
    <w:uiPriority w:val="0"/>
    <w:rPr>
      <w:rFonts w:hint="eastAsia" w:ascii="宋体" w:hAnsi="宋体" w:eastAsia="Times New Roman"/>
      <w:sz w:val="21"/>
      <w:lang w:val="en-US" w:eastAsia="zh-CN" w:bidi="ar-SA"/>
    </w:rPr>
  </w:style>
  <w:style w:type="character" w:customStyle="1" w:styleId="713">
    <w:name w:val="songtt11"/>
    <w:qFormat/>
    <w:uiPriority w:val="0"/>
    <w:rPr>
      <w:b/>
      <w:bCs/>
      <w:color w:val="03366B"/>
      <w:sz w:val="27"/>
      <w:szCs w:val="27"/>
      <w:u w:val="none"/>
    </w:rPr>
  </w:style>
  <w:style w:type="character" w:customStyle="1" w:styleId="714">
    <w:name w:val="普通(网站) Char1"/>
    <w:qFormat/>
    <w:uiPriority w:val="0"/>
    <w:rPr>
      <w:rFonts w:hint="eastAsia" w:ascii="宋体" w:hAnsi="宋体" w:eastAsia="宋体" w:cs="宋体"/>
      <w:sz w:val="24"/>
      <w:szCs w:val="24"/>
      <w:lang w:val="en-US" w:eastAsia="zh-CN" w:bidi="ar-SA"/>
    </w:rPr>
  </w:style>
  <w:style w:type="character" w:customStyle="1" w:styleId="715">
    <w:name w:val="样式 加粗1"/>
    <w:qFormat/>
    <w:uiPriority w:val="0"/>
    <w:rPr>
      <w:bCs/>
    </w:rPr>
  </w:style>
  <w:style w:type="character" w:customStyle="1" w:styleId="716">
    <w:name w:val="style212"/>
    <w:qFormat/>
    <w:uiPriority w:val="0"/>
    <w:rPr>
      <w:sz w:val="28"/>
    </w:rPr>
  </w:style>
  <w:style w:type="character" w:customStyle="1" w:styleId="717">
    <w:name w:val="电子邮件签名 Char31"/>
    <w:qFormat/>
    <w:uiPriority w:val="0"/>
    <w:rPr>
      <w:rFonts w:hint="eastAsia" w:ascii="宋体" w:hAnsi="宋体" w:eastAsia="宋体"/>
      <w:kern w:val="2"/>
      <w:sz w:val="21"/>
      <w:szCs w:val="24"/>
      <w:lang w:val="en-US" w:eastAsia="zh-CN" w:bidi="ar-SA"/>
    </w:rPr>
  </w:style>
  <w:style w:type="character" w:customStyle="1" w:styleId="718">
    <w:name w:val="新正文 Char Char1"/>
    <w:qFormat/>
    <w:uiPriority w:val="0"/>
    <w:rPr>
      <w:rFonts w:hint="eastAsia" w:ascii="宋体" w:hAnsi="宋体" w:eastAsia="宋体"/>
      <w:bCs/>
      <w:sz w:val="24"/>
      <w:lang w:val="en-US" w:eastAsia="zh-CN" w:bidi="ar-SA"/>
    </w:rPr>
  </w:style>
  <w:style w:type="character" w:customStyle="1" w:styleId="719">
    <w:name w:val="左-正文 Char Char"/>
    <w:link w:val="720"/>
    <w:qFormat/>
    <w:locked/>
    <w:uiPriority w:val="0"/>
    <w:rPr>
      <w:rFonts w:ascii="宋体" w:hAnsi="宋体"/>
    </w:rPr>
  </w:style>
  <w:style w:type="paragraph" w:customStyle="1" w:styleId="720">
    <w:name w:val="左-正文"/>
    <w:basedOn w:val="1"/>
    <w:link w:val="719"/>
    <w:qFormat/>
    <w:uiPriority w:val="0"/>
    <w:pPr>
      <w:widowControl/>
      <w:topLinePunct/>
      <w:spacing w:line="360" w:lineRule="auto"/>
      <w:ind w:firstLine="200" w:firstLineChars="200"/>
    </w:pPr>
    <w:rPr>
      <w:rFonts w:ascii="宋体" w:hAnsi="宋体" w:eastAsiaTheme="minorEastAsia" w:cstheme="minorBidi"/>
      <w:szCs w:val="22"/>
    </w:rPr>
  </w:style>
  <w:style w:type="character" w:customStyle="1" w:styleId="721">
    <w:name w:val="君邦正文 Char Char Char"/>
    <w:qFormat/>
    <w:uiPriority w:val="0"/>
    <w:rPr>
      <w:rFonts w:hint="default" w:ascii="Times New Roman" w:hAnsi="Times New Roman" w:eastAsia="宋体" w:cs="Times New Roman"/>
      <w:bCs/>
      <w:snapToGrid w:val="0"/>
      <w:kern w:val="0"/>
      <w:sz w:val="24"/>
      <w:szCs w:val="20"/>
    </w:rPr>
  </w:style>
  <w:style w:type="character" w:customStyle="1" w:styleId="722">
    <w:name w:val="样式3表头 Char1"/>
    <w:qFormat/>
    <w:uiPriority w:val="0"/>
    <w:rPr>
      <w:rFonts w:hint="eastAsia" w:ascii="宋体" w:hAnsi="宋体" w:eastAsia="黑体" w:cs="宋体"/>
      <w:bCs/>
      <w:color w:val="000000"/>
      <w:sz w:val="24"/>
      <w:szCs w:val="24"/>
      <w:lang w:val="en-US" w:eastAsia="zh-CN" w:bidi="ar-SA"/>
    </w:rPr>
  </w:style>
  <w:style w:type="character" w:customStyle="1" w:styleId="723">
    <w:name w:val="style411"/>
    <w:qFormat/>
    <w:uiPriority w:val="0"/>
    <w:rPr>
      <w:color w:val="000000"/>
      <w:sz w:val="20"/>
      <w:szCs w:val="20"/>
    </w:rPr>
  </w:style>
  <w:style w:type="character" w:customStyle="1" w:styleId="724">
    <w:name w:val="正文文本缩进 3 Char3"/>
    <w:qFormat/>
    <w:uiPriority w:val="0"/>
    <w:rPr>
      <w:rFonts w:hint="eastAsia" w:ascii="宋体" w:hAnsi="宋体" w:eastAsia="宋体"/>
      <w:kern w:val="2"/>
      <w:sz w:val="24"/>
      <w:szCs w:val="24"/>
      <w:lang w:val="en-US" w:eastAsia="zh-CN" w:bidi="ar-SA"/>
    </w:rPr>
  </w:style>
  <w:style w:type="character" w:customStyle="1" w:styleId="725">
    <w:name w:val="9css21"/>
    <w:qFormat/>
    <w:uiPriority w:val="0"/>
    <w:rPr>
      <w:spacing w:val="268"/>
      <w:sz w:val="20"/>
      <w:szCs w:val="20"/>
    </w:rPr>
  </w:style>
  <w:style w:type="character" w:customStyle="1" w:styleId="726">
    <w:name w:val="批注主题 Char4"/>
    <w:qFormat/>
    <w:uiPriority w:val="0"/>
    <w:rPr>
      <w:rFonts w:eastAsia="宋体"/>
      <w:b/>
      <w:bCs/>
      <w:kern w:val="2"/>
      <w:sz w:val="21"/>
      <w:lang w:val="en-US" w:eastAsia="zh-CN" w:bidi="ar-SA"/>
    </w:rPr>
  </w:style>
  <w:style w:type="character" w:customStyle="1" w:styleId="727">
    <w:name w:val="标题 3 Char1"/>
    <w:qFormat/>
    <w:uiPriority w:val="0"/>
    <w:rPr>
      <w:rFonts w:eastAsia="黑体"/>
      <w:b/>
      <w:bCs/>
      <w:color w:val="000000"/>
      <w:kern w:val="2"/>
      <w:sz w:val="28"/>
      <w:szCs w:val="24"/>
      <w:lang w:bidi="ar-SA"/>
    </w:rPr>
  </w:style>
  <w:style w:type="character" w:customStyle="1" w:styleId="728">
    <w:name w:val="样式3正文 Char Char"/>
    <w:qFormat/>
    <w:uiPriority w:val="0"/>
    <w:rPr>
      <w:rFonts w:eastAsia="宋体"/>
      <w:kern w:val="2"/>
      <w:sz w:val="24"/>
      <w:szCs w:val="24"/>
      <w:lang w:val="en-US" w:eastAsia="zh-CN" w:bidi="ar-SA"/>
    </w:rPr>
  </w:style>
  <w:style w:type="character" w:customStyle="1" w:styleId="729">
    <w:name w:val="超链接1"/>
    <w:qFormat/>
    <w:uiPriority w:val="0"/>
    <w:rPr>
      <w:rFonts w:eastAsia="宋体"/>
      <w:color w:val="0000FF"/>
      <w:sz w:val="20"/>
      <w:u w:val="single"/>
    </w:rPr>
  </w:style>
  <w:style w:type="character" w:customStyle="1" w:styleId="730">
    <w:name w:val="批注框文本 Char1"/>
    <w:qFormat/>
    <w:uiPriority w:val="99"/>
    <w:rPr>
      <w:rFonts w:ascii="Times New Roman" w:hAnsi="Times New Roman" w:eastAsia="宋体" w:cs="Times New Roman"/>
      <w:color w:val="000000"/>
      <w:sz w:val="18"/>
      <w:szCs w:val="18"/>
    </w:rPr>
  </w:style>
  <w:style w:type="character" w:customStyle="1" w:styleId="731">
    <w:name w:val="行号1"/>
    <w:basedOn w:val="133"/>
    <w:qFormat/>
    <w:uiPriority w:val="0"/>
  </w:style>
  <w:style w:type="character" w:customStyle="1" w:styleId="732">
    <w:name w:val="注 Char Char"/>
    <w:qFormat/>
    <w:uiPriority w:val="0"/>
    <w:rPr>
      <w:rFonts w:ascii="Arial" w:hAnsi="Arial" w:eastAsia="黑体"/>
      <w:sz w:val="24"/>
    </w:rPr>
  </w:style>
  <w:style w:type="character" w:customStyle="1" w:styleId="733">
    <w:name w:val="二级条标题 Char"/>
    <w:link w:val="734"/>
    <w:qFormat/>
    <w:uiPriority w:val="0"/>
    <w:rPr>
      <w:rFonts w:ascii="黑体" w:eastAsia="黑体"/>
    </w:rPr>
  </w:style>
  <w:style w:type="paragraph" w:customStyle="1" w:styleId="734">
    <w:name w:val="二级条标题"/>
    <w:basedOn w:val="205"/>
    <w:next w:val="1"/>
    <w:link w:val="733"/>
    <w:qFormat/>
    <w:uiPriority w:val="0"/>
    <w:pPr>
      <w:outlineLvl w:val="3"/>
    </w:pPr>
    <w:rPr>
      <w:rFonts w:hAnsiTheme="minorHAnsi" w:cstheme="minorBidi"/>
      <w:kern w:val="2"/>
      <w:szCs w:val="22"/>
    </w:rPr>
  </w:style>
  <w:style w:type="character" w:customStyle="1" w:styleId="735">
    <w:name w:val="hei141"/>
    <w:qFormat/>
    <w:uiPriority w:val="0"/>
    <w:rPr>
      <w:rFonts w:hint="eastAsia" w:ascii="宋体" w:hAnsi="宋体" w:eastAsia="宋体"/>
      <w:color w:val="000000"/>
      <w:sz w:val="21"/>
      <w:szCs w:val="21"/>
      <w:u w:val="none"/>
    </w:rPr>
  </w:style>
  <w:style w:type="character" w:customStyle="1" w:styleId="736">
    <w:name w:val="headline-content4"/>
    <w:qFormat/>
    <w:uiPriority w:val="0"/>
  </w:style>
  <w:style w:type="character" w:customStyle="1" w:styleId="737">
    <w:name w:val="一级条 Char1"/>
    <w:qFormat/>
    <w:uiPriority w:val="0"/>
    <w:rPr>
      <w:rFonts w:ascii="Arial" w:hAnsi="Arial" w:eastAsia="黑体"/>
      <w:b/>
      <w:kern w:val="2"/>
      <w:sz w:val="32"/>
      <w:lang w:val="en-US" w:eastAsia="zh-CN" w:bidi="ar-SA"/>
    </w:rPr>
  </w:style>
  <w:style w:type="character" w:customStyle="1" w:styleId="738">
    <w:name w:val="cn_0021"/>
    <w:qFormat/>
    <w:uiPriority w:val="0"/>
    <w:rPr>
      <w:rFonts w:hint="default"/>
      <w:sz w:val="18"/>
    </w:rPr>
  </w:style>
  <w:style w:type="character" w:customStyle="1" w:styleId="739">
    <w:name w:val="章 Char1"/>
    <w:qFormat/>
    <w:uiPriority w:val="0"/>
    <w:rPr>
      <w:rFonts w:eastAsia="宋体"/>
      <w:b/>
      <w:kern w:val="44"/>
      <w:sz w:val="44"/>
      <w:lang w:val="en-US" w:eastAsia="zh-CN" w:bidi="ar-SA"/>
    </w:rPr>
  </w:style>
  <w:style w:type="character" w:customStyle="1" w:styleId="740">
    <w:name w:val="标题1 Char Char1"/>
    <w:qFormat/>
    <w:uiPriority w:val="0"/>
    <w:rPr>
      <w:rFonts w:ascii="Arial" w:hAnsi="Arial" w:eastAsia="宋体"/>
      <w:b/>
      <w:snapToGrid w:val="0"/>
      <w:sz w:val="32"/>
      <w:lang w:val="en-US" w:eastAsia="zh-CN"/>
    </w:rPr>
  </w:style>
  <w:style w:type="character" w:customStyle="1" w:styleId="741">
    <w:name w:val="BAOGAO表头 Char Char"/>
    <w:link w:val="742"/>
    <w:qFormat/>
    <w:uiPriority w:val="0"/>
    <w:rPr>
      <w:rFonts w:ascii="宋体" w:hAnsi="Courier New" w:eastAsia="宋体" w:cs="宋体"/>
      <w:b/>
      <w:snapToGrid w:val="0"/>
      <w:color w:val="000000"/>
      <w:sz w:val="24"/>
    </w:rPr>
  </w:style>
  <w:style w:type="paragraph" w:customStyle="1" w:styleId="742">
    <w:name w:val="BAOGAO表头"/>
    <w:basedOn w:val="45"/>
    <w:link w:val="741"/>
    <w:qFormat/>
    <w:uiPriority w:val="0"/>
    <w:pPr>
      <w:ind w:firstLine="964" w:firstLineChars="400"/>
    </w:pPr>
    <w:rPr>
      <w:rFonts w:cs="宋体"/>
      <w:b/>
      <w:snapToGrid w:val="0"/>
      <w:color w:val="000000"/>
      <w:sz w:val="24"/>
    </w:rPr>
  </w:style>
  <w:style w:type="character" w:customStyle="1" w:styleId="743">
    <w:name w:val="纯文本 Char4"/>
    <w:link w:val="45"/>
    <w:qFormat/>
    <w:uiPriority w:val="0"/>
    <w:rPr>
      <w:rFonts w:ascii="宋体" w:hAnsi="Courier New" w:eastAsia="宋体"/>
    </w:rPr>
  </w:style>
  <w:style w:type="character" w:customStyle="1" w:styleId="744">
    <w:name w:val="正文文本缩进 Char"/>
    <w:qFormat/>
    <w:uiPriority w:val="0"/>
    <w:rPr>
      <w:rFonts w:ascii="宋体" w:hAnsi="宋体"/>
      <w:kern w:val="2"/>
      <w:sz w:val="24"/>
      <w:szCs w:val="24"/>
    </w:rPr>
  </w:style>
  <w:style w:type="character" w:customStyle="1" w:styleId="745">
    <w:name w:val="unnamed11"/>
    <w:qFormat/>
    <w:uiPriority w:val="0"/>
    <w:rPr>
      <w:sz w:val="24"/>
      <w:szCs w:val="24"/>
    </w:rPr>
  </w:style>
  <w:style w:type="character" w:customStyle="1" w:styleId="746">
    <w:name w:val="t-14"/>
    <w:qFormat/>
    <w:uiPriority w:val="0"/>
  </w:style>
  <w:style w:type="character" w:customStyle="1" w:styleId="747">
    <w:name w:val="1.1.1 Char1"/>
    <w:qFormat/>
    <w:uiPriority w:val="0"/>
    <w:rPr>
      <w:rFonts w:eastAsia="黑体" w:cs="Arial"/>
      <w:b/>
      <w:bCs/>
      <w:color w:val="000000"/>
      <w:kern w:val="2"/>
      <w:sz w:val="28"/>
      <w:szCs w:val="24"/>
    </w:rPr>
  </w:style>
  <w:style w:type="character" w:customStyle="1" w:styleId="748">
    <w:name w:val="中文报告书样式 Char Char"/>
    <w:link w:val="749"/>
    <w:qFormat/>
    <w:uiPriority w:val="0"/>
    <w:rPr>
      <w:rFonts w:eastAsia="宋体"/>
      <w:kern w:val="24"/>
      <w:sz w:val="24"/>
    </w:rPr>
  </w:style>
  <w:style w:type="paragraph" w:customStyle="1" w:styleId="749">
    <w:name w:val="中文报告书样式"/>
    <w:basedOn w:val="1"/>
    <w:link w:val="748"/>
    <w:qFormat/>
    <w:uiPriority w:val="0"/>
    <w:pPr>
      <w:adjustRightInd w:val="0"/>
      <w:spacing w:before="93" w:beforeLines="30" w:line="480" w:lineRule="atLeast"/>
      <w:ind w:firstLine="482"/>
    </w:pPr>
    <w:rPr>
      <w:rFonts w:asciiTheme="minorHAnsi" w:hAnsiTheme="minorHAnsi" w:cstheme="minorBidi"/>
      <w:kern w:val="24"/>
      <w:sz w:val="24"/>
      <w:szCs w:val="22"/>
    </w:rPr>
  </w:style>
  <w:style w:type="character" w:customStyle="1" w:styleId="750">
    <w:name w:val="Char Char32"/>
    <w:qFormat/>
    <w:uiPriority w:val="0"/>
    <w:rPr>
      <w:rFonts w:cs="Arial"/>
      <w:b/>
      <w:kern w:val="2"/>
      <w:sz w:val="21"/>
    </w:rPr>
  </w:style>
  <w:style w:type="character" w:customStyle="1" w:styleId="751">
    <w:name w:val="样式12君邦正文 Char"/>
    <w:link w:val="752"/>
    <w:qFormat/>
    <w:uiPriority w:val="0"/>
    <w:rPr>
      <w:rFonts w:eastAsia="宋体"/>
      <w:bCs/>
      <w:snapToGrid w:val="0"/>
      <w:sz w:val="24"/>
      <w:szCs w:val="24"/>
    </w:rPr>
  </w:style>
  <w:style w:type="paragraph" w:customStyle="1" w:styleId="752">
    <w:name w:val="样式12君邦正文"/>
    <w:basedOn w:val="181"/>
    <w:link w:val="751"/>
    <w:qFormat/>
    <w:uiPriority w:val="0"/>
    <w:pPr>
      <w:widowControl/>
      <w:ind w:firstLine="480"/>
    </w:pPr>
    <w:rPr>
      <w:rFonts w:asciiTheme="minorHAnsi" w:hAnsiTheme="minorHAnsi" w:cstheme="minorBidi"/>
      <w:bCs/>
      <w:snapToGrid w:val="0"/>
      <w:szCs w:val="24"/>
    </w:rPr>
  </w:style>
  <w:style w:type="character" w:customStyle="1" w:styleId="753">
    <w:name w:val="批注主题 Char1"/>
    <w:qFormat/>
    <w:uiPriority w:val="0"/>
    <w:rPr>
      <w:rFonts w:ascii="宋体" w:hAnsi="宋体"/>
      <w:b/>
      <w:bCs/>
      <w:kern w:val="2"/>
      <w:sz w:val="28"/>
      <w:szCs w:val="24"/>
    </w:rPr>
  </w:style>
  <w:style w:type="character" w:customStyle="1" w:styleId="754">
    <w:name w:val="rsdesckey1"/>
    <w:qFormat/>
    <w:uiPriority w:val="0"/>
    <w:rPr>
      <w:color w:val="FF0000"/>
    </w:rPr>
  </w:style>
  <w:style w:type="character" w:customStyle="1" w:styleId="755">
    <w:name w:val="Char Char7"/>
    <w:qFormat/>
    <w:uiPriority w:val="0"/>
    <w:rPr>
      <w:rFonts w:eastAsia="宋体"/>
      <w:b/>
      <w:bCs/>
      <w:kern w:val="2"/>
      <w:sz w:val="32"/>
      <w:szCs w:val="32"/>
      <w:lang w:val="en-US" w:eastAsia="zh-CN" w:bidi="ar-SA"/>
    </w:rPr>
  </w:style>
  <w:style w:type="character" w:customStyle="1" w:styleId="756">
    <w:name w:val="尾注文本 Char5"/>
    <w:link w:val="52"/>
    <w:qFormat/>
    <w:uiPriority w:val="0"/>
    <w:rPr>
      <w:rFonts w:ascii="Arial" w:hAnsi="Arial"/>
      <w:b/>
      <w:bCs/>
      <w:sz w:val="32"/>
      <w:szCs w:val="32"/>
    </w:rPr>
  </w:style>
  <w:style w:type="character" w:customStyle="1" w:styleId="757">
    <w:name w:val="正文文本缩进 Char2"/>
    <w:qFormat/>
    <w:uiPriority w:val="0"/>
    <w:rPr>
      <w:rFonts w:eastAsia="宋体"/>
      <w:kern w:val="2"/>
      <w:sz w:val="21"/>
      <w:szCs w:val="24"/>
      <w:lang w:val="en-US" w:eastAsia="zh-CN" w:bidi="ar-SA"/>
    </w:rPr>
  </w:style>
  <w:style w:type="character" w:customStyle="1" w:styleId="758">
    <w:name w:val="样式 (中文) 仿宋_GB2312 三号 加粗 黑色"/>
    <w:qFormat/>
    <w:uiPriority w:val="0"/>
    <w:rPr>
      <w:rFonts w:eastAsia="仿宋_GB2312"/>
      <w:b/>
      <w:bCs/>
      <w:color w:val="000000"/>
      <w:sz w:val="32"/>
    </w:rPr>
  </w:style>
  <w:style w:type="character" w:customStyle="1" w:styleId="759">
    <w:name w:val="style131"/>
    <w:qFormat/>
    <w:uiPriority w:val="0"/>
    <w:rPr>
      <w:color w:val="333333"/>
      <w:sz w:val="24"/>
      <w:szCs w:val="24"/>
    </w:rPr>
  </w:style>
  <w:style w:type="character" w:customStyle="1" w:styleId="760">
    <w:name w:val="结束语 Char1"/>
    <w:link w:val="761"/>
    <w:qFormat/>
    <w:uiPriority w:val="99"/>
    <w:rPr>
      <w:szCs w:val="24"/>
    </w:rPr>
  </w:style>
  <w:style w:type="paragraph" w:customStyle="1" w:styleId="761">
    <w:name w:val="结束语1"/>
    <w:basedOn w:val="1"/>
    <w:link w:val="760"/>
    <w:qFormat/>
    <w:uiPriority w:val="99"/>
    <w:pPr>
      <w:ind w:left="100" w:leftChars="2100"/>
    </w:pPr>
    <w:rPr>
      <w:rFonts w:asciiTheme="minorHAnsi" w:hAnsiTheme="minorHAnsi" w:eastAsiaTheme="minorEastAsia" w:cstheme="minorBidi"/>
    </w:rPr>
  </w:style>
  <w:style w:type="character" w:customStyle="1" w:styleId="762">
    <w:name w:val="tpc_content1"/>
    <w:qFormat/>
    <w:uiPriority w:val="0"/>
    <w:rPr>
      <w:sz w:val="36"/>
      <w:szCs w:val="36"/>
    </w:rPr>
  </w:style>
  <w:style w:type="character" w:customStyle="1" w:styleId="763">
    <w:name w:val="Char Char113"/>
    <w:qFormat/>
    <w:uiPriority w:val="0"/>
    <w:rPr>
      <w:rFonts w:eastAsia="宋体"/>
      <w:kern w:val="2"/>
      <w:sz w:val="21"/>
      <w:szCs w:val="24"/>
      <w:lang w:val="en-US" w:eastAsia="zh-CN" w:bidi="ar-SA"/>
    </w:rPr>
  </w:style>
  <w:style w:type="character" w:customStyle="1" w:styleId="764">
    <w:name w:val="bt21"/>
    <w:qFormat/>
    <w:uiPriority w:val="0"/>
    <w:rPr>
      <w:rFonts w:hint="eastAsia" w:ascii="黑体" w:eastAsia="黑体"/>
      <w:sz w:val="24"/>
      <w:szCs w:val="24"/>
    </w:rPr>
  </w:style>
  <w:style w:type="character" w:customStyle="1" w:styleId="765">
    <w:name w:val="HTML 预设格式 Char5"/>
    <w:link w:val="80"/>
    <w:qFormat/>
    <w:uiPriority w:val="0"/>
    <w:rPr>
      <w:rFonts w:ascii="Arial" w:hAnsi="Arial"/>
      <w:szCs w:val="21"/>
    </w:rPr>
  </w:style>
  <w:style w:type="character" w:customStyle="1" w:styleId="766">
    <w:name w:val="振文 Char"/>
    <w:link w:val="767"/>
    <w:qFormat/>
    <w:uiPriority w:val="0"/>
    <w:rPr>
      <w:rFonts w:ascii="宋体" w:hAnsi="宋体"/>
      <w:sz w:val="24"/>
      <w:szCs w:val="24"/>
    </w:rPr>
  </w:style>
  <w:style w:type="paragraph" w:customStyle="1" w:styleId="767">
    <w:name w:val="振文"/>
    <w:basedOn w:val="1"/>
    <w:link w:val="766"/>
    <w:qFormat/>
    <w:uiPriority w:val="0"/>
    <w:pPr>
      <w:spacing w:line="360" w:lineRule="auto"/>
      <w:ind w:firstLine="420"/>
    </w:pPr>
    <w:rPr>
      <w:rFonts w:ascii="宋体" w:hAnsi="宋体" w:eastAsiaTheme="minorEastAsia" w:cstheme="minorBidi"/>
      <w:sz w:val="24"/>
    </w:rPr>
  </w:style>
  <w:style w:type="character" w:customStyle="1" w:styleId="768">
    <w:name w:val="HTML 地址 Char6"/>
    <w:link w:val="41"/>
    <w:qFormat/>
    <w:uiPriority w:val="0"/>
    <w:rPr>
      <w:i/>
      <w:iCs/>
      <w:szCs w:val="24"/>
    </w:rPr>
  </w:style>
  <w:style w:type="character" w:customStyle="1" w:styleId="769">
    <w:name w:val="font51"/>
    <w:qFormat/>
    <w:uiPriority w:val="0"/>
    <w:rPr>
      <w:rFonts w:hint="default" w:ascii="Times New Roman" w:hAnsi="Times New Roman" w:cs="Times New Roman"/>
      <w:color w:val="000000"/>
      <w:sz w:val="21"/>
      <w:szCs w:val="21"/>
      <w:u w:val="none"/>
      <w:vertAlign w:val="subscript"/>
    </w:rPr>
  </w:style>
  <w:style w:type="character" w:customStyle="1" w:styleId="770">
    <w:name w:val="zw1"/>
    <w:qFormat/>
    <w:uiPriority w:val="0"/>
    <w:rPr>
      <w:rFonts w:hint="eastAsia" w:ascii="宋体" w:hAnsi="宋体" w:eastAsia="宋体"/>
      <w:sz w:val="22"/>
      <w:szCs w:val="22"/>
    </w:rPr>
  </w:style>
  <w:style w:type="character" w:customStyle="1" w:styleId="771">
    <w:name w:val="题注 Char1"/>
    <w:qFormat/>
    <w:uiPriority w:val="0"/>
    <w:rPr>
      <w:rFonts w:ascii="华文行楷" w:eastAsia="华文行楷"/>
      <w:i/>
      <w:iCs/>
      <w:color w:val="FF0000"/>
      <w:kern w:val="2"/>
      <w:sz w:val="32"/>
      <w:szCs w:val="24"/>
      <w:lang w:val="en-US" w:eastAsia="zh-CN" w:bidi="ar-SA"/>
    </w:rPr>
  </w:style>
  <w:style w:type="character" w:customStyle="1" w:styleId="772">
    <w:name w:val="样式 标题 2标题21.1H2节标题 1.11.1标题2b2节标题h2第一层条4.1二级标题标题 lxb... Char"/>
    <w:link w:val="773"/>
    <w:qFormat/>
    <w:uiPriority w:val="0"/>
    <w:rPr>
      <w:rFonts w:ascii="Arial" w:hAnsi="Arial" w:eastAsia="黑体"/>
      <w:b/>
      <w:bCs/>
      <w:sz w:val="32"/>
      <w:szCs w:val="32"/>
    </w:rPr>
  </w:style>
  <w:style w:type="paragraph" w:customStyle="1" w:styleId="773">
    <w:name w:val="样式 标题 2标题21.1H2节标题 1.11.1标题2b2节标题h2第一层条4.1二级标题标题 lxb..."/>
    <w:basedOn w:val="4"/>
    <w:link w:val="772"/>
    <w:qFormat/>
    <w:uiPriority w:val="0"/>
    <w:pPr>
      <w:spacing w:before="320" w:after="320" w:line="240" w:lineRule="auto"/>
    </w:pPr>
    <w:rPr>
      <w:rFonts w:ascii="Arial" w:hAnsi="Arial" w:cstheme="minorBidi"/>
      <w:color w:val="auto"/>
      <w:sz w:val="32"/>
      <w:szCs w:val="32"/>
    </w:rPr>
  </w:style>
  <w:style w:type="character" w:customStyle="1" w:styleId="774">
    <w:name w:val="表 头 Char"/>
    <w:link w:val="775"/>
    <w:qFormat/>
    <w:uiPriority w:val="0"/>
    <w:rPr>
      <w:rFonts w:hAnsi="宋体" w:eastAsia="宋体"/>
      <w:color w:val="000000"/>
      <w:sz w:val="24"/>
    </w:rPr>
  </w:style>
  <w:style w:type="paragraph" w:customStyle="1" w:styleId="775">
    <w:name w:val="表 头"/>
    <w:basedOn w:val="1"/>
    <w:link w:val="774"/>
    <w:qFormat/>
    <w:uiPriority w:val="0"/>
    <w:pPr>
      <w:tabs>
        <w:tab w:val="left" w:pos="1418"/>
      </w:tabs>
      <w:adjustRightInd w:val="0"/>
      <w:ind w:right="-119"/>
      <w:jc w:val="center"/>
    </w:pPr>
    <w:rPr>
      <w:rFonts w:hAnsi="宋体" w:asciiTheme="minorHAnsi" w:cstheme="minorBidi"/>
      <w:color w:val="000000"/>
      <w:sz w:val="24"/>
      <w:szCs w:val="22"/>
    </w:rPr>
  </w:style>
  <w:style w:type="character" w:customStyle="1" w:styleId="776">
    <w:name w:val="宏文本 Char7"/>
    <w:link w:val="2"/>
    <w:qFormat/>
    <w:uiPriority w:val="0"/>
    <w:rPr>
      <w:rFonts w:ascii="Courier New" w:hAnsi="Courier New"/>
      <w:sz w:val="24"/>
      <w:szCs w:val="24"/>
    </w:rPr>
  </w:style>
  <w:style w:type="character" w:customStyle="1" w:styleId="777">
    <w:name w:val="缩进 Char Char"/>
    <w:link w:val="778"/>
    <w:qFormat/>
    <w:uiPriority w:val="0"/>
    <w:rPr>
      <w:rFonts w:hAnsi="宋体"/>
      <w:sz w:val="24"/>
      <w:szCs w:val="24"/>
    </w:rPr>
  </w:style>
  <w:style w:type="paragraph" w:customStyle="1" w:styleId="778">
    <w:name w:val="缩进 Char"/>
    <w:basedOn w:val="1"/>
    <w:link w:val="777"/>
    <w:qFormat/>
    <w:uiPriority w:val="0"/>
    <w:pPr>
      <w:spacing w:line="360" w:lineRule="auto"/>
      <w:ind w:firstLine="3078" w:firstLineChars="1460"/>
    </w:pPr>
    <w:rPr>
      <w:rFonts w:hAnsi="宋体" w:asciiTheme="minorHAnsi" w:eastAsiaTheme="minorEastAsia" w:cstheme="minorBidi"/>
      <w:sz w:val="24"/>
    </w:rPr>
  </w:style>
  <w:style w:type="character" w:customStyle="1" w:styleId="779">
    <w:name w:val="t_tag"/>
    <w:qFormat/>
    <w:uiPriority w:val="0"/>
  </w:style>
  <w:style w:type="character" w:customStyle="1" w:styleId="780">
    <w:name w:val="表头1 Char"/>
    <w:link w:val="781"/>
    <w:qFormat/>
    <w:uiPriority w:val="0"/>
    <w:rPr>
      <w:rFonts w:eastAsia="黑体"/>
      <w:szCs w:val="28"/>
    </w:rPr>
  </w:style>
  <w:style w:type="paragraph" w:customStyle="1" w:styleId="781">
    <w:name w:val="表头1"/>
    <w:basedOn w:val="1"/>
    <w:next w:val="1"/>
    <w:link w:val="780"/>
    <w:qFormat/>
    <w:uiPriority w:val="0"/>
    <w:pPr>
      <w:tabs>
        <w:tab w:val="left" w:pos="605"/>
      </w:tabs>
      <w:adjustRightInd w:val="0"/>
      <w:snapToGrid w:val="0"/>
      <w:jc w:val="center"/>
    </w:pPr>
    <w:rPr>
      <w:rFonts w:eastAsia="黑体" w:asciiTheme="minorHAnsi" w:hAnsiTheme="minorHAnsi" w:cstheme="minorBidi"/>
      <w:szCs w:val="28"/>
    </w:rPr>
  </w:style>
  <w:style w:type="character" w:customStyle="1" w:styleId="782">
    <w:name w:val="bt_content"/>
    <w:qFormat/>
    <w:uiPriority w:val="0"/>
  </w:style>
  <w:style w:type="character" w:customStyle="1" w:styleId="783">
    <w:name w:val="样式 首行缩进:  2 字符 Char"/>
    <w:link w:val="784"/>
    <w:qFormat/>
    <w:uiPriority w:val="0"/>
    <w:rPr>
      <w:rFonts w:eastAsia="仿宋_GB2312"/>
      <w:sz w:val="24"/>
    </w:rPr>
  </w:style>
  <w:style w:type="paragraph" w:customStyle="1" w:styleId="784">
    <w:name w:val="样式 首行缩进:  2 字符"/>
    <w:basedOn w:val="1"/>
    <w:link w:val="783"/>
    <w:qFormat/>
    <w:uiPriority w:val="0"/>
    <w:pPr>
      <w:spacing w:line="360" w:lineRule="auto"/>
      <w:ind w:firstLine="420" w:firstLineChars="200"/>
    </w:pPr>
    <w:rPr>
      <w:rFonts w:eastAsia="仿宋_GB2312" w:asciiTheme="minorHAnsi" w:hAnsiTheme="minorHAnsi" w:cstheme="minorBidi"/>
      <w:sz w:val="24"/>
      <w:szCs w:val="22"/>
    </w:rPr>
  </w:style>
  <w:style w:type="character" w:customStyle="1" w:styleId="785">
    <w:name w:val="apple-style-span"/>
    <w:qFormat/>
    <w:uiPriority w:val="0"/>
  </w:style>
  <w:style w:type="character" w:customStyle="1" w:styleId="786">
    <w:name w:val="Char Char28"/>
    <w:qFormat/>
    <w:uiPriority w:val="0"/>
    <w:rPr>
      <w:rFonts w:eastAsia="宋体"/>
      <w:kern w:val="2"/>
      <w:sz w:val="18"/>
      <w:szCs w:val="18"/>
      <w:lang w:val="en-US" w:eastAsia="zh-CN" w:bidi="ar-SA"/>
    </w:rPr>
  </w:style>
  <w:style w:type="character" w:customStyle="1" w:styleId="787">
    <w:name w:val="页眉zxl Char"/>
    <w:qFormat/>
    <w:uiPriority w:val="0"/>
    <w:rPr>
      <w:kern w:val="2"/>
      <w:sz w:val="18"/>
      <w:szCs w:val="18"/>
    </w:rPr>
  </w:style>
  <w:style w:type="character" w:customStyle="1" w:styleId="788">
    <w:name w:val="ct Char"/>
    <w:link w:val="789"/>
    <w:qFormat/>
    <w:uiPriority w:val="0"/>
    <w:rPr>
      <w:rFonts w:eastAsia="黑体"/>
      <w:b/>
      <w:szCs w:val="21"/>
      <w:lang w:bidi="en-US"/>
    </w:rPr>
  </w:style>
  <w:style w:type="paragraph" w:customStyle="1" w:styleId="789">
    <w:name w:val="ct"/>
    <w:link w:val="788"/>
    <w:qFormat/>
    <w:uiPriority w:val="0"/>
    <w:pPr>
      <w:jc w:val="center"/>
    </w:pPr>
    <w:rPr>
      <w:rFonts w:eastAsia="黑体" w:asciiTheme="minorHAnsi" w:hAnsiTheme="minorHAnsi" w:cstheme="minorBidi"/>
      <w:b/>
      <w:kern w:val="2"/>
      <w:sz w:val="21"/>
      <w:szCs w:val="21"/>
      <w:lang w:val="en-US" w:eastAsia="zh-CN" w:bidi="en-US"/>
    </w:rPr>
  </w:style>
  <w:style w:type="character" w:customStyle="1" w:styleId="790">
    <w:name w:val="HTML 代码1"/>
    <w:qFormat/>
    <w:uiPriority w:val="0"/>
    <w:rPr>
      <w:rFonts w:hint="eastAsia" w:ascii="黑体" w:hAnsi="Courier New" w:eastAsia="黑体"/>
      <w:sz w:val="24"/>
    </w:rPr>
  </w:style>
  <w:style w:type="character" w:customStyle="1" w:styleId="791">
    <w:name w:val="td21"/>
    <w:qFormat/>
    <w:uiPriority w:val="0"/>
    <w:rPr>
      <w:color w:val="000000"/>
      <w:sz w:val="20"/>
      <w:szCs w:val="20"/>
      <w:u w:val="none"/>
    </w:rPr>
  </w:style>
  <w:style w:type="character" w:customStyle="1" w:styleId="792">
    <w:name w:val="lh22px1"/>
    <w:qFormat/>
    <w:uiPriority w:val="0"/>
    <w:rPr>
      <w:rFonts w:hint="eastAsia" w:ascii="宋体" w:hAnsi="宋体" w:eastAsia="宋体"/>
      <w:sz w:val="21"/>
      <w:szCs w:val="21"/>
    </w:rPr>
  </w:style>
  <w:style w:type="character" w:customStyle="1" w:styleId="793">
    <w:name w:val="Heading 3 Char"/>
    <w:qFormat/>
    <w:uiPriority w:val="0"/>
    <w:rPr>
      <w:rFonts w:eastAsia="宋体"/>
      <w:b/>
      <w:bCs/>
      <w:kern w:val="2"/>
      <w:sz w:val="32"/>
      <w:szCs w:val="32"/>
      <w:lang w:val="en-US" w:eastAsia="zh-CN" w:bidi="ar-SA"/>
    </w:rPr>
  </w:style>
  <w:style w:type="character" w:customStyle="1" w:styleId="794">
    <w:name w:val="副标题 Char5"/>
    <w:qFormat/>
    <w:uiPriority w:val="0"/>
    <w:rPr>
      <w:rFonts w:ascii="Arial" w:hAnsi="Arial"/>
      <w:b/>
      <w:bCs/>
      <w:kern w:val="28"/>
      <w:sz w:val="32"/>
      <w:szCs w:val="32"/>
      <w:lang w:bidi="ar-SA"/>
    </w:rPr>
  </w:style>
  <w:style w:type="character" w:customStyle="1" w:styleId="795">
    <w:name w:val="表格1 Char1"/>
    <w:qFormat/>
    <w:uiPriority w:val="0"/>
    <w:rPr>
      <w:rFonts w:ascii="仿宋体" w:eastAsia="宋体" w:cs="Arial Unicode MS"/>
      <w:color w:val="000000"/>
      <w:sz w:val="21"/>
      <w:szCs w:val="21"/>
      <w:lang w:val="en-US" w:eastAsia="zh-CN" w:bidi="ar-SA"/>
    </w:rPr>
  </w:style>
  <w:style w:type="character" w:customStyle="1" w:styleId="796">
    <w:name w:val="信息标题 Char1"/>
    <w:qFormat/>
    <w:uiPriority w:val="99"/>
    <w:rPr>
      <w:rFonts w:ascii="Calibri Light" w:hAnsi="Calibri Light" w:eastAsia="宋体" w:cs="Times New Roman"/>
      <w:kern w:val="2"/>
      <w:sz w:val="24"/>
      <w:szCs w:val="24"/>
      <w:shd w:val="pct20" w:color="auto" w:fill="auto"/>
    </w:rPr>
  </w:style>
  <w:style w:type="character" w:customStyle="1" w:styleId="797">
    <w:name w:val="HTML 地址 Char1"/>
    <w:qFormat/>
    <w:uiPriority w:val="99"/>
    <w:rPr>
      <w:i/>
      <w:iCs/>
      <w:kern w:val="2"/>
      <w:sz w:val="21"/>
      <w:szCs w:val="24"/>
    </w:rPr>
  </w:style>
  <w:style w:type="character" w:customStyle="1" w:styleId="798">
    <w:name w:val="z-窗体顶端 字符"/>
    <w:link w:val="799"/>
    <w:qFormat/>
    <w:uiPriority w:val="0"/>
    <w:rPr>
      <w:rFonts w:ascii="Arial" w:hAnsi="Arial" w:eastAsia="宋体" w:cs="Arial"/>
      <w:vanish/>
      <w:sz w:val="16"/>
      <w:szCs w:val="16"/>
    </w:rPr>
  </w:style>
  <w:style w:type="paragraph" w:customStyle="1" w:styleId="799">
    <w:name w:val="z-窗体顶端1"/>
    <w:basedOn w:val="1"/>
    <w:next w:val="1"/>
    <w:link w:val="798"/>
    <w:qFormat/>
    <w:uiPriority w:val="0"/>
    <w:pPr>
      <w:pBdr>
        <w:bottom w:val="single" w:color="auto" w:sz="6" w:space="1"/>
      </w:pBdr>
      <w:jc w:val="center"/>
    </w:pPr>
    <w:rPr>
      <w:rFonts w:ascii="Arial" w:hAnsi="Arial" w:cs="Arial"/>
      <w:vanish/>
      <w:sz w:val="16"/>
      <w:szCs w:val="16"/>
    </w:rPr>
  </w:style>
  <w:style w:type="character" w:customStyle="1" w:styleId="800">
    <w:name w:val="宏文本 Char1"/>
    <w:qFormat/>
    <w:uiPriority w:val="99"/>
    <w:rPr>
      <w:rFonts w:ascii="Courier New" w:hAnsi="Courier New" w:cs="Courier New"/>
      <w:kern w:val="2"/>
      <w:sz w:val="24"/>
      <w:szCs w:val="24"/>
    </w:rPr>
  </w:style>
  <w:style w:type="character" w:customStyle="1" w:styleId="801">
    <w:name w:val="正文文本 3 Char3"/>
    <w:link w:val="31"/>
    <w:qFormat/>
    <w:uiPriority w:val="0"/>
    <w:rPr>
      <w:rFonts w:eastAsia="宋体"/>
      <w:sz w:val="24"/>
      <w:szCs w:val="24"/>
    </w:rPr>
  </w:style>
  <w:style w:type="character" w:customStyle="1" w:styleId="802">
    <w:name w:val="电子邮件签名 Char7"/>
    <w:link w:val="19"/>
    <w:qFormat/>
    <w:uiPriority w:val="0"/>
    <w:rPr>
      <w:rFonts w:eastAsia="宋体"/>
      <w:szCs w:val="24"/>
    </w:rPr>
  </w:style>
  <w:style w:type="character" w:customStyle="1" w:styleId="803">
    <w:name w:val="页眉1 Char"/>
    <w:qFormat/>
    <w:uiPriority w:val="0"/>
    <w:rPr>
      <w:rFonts w:ascii="宋体" w:hAnsi="宋体" w:eastAsia="宋体"/>
      <w:kern w:val="2"/>
      <w:sz w:val="18"/>
      <w:szCs w:val="18"/>
      <w:lang w:val="en-US" w:eastAsia="zh-CN" w:bidi="ar-SA"/>
    </w:rPr>
  </w:style>
  <w:style w:type="character" w:customStyle="1" w:styleId="804">
    <w:name w:val="正文(首行缩进) Char1"/>
    <w:qFormat/>
    <w:uiPriority w:val="0"/>
    <w:rPr>
      <w:rFonts w:ascii="宋体" w:hAnsi="宋体" w:eastAsia="宋体"/>
      <w:snapToGrid w:val="0"/>
      <w:color w:val="000000"/>
      <w:sz w:val="24"/>
      <w:szCs w:val="24"/>
      <w:lang w:val="en-US" w:eastAsia="zh-CN" w:bidi="ar-SA"/>
    </w:rPr>
  </w:style>
  <w:style w:type="character" w:customStyle="1" w:styleId="805">
    <w:name w:val="样式 Times New Roman"/>
    <w:qFormat/>
    <w:uiPriority w:val="0"/>
    <w:rPr>
      <w:rFonts w:ascii="宋体" w:hAnsi="Times New Roman" w:eastAsia="宋体"/>
    </w:rPr>
  </w:style>
  <w:style w:type="character" w:customStyle="1" w:styleId="806">
    <w:name w:val="样式3 Char"/>
    <w:link w:val="807"/>
    <w:qFormat/>
    <w:uiPriority w:val="0"/>
    <w:rPr>
      <w:rFonts w:ascii="幼圆" w:eastAsia="幼圆"/>
      <w:b/>
      <w:sz w:val="24"/>
    </w:rPr>
  </w:style>
  <w:style w:type="paragraph" w:customStyle="1" w:styleId="807">
    <w:name w:val="样式3"/>
    <w:basedOn w:val="1"/>
    <w:link w:val="806"/>
    <w:qFormat/>
    <w:uiPriority w:val="0"/>
    <w:pPr>
      <w:adjustRightInd w:val="0"/>
      <w:spacing w:before="120" w:after="120" w:line="400" w:lineRule="atLeast"/>
      <w:jc w:val="center"/>
    </w:pPr>
    <w:rPr>
      <w:rFonts w:ascii="幼圆" w:eastAsia="幼圆" w:hAnsiTheme="minorHAnsi" w:cstheme="minorBidi"/>
      <w:b/>
      <w:sz w:val="24"/>
      <w:szCs w:val="22"/>
    </w:rPr>
  </w:style>
  <w:style w:type="character" w:customStyle="1" w:styleId="808">
    <w:name w:val="h31"/>
    <w:qFormat/>
    <w:uiPriority w:val="0"/>
    <w:rPr>
      <w:rFonts w:eastAsia="宋体"/>
      <w:kern w:val="2"/>
      <w:sz w:val="21"/>
      <w:szCs w:val="21"/>
      <w:lang w:val="en-US" w:eastAsia="zh-CN" w:bidi="ar-SA"/>
    </w:rPr>
  </w:style>
  <w:style w:type="character" w:customStyle="1" w:styleId="809">
    <w:name w:val="style1"/>
    <w:qFormat/>
    <w:uiPriority w:val="0"/>
  </w:style>
  <w:style w:type="character" w:customStyle="1" w:styleId="810">
    <w:name w:val="样式 (符号) 宋体 小四 黑色"/>
    <w:qFormat/>
    <w:uiPriority w:val="0"/>
    <w:rPr>
      <w:color w:val="000000"/>
      <w:kern w:val="0"/>
      <w:sz w:val="24"/>
    </w:rPr>
  </w:style>
  <w:style w:type="character" w:customStyle="1" w:styleId="811">
    <w:name w:val="表号 Char1"/>
    <w:qFormat/>
    <w:uiPriority w:val="0"/>
    <w:rPr>
      <w:rFonts w:eastAsia="宋体" w:cs="宋体"/>
      <w:kern w:val="2"/>
      <w:sz w:val="24"/>
      <w:szCs w:val="24"/>
      <w:lang w:val="en-US" w:eastAsia="zh-CN" w:bidi="ar-SA"/>
    </w:rPr>
  </w:style>
  <w:style w:type="character" w:customStyle="1" w:styleId="812">
    <w:name w:val="highlight1"/>
    <w:qFormat/>
    <w:uiPriority w:val="0"/>
    <w:rPr>
      <w:sz w:val="21"/>
      <w:szCs w:val="21"/>
    </w:rPr>
  </w:style>
  <w:style w:type="character" w:customStyle="1" w:styleId="813">
    <w:name w:val="自定义正文 Char1"/>
    <w:qFormat/>
    <w:uiPriority w:val="0"/>
    <w:rPr>
      <w:rFonts w:eastAsia="宋体"/>
      <w:spacing w:val="-2"/>
      <w:kern w:val="2"/>
      <w:sz w:val="28"/>
      <w:szCs w:val="24"/>
      <w:lang w:val="en-US" w:eastAsia="zh-CN" w:bidi="ar-SA"/>
    </w:rPr>
  </w:style>
  <w:style w:type="character" w:customStyle="1" w:styleId="814">
    <w:name w:val="特点标题 Char Char"/>
    <w:qFormat/>
    <w:uiPriority w:val="0"/>
    <w:rPr>
      <w:rFonts w:ascii="仿宋_GB2312" w:hAnsi="Courier New" w:eastAsia="仿宋_GB2312"/>
      <w:sz w:val="28"/>
      <w:lang w:val="en-US" w:eastAsia="zh-CN" w:bidi="ar-SA"/>
    </w:rPr>
  </w:style>
  <w:style w:type="character" w:customStyle="1" w:styleId="815">
    <w:name w:val="wen1"/>
    <w:qFormat/>
    <w:uiPriority w:val="0"/>
  </w:style>
  <w:style w:type="character" w:customStyle="1" w:styleId="816">
    <w:name w:val="样式 表内小5 + 黑体 加粗 倾斜 下划线 Char"/>
    <w:qFormat/>
    <w:uiPriority w:val="0"/>
    <w:rPr>
      <w:rFonts w:ascii="黑体" w:hAnsi="黑体" w:eastAsia="黑体"/>
      <w:b/>
      <w:bCs/>
      <w:i/>
      <w:iCs/>
      <w:kern w:val="2"/>
      <w:sz w:val="18"/>
      <w:szCs w:val="24"/>
      <w:u w:val="single"/>
      <w:lang w:val="en-US" w:eastAsia="zh-CN" w:bidi="ar-SA"/>
    </w:rPr>
  </w:style>
  <w:style w:type="character" w:customStyle="1" w:styleId="817">
    <w:name w:val="text"/>
    <w:qFormat/>
    <w:uiPriority w:val="0"/>
  </w:style>
  <w:style w:type="character" w:customStyle="1" w:styleId="818">
    <w:name w:val="样式 样式 样式 样式 首行缩进:  2 字符 + 首行缩进:  2 字符7 + 首行缩进:  2 字符 + Char Char Char Char Char Char Char"/>
    <w:qFormat/>
    <w:uiPriority w:val="0"/>
    <w:rPr>
      <w:rFonts w:eastAsia="宋体" w:cs="宋体"/>
      <w:color w:val="000000"/>
      <w:kern w:val="2"/>
      <w:sz w:val="28"/>
      <w:szCs w:val="24"/>
      <w:u w:color="000000"/>
      <w:lang w:val="en-US" w:eastAsia="zh-CN" w:bidi="ar-SA"/>
    </w:rPr>
  </w:style>
  <w:style w:type="character" w:customStyle="1" w:styleId="819">
    <w:name w:val="款标题1.1.1.1 Char Char"/>
    <w:qFormat/>
    <w:uiPriority w:val="0"/>
    <w:rPr>
      <w:rFonts w:ascii="Arial" w:hAnsi="Arial" w:eastAsia="黑体"/>
      <w:b/>
      <w:bCs/>
      <w:sz w:val="28"/>
      <w:szCs w:val="28"/>
      <w:lang w:val="en-US" w:eastAsia="zh-CN" w:bidi="ar-SA"/>
    </w:rPr>
  </w:style>
  <w:style w:type="character" w:customStyle="1" w:styleId="820">
    <w:name w:val="样式3三级 Char"/>
    <w:link w:val="821"/>
    <w:qFormat/>
    <w:uiPriority w:val="0"/>
    <w:rPr>
      <w:rFonts w:ascii="黑体" w:hAnsi="宋体" w:eastAsia="黑体" w:cs="宋体"/>
      <w:sz w:val="30"/>
      <w:szCs w:val="24"/>
    </w:rPr>
  </w:style>
  <w:style w:type="paragraph" w:customStyle="1" w:styleId="821">
    <w:name w:val="样式3三级"/>
    <w:basedOn w:val="1"/>
    <w:link w:val="820"/>
    <w:qFormat/>
    <w:uiPriority w:val="0"/>
    <w:pPr>
      <w:spacing w:line="360" w:lineRule="auto"/>
    </w:pPr>
    <w:rPr>
      <w:rFonts w:ascii="黑体" w:hAnsi="宋体" w:eastAsia="黑体" w:cs="宋体"/>
      <w:sz w:val="30"/>
    </w:rPr>
  </w:style>
  <w:style w:type="character" w:customStyle="1" w:styleId="822">
    <w:name w:val="style3 grey"/>
    <w:qFormat/>
    <w:uiPriority w:val="0"/>
  </w:style>
  <w:style w:type="character" w:customStyle="1" w:styleId="823">
    <w:name w:val="unnamed81"/>
    <w:basedOn w:val="133"/>
    <w:qFormat/>
    <w:uiPriority w:val="0"/>
  </w:style>
  <w:style w:type="character" w:customStyle="1" w:styleId="824">
    <w:name w:val="zwc"/>
    <w:qFormat/>
    <w:uiPriority w:val="0"/>
  </w:style>
  <w:style w:type="character" w:customStyle="1" w:styleId="825">
    <w:name w:val="zw style1"/>
    <w:basedOn w:val="133"/>
    <w:qFormat/>
    <w:uiPriority w:val="0"/>
  </w:style>
  <w:style w:type="character" w:customStyle="1" w:styleId="826">
    <w:name w:val="Char Char30"/>
    <w:qFormat/>
    <w:uiPriority w:val="0"/>
    <w:rPr>
      <w:rFonts w:ascii="Arial" w:hAnsi="Arial" w:eastAsia="黑体"/>
      <w:b/>
      <w:bCs/>
      <w:kern w:val="2"/>
      <w:sz w:val="32"/>
      <w:szCs w:val="32"/>
      <w:lang w:val="en-US" w:eastAsia="zh-CN" w:bidi="ar-SA"/>
    </w:rPr>
  </w:style>
  <w:style w:type="character" w:customStyle="1" w:styleId="827">
    <w:name w:val="标准表头[858D7CFB-ED40-4347-BF05-701D383B685F]"/>
    <w:link w:val="828"/>
    <w:qFormat/>
    <w:uiPriority w:val="0"/>
    <w:rPr>
      <w:rFonts w:eastAsia="黑体"/>
      <w:b/>
    </w:rPr>
  </w:style>
  <w:style w:type="paragraph" w:customStyle="1" w:styleId="828">
    <w:name w:val="标准表头"/>
    <w:basedOn w:val="1"/>
    <w:link w:val="827"/>
    <w:qFormat/>
    <w:uiPriority w:val="0"/>
    <w:pPr>
      <w:spacing w:line="440" w:lineRule="exact"/>
      <w:jc w:val="center"/>
    </w:pPr>
    <w:rPr>
      <w:rFonts w:eastAsia="黑体" w:asciiTheme="minorHAnsi" w:hAnsiTheme="minorHAnsi" w:cstheme="minorBidi"/>
      <w:b/>
      <w:szCs w:val="22"/>
    </w:rPr>
  </w:style>
  <w:style w:type="character" w:customStyle="1" w:styleId="829">
    <w:name w:val="Char Char212"/>
    <w:qFormat/>
    <w:uiPriority w:val="0"/>
    <w:rPr>
      <w:rFonts w:ascii="Arial" w:hAnsi="Arial" w:eastAsia="黑体"/>
      <w:kern w:val="2"/>
      <w:sz w:val="21"/>
      <w:szCs w:val="21"/>
      <w:lang w:val="en-US" w:eastAsia="zh-CN" w:bidi="ar-SA"/>
    </w:rPr>
  </w:style>
  <w:style w:type="character" w:customStyle="1" w:styleId="830">
    <w:name w:val="font31"/>
    <w:qFormat/>
    <w:uiPriority w:val="0"/>
    <w:rPr>
      <w:rFonts w:hint="default" w:ascii="Times New Roman" w:hAnsi="Times New Roman" w:cs="Times New Roman"/>
      <w:color w:val="000000"/>
      <w:sz w:val="21"/>
      <w:szCs w:val="21"/>
      <w:u w:val="none"/>
      <w:vertAlign w:val="subscript"/>
    </w:rPr>
  </w:style>
  <w:style w:type="character" w:customStyle="1" w:styleId="831">
    <w:name w:val="Char Char16"/>
    <w:qFormat/>
    <w:uiPriority w:val="0"/>
    <w:rPr>
      <w:rFonts w:ascii="Times New Roman" w:hAnsi="Times New Roman" w:eastAsia="宋体" w:cs="Times New Roman"/>
      <w:color w:val="000000"/>
      <w:sz w:val="24"/>
      <w:szCs w:val="15"/>
    </w:rPr>
  </w:style>
  <w:style w:type="character" w:customStyle="1" w:styleId="832">
    <w:name w:val="称呼 Char3"/>
    <w:qFormat/>
    <w:uiPriority w:val="0"/>
    <w:rPr>
      <w:rFonts w:eastAsia="宋体"/>
      <w:b/>
      <w:sz w:val="24"/>
      <w:lang w:val="en-US" w:eastAsia="zh-CN" w:bidi="ar-SA"/>
    </w:rPr>
  </w:style>
  <w:style w:type="character" w:customStyle="1" w:styleId="833">
    <w:name w:val="宏文本 Char3"/>
    <w:semiHidden/>
    <w:qFormat/>
    <w:uiPriority w:val="0"/>
    <w:rPr>
      <w:rFonts w:ascii="Courier New" w:hAnsi="Courier New" w:cs="Courier New"/>
      <w:kern w:val="2"/>
      <w:sz w:val="24"/>
      <w:szCs w:val="24"/>
      <w:lang w:val="en-US" w:eastAsia="zh-CN" w:bidi="ar-SA"/>
    </w:rPr>
  </w:style>
  <w:style w:type="character" w:customStyle="1" w:styleId="834">
    <w:name w:val="签名 Char3"/>
    <w:qFormat/>
    <w:uiPriority w:val="0"/>
    <w:rPr>
      <w:rFonts w:eastAsia="宋体"/>
      <w:kern w:val="2"/>
      <w:sz w:val="21"/>
      <w:szCs w:val="24"/>
      <w:lang w:val="en-US" w:eastAsia="zh-CN" w:bidi="ar-SA"/>
    </w:rPr>
  </w:style>
  <w:style w:type="character" w:customStyle="1" w:styleId="835">
    <w:name w:val="批注主题 Char3"/>
    <w:qFormat/>
    <w:uiPriority w:val="0"/>
    <w:rPr>
      <w:rFonts w:ascii="Times New Roman" w:hAnsi="Times New Roman" w:eastAsia="宋体" w:cs="Times New Roman"/>
      <w:b/>
      <w:bCs/>
      <w:color w:val="000000"/>
      <w:kern w:val="2"/>
      <w:sz w:val="24"/>
      <w:szCs w:val="15"/>
      <w:lang w:bidi="ar-SA"/>
    </w:rPr>
  </w:style>
  <w:style w:type="character" w:customStyle="1" w:styleId="836">
    <w:name w:val="文档结构图 Char3"/>
    <w:semiHidden/>
    <w:qFormat/>
    <w:uiPriority w:val="0"/>
    <w:rPr>
      <w:rFonts w:ascii="宋体" w:hAnsi="Times New Roman" w:eastAsia="宋体" w:cs="Times New Roman"/>
      <w:color w:val="000000"/>
      <w:sz w:val="18"/>
      <w:szCs w:val="18"/>
    </w:rPr>
  </w:style>
  <w:style w:type="character" w:customStyle="1" w:styleId="837">
    <w:name w:val="称呼 Char2"/>
    <w:qFormat/>
    <w:uiPriority w:val="0"/>
    <w:rPr>
      <w:rFonts w:ascii="Times New Roman" w:hAnsi="Times New Roman" w:eastAsia="宋体" w:cs="Times New Roman"/>
      <w:color w:val="000000"/>
      <w:sz w:val="24"/>
      <w:szCs w:val="15"/>
    </w:rPr>
  </w:style>
  <w:style w:type="character" w:customStyle="1" w:styleId="838">
    <w:name w:val="结束语 Char2"/>
    <w:qFormat/>
    <w:uiPriority w:val="0"/>
    <w:rPr>
      <w:rFonts w:ascii="Times New Roman" w:hAnsi="Times New Roman" w:eastAsia="宋体" w:cs="Times New Roman"/>
      <w:color w:val="000000"/>
      <w:sz w:val="24"/>
      <w:szCs w:val="15"/>
    </w:rPr>
  </w:style>
  <w:style w:type="character" w:customStyle="1" w:styleId="839">
    <w:name w:val="unnamed31"/>
    <w:qFormat/>
    <w:uiPriority w:val="0"/>
    <w:rPr>
      <w:sz w:val="21"/>
      <w:szCs w:val="21"/>
    </w:rPr>
  </w:style>
  <w:style w:type="character" w:customStyle="1" w:styleId="840">
    <w:name w:val="批注主题 Char2"/>
    <w:qFormat/>
    <w:uiPriority w:val="0"/>
    <w:rPr>
      <w:rFonts w:ascii="Times New Roman" w:hAnsi="Times New Roman" w:eastAsia="宋体" w:cs="Times New Roman"/>
      <w:b/>
      <w:bCs/>
      <w:color w:val="000000"/>
      <w:kern w:val="2"/>
      <w:sz w:val="24"/>
      <w:szCs w:val="15"/>
      <w:lang w:val="en-US" w:eastAsia="zh-CN" w:bidi="ar-SA"/>
    </w:rPr>
  </w:style>
  <w:style w:type="character" w:customStyle="1" w:styleId="841">
    <w:name w:val="宏文本 Char2"/>
    <w:qFormat/>
    <w:uiPriority w:val="0"/>
    <w:rPr>
      <w:rFonts w:ascii="Courier New" w:hAnsi="Courier New" w:eastAsia="宋体" w:cs="Courier New"/>
      <w:color w:val="000000"/>
      <w:sz w:val="24"/>
      <w:szCs w:val="24"/>
    </w:rPr>
  </w:style>
  <w:style w:type="character" w:customStyle="1" w:styleId="842">
    <w:name w:val="Plain Text Char"/>
    <w:qFormat/>
    <w:locked/>
    <w:uiPriority w:val="0"/>
    <w:rPr>
      <w:rFonts w:ascii="宋体" w:hAnsi="Courier New" w:eastAsia="楷体_GB2312"/>
    </w:rPr>
  </w:style>
  <w:style w:type="character" w:customStyle="1" w:styleId="843">
    <w:name w:val="HTML 预设格式 Char2"/>
    <w:qFormat/>
    <w:uiPriority w:val="0"/>
    <w:rPr>
      <w:rFonts w:ascii="Courier New" w:hAnsi="Courier New" w:eastAsia="宋体" w:cs="Courier New"/>
      <w:color w:val="000000"/>
      <w:sz w:val="20"/>
      <w:szCs w:val="20"/>
    </w:rPr>
  </w:style>
  <w:style w:type="character" w:customStyle="1" w:styleId="844">
    <w:name w:val="HTML 地址 Char2"/>
    <w:qFormat/>
    <w:uiPriority w:val="0"/>
    <w:rPr>
      <w:rFonts w:ascii="Times New Roman" w:hAnsi="Times New Roman" w:eastAsia="宋体" w:cs="Times New Roman"/>
      <w:i/>
      <w:iCs/>
      <w:color w:val="000000"/>
      <w:sz w:val="24"/>
      <w:szCs w:val="15"/>
    </w:rPr>
  </w:style>
  <w:style w:type="character" w:customStyle="1" w:styleId="845">
    <w:name w:val="表格 Char1"/>
    <w:qFormat/>
    <w:uiPriority w:val="0"/>
    <w:rPr>
      <w:rFonts w:eastAsia="宋体"/>
      <w:kern w:val="2"/>
      <w:sz w:val="21"/>
      <w:lang w:val="en-US" w:eastAsia="zh-CN" w:bidi="ar-SA"/>
    </w:rPr>
  </w:style>
  <w:style w:type="character" w:customStyle="1" w:styleId="846">
    <w:name w:val="moon icon texticon"/>
    <w:qFormat/>
    <w:uiPriority w:val="0"/>
  </w:style>
  <w:style w:type="character" w:customStyle="1" w:styleId="847">
    <w:name w:val="页眉 Char2"/>
    <w:qFormat/>
    <w:uiPriority w:val="0"/>
    <w:rPr>
      <w:rFonts w:ascii="Times New Roman" w:hAnsi="Times New Roman" w:eastAsia="宋体" w:cs="Times New Roman"/>
      <w:color w:val="000000"/>
      <w:sz w:val="18"/>
      <w:szCs w:val="18"/>
    </w:rPr>
  </w:style>
  <w:style w:type="character" w:customStyle="1" w:styleId="848">
    <w:name w:val="环表头 Char5"/>
    <w:qFormat/>
    <w:uiPriority w:val="0"/>
    <w:rPr>
      <w:rFonts w:ascii="黑体" w:hAnsi="宋体" w:eastAsia="黑体"/>
      <w:color w:val="000000"/>
      <w:kern w:val="2"/>
      <w:sz w:val="24"/>
      <w:szCs w:val="21"/>
    </w:rPr>
  </w:style>
  <w:style w:type="character" w:customStyle="1" w:styleId="849">
    <w:name w:val="表格产业园 Char Char"/>
    <w:qFormat/>
    <w:uiPriority w:val="0"/>
    <w:rPr>
      <w:rFonts w:ascii="宋体" w:hAnsi="宋体"/>
      <w:color w:val="000000"/>
      <w:szCs w:val="21"/>
      <w:lang w:bidi="ar-SA"/>
    </w:rPr>
  </w:style>
  <w:style w:type="character" w:customStyle="1" w:styleId="850">
    <w:name w:val="环标2 Char"/>
    <w:qFormat/>
    <w:uiPriority w:val="0"/>
    <w:rPr>
      <w:rFonts w:ascii="黑体" w:hAnsi="Arial" w:eastAsia="黑体"/>
      <w:b/>
      <w:bCs/>
      <w:color w:val="000000"/>
      <w:kern w:val="2"/>
      <w:sz w:val="28"/>
      <w:szCs w:val="44"/>
      <w:lang w:val="en-US" w:eastAsia="zh-CN" w:bidi="ar-SA"/>
    </w:rPr>
  </w:style>
  <w:style w:type="character" w:customStyle="1" w:styleId="851">
    <w:name w:val="正文（小四）"/>
    <w:qFormat/>
    <w:uiPriority w:val="0"/>
    <w:rPr>
      <w:rFonts w:ascii="Times New Roman" w:hAnsi="Times New Roman" w:eastAsia="宋体" w:cs="宋体"/>
      <w:sz w:val="24"/>
      <w:szCs w:val="24"/>
      <w:lang w:val="en-US" w:eastAsia="zh-CN" w:bidi="ar-SA"/>
    </w:rPr>
  </w:style>
  <w:style w:type="character" w:customStyle="1" w:styleId="852">
    <w:name w:val="标题 5 Char Char Char Char"/>
    <w:qFormat/>
    <w:uiPriority w:val="0"/>
    <w:rPr>
      <w:rFonts w:eastAsia="宋体"/>
      <w:b/>
      <w:sz w:val="28"/>
      <w:lang w:val="en-US" w:eastAsia="zh-CN" w:bidi="ar-SA"/>
    </w:rPr>
  </w:style>
  <w:style w:type="character" w:customStyle="1" w:styleId="853">
    <w:name w:val="电子邮件签名 Char1"/>
    <w:qFormat/>
    <w:uiPriority w:val="99"/>
    <w:rPr>
      <w:rFonts w:ascii="Times New Roman" w:hAnsi="Times New Roman" w:eastAsia="宋体" w:cs="Times New Roman"/>
      <w:color w:val="000000"/>
      <w:sz w:val="24"/>
      <w:szCs w:val="15"/>
    </w:rPr>
  </w:style>
  <w:style w:type="character" w:customStyle="1" w:styleId="854">
    <w:name w:val="at_10"/>
    <w:qFormat/>
    <w:uiPriority w:val="0"/>
  </w:style>
  <w:style w:type="character" w:customStyle="1" w:styleId="855">
    <w:name w:val="样式 样式1 + 首行缩进:  2 字符 Char Char"/>
    <w:link w:val="856"/>
    <w:qFormat/>
    <w:uiPriority w:val="0"/>
    <w:rPr>
      <w:rFonts w:ascii="仿宋_GB2312" w:eastAsia="仿宋_GB2312"/>
      <w:sz w:val="24"/>
    </w:rPr>
  </w:style>
  <w:style w:type="paragraph" w:customStyle="1" w:styleId="856">
    <w:name w:val="样式 样式1 + 首行缩进:  2 字符"/>
    <w:basedOn w:val="193"/>
    <w:link w:val="855"/>
    <w:qFormat/>
    <w:uiPriority w:val="0"/>
    <w:pPr>
      <w:spacing w:after="60"/>
    </w:pPr>
    <w:rPr>
      <w:rFonts w:ascii="仿宋_GB2312" w:eastAsia="仿宋_GB2312" w:hAnsiTheme="minorHAnsi" w:cstheme="minorBidi"/>
      <w:color w:val="auto"/>
      <w:szCs w:val="22"/>
    </w:rPr>
  </w:style>
  <w:style w:type="character" w:customStyle="1" w:styleId="857">
    <w:name w:val="news_c_da1"/>
    <w:qFormat/>
    <w:uiPriority w:val="0"/>
    <w:rPr>
      <w:rFonts w:hint="default" w:ascii="ˎ̥" w:hAnsi="ˎ̥"/>
      <w:b/>
      <w:bCs/>
      <w:color w:val="000000"/>
      <w:sz w:val="24"/>
      <w:szCs w:val="24"/>
    </w:rPr>
  </w:style>
  <w:style w:type="character" w:customStyle="1" w:styleId="858">
    <w:name w:val="+正文 Char Char"/>
    <w:link w:val="859"/>
    <w:qFormat/>
    <w:uiPriority w:val="0"/>
    <w:rPr>
      <w:rFonts w:eastAsia="宋体"/>
      <w:sz w:val="24"/>
      <w:szCs w:val="28"/>
    </w:rPr>
  </w:style>
  <w:style w:type="paragraph" w:customStyle="1" w:styleId="859">
    <w:name w:val="+正文 Char"/>
    <w:basedOn w:val="1"/>
    <w:link w:val="858"/>
    <w:qFormat/>
    <w:uiPriority w:val="0"/>
    <w:pPr>
      <w:adjustRightInd w:val="0"/>
      <w:snapToGrid w:val="0"/>
      <w:spacing w:line="360" w:lineRule="auto"/>
      <w:ind w:firstLine="200" w:firstLineChars="200"/>
    </w:pPr>
    <w:rPr>
      <w:rFonts w:asciiTheme="minorHAnsi" w:hAnsiTheme="minorHAnsi" w:cstheme="minorBidi"/>
      <w:sz w:val="24"/>
      <w:szCs w:val="28"/>
    </w:rPr>
  </w:style>
  <w:style w:type="character" w:customStyle="1" w:styleId="860">
    <w:name w:val="环正文 Char2"/>
    <w:qFormat/>
    <w:uiPriority w:val="0"/>
    <w:rPr>
      <w:rFonts w:ascii="宋体" w:hAnsi="宋体" w:eastAsia="宋体"/>
      <w:sz w:val="24"/>
      <w:lang w:val="en-US" w:eastAsia="zh-CN" w:bidi="ar-SA"/>
    </w:rPr>
  </w:style>
  <w:style w:type="character" w:customStyle="1" w:styleId="861">
    <w:name w:val="样式1 Char Char"/>
    <w:qFormat/>
    <w:uiPriority w:val="0"/>
    <w:rPr>
      <w:rFonts w:ascii="仿宋_GB2312" w:eastAsia="仿宋_GB2312"/>
      <w:sz w:val="28"/>
      <w:lang w:val="en-US" w:eastAsia="zh-CN" w:bidi="ar-SA"/>
    </w:rPr>
  </w:style>
  <w:style w:type="character" w:customStyle="1" w:styleId="862">
    <w:name w:val="style3"/>
    <w:qFormat/>
    <w:uiPriority w:val="0"/>
  </w:style>
  <w:style w:type="character" w:customStyle="1" w:styleId="863">
    <w:name w:val="标题 2 Char Char Char"/>
    <w:qFormat/>
    <w:uiPriority w:val="0"/>
    <w:rPr>
      <w:rFonts w:ascii="Arial" w:hAnsi="Arial" w:eastAsia="黑体"/>
      <w:b/>
      <w:kern w:val="2"/>
      <w:sz w:val="32"/>
      <w:lang w:val="en-US" w:eastAsia="zh-CN" w:bidi="ar-SA"/>
    </w:rPr>
  </w:style>
  <w:style w:type="character" w:customStyle="1" w:styleId="864">
    <w:name w:val="正文(首行缩进) Char Char"/>
    <w:qFormat/>
    <w:uiPriority w:val="0"/>
    <w:rPr>
      <w:rFonts w:eastAsia="宋体"/>
      <w:snapToGrid w:val="0"/>
      <w:color w:val="000000"/>
      <w:sz w:val="24"/>
      <w:szCs w:val="24"/>
      <w:lang w:val="en-US" w:eastAsia="zh-CN" w:bidi="ar-SA"/>
    </w:rPr>
  </w:style>
  <w:style w:type="character" w:customStyle="1" w:styleId="865">
    <w:name w:val="sss1"/>
    <w:qFormat/>
    <w:uiPriority w:val="0"/>
    <w:rPr>
      <w:rFonts w:hint="eastAsia" w:ascii="宋体" w:hAnsi="宋体" w:eastAsia="宋体"/>
      <w:color w:val="999999"/>
      <w:sz w:val="21"/>
      <w:szCs w:val="21"/>
      <w:u w:val="none"/>
    </w:rPr>
  </w:style>
  <w:style w:type="character" w:customStyle="1" w:styleId="866">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867">
    <w:name w:val="14fz1"/>
    <w:qFormat/>
    <w:uiPriority w:val="0"/>
    <w:rPr>
      <w:rFonts w:hint="default"/>
      <w:color w:val="000000"/>
      <w:sz w:val="32"/>
      <w:szCs w:val="32"/>
    </w:rPr>
  </w:style>
  <w:style w:type="character" w:customStyle="1" w:styleId="868">
    <w:name w:val="style81"/>
    <w:semiHidden/>
    <w:qFormat/>
    <w:uiPriority w:val="0"/>
    <w:rPr>
      <w:rFonts w:ascii="宋体" w:hAnsi="宋体" w:eastAsia="黑体" w:cs="宋体"/>
      <w:kern w:val="2"/>
      <w:sz w:val="24"/>
      <w:szCs w:val="24"/>
      <w:lang w:val="en-US" w:eastAsia="zh-CN" w:bidi="ar-SA"/>
    </w:rPr>
  </w:style>
  <w:style w:type="character" w:customStyle="1" w:styleId="869">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870">
    <w:name w:val="正文（首行缩进两字） Char Char Char Char Char Char"/>
    <w:qFormat/>
    <w:uiPriority w:val="0"/>
    <w:rPr>
      <w:rFonts w:ascii="宋体" w:hAnsi="宋体" w:eastAsia="宋体" w:cs="宋体"/>
      <w:kern w:val="2"/>
      <w:sz w:val="30"/>
      <w:szCs w:val="24"/>
      <w:lang w:val="en-US" w:eastAsia="zh-CN" w:bidi="ar-SA"/>
    </w:rPr>
  </w:style>
  <w:style w:type="character" w:customStyle="1" w:styleId="871">
    <w:name w:val="style3 style1 style4"/>
    <w:qFormat/>
    <w:uiPriority w:val="0"/>
  </w:style>
  <w:style w:type="character" w:customStyle="1" w:styleId="872">
    <w:name w:val="redfont"/>
    <w:semiHidden/>
    <w:qFormat/>
    <w:uiPriority w:val="0"/>
    <w:rPr>
      <w:rFonts w:ascii="宋体" w:hAnsi="宋体" w:eastAsia="黑体" w:cs="宋体"/>
      <w:kern w:val="2"/>
      <w:sz w:val="28"/>
      <w:szCs w:val="24"/>
      <w:lang w:val="en-US" w:eastAsia="zh-CN" w:bidi="ar-SA"/>
    </w:rPr>
  </w:style>
  <w:style w:type="character" w:customStyle="1" w:styleId="873">
    <w:name w:val="lh151"/>
    <w:qFormat/>
    <w:uiPriority w:val="0"/>
  </w:style>
  <w:style w:type="character" w:customStyle="1" w:styleId="874">
    <w:name w:val="正文(首行缩进)宋旭峰 Char Char"/>
    <w:link w:val="875"/>
    <w:qFormat/>
    <w:uiPriority w:val="0"/>
    <w:rPr>
      <w:snapToGrid w:val="0"/>
      <w:sz w:val="24"/>
      <w:szCs w:val="24"/>
    </w:rPr>
  </w:style>
  <w:style w:type="paragraph" w:customStyle="1" w:styleId="875">
    <w:name w:val="正文(首行缩进)宋旭峰"/>
    <w:basedOn w:val="21"/>
    <w:link w:val="874"/>
    <w:semiHidden/>
    <w:qFormat/>
    <w:uiPriority w:val="0"/>
    <w:pPr>
      <w:spacing w:before="120" w:beforeLines="50" w:after="120" w:afterLines="50" w:line="360" w:lineRule="auto"/>
      <w:ind w:firstLine="440" w:firstLineChars="200"/>
      <w:contextualSpacing/>
    </w:pPr>
    <w:rPr>
      <w:rFonts w:asciiTheme="minorHAnsi" w:hAnsiTheme="minorHAnsi" w:eastAsiaTheme="minorEastAsia" w:cstheme="minorBidi"/>
      <w:snapToGrid w:val="0"/>
      <w:sz w:val="24"/>
      <w:szCs w:val="24"/>
    </w:rPr>
  </w:style>
  <w:style w:type="character" w:customStyle="1" w:styleId="876">
    <w:name w:val="text1"/>
    <w:qFormat/>
    <w:uiPriority w:val="0"/>
    <w:rPr>
      <w:color w:val="000000"/>
      <w:sz w:val="20"/>
      <w:szCs w:val="20"/>
      <w:u w:val="none"/>
    </w:rPr>
  </w:style>
  <w:style w:type="character" w:customStyle="1" w:styleId="877">
    <w:name w:val="环标3 Char"/>
    <w:qFormat/>
    <w:uiPriority w:val="0"/>
    <w:rPr>
      <w:rFonts w:eastAsia="宋体"/>
      <w:sz w:val="24"/>
      <w:szCs w:val="24"/>
      <w:lang w:val="en-US" w:eastAsia="zh-CN" w:bidi="ar-SA"/>
    </w:rPr>
  </w:style>
  <w:style w:type="character" w:customStyle="1" w:styleId="878">
    <w:name w:val="正文(首行缩进) Char2"/>
    <w:semiHidden/>
    <w:qFormat/>
    <w:uiPriority w:val="0"/>
    <w:rPr>
      <w:rFonts w:eastAsia="黑体"/>
      <w:bCs/>
      <w:snapToGrid w:val="0"/>
      <w:color w:val="000000"/>
      <w:kern w:val="2"/>
      <w:sz w:val="24"/>
      <w:lang w:val="en-US" w:eastAsia="zh-CN" w:bidi="ar-SA"/>
    </w:rPr>
  </w:style>
  <w:style w:type="character" w:customStyle="1" w:styleId="879">
    <w:name w:val="at_2"/>
    <w:qFormat/>
    <w:uiPriority w:val="0"/>
  </w:style>
  <w:style w:type="character" w:customStyle="1" w:styleId="880">
    <w:name w:val="sp"/>
    <w:basedOn w:val="133"/>
    <w:qFormat/>
    <w:uiPriority w:val="0"/>
  </w:style>
  <w:style w:type="character" w:customStyle="1" w:styleId="881">
    <w:name w:val="unnamed111"/>
    <w:qFormat/>
    <w:uiPriority w:val="0"/>
    <w:rPr>
      <w:color w:val="003366"/>
      <w:sz w:val="24"/>
      <w:szCs w:val="24"/>
      <w:u w:val="none"/>
    </w:rPr>
  </w:style>
  <w:style w:type="character" w:customStyle="1" w:styleId="882">
    <w:name w:val="hangju"/>
    <w:basedOn w:val="133"/>
    <w:qFormat/>
    <w:uiPriority w:val="0"/>
  </w:style>
  <w:style w:type="character" w:customStyle="1" w:styleId="883">
    <w:name w:val="td11"/>
    <w:qFormat/>
    <w:uiPriority w:val="0"/>
    <w:rPr>
      <w:sz w:val="20"/>
      <w:szCs w:val="20"/>
    </w:rPr>
  </w:style>
  <w:style w:type="character" w:customStyle="1" w:styleId="884">
    <w:name w:val="style211"/>
    <w:qFormat/>
    <w:uiPriority w:val="0"/>
    <w:rPr>
      <w:color w:val="000000"/>
    </w:rPr>
  </w:style>
  <w:style w:type="character" w:customStyle="1" w:styleId="885">
    <w:name w:val="z21"/>
    <w:qFormat/>
    <w:uiPriority w:val="0"/>
    <w:rPr>
      <w:rFonts w:hint="default"/>
      <w:color w:val="000000"/>
      <w:sz w:val="18"/>
      <w:szCs w:val="18"/>
    </w:rPr>
  </w:style>
  <w:style w:type="character" w:customStyle="1" w:styleId="886">
    <w:name w:val="td91"/>
    <w:qFormat/>
    <w:uiPriority w:val="0"/>
    <w:rPr>
      <w:color w:val="666666"/>
      <w:sz w:val="14"/>
      <w:szCs w:val="14"/>
      <w:u w:val="none"/>
    </w:rPr>
  </w:style>
  <w:style w:type="character" w:customStyle="1" w:styleId="887">
    <w:name w:val="mnpmenulabel1"/>
    <w:qFormat/>
    <w:uiPriority w:val="0"/>
    <w:rPr>
      <w:rFonts w:hint="default" w:ascii="Verdana" w:hAnsi="Verdana"/>
      <w:b/>
      <w:bCs/>
      <w:i/>
      <w:iCs/>
      <w:color w:val="000000"/>
      <w:sz w:val="18"/>
      <w:szCs w:val="18"/>
      <w:shd w:val="clear" w:color="auto" w:fill="F1F1F1"/>
    </w:rPr>
  </w:style>
  <w:style w:type="character" w:customStyle="1" w:styleId="888">
    <w:name w:val="表格产业园 Char"/>
    <w:link w:val="889"/>
    <w:qFormat/>
    <w:uiPriority w:val="0"/>
    <w:rPr>
      <w:rFonts w:ascii="宋体" w:hAnsi="宋体"/>
      <w:color w:val="000000"/>
      <w:szCs w:val="21"/>
    </w:rPr>
  </w:style>
  <w:style w:type="paragraph" w:customStyle="1" w:styleId="889">
    <w:name w:val="表格产业园"/>
    <w:basedOn w:val="1"/>
    <w:link w:val="888"/>
    <w:qFormat/>
    <w:uiPriority w:val="0"/>
    <w:pPr>
      <w:widowControl/>
      <w:jc w:val="center"/>
    </w:pPr>
    <w:rPr>
      <w:rFonts w:ascii="宋体" w:hAnsi="宋体" w:eastAsiaTheme="minorEastAsia" w:cstheme="minorBidi"/>
      <w:color w:val="000000"/>
      <w:szCs w:val="21"/>
    </w:rPr>
  </w:style>
  <w:style w:type="character" w:customStyle="1" w:styleId="890">
    <w:name w:val="ourfont31"/>
    <w:qFormat/>
    <w:uiPriority w:val="0"/>
    <w:rPr>
      <w:spacing w:val="20"/>
      <w:sz w:val="21"/>
      <w:szCs w:val="21"/>
    </w:rPr>
  </w:style>
  <w:style w:type="character" w:customStyle="1" w:styleId="891">
    <w:name w:val="Char Char8"/>
    <w:qFormat/>
    <w:uiPriority w:val="0"/>
    <w:rPr>
      <w:rFonts w:ascii="Arial" w:hAnsi="Arial" w:eastAsia="宋体" w:cs="Arial"/>
      <w:kern w:val="2"/>
      <w:sz w:val="24"/>
      <w:szCs w:val="24"/>
      <w:lang w:val="en-US" w:eastAsia="zh-CN" w:bidi="ar-SA"/>
    </w:rPr>
  </w:style>
  <w:style w:type="character" w:customStyle="1" w:styleId="892">
    <w:name w:val="at_1"/>
    <w:qFormat/>
    <w:uiPriority w:val="0"/>
  </w:style>
  <w:style w:type="character" w:customStyle="1" w:styleId="893">
    <w:name w:val="正文文本缩进 3 Char1"/>
    <w:qFormat/>
    <w:uiPriority w:val="0"/>
    <w:rPr>
      <w:kern w:val="2"/>
      <w:sz w:val="16"/>
      <w:szCs w:val="16"/>
    </w:rPr>
  </w:style>
  <w:style w:type="character" w:customStyle="1" w:styleId="894">
    <w:name w:val="at_8"/>
    <w:qFormat/>
    <w:uiPriority w:val="0"/>
  </w:style>
  <w:style w:type="character" w:customStyle="1" w:styleId="895">
    <w:name w:val="样式 标题 3H3 + (西文) Times New Roman (中文) 宋体 四号 Char Char"/>
    <w:link w:val="896"/>
    <w:qFormat/>
    <w:uiPriority w:val="0"/>
    <w:rPr>
      <w:b/>
      <w:bCs/>
      <w:sz w:val="28"/>
      <w:szCs w:val="32"/>
    </w:rPr>
  </w:style>
  <w:style w:type="paragraph" w:customStyle="1" w:styleId="896">
    <w:name w:val="样式 标题 3H3 + (西文) Times New Roman (中文) 宋体 四号"/>
    <w:basedOn w:val="5"/>
    <w:next w:val="190"/>
    <w:link w:val="895"/>
    <w:qFormat/>
    <w:uiPriority w:val="0"/>
    <w:pPr>
      <w:widowControl w:val="0"/>
      <w:numPr>
        <w:ilvl w:val="0"/>
        <w:numId w:val="0"/>
      </w:numPr>
      <w:spacing w:before="93" w:beforeLines="30" w:after="93" w:afterLines="30" w:line="360" w:lineRule="auto"/>
      <w:ind w:left="200" w:leftChars="200" w:firstLine="23"/>
      <w:jc w:val="both"/>
    </w:pPr>
    <w:rPr>
      <w:rFonts w:asciiTheme="minorHAnsi" w:hAnsiTheme="minorHAnsi" w:eastAsiaTheme="minorEastAsia" w:cstheme="minorBidi"/>
    </w:rPr>
  </w:style>
  <w:style w:type="character" w:customStyle="1" w:styleId="897">
    <w:name w:val="篇号"/>
    <w:qFormat/>
    <w:uiPriority w:val="0"/>
    <w:rPr>
      <w:rFonts w:eastAsia="宋体"/>
    </w:rPr>
  </w:style>
  <w:style w:type="character" w:customStyle="1" w:styleId="898">
    <w:name w:val="HTML 引文1"/>
    <w:qFormat/>
    <w:uiPriority w:val="0"/>
    <w:rPr>
      <w:i/>
      <w:iCs/>
    </w:rPr>
  </w:style>
  <w:style w:type="character" w:customStyle="1" w:styleId="899">
    <w:name w:val="环评正文 Char"/>
    <w:link w:val="900"/>
    <w:qFormat/>
    <w:uiPriority w:val="0"/>
    <w:rPr>
      <w:rFonts w:eastAsia="仿宋_GB2312"/>
      <w:kern w:val="44"/>
      <w:sz w:val="24"/>
    </w:rPr>
  </w:style>
  <w:style w:type="paragraph" w:customStyle="1" w:styleId="900">
    <w:name w:val="环评正文"/>
    <w:basedOn w:val="3"/>
    <w:link w:val="899"/>
    <w:qFormat/>
    <w:uiPriority w:val="0"/>
    <w:pPr>
      <w:keepNext w:val="0"/>
      <w:keepLines w:val="0"/>
      <w:spacing w:before="60" w:beforeLines="100" w:after="60" w:afterLines="50" w:line="400" w:lineRule="exact"/>
      <w:ind w:firstLine="480"/>
      <w:jc w:val="both"/>
      <w:outlineLvl w:val="9"/>
    </w:pPr>
    <w:rPr>
      <w:rFonts w:eastAsia="仿宋_GB2312" w:asciiTheme="minorHAnsi" w:hAnsiTheme="minorHAnsi" w:cstheme="minorBidi"/>
      <w:b w:val="0"/>
      <w:bCs w:val="0"/>
      <w:sz w:val="24"/>
      <w:szCs w:val="22"/>
    </w:rPr>
  </w:style>
  <w:style w:type="character" w:customStyle="1" w:styleId="901">
    <w:name w:val="Char Char23"/>
    <w:qFormat/>
    <w:uiPriority w:val="0"/>
    <w:rPr>
      <w:rFonts w:ascii="Arial" w:hAnsi="Arial" w:eastAsia="黑体"/>
      <w:b/>
      <w:kern w:val="2"/>
      <w:sz w:val="24"/>
      <w:szCs w:val="24"/>
    </w:rPr>
  </w:style>
  <w:style w:type="character" w:customStyle="1" w:styleId="902">
    <w:name w:val="style441"/>
    <w:qFormat/>
    <w:uiPriority w:val="0"/>
    <w:rPr>
      <w:sz w:val="18"/>
      <w:szCs w:val="18"/>
    </w:rPr>
  </w:style>
  <w:style w:type="character" w:customStyle="1" w:styleId="903">
    <w:name w:val="Char Char3"/>
    <w:qFormat/>
    <w:uiPriority w:val="0"/>
    <w:rPr>
      <w:rFonts w:eastAsia="宋体"/>
      <w:b/>
      <w:kern w:val="2"/>
      <w:sz w:val="28"/>
      <w:lang w:val="en-US" w:eastAsia="zh-CN"/>
    </w:rPr>
  </w:style>
  <w:style w:type="character" w:customStyle="1" w:styleId="904">
    <w:name w:val="style15 style15"/>
    <w:qFormat/>
    <w:uiPriority w:val="0"/>
  </w:style>
  <w:style w:type="character" w:customStyle="1" w:styleId="905">
    <w:name w:val="副标题 Char2"/>
    <w:qFormat/>
    <w:uiPriority w:val="0"/>
    <w:rPr>
      <w:rFonts w:ascii="Cambria" w:hAnsi="Cambria" w:eastAsia="宋体" w:cs="Times New Roman"/>
      <w:b/>
      <w:bCs/>
      <w:color w:val="000000"/>
      <w:kern w:val="28"/>
      <w:sz w:val="32"/>
      <w:szCs w:val="32"/>
    </w:rPr>
  </w:style>
  <w:style w:type="character" w:customStyle="1" w:styleId="906">
    <w:name w:val="环标1 Char"/>
    <w:qFormat/>
    <w:uiPriority w:val="0"/>
    <w:rPr>
      <w:rFonts w:ascii="宋体" w:hAnsi="Courier New" w:eastAsia="黑体"/>
      <w:b/>
      <w:kern w:val="44"/>
      <w:sz w:val="32"/>
      <w:lang w:val="en-US" w:eastAsia="zh-CN" w:bidi="ar-SA"/>
    </w:rPr>
  </w:style>
  <w:style w:type="character" w:customStyle="1" w:styleId="907">
    <w:name w:val="批注框文本 Char2"/>
    <w:qFormat/>
    <w:uiPriority w:val="0"/>
    <w:rPr>
      <w:rFonts w:ascii="Times New Roman" w:hAnsi="Times New Roman" w:eastAsia="宋体" w:cs="Times New Roman"/>
      <w:color w:val="000000"/>
      <w:sz w:val="18"/>
      <w:szCs w:val="18"/>
    </w:rPr>
  </w:style>
  <w:style w:type="character" w:customStyle="1" w:styleId="908">
    <w:name w:val="at_5"/>
    <w:qFormat/>
    <w:uiPriority w:val="0"/>
  </w:style>
  <w:style w:type="character" w:customStyle="1" w:styleId="909">
    <w:name w:val="标题 Char2"/>
    <w:qFormat/>
    <w:uiPriority w:val="0"/>
    <w:rPr>
      <w:rFonts w:ascii="Cambria" w:hAnsi="Cambria" w:eastAsia="宋体" w:cs="Times New Roman"/>
      <w:b/>
      <w:bCs/>
      <w:color w:val="000000"/>
      <w:sz w:val="32"/>
      <w:szCs w:val="32"/>
    </w:rPr>
  </w:style>
  <w:style w:type="character" w:customStyle="1" w:styleId="910">
    <w:name w:val="HTML 键盘12"/>
    <w:qFormat/>
    <w:uiPriority w:val="0"/>
    <w:rPr>
      <w:rFonts w:ascii="Courier New" w:hAnsi="Courier New" w:cs="Courier New"/>
      <w:sz w:val="20"/>
      <w:szCs w:val="20"/>
    </w:rPr>
  </w:style>
  <w:style w:type="character" w:customStyle="1" w:styleId="911">
    <w:name w:val="无级项 Char Char"/>
    <w:qFormat/>
    <w:uiPriority w:val="0"/>
    <w:rPr>
      <w:rFonts w:ascii="宋体" w:hAnsi="Tms Rmn"/>
      <w:b/>
      <w:sz w:val="24"/>
    </w:rPr>
  </w:style>
  <w:style w:type="character" w:customStyle="1" w:styleId="912">
    <w:name w:val="style2"/>
    <w:qFormat/>
    <w:uiPriority w:val="0"/>
  </w:style>
  <w:style w:type="character" w:customStyle="1" w:styleId="913">
    <w:name w:val="正文1 Char Char5"/>
    <w:link w:val="914"/>
    <w:qFormat/>
    <w:uiPriority w:val="0"/>
    <w:rPr>
      <w:rFonts w:eastAsia="宋体"/>
      <w:color w:val="FF0000"/>
      <w:sz w:val="18"/>
      <w:szCs w:val="18"/>
    </w:rPr>
  </w:style>
  <w:style w:type="paragraph" w:customStyle="1" w:styleId="914">
    <w:name w:val="正文1 Char"/>
    <w:basedOn w:val="1"/>
    <w:link w:val="913"/>
    <w:qFormat/>
    <w:uiPriority w:val="0"/>
    <w:pPr>
      <w:adjustRightInd w:val="0"/>
      <w:snapToGrid w:val="0"/>
      <w:spacing w:before="60" w:after="20"/>
      <w:ind w:left="-105" w:leftChars="-50" w:right="-105" w:rightChars="-50"/>
      <w:jc w:val="center"/>
    </w:pPr>
    <w:rPr>
      <w:rFonts w:asciiTheme="minorHAnsi" w:hAnsiTheme="minorHAnsi" w:cstheme="minorBidi"/>
      <w:color w:val="FF0000"/>
      <w:sz w:val="18"/>
      <w:szCs w:val="18"/>
    </w:rPr>
  </w:style>
  <w:style w:type="character" w:customStyle="1" w:styleId="915">
    <w:name w:val="正文文本缩进 3 Char2"/>
    <w:qFormat/>
    <w:uiPriority w:val="0"/>
    <w:rPr>
      <w:rFonts w:ascii="Times New Roman" w:hAnsi="Times New Roman"/>
      <w:kern w:val="2"/>
      <w:sz w:val="16"/>
      <w:szCs w:val="16"/>
    </w:rPr>
  </w:style>
  <w:style w:type="character" w:customStyle="1" w:styleId="916">
    <w:name w:val="headline-1-index1"/>
    <w:qFormat/>
    <w:uiPriority w:val="0"/>
    <w:rPr>
      <w:color w:val="FFFFFF"/>
      <w:sz w:val="24"/>
      <w:szCs w:val="24"/>
      <w:shd w:val="clear" w:color="auto" w:fill="519CEA"/>
    </w:rPr>
  </w:style>
  <w:style w:type="character" w:customStyle="1" w:styleId="917">
    <w:name w:val="z-窗体底端 Char1"/>
    <w:qFormat/>
    <w:uiPriority w:val="99"/>
    <w:rPr>
      <w:rFonts w:ascii="Arial" w:hAnsi="Arial" w:cs="Arial"/>
      <w:vanish/>
      <w:kern w:val="2"/>
      <w:sz w:val="16"/>
      <w:szCs w:val="16"/>
    </w:rPr>
  </w:style>
  <w:style w:type="character" w:styleId="918">
    <w:name w:val="Placeholder Text"/>
    <w:semiHidden/>
    <w:qFormat/>
    <w:uiPriority w:val="99"/>
    <w:rPr>
      <w:color w:val="808080"/>
    </w:rPr>
  </w:style>
  <w:style w:type="character" w:customStyle="1" w:styleId="919">
    <w:name w:val="正文（YHY-GDB) Char Char"/>
    <w:link w:val="920"/>
    <w:qFormat/>
    <w:uiPriority w:val="0"/>
    <w:rPr>
      <w:sz w:val="24"/>
      <w:szCs w:val="24"/>
    </w:rPr>
  </w:style>
  <w:style w:type="paragraph" w:customStyle="1" w:styleId="920">
    <w:name w:val="正文（YHY-GDB)"/>
    <w:basedOn w:val="1"/>
    <w:link w:val="919"/>
    <w:qFormat/>
    <w:uiPriority w:val="0"/>
    <w:pPr>
      <w:adjustRightInd w:val="0"/>
      <w:snapToGrid w:val="0"/>
      <w:spacing w:beforeLines="50" w:afterLines="50" w:line="360" w:lineRule="auto"/>
      <w:ind w:firstLine="200" w:firstLineChars="200"/>
    </w:pPr>
    <w:rPr>
      <w:rFonts w:asciiTheme="minorHAnsi" w:hAnsiTheme="minorHAnsi" w:eastAsiaTheme="minorEastAsia" w:cstheme="minorBidi"/>
      <w:sz w:val="24"/>
    </w:rPr>
  </w:style>
  <w:style w:type="character" w:customStyle="1" w:styleId="921">
    <w:name w:val="标题1.1.1.1.1 Char1"/>
    <w:qFormat/>
    <w:uiPriority w:val="0"/>
    <w:rPr>
      <w:rFonts w:ascii="宋体" w:hAnsi="Tms Rmn" w:eastAsia="宋体"/>
      <w:b/>
      <w:sz w:val="28"/>
      <w:lang w:val="en-US" w:eastAsia="zh-CN"/>
    </w:rPr>
  </w:style>
  <w:style w:type="character" w:customStyle="1" w:styleId="922">
    <w:name w:val="Char Char31"/>
    <w:qFormat/>
    <w:uiPriority w:val="0"/>
    <w:rPr>
      <w:rFonts w:ascii="Arial" w:hAnsi="Arial" w:eastAsia="黑体"/>
      <w:kern w:val="2"/>
      <w:sz w:val="24"/>
      <w:szCs w:val="24"/>
      <w:lang w:val="en-US" w:eastAsia="zh-CN" w:bidi="ar-SA"/>
    </w:rPr>
  </w:style>
  <w:style w:type="character" w:customStyle="1" w:styleId="923">
    <w:name w:val="标题2 Char"/>
    <w:qFormat/>
    <w:uiPriority w:val="9"/>
    <w:rPr>
      <w:rFonts w:ascii="华文细黑" w:hAnsi="宋体" w:eastAsia="华文细黑"/>
      <w:snapToGrid w:val="0"/>
      <w:sz w:val="24"/>
      <w:lang w:val="en-US" w:eastAsia="zh-CN"/>
    </w:rPr>
  </w:style>
  <w:style w:type="character" w:customStyle="1" w:styleId="924">
    <w:name w:val="表格A Char Char"/>
    <w:qFormat/>
    <w:uiPriority w:val="0"/>
    <w:rPr>
      <w:rFonts w:ascii="Times New Roman" w:hAnsi="Times New Roman"/>
      <w:szCs w:val="21"/>
    </w:rPr>
  </w:style>
  <w:style w:type="character" w:customStyle="1" w:styleId="925">
    <w:name w:val="style5"/>
    <w:basedOn w:val="133"/>
    <w:qFormat/>
    <w:uiPriority w:val="0"/>
  </w:style>
  <w:style w:type="character" w:customStyle="1" w:styleId="926">
    <w:name w:val="HTML 变量12"/>
    <w:qFormat/>
    <w:uiPriority w:val="0"/>
    <w:rPr>
      <w:i/>
      <w:iCs/>
    </w:rPr>
  </w:style>
  <w:style w:type="character" w:customStyle="1" w:styleId="927">
    <w:name w:val="index"/>
    <w:basedOn w:val="133"/>
    <w:qFormat/>
    <w:uiPriority w:val="0"/>
  </w:style>
  <w:style w:type="character" w:customStyle="1" w:styleId="928">
    <w:name w:val="AAA Char Char"/>
    <w:link w:val="929"/>
    <w:qFormat/>
    <w:uiPriority w:val="0"/>
    <w:rPr>
      <w:color w:val="000000"/>
      <w:sz w:val="28"/>
      <w:szCs w:val="24"/>
    </w:rPr>
  </w:style>
  <w:style w:type="paragraph" w:customStyle="1" w:styleId="929">
    <w:name w:val="AAA"/>
    <w:basedOn w:val="1"/>
    <w:link w:val="928"/>
    <w:qFormat/>
    <w:uiPriority w:val="0"/>
    <w:pPr>
      <w:spacing w:line="360" w:lineRule="auto"/>
      <w:ind w:firstLine="200" w:firstLineChars="200"/>
      <w:contextualSpacing/>
    </w:pPr>
    <w:rPr>
      <w:rFonts w:asciiTheme="minorHAnsi" w:hAnsiTheme="minorHAnsi" w:eastAsiaTheme="minorEastAsia" w:cstheme="minorBidi"/>
      <w:color w:val="000000"/>
      <w:sz w:val="28"/>
    </w:rPr>
  </w:style>
  <w:style w:type="character" w:customStyle="1" w:styleId="930">
    <w:name w:val="Number 2 Char"/>
    <w:qFormat/>
    <w:uiPriority w:val="0"/>
    <w:rPr>
      <w:rFonts w:ascii="Arial" w:hAnsi="Arial" w:eastAsia="黑体"/>
      <w:b/>
      <w:kern w:val="2"/>
      <w:sz w:val="32"/>
      <w:lang w:val="en-US" w:eastAsia="zh-CN"/>
    </w:rPr>
  </w:style>
  <w:style w:type="character" w:customStyle="1" w:styleId="931">
    <w:name w:val="刘元锡环评正文1 Char"/>
    <w:link w:val="932"/>
    <w:qFormat/>
    <w:uiPriority w:val="0"/>
    <w:rPr>
      <w:sz w:val="24"/>
      <w:szCs w:val="24"/>
    </w:rPr>
  </w:style>
  <w:style w:type="paragraph" w:customStyle="1" w:styleId="932">
    <w:name w:val="刘元锡环评正文1"/>
    <w:basedOn w:val="1"/>
    <w:link w:val="931"/>
    <w:qFormat/>
    <w:uiPriority w:val="0"/>
    <w:pPr>
      <w:spacing w:line="360" w:lineRule="auto"/>
      <w:ind w:firstLine="480" w:firstLineChars="200"/>
    </w:pPr>
    <w:rPr>
      <w:rFonts w:asciiTheme="minorHAnsi" w:hAnsiTheme="minorHAnsi" w:eastAsiaTheme="minorEastAsia" w:cstheme="minorBidi"/>
      <w:sz w:val="24"/>
    </w:rPr>
  </w:style>
  <w:style w:type="character" w:customStyle="1" w:styleId="933">
    <w:name w:val="正文（首行缩进两字） Char"/>
    <w:qFormat/>
    <w:uiPriority w:val="0"/>
    <w:rPr>
      <w:rFonts w:ascii="宋体" w:eastAsia="宋体"/>
      <w:kern w:val="2"/>
      <w:sz w:val="24"/>
      <w:lang w:val="en-US" w:eastAsia="zh-CN"/>
    </w:rPr>
  </w:style>
  <w:style w:type="character" w:customStyle="1" w:styleId="934">
    <w:name w:val="m"/>
    <w:qFormat/>
    <w:uiPriority w:val="0"/>
  </w:style>
  <w:style w:type="character" w:customStyle="1" w:styleId="935">
    <w:name w:val="章 Char2"/>
    <w:qFormat/>
    <w:uiPriority w:val="0"/>
    <w:rPr>
      <w:rFonts w:eastAsia="宋体"/>
      <w:b/>
      <w:kern w:val="44"/>
      <w:sz w:val="44"/>
      <w:lang w:val="en-US" w:eastAsia="zh-CN"/>
    </w:rPr>
  </w:style>
  <w:style w:type="character" w:customStyle="1" w:styleId="936">
    <w:name w:val="ny_black2"/>
    <w:qFormat/>
    <w:uiPriority w:val="0"/>
    <w:rPr>
      <w:color w:val="000000"/>
    </w:rPr>
  </w:style>
  <w:style w:type="character" w:customStyle="1" w:styleId="937">
    <w:name w:val="正文首行缩进 2 Char"/>
    <w:link w:val="938"/>
    <w:qFormat/>
    <w:uiPriority w:val="0"/>
    <w:rPr>
      <w:rFonts w:ascii="Arial" w:hAnsi="Arial" w:eastAsia="宋体" w:cs="Courier New"/>
      <w:snapToGrid w:val="0"/>
      <w:sz w:val="28"/>
      <w:szCs w:val="32"/>
    </w:rPr>
  </w:style>
  <w:style w:type="paragraph" w:customStyle="1" w:styleId="938">
    <w:name w:val="正文首行缩进 21"/>
    <w:basedOn w:val="1"/>
    <w:link w:val="937"/>
    <w:qFormat/>
    <w:uiPriority w:val="0"/>
    <w:pPr>
      <w:spacing w:after="120"/>
      <w:ind w:left="420" w:leftChars="200" w:firstLine="420" w:firstLineChars="200"/>
    </w:pPr>
    <w:rPr>
      <w:rFonts w:ascii="Arial" w:hAnsi="Arial" w:cs="Courier New"/>
      <w:snapToGrid w:val="0"/>
      <w:sz w:val="28"/>
      <w:szCs w:val="32"/>
    </w:rPr>
  </w:style>
  <w:style w:type="character" w:customStyle="1" w:styleId="939">
    <w:name w:val="HTML 代码12"/>
    <w:qFormat/>
    <w:uiPriority w:val="0"/>
    <w:rPr>
      <w:rFonts w:ascii="Courier New" w:hAnsi="Courier New" w:cs="Courier New"/>
      <w:sz w:val="20"/>
      <w:szCs w:val="20"/>
    </w:rPr>
  </w:style>
  <w:style w:type="character" w:customStyle="1" w:styleId="940">
    <w:name w:val="样式3表头 Char"/>
    <w:link w:val="941"/>
    <w:qFormat/>
    <w:uiPriority w:val="0"/>
    <w:rPr>
      <w:rFonts w:ascii="宋体" w:hAnsi="宋体" w:eastAsia="黑体" w:cs="宋体"/>
      <w:bCs/>
      <w:color w:val="000000"/>
      <w:sz w:val="24"/>
      <w:szCs w:val="24"/>
    </w:rPr>
  </w:style>
  <w:style w:type="paragraph" w:customStyle="1" w:styleId="941">
    <w:name w:val="样式3表头"/>
    <w:basedOn w:val="1"/>
    <w:link w:val="940"/>
    <w:qFormat/>
    <w:uiPriority w:val="0"/>
    <w:pPr>
      <w:spacing w:line="440" w:lineRule="exact"/>
      <w:ind w:firstLine="1320" w:firstLineChars="550"/>
      <w:jc w:val="left"/>
    </w:pPr>
    <w:rPr>
      <w:rFonts w:ascii="宋体" w:hAnsi="宋体" w:eastAsia="黑体" w:cs="宋体"/>
      <w:bCs/>
      <w:color w:val="000000"/>
      <w:sz w:val="24"/>
    </w:rPr>
  </w:style>
  <w:style w:type="character" w:customStyle="1" w:styleId="942">
    <w:name w:val="注释标题 Char1"/>
    <w:qFormat/>
    <w:uiPriority w:val="99"/>
    <w:rPr>
      <w:rFonts w:ascii="Times New Roman" w:hAnsi="Times New Roman"/>
      <w:kern w:val="2"/>
      <w:sz w:val="21"/>
      <w:szCs w:val="24"/>
    </w:rPr>
  </w:style>
  <w:style w:type="character" w:customStyle="1" w:styleId="943">
    <w:name w:val="文档结构图 Char6"/>
    <w:link w:val="26"/>
    <w:qFormat/>
    <w:uiPriority w:val="0"/>
    <w:rPr>
      <w:rFonts w:ascii="宋体"/>
      <w:sz w:val="18"/>
      <w:szCs w:val="18"/>
    </w:rPr>
  </w:style>
  <w:style w:type="character" w:customStyle="1" w:styleId="944">
    <w:name w:val="Char Char15"/>
    <w:qFormat/>
    <w:uiPriority w:val="0"/>
    <w:rPr>
      <w:rFonts w:hint="eastAsia" w:ascii="宋体" w:hAnsi="Courier New" w:eastAsia="宋体"/>
      <w:sz w:val="18"/>
      <w:lang w:val="en-US" w:eastAsia="zh-CN" w:bidi="ar-SA"/>
    </w:rPr>
  </w:style>
  <w:style w:type="character" w:customStyle="1" w:styleId="945">
    <w:name w:val="批注文字 Char2"/>
    <w:qFormat/>
    <w:uiPriority w:val="99"/>
    <w:rPr>
      <w:kern w:val="2"/>
      <w:sz w:val="21"/>
      <w:lang w:bidi="ar-SA"/>
    </w:rPr>
  </w:style>
  <w:style w:type="character" w:customStyle="1" w:styleId="946">
    <w:name w:val="环表头 Char6"/>
    <w:qFormat/>
    <w:uiPriority w:val="0"/>
    <w:rPr>
      <w:rFonts w:ascii="宋体" w:hAnsi="宋体" w:cs="Courier New"/>
      <w:b/>
      <w:color w:val="000000"/>
      <w:kern w:val="2"/>
      <w:sz w:val="24"/>
      <w:szCs w:val="21"/>
    </w:rPr>
  </w:style>
  <w:style w:type="character" w:customStyle="1" w:styleId="947">
    <w:name w:val="正文首行缩进 2 Char4"/>
    <w:link w:val="87"/>
    <w:qFormat/>
    <w:uiPriority w:val="99"/>
    <w:rPr>
      <w:rFonts w:eastAsia="宋体"/>
    </w:rPr>
  </w:style>
  <w:style w:type="character" w:customStyle="1" w:styleId="948">
    <w:name w:val="正文文本缩进 Char3"/>
    <w:basedOn w:val="133"/>
    <w:link w:val="35"/>
    <w:qFormat/>
    <w:uiPriority w:val="0"/>
    <w:rPr>
      <w:rFonts w:ascii="Times New Roman" w:hAnsi="Times New Roman" w:eastAsia="宋体" w:cs="Times New Roman"/>
      <w:szCs w:val="24"/>
    </w:rPr>
  </w:style>
  <w:style w:type="character" w:customStyle="1" w:styleId="949">
    <w:name w:val="行号12"/>
    <w:qFormat/>
    <w:uiPriority w:val="0"/>
  </w:style>
  <w:style w:type="character" w:customStyle="1" w:styleId="950">
    <w:name w:val="表格标题 Char"/>
    <w:link w:val="951"/>
    <w:qFormat/>
    <w:uiPriority w:val="0"/>
    <w:rPr>
      <w:b/>
      <w:sz w:val="24"/>
      <w:szCs w:val="24"/>
    </w:rPr>
  </w:style>
  <w:style w:type="paragraph" w:customStyle="1" w:styleId="951">
    <w:name w:val="表格标题"/>
    <w:next w:val="1"/>
    <w:link w:val="950"/>
    <w:qFormat/>
    <w:uiPriority w:val="0"/>
    <w:pPr>
      <w:spacing w:before="50" w:beforeLines="50"/>
      <w:jc w:val="center"/>
    </w:pPr>
    <w:rPr>
      <w:rFonts w:asciiTheme="minorHAnsi" w:hAnsiTheme="minorHAnsi" w:eastAsiaTheme="minorEastAsia" w:cstheme="minorBidi"/>
      <w:b/>
      <w:kern w:val="2"/>
      <w:sz w:val="24"/>
      <w:szCs w:val="24"/>
      <w:lang w:val="en-US" w:eastAsia="zh-CN" w:bidi="ar-SA"/>
    </w:rPr>
  </w:style>
  <w:style w:type="character" w:customStyle="1" w:styleId="952">
    <w:name w:val="BBB Char Char"/>
    <w:link w:val="953"/>
    <w:qFormat/>
    <w:uiPriority w:val="0"/>
    <w:rPr>
      <w:rFonts w:ascii="宋体" w:hAnsi="宋体"/>
      <w:bCs/>
      <w:color w:val="000000"/>
      <w:szCs w:val="21"/>
    </w:rPr>
  </w:style>
  <w:style w:type="paragraph" w:customStyle="1" w:styleId="953">
    <w:name w:val="BBB"/>
    <w:basedOn w:val="1"/>
    <w:link w:val="952"/>
    <w:qFormat/>
    <w:uiPriority w:val="0"/>
    <w:pPr>
      <w:widowControl/>
      <w:jc w:val="center"/>
    </w:pPr>
    <w:rPr>
      <w:rFonts w:ascii="宋体" w:hAnsi="宋体" w:eastAsiaTheme="minorEastAsia" w:cstheme="minorBidi"/>
      <w:bCs/>
      <w:color w:val="000000"/>
      <w:szCs w:val="21"/>
    </w:rPr>
  </w:style>
  <w:style w:type="character" w:customStyle="1" w:styleId="954">
    <w:name w:val="正文加黑 Char"/>
    <w:link w:val="955"/>
    <w:qFormat/>
    <w:uiPriority w:val="0"/>
    <w:rPr>
      <w:rFonts w:ascii="Arial" w:hAnsi="Arial" w:eastAsia="宋体" w:cs="Arial"/>
      <w:b/>
      <w:color w:val="000000"/>
      <w:sz w:val="24"/>
      <w:szCs w:val="24"/>
    </w:rPr>
  </w:style>
  <w:style w:type="paragraph" w:customStyle="1" w:styleId="955">
    <w:name w:val="正文加黑"/>
    <w:basedOn w:val="1"/>
    <w:link w:val="954"/>
    <w:qFormat/>
    <w:uiPriority w:val="0"/>
    <w:pPr>
      <w:spacing w:line="500" w:lineRule="exact"/>
      <w:ind w:firstLine="482" w:firstLineChars="200"/>
    </w:pPr>
    <w:rPr>
      <w:rFonts w:ascii="Arial" w:hAnsi="Arial" w:cs="Arial"/>
      <w:b/>
      <w:color w:val="000000"/>
      <w:sz w:val="24"/>
    </w:rPr>
  </w:style>
  <w:style w:type="character" w:customStyle="1" w:styleId="956">
    <w:name w:val="HTML 缩写12"/>
    <w:qFormat/>
    <w:uiPriority w:val="0"/>
  </w:style>
  <w:style w:type="character" w:customStyle="1" w:styleId="957">
    <w:name w:val="样式 四号 右侧:  -0.26 厘米 Char"/>
    <w:link w:val="958"/>
    <w:qFormat/>
    <w:uiPriority w:val="0"/>
    <w:rPr>
      <w:rFonts w:eastAsia="宋体" w:cs="宋体"/>
      <w:sz w:val="28"/>
    </w:rPr>
  </w:style>
  <w:style w:type="paragraph" w:customStyle="1" w:styleId="958">
    <w:name w:val="样式 四号 右侧:  -0.26 厘米"/>
    <w:basedOn w:val="1"/>
    <w:link w:val="957"/>
    <w:qFormat/>
    <w:uiPriority w:val="0"/>
    <w:pPr>
      <w:ind w:firstLine="200" w:firstLineChars="200"/>
    </w:pPr>
    <w:rPr>
      <w:rFonts w:cs="宋体" w:asciiTheme="minorHAnsi" w:hAnsiTheme="minorHAnsi"/>
      <w:sz w:val="28"/>
      <w:szCs w:val="22"/>
    </w:rPr>
  </w:style>
  <w:style w:type="character" w:customStyle="1" w:styleId="959">
    <w:name w:val="HTML 样本12"/>
    <w:qFormat/>
    <w:uiPriority w:val="0"/>
    <w:rPr>
      <w:rFonts w:ascii="Courier New" w:hAnsi="Courier New" w:cs="Courier New"/>
    </w:rPr>
  </w:style>
  <w:style w:type="character" w:customStyle="1" w:styleId="960">
    <w:name w:val="表头 Char"/>
    <w:qFormat/>
    <w:uiPriority w:val="0"/>
    <w:rPr>
      <w:rFonts w:ascii="黑体" w:hAnsi="宋体" w:eastAsia="黑体"/>
      <w:b/>
      <w:color w:val="000000"/>
      <w:kern w:val="2"/>
      <w:sz w:val="21"/>
      <w:lang w:val="en-US" w:eastAsia="zh-CN"/>
    </w:rPr>
  </w:style>
  <w:style w:type="character" w:customStyle="1" w:styleId="961">
    <w:name w:val="Char Char Char Char Char Char Char1"/>
    <w:link w:val="962"/>
    <w:qFormat/>
    <w:locked/>
    <w:uiPriority w:val="0"/>
    <w:rPr>
      <w:rFonts w:eastAsia="宋体"/>
      <w:sz w:val="24"/>
      <w:szCs w:val="24"/>
    </w:rPr>
  </w:style>
  <w:style w:type="paragraph" w:customStyle="1" w:styleId="962">
    <w:name w:val="Char Char Char Char Char Char1"/>
    <w:basedOn w:val="1"/>
    <w:link w:val="961"/>
    <w:qFormat/>
    <w:uiPriority w:val="0"/>
    <w:rPr>
      <w:rFonts w:asciiTheme="minorHAnsi" w:hAnsiTheme="minorHAnsi" w:cstheme="minorBidi"/>
      <w:sz w:val="24"/>
    </w:rPr>
  </w:style>
  <w:style w:type="character" w:customStyle="1" w:styleId="963">
    <w:name w:val="广环院正文 Char Char"/>
    <w:link w:val="964"/>
    <w:qFormat/>
    <w:uiPriority w:val="0"/>
    <w:rPr>
      <w:sz w:val="24"/>
    </w:rPr>
  </w:style>
  <w:style w:type="paragraph" w:customStyle="1" w:styleId="964">
    <w:name w:val="广环院正文"/>
    <w:basedOn w:val="1"/>
    <w:link w:val="963"/>
    <w:qFormat/>
    <w:uiPriority w:val="0"/>
    <w:pPr>
      <w:spacing w:line="360" w:lineRule="auto"/>
      <w:ind w:firstLine="200" w:firstLineChars="200"/>
    </w:pPr>
    <w:rPr>
      <w:rFonts w:asciiTheme="minorHAnsi" w:hAnsiTheme="minorHAnsi" w:eastAsiaTheme="minorEastAsia" w:cstheme="minorBidi"/>
      <w:sz w:val="24"/>
      <w:szCs w:val="22"/>
    </w:rPr>
  </w:style>
  <w:style w:type="character" w:customStyle="1" w:styleId="965">
    <w:name w:val="BAOGAO-标题3 Char Char"/>
    <w:link w:val="966"/>
    <w:qFormat/>
    <w:uiPriority w:val="0"/>
    <w:rPr>
      <w:rFonts w:ascii="黑体" w:hAnsi="宋体" w:eastAsia="黑体"/>
      <w:b/>
      <w:bCs/>
      <w:caps/>
      <w:color w:val="000000"/>
      <w:sz w:val="24"/>
    </w:rPr>
  </w:style>
  <w:style w:type="paragraph" w:customStyle="1" w:styleId="966">
    <w:name w:val="BAOGAO-标题3"/>
    <w:basedOn w:val="5"/>
    <w:link w:val="965"/>
    <w:qFormat/>
    <w:uiPriority w:val="0"/>
    <w:pPr>
      <w:widowControl w:val="0"/>
      <w:numPr>
        <w:ilvl w:val="0"/>
        <w:numId w:val="0"/>
      </w:numPr>
      <w:spacing w:line="360" w:lineRule="auto"/>
      <w:textAlignment w:val="baseline"/>
    </w:pPr>
    <w:rPr>
      <w:rFonts w:ascii="黑体" w:hAnsi="宋体" w:eastAsia="黑体" w:cstheme="minorBidi"/>
      <w:caps/>
      <w:color w:val="000000"/>
      <w:sz w:val="24"/>
      <w:szCs w:val="22"/>
    </w:rPr>
  </w:style>
  <w:style w:type="character" w:customStyle="1" w:styleId="967">
    <w:name w:val="Char Char21"/>
    <w:qFormat/>
    <w:uiPriority w:val="0"/>
    <w:rPr>
      <w:rFonts w:ascii="Arial" w:hAnsi="Arial" w:eastAsia="黑体"/>
      <w:kern w:val="2"/>
      <w:sz w:val="21"/>
      <w:szCs w:val="21"/>
      <w:lang w:val="en-US" w:eastAsia="zh-CN" w:bidi="ar-SA"/>
    </w:rPr>
  </w:style>
  <w:style w:type="character" w:customStyle="1" w:styleId="968">
    <w:name w:val="Char Char37"/>
    <w:qFormat/>
    <w:uiPriority w:val="0"/>
    <w:rPr>
      <w:rFonts w:ascii="宋体"/>
      <w:kern w:val="2"/>
      <w:sz w:val="18"/>
      <w:szCs w:val="18"/>
    </w:rPr>
  </w:style>
  <w:style w:type="character" w:customStyle="1" w:styleId="969">
    <w:name w:val="文档结构图 Char Char"/>
    <w:link w:val="970"/>
    <w:qFormat/>
    <w:locked/>
    <w:uiPriority w:val="0"/>
    <w:rPr>
      <w:sz w:val="22"/>
      <w:szCs w:val="24"/>
      <w:shd w:val="clear" w:color="auto" w:fill="000080"/>
      <w:lang w:val="en-GB"/>
    </w:rPr>
  </w:style>
  <w:style w:type="paragraph" w:customStyle="1" w:styleId="970">
    <w:name w:val="文档结构图12"/>
    <w:basedOn w:val="1"/>
    <w:link w:val="969"/>
    <w:qFormat/>
    <w:uiPriority w:val="0"/>
    <w:pPr>
      <w:shd w:val="clear" w:color="auto" w:fill="000080"/>
    </w:pPr>
    <w:rPr>
      <w:rFonts w:asciiTheme="minorHAnsi" w:hAnsiTheme="minorHAnsi" w:eastAsiaTheme="minorEastAsia" w:cstheme="minorBidi"/>
      <w:sz w:val="22"/>
      <w:shd w:val="clear" w:color="auto" w:fill="000080"/>
      <w:lang w:val="en-GB"/>
    </w:rPr>
  </w:style>
  <w:style w:type="character" w:customStyle="1" w:styleId="971">
    <w:name w:val="Char Char35"/>
    <w:qFormat/>
    <w:uiPriority w:val="0"/>
    <w:rPr>
      <w:kern w:val="2"/>
      <w:sz w:val="18"/>
      <w:szCs w:val="18"/>
    </w:rPr>
  </w:style>
  <w:style w:type="character" w:customStyle="1" w:styleId="972">
    <w:name w:val="Char Char Char3"/>
    <w:qFormat/>
    <w:uiPriority w:val="0"/>
    <w:rPr>
      <w:rFonts w:ascii="宋体" w:hAnsi="Arial" w:eastAsia="宋体"/>
      <w:kern w:val="2"/>
      <w:sz w:val="28"/>
      <w:lang w:val="en-US" w:eastAsia="zh-CN" w:bidi="ar-SA"/>
    </w:rPr>
  </w:style>
  <w:style w:type="character" w:customStyle="1" w:styleId="973">
    <w:name w:val="批注主题 Char5"/>
    <w:qFormat/>
    <w:uiPriority w:val="0"/>
    <w:rPr>
      <w:rFonts w:eastAsia="宋体"/>
      <w:b/>
      <w:bCs/>
      <w:kern w:val="2"/>
      <w:sz w:val="21"/>
      <w:szCs w:val="24"/>
      <w:lang w:val="en-US" w:eastAsia="zh-CN" w:bidi="ar-SA"/>
    </w:rPr>
  </w:style>
  <w:style w:type="character" w:customStyle="1" w:styleId="974">
    <w:name w:val="HTML 打字机12"/>
    <w:qFormat/>
    <w:uiPriority w:val="0"/>
    <w:rPr>
      <w:rFonts w:ascii="Courier New" w:hAnsi="Courier New" w:cs="Courier New"/>
      <w:sz w:val="20"/>
      <w:szCs w:val="20"/>
    </w:rPr>
  </w:style>
  <w:style w:type="character" w:customStyle="1" w:styleId="975">
    <w:name w:val="【表头】 Char"/>
    <w:link w:val="976"/>
    <w:qFormat/>
    <w:uiPriority w:val="0"/>
    <w:rPr>
      <w:rFonts w:eastAsia="黑体"/>
      <w:sz w:val="24"/>
      <w:szCs w:val="24"/>
    </w:rPr>
  </w:style>
  <w:style w:type="paragraph" w:customStyle="1" w:styleId="976">
    <w:name w:val="【表头】"/>
    <w:basedOn w:val="1"/>
    <w:link w:val="975"/>
    <w:qFormat/>
    <w:uiPriority w:val="0"/>
    <w:pPr>
      <w:spacing w:before="120"/>
      <w:jc w:val="center"/>
    </w:pPr>
    <w:rPr>
      <w:rFonts w:eastAsia="黑体" w:asciiTheme="minorHAnsi" w:hAnsiTheme="minorHAnsi" w:cstheme="minorBidi"/>
      <w:sz w:val="24"/>
    </w:rPr>
  </w:style>
  <w:style w:type="character" w:customStyle="1" w:styleId="977">
    <w:name w:val="正文文本缩进 2 Char"/>
    <w:qFormat/>
    <w:uiPriority w:val="0"/>
    <w:rPr>
      <w:rFonts w:ascii="宋体" w:hAnsi="宋体"/>
      <w:kern w:val="2"/>
      <w:sz w:val="28"/>
      <w:szCs w:val="24"/>
    </w:rPr>
  </w:style>
  <w:style w:type="character" w:customStyle="1" w:styleId="978">
    <w:name w:val="Char Char83"/>
    <w:qFormat/>
    <w:locked/>
    <w:uiPriority w:val="0"/>
    <w:rPr>
      <w:rFonts w:ascii="仿宋_GB2312" w:hAnsi="Courier New" w:eastAsia="仿宋_GB2312"/>
      <w:sz w:val="28"/>
      <w:lang w:val="en-US" w:eastAsia="zh-CN" w:bidi="ar-SA"/>
    </w:rPr>
  </w:style>
  <w:style w:type="character" w:customStyle="1" w:styleId="979">
    <w:name w:val="条文文字或注释文字上标"/>
    <w:qFormat/>
    <w:uiPriority w:val="0"/>
    <w:rPr>
      <w:vertAlign w:val="superscript"/>
    </w:rPr>
  </w:style>
  <w:style w:type="character" w:customStyle="1" w:styleId="980">
    <w:name w:val="日期 Char3"/>
    <w:link w:val="50"/>
    <w:qFormat/>
    <w:uiPriority w:val="0"/>
    <w:rPr>
      <w:rFonts w:eastAsia="宋体"/>
      <w:sz w:val="28"/>
    </w:rPr>
  </w:style>
  <w:style w:type="character" w:customStyle="1" w:styleId="981">
    <w:name w:val="r1"/>
    <w:qFormat/>
    <w:uiPriority w:val="0"/>
    <w:rPr>
      <w:sz w:val="20"/>
      <w:szCs w:val="20"/>
    </w:rPr>
  </w:style>
  <w:style w:type="character" w:customStyle="1" w:styleId="982">
    <w:name w:val="zhenwen141"/>
    <w:qFormat/>
    <w:uiPriority w:val="0"/>
    <w:rPr>
      <w:rFonts w:hint="default" w:ascii="ˎ̥" w:hAnsi="ˎ̥"/>
      <w:sz w:val="23"/>
      <w:szCs w:val="23"/>
    </w:rPr>
  </w:style>
  <w:style w:type="character" w:customStyle="1" w:styleId="983">
    <w:name w:val="Balloon Text Char"/>
    <w:qFormat/>
    <w:locked/>
    <w:uiPriority w:val="0"/>
    <w:rPr>
      <w:rFonts w:cs="Times New Roman"/>
      <w:sz w:val="18"/>
      <w:szCs w:val="18"/>
    </w:rPr>
  </w:style>
  <w:style w:type="character" w:customStyle="1" w:styleId="984">
    <w:name w:val="正文首行缩进 Char4"/>
    <w:basedOn w:val="555"/>
    <w:link w:val="86"/>
    <w:qFormat/>
    <w:uiPriority w:val="99"/>
    <w:rPr>
      <w:rFonts w:ascii="宋体" w:hAnsi="宋体" w:eastAsia="宋体"/>
      <w:szCs w:val="24"/>
    </w:rPr>
  </w:style>
  <w:style w:type="character" w:customStyle="1" w:styleId="985">
    <w:name w:val="标题 Char3"/>
    <w:qFormat/>
    <w:uiPriority w:val="0"/>
    <w:rPr>
      <w:rFonts w:eastAsia="宋体"/>
      <w:kern w:val="2"/>
      <w:sz w:val="24"/>
      <w:szCs w:val="24"/>
      <w:lang w:val="en-US" w:eastAsia="zh-CN" w:bidi="ar-SA"/>
    </w:rPr>
  </w:style>
  <w:style w:type="character" w:customStyle="1" w:styleId="986">
    <w:name w:val="正文样式 Char"/>
    <w:link w:val="987"/>
    <w:qFormat/>
    <w:uiPriority w:val="0"/>
    <w:rPr>
      <w:rFonts w:ascii="宋体" w:hAnsi="宋体" w:eastAsia="宋体"/>
      <w:sz w:val="24"/>
      <w:szCs w:val="24"/>
    </w:rPr>
  </w:style>
  <w:style w:type="paragraph" w:customStyle="1" w:styleId="987">
    <w:name w:val="正文样式"/>
    <w:basedOn w:val="1"/>
    <w:link w:val="986"/>
    <w:qFormat/>
    <w:uiPriority w:val="0"/>
    <w:pPr>
      <w:spacing w:line="360" w:lineRule="auto"/>
      <w:ind w:firstLine="480" w:firstLineChars="200"/>
    </w:pPr>
    <w:rPr>
      <w:rFonts w:ascii="宋体" w:hAnsi="宋体" w:cstheme="minorBidi"/>
      <w:sz w:val="24"/>
    </w:rPr>
  </w:style>
  <w:style w:type="character" w:customStyle="1" w:styleId="988">
    <w:name w:val="Heading 1 Char"/>
    <w:qFormat/>
    <w:locked/>
    <w:uiPriority w:val="0"/>
    <w:rPr>
      <w:rFonts w:ascii="Times New Roman" w:hAnsi="Times New Roman" w:eastAsia="仿宋" w:cs="Times New Roman"/>
      <w:b/>
      <w:bCs/>
      <w:kern w:val="44"/>
      <w:sz w:val="44"/>
      <w:szCs w:val="44"/>
    </w:rPr>
  </w:style>
  <w:style w:type="character" w:customStyle="1" w:styleId="989">
    <w:name w:val="君邦正文 Char"/>
    <w:qFormat/>
    <w:uiPriority w:val="0"/>
    <w:rPr>
      <w:bCs/>
      <w:snapToGrid w:val="0"/>
      <w:sz w:val="24"/>
      <w:lang w:val="en-US" w:eastAsia="zh-CN" w:bidi="ar-SA"/>
    </w:rPr>
  </w:style>
  <w:style w:type="character" w:customStyle="1" w:styleId="990">
    <w:name w:val="Heading 2 Char"/>
    <w:qFormat/>
    <w:locked/>
    <w:uiPriority w:val="0"/>
    <w:rPr>
      <w:rFonts w:ascii="Cambria" w:hAnsi="Cambria" w:eastAsia="仿宋" w:cs="Times New Roman"/>
      <w:b/>
      <w:bCs/>
      <w:sz w:val="32"/>
      <w:szCs w:val="32"/>
    </w:rPr>
  </w:style>
  <w:style w:type="character" w:customStyle="1" w:styleId="991">
    <w:name w:val="表头样式1 Char1"/>
    <w:link w:val="992"/>
    <w:qFormat/>
    <w:uiPriority w:val="0"/>
    <w:rPr>
      <w:rFonts w:eastAsia="宋体"/>
      <w:b/>
      <w:sz w:val="24"/>
    </w:rPr>
  </w:style>
  <w:style w:type="paragraph" w:customStyle="1" w:styleId="992">
    <w:name w:val="表头样式1"/>
    <w:basedOn w:val="1"/>
    <w:link w:val="991"/>
    <w:qFormat/>
    <w:uiPriority w:val="0"/>
    <w:pPr>
      <w:spacing w:line="360" w:lineRule="auto"/>
      <w:jc w:val="center"/>
    </w:pPr>
    <w:rPr>
      <w:rFonts w:asciiTheme="minorHAnsi" w:hAnsiTheme="minorHAnsi" w:cstheme="minorBidi"/>
      <w:b/>
      <w:sz w:val="24"/>
      <w:szCs w:val="22"/>
    </w:rPr>
  </w:style>
  <w:style w:type="character" w:customStyle="1" w:styleId="993">
    <w:name w:val="Title Char"/>
    <w:qFormat/>
    <w:locked/>
    <w:uiPriority w:val="0"/>
    <w:rPr>
      <w:rFonts w:ascii="Cambria" w:hAnsi="Cambria" w:eastAsia="宋体" w:cs="Times New Roman"/>
      <w:b/>
      <w:bCs/>
      <w:color w:val="0000FF"/>
      <w:sz w:val="32"/>
      <w:szCs w:val="32"/>
    </w:rPr>
  </w:style>
  <w:style w:type="character" w:customStyle="1" w:styleId="994">
    <w:name w:val="表格正文 Char"/>
    <w:qFormat/>
    <w:uiPriority w:val="0"/>
    <w:rPr>
      <w:rFonts w:ascii="Times New Roman" w:hAnsi="Times New Roman" w:eastAsia="宋体" w:cs="Times New Roman"/>
      <w:szCs w:val="21"/>
    </w:rPr>
  </w:style>
  <w:style w:type="character" w:customStyle="1" w:styleId="995">
    <w:name w:val="报告表正文 Char"/>
    <w:link w:val="996"/>
    <w:qFormat/>
    <w:uiPriority w:val="0"/>
    <w:rPr>
      <w:rFonts w:eastAsia="楷体_GB2312"/>
      <w:sz w:val="24"/>
      <w:szCs w:val="24"/>
    </w:rPr>
  </w:style>
  <w:style w:type="paragraph" w:customStyle="1" w:styleId="996">
    <w:name w:val="报告表正文"/>
    <w:basedOn w:val="1"/>
    <w:link w:val="995"/>
    <w:qFormat/>
    <w:uiPriority w:val="0"/>
    <w:pPr>
      <w:spacing w:line="360" w:lineRule="auto"/>
      <w:ind w:firstLine="200" w:firstLineChars="200"/>
    </w:pPr>
    <w:rPr>
      <w:rFonts w:eastAsia="楷体_GB2312" w:asciiTheme="minorHAnsi" w:hAnsiTheme="minorHAnsi" w:cstheme="minorBidi"/>
      <w:sz w:val="24"/>
    </w:rPr>
  </w:style>
  <w:style w:type="character" w:customStyle="1" w:styleId="997">
    <w:name w:val="脚注文本 Char7"/>
    <w:link w:val="67"/>
    <w:qFormat/>
    <w:uiPriority w:val="0"/>
    <w:rPr>
      <w:szCs w:val="24"/>
    </w:rPr>
  </w:style>
  <w:style w:type="character" w:customStyle="1" w:styleId="998">
    <w:name w:val="正文文本 2 Char3"/>
    <w:link w:val="76"/>
    <w:qFormat/>
    <w:uiPriority w:val="0"/>
    <w:rPr>
      <w:rFonts w:eastAsia="宋体"/>
      <w:sz w:val="28"/>
      <w:szCs w:val="24"/>
    </w:rPr>
  </w:style>
  <w:style w:type="character" w:customStyle="1" w:styleId="999">
    <w:name w:val="Body Text Char"/>
    <w:qFormat/>
    <w:locked/>
    <w:uiPriority w:val="0"/>
    <w:rPr>
      <w:rFonts w:ascii="Times New Roman" w:hAnsi="Times New Roman" w:eastAsia="宋体" w:cs="Times New Roman"/>
      <w:sz w:val="24"/>
      <w:szCs w:val="24"/>
    </w:rPr>
  </w:style>
  <w:style w:type="character" w:customStyle="1" w:styleId="1000">
    <w:name w:val="1.1.1 Char"/>
    <w:qFormat/>
    <w:uiPriority w:val="0"/>
    <w:rPr>
      <w:rFonts w:eastAsia="宋体"/>
      <w:b/>
      <w:bCs/>
      <w:kern w:val="2"/>
      <w:sz w:val="32"/>
      <w:szCs w:val="32"/>
      <w:lang w:val="en-US" w:eastAsia="zh-CN" w:bidi="ar-SA"/>
    </w:rPr>
  </w:style>
  <w:style w:type="character" w:customStyle="1" w:styleId="1001">
    <w:name w:val="环评表格标题 Char"/>
    <w:link w:val="1002"/>
    <w:qFormat/>
    <w:uiPriority w:val="0"/>
    <w:rPr>
      <w:rFonts w:eastAsia="黑体"/>
      <w:b/>
      <w:sz w:val="24"/>
      <w:szCs w:val="21"/>
    </w:rPr>
  </w:style>
  <w:style w:type="paragraph" w:customStyle="1" w:styleId="1002">
    <w:name w:val="环评表格标题"/>
    <w:basedOn w:val="1"/>
    <w:link w:val="1001"/>
    <w:qFormat/>
    <w:uiPriority w:val="0"/>
    <w:pPr>
      <w:jc w:val="center"/>
    </w:pPr>
    <w:rPr>
      <w:rFonts w:eastAsia="黑体" w:asciiTheme="minorHAnsi" w:hAnsiTheme="minorHAnsi" w:cstheme="minorBidi"/>
      <w:b/>
      <w:sz w:val="24"/>
      <w:szCs w:val="21"/>
    </w:rPr>
  </w:style>
  <w:style w:type="character" w:customStyle="1" w:styleId="1003">
    <w:name w:val="aspmaker1"/>
    <w:qFormat/>
    <w:uiPriority w:val="0"/>
    <w:rPr>
      <w:sz w:val="20"/>
      <w:szCs w:val="20"/>
    </w:rPr>
  </w:style>
  <w:style w:type="character" w:customStyle="1" w:styleId="1004">
    <w:name w:val="123YJ Char Char"/>
    <w:qFormat/>
    <w:uiPriority w:val="0"/>
    <w:rPr>
      <w:sz w:val="18"/>
    </w:rPr>
  </w:style>
  <w:style w:type="character" w:customStyle="1" w:styleId="1005">
    <w:name w:val="访问过的超链接1"/>
    <w:qFormat/>
    <w:uiPriority w:val="0"/>
    <w:rPr>
      <w:rFonts w:hint="default" w:ascii="Times New Roman"/>
      <w:color w:val="800080"/>
      <w:u w:val="single"/>
    </w:rPr>
  </w:style>
  <w:style w:type="character" w:customStyle="1" w:styleId="1006">
    <w:name w:val="纯文本 Char1"/>
    <w:qFormat/>
    <w:uiPriority w:val="0"/>
    <w:rPr>
      <w:rFonts w:ascii="宋体" w:hAnsi="Courier New" w:eastAsia="宋体" w:cs="Courier New"/>
      <w:sz w:val="21"/>
      <w:szCs w:val="21"/>
    </w:rPr>
  </w:style>
  <w:style w:type="character" w:customStyle="1" w:styleId="1007">
    <w:name w:val="style11"/>
    <w:qFormat/>
    <w:uiPriority w:val="0"/>
    <w:rPr>
      <w:sz w:val="23"/>
      <w:szCs w:val="23"/>
    </w:rPr>
  </w:style>
  <w:style w:type="character" w:customStyle="1" w:styleId="1008">
    <w:name w:val="样式 标题 2 + 非加粗 Char"/>
    <w:qFormat/>
    <w:uiPriority w:val="0"/>
    <w:rPr>
      <w:rFonts w:eastAsia="黑体"/>
      <w:b/>
      <w:bCs/>
      <w:kern w:val="2"/>
      <w:sz w:val="24"/>
      <w:szCs w:val="32"/>
      <w:lang w:val="en-US" w:eastAsia="zh-CN" w:bidi="ar-SA"/>
    </w:rPr>
  </w:style>
  <w:style w:type="character" w:customStyle="1" w:styleId="1009">
    <w:name w:val="书籍标题1"/>
    <w:qFormat/>
    <w:uiPriority w:val="0"/>
    <w:rPr>
      <w:rFonts w:cs="Times New Roman"/>
      <w:b/>
      <w:bCs/>
      <w:smallCaps/>
      <w:spacing w:val="5"/>
    </w:rPr>
  </w:style>
  <w:style w:type="character" w:customStyle="1" w:styleId="1010">
    <w:name w:val="样式 首行缩进:  2 字符1 Char Char"/>
    <w:link w:val="1011"/>
    <w:qFormat/>
    <w:uiPriority w:val="0"/>
    <w:rPr>
      <w:sz w:val="24"/>
    </w:rPr>
  </w:style>
  <w:style w:type="paragraph" w:customStyle="1" w:styleId="1011">
    <w:name w:val="样式 首行缩进:  2 字符1"/>
    <w:basedOn w:val="1"/>
    <w:link w:val="1010"/>
    <w:qFormat/>
    <w:uiPriority w:val="0"/>
    <w:pPr>
      <w:adjustRightInd w:val="0"/>
      <w:snapToGrid w:val="0"/>
      <w:spacing w:line="360" w:lineRule="auto"/>
      <w:ind w:firstLine="480" w:firstLineChars="200"/>
    </w:pPr>
    <w:rPr>
      <w:rFonts w:asciiTheme="minorHAnsi" w:hAnsiTheme="minorHAnsi" w:eastAsiaTheme="minorEastAsia" w:cstheme="minorBidi"/>
      <w:sz w:val="24"/>
      <w:szCs w:val="22"/>
    </w:rPr>
  </w:style>
  <w:style w:type="character" w:customStyle="1" w:styleId="1012">
    <w:name w:val="td2"/>
    <w:qFormat/>
    <w:uiPriority w:val="0"/>
  </w:style>
  <w:style w:type="character" w:customStyle="1" w:styleId="1013">
    <w:name w:val="表蕊 Char"/>
    <w:link w:val="1014"/>
    <w:qFormat/>
    <w:uiPriority w:val="0"/>
    <w:rPr>
      <w:rFonts w:eastAsia="华文楷体"/>
      <w:szCs w:val="21"/>
    </w:rPr>
  </w:style>
  <w:style w:type="paragraph" w:customStyle="1" w:styleId="1014">
    <w:name w:val="表蕊"/>
    <w:basedOn w:val="1"/>
    <w:link w:val="1013"/>
    <w:qFormat/>
    <w:uiPriority w:val="0"/>
    <w:pPr>
      <w:spacing w:line="360" w:lineRule="exact"/>
      <w:jc w:val="center"/>
      <w:textAlignment w:val="center"/>
      <w:outlineLvl w:val="8"/>
    </w:pPr>
    <w:rPr>
      <w:rFonts w:eastAsia="华文楷体" w:asciiTheme="minorHAnsi" w:hAnsiTheme="minorHAnsi" w:cstheme="minorBidi"/>
      <w:szCs w:val="21"/>
    </w:rPr>
  </w:style>
  <w:style w:type="character" w:customStyle="1" w:styleId="1015">
    <w:name w:val="apple-converted-space"/>
    <w:qFormat/>
    <w:uiPriority w:val="0"/>
  </w:style>
  <w:style w:type="character" w:customStyle="1" w:styleId="1016">
    <w:name w:val="Normal Indent Char"/>
    <w:qFormat/>
    <w:locked/>
    <w:uiPriority w:val="0"/>
    <w:rPr>
      <w:rFonts w:cs="Times New Roman"/>
    </w:rPr>
  </w:style>
  <w:style w:type="character" w:customStyle="1" w:styleId="1017">
    <w:name w:val="正文1 Char1"/>
    <w:link w:val="1018"/>
    <w:qFormat/>
    <w:uiPriority w:val="0"/>
    <w:rPr>
      <w:snapToGrid w:val="0"/>
      <w:sz w:val="24"/>
      <w:szCs w:val="24"/>
    </w:rPr>
  </w:style>
  <w:style w:type="paragraph" w:customStyle="1" w:styleId="1018">
    <w:name w:val="正文11"/>
    <w:basedOn w:val="1"/>
    <w:link w:val="1017"/>
    <w:qFormat/>
    <w:uiPriority w:val="0"/>
    <w:pPr>
      <w:spacing w:line="360" w:lineRule="auto"/>
      <w:ind w:firstLine="480" w:firstLineChars="200"/>
    </w:pPr>
    <w:rPr>
      <w:rFonts w:asciiTheme="minorHAnsi" w:hAnsiTheme="minorHAnsi" w:eastAsiaTheme="minorEastAsia" w:cstheme="minorBidi"/>
      <w:snapToGrid w:val="0"/>
      <w:sz w:val="24"/>
    </w:rPr>
  </w:style>
  <w:style w:type="character" w:customStyle="1" w:styleId="1019">
    <w:name w:val="广环院表格正文 Char"/>
    <w:link w:val="1020"/>
    <w:qFormat/>
    <w:uiPriority w:val="0"/>
  </w:style>
  <w:style w:type="paragraph" w:customStyle="1" w:styleId="1020">
    <w:name w:val="广环院表格正文"/>
    <w:basedOn w:val="181"/>
    <w:link w:val="1019"/>
    <w:qFormat/>
    <w:uiPriority w:val="0"/>
    <w:pPr>
      <w:spacing w:after="0" w:line="240" w:lineRule="auto"/>
      <w:ind w:firstLine="0" w:firstLineChars="0"/>
      <w:jc w:val="center"/>
    </w:pPr>
    <w:rPr>
      <w:rFonts w:asciiTheme="minorHAnsi" w:hAnsiTheme="minorHAnsi" w:eastAsiaTheme="minorEastAsia" w:cstheme="minorBidi"/>
      <w:sz w:val="21"/>
      <w:szCs w:val="22"/>
    </w:rPr>
  </w:style>
  <w:style w:type="character" w:customStyle="1" w:styleId="1021">
    <w:name w:val="信息标题 Char6"/>
    <w:link w:val="79"/>
    <w:qFormat/>
    <w:uiPriority w:val="0"/>
    <w:rPr>
      <w:rFonts w:ascii="Arial" w:hAnsi="Arial"/>
      <w:sz w:val="24"/>
      <w:szCs w:val="24"/>
      <w:shd w:val="pct20" w:color="auto" w:fill="auto"/>
    </w:rPr>
  </w:style>
  <w:style w:type="character" w:customStyle="1" w:styleId="1022">
    <w:name w:val="3zw"/>
    <w:qFormat/>
    <w:uiPriority w:val="0"/>
  </w:style>
  <w:style w:type="character" w:customStyle="1" w:styleId="1023">
    <w:name w:val="Heading 4 Char"/>
    <w:qFormat/>
    <w:locked/>
    <w:uiPriority w:val="0"/>
    <w:rPr>
      <w:rFonts w:ascii="Cambria" w:hAnsi="Cambria" w:eastAsia="仿宋" w:cs="Times New Roman"/>
      <w:b/>
      <w:bCs/>
      <w:sz w:val="28"/>
      <w:szCs w:val="28"/>
    </w:rPr>
  </w:style>
  <w:style w:type="character" w:customStyle="1" w:styleId="1024">
    <w:name w:val="style151"/>
    <w:qFormat/>
    <w:uiPriority w:val="0"/>
    <w:rPr>
      <w:b/>
      <w:bCs/>
      <w:color w:val="FFFFFF"/>
      <w:sz w:val="24"/>
      <w:szCs w:val="24"/>
    </w:rPr>
  </w:style>
  <w:style w:type="character" w:customStyle="1" w:styleId="1025">
    <w:name w:val="style261"/>
    <w:qFormat/>
    <w:uiPriority w:val="0"/>
    <w:rPr>
      <w:b/>
      <w:bCs/>
      <w:color w:val="257007"/>
      <w:sz w:val="21"/>
      <w:szCs w:val="21"/>
    </w:rPr>
  </w:style>
  <w:style w:type="character" w:customStyle="1" w:styleId="1026">
    <w:name w:val="font11"/>
    <w:qFormat/>
    <w:uiPriority w:val="0"/>
    <w:rPr>
      <w:rFonts w:hint="eastAsia" w:ascii="仿宋_GB2312" w:eastAsia="仿宋_GB2312"/>
      <w:color w:val="000000"/>
      <w:sz w:val="21"/>
      <w:szCs w:val="21"/>
      <w:u w:val="none"/>
    </w:rPr>
  </w:style>
  <w:style w:type="character" w:customStyle="1" w:styleId="1027">
    <w:name w:val="正文啊 Char"/>
    <w:link w:val="1028"/>
    <w:qFormat/>
    <w:uiPriority w:val="0"/>
    <w:rPr>
      <w:rFonts w:ascii="Calibri" w:hAnsi="Calibri"/>
      <w:sz w:val="24"/>
    </w:rPr>
  </w:style>
  <w:style w:type="paragraph" w:customStyle="1" w:styleId="1028">
    <w:name w:val="正文啊"/>
    <w:basedOn w:val="1"/>
    <w:link w:val="1027"/>
    <w:qFormat/>
    <w:uiPriority w:val="0"/>
    <w:pPr>
      <w:spacing w:line="360" w:lineRule="auto"/>
      <w:ind w:firstLine="420"/>
    </w:pPr>
    <w:rPr>
      <w:rFonts w:ascii="Calibri" w:hAnsi="Calibri" w:eastAsiaTheme="minorEastAsia" w:cstheme="minorBidi"/>
      <w:sz w:val="24"/>
      <w:szCs w:val="22"/>
    </w:rPr>
  </w:style>
  <w:style w:type="character" w:customStyle="1" w:styleId="1029">
    <w:name w:val="style111"/>
    <w:qFormat/>
    <w:uiPriority w:val="0"/>
    <w:rPr>
      <w:sz w:val="21"/>
      <w:szCs w:val="21"/>
    </w:rPr>
  </w:style>
  <w:style w:type="character" w:customStyle="1" w:styleId="1030">
    <w:name w:val="Body Text Indent 2 Char"/>
    <w:qFormat/>
    <w:locked/>
    <w:uiPriority w:val="0"/>
    <w:rPr>
      <w:rFonts w:ascii="Times New Roman" w:hAnsi="Times New Roman" w:eastAsia="宋体" w:cs="Times New Roman"/>
      <w:sz w:val="21"/>
      <w:szCs w:val="21"/>
    </w:rPr>
  </w:style>
  <w:style w:type="character" w:customStyle="1" w:styleId="1031">
    <w:name w:val="title31"/>
    <w:qFormat/>
    <w:uiPriority w:val="0"/>
    <w:rPr>
      <w:rFonts w:hint="eastAsia" w:ascii="宋体" w:hAnsi="宋体" w:eastAsia="宋体"/>
      <w:color w:val="000000"/>
      <w:sz w:val="23"/>
      <w:szCs w:val="23"/>
    </w:rPr>
  </w:style>
  <w:style w:type="character" w:customStyle="1" w:styleId="1032">
    <w:name w:val="Char Char353"/>
    <w:qFormat/>
    <w:uiPriority w:val="0"/>
    <w:rPr>
      <w:kern w:val="2"/>
      <w:sz w:val="18"/>
      <w:szCs w:val="18"/>
    </w:rPr>
  </w:style>
  <w:style w:type="character" w:customStyle="1" w:styleId="1033">
    <w:name w:val="title41"/>
    <w:qFormat/>
    <w:uiPriority w:val="0"/>
    <w:rPr>
      <w:rFonts w:hint="eastAsia" w:ascii="宋体" w:hAnsi="宋体" w:eastAsia="宋体"/>
      <w:color w:val="194F95"/>
      <w:sz w:val="23"/>
      <w:szCs w:val="23"/>
    </w:rPr>
  </w:style>
  <w:style w:type="character" w:customStyle="1" w:styleId="1034">
    <w:name w:val="Char Char323"/>
    <w:qFormat/>
    <w:uiPriority w:val="0"/>
    <w:rPr>
      <w:rFonts w:hint="default" w:ascii="Arial" w:hAnsi="Arial" w:cs="Arial"/>
      <w:b/>
      <w:kern w:val="2"/>
      <w:sz w:val="21"/>
    </w:rPr>
  </w:style>
  <w:style w:type="character" w:customStyle="1" w:styleId="1035">
    <w:name w:val="postbody1"/>
    <w:qFormat/>
    <w:uiPriority w:val="0"/>
    <w:rPr>
      <w:sz w:val="18"/>
      <w:szCs w:val="18"/>
    </w:rPr>
  </w:style>
  <w:style w:type="character" w:customStyle="1" w:styleId="1036">
    <w:name w:val="表蕊居中 Char"/>
    <w:link w:val="1037"/>
    <w:qFormat/>
    <w:locked/>
    <w:uiPriority w:val="0"/>
    <w:rPr>
      <w:rFonts w:ascii="宋体" w:hAnsi="宋体"/>
      <w:szCs w:val="24"/>
    </w:rPr>
  </w:style>
  <w:style w:type="paragraph" w:customStyle="1" w:styleId="1037">
    <w:name w:val="表蕊居中"/>
    <w:basedOn w:val="1"/>
    <w:link w:val="1036"/>
    <w:qFormat/>
    <w:uiPriority w:val="0"/>
    <w:pPr>
      <w:widowControl/>
      <w:spacing w:line="320" w:lineRule="exact"/>
      <w:jc w:val="center"/>
    </w:pPr>
    <w:rPr>
      <w:rFonts w:ascii="宋体" w:hAnsi="宋体" w:eastAsiaTheme="minorEastAsia" w:cstheme="minorBidi"/>
    </w:rPr>
  </w:style>
  <w:style w:type="character" w:customStyle="1" w:styleId="1038">
    <w:name w:val="样式 表头 + 宋体 Char"/>
    <w:link w:val="1039"/>
    <w:qFormat/>
    <w:uiPriority w:val="0"/>
    <w:rPr>
      <w:rFonts w:eastAsia="黑体"/>
      <w:b/>
      <w:szCs w:val="21"/>
    </w:rPr>
  </w:style>
  <w:style w:type="paragraph" w:customStyle="1" w:styleId="1039">
    <w:name w:val="样式 表头 + 宋体"/>
    <w:basedOn w:val="1"/>
    <w:link w:val="1038"/>
    <w:qFormat/>
    <w:uiPriority w:val="0"/>
    <w:pPr>
      <w:widowControl/>
      <w:adjustRightInd w:val="0"/>
      <w:snapToGrid w:val="0"/>
      <w:spacing w:line="360" w:lineRule="auto"/>
      <w:jc w:val="center"/>
    </w:pPr>
    <w:rPr>
      <w:rFonts w:eastAsia="黑体" w:asciiTheme="minorHAnsi" w:hAnsiTheme="minorHAnsi" w:cstheme="minorBidi"/>
      <w:b/>
      <w:szCs w:val="21"/>
    </w:rPr>
  </w:style>
  <w:style w:type="character" w:customStyle="1" w:styleId="1040">
    <w:name w:val="Heading 8 Char"/>
    <w:qFormat/>
    <w:locked/>
    <w:uiPriority w:val="0"/>
    <w:rPr>
      <w:rFonts w:ascii="Arial" w:hAnsi="Arial" w:eastAsia="黑体" w:cs="Arial"/>
      <w:sz w:val="24"/>
      <w:szCs w:val="24"/>
    </w:rPr>
  </w:style>
  <w:style w:type="character" w:customStyle="1" w:styleId="1041">
    <w:name w:val="Char Char17"/>
    <w:qFormat/>
    <w:uiPriority w:val="0"/>
    <w:rPr>
      <w:rFonts w:eastAsia="宋体"/>
      <w:kern w:val="2"/>
      <w:sz w:val="18"/>
      <w:szCs w:val="18"/>
      <w:lang w:val="en-US" w:eastAsia="zh-CN" w:bidi="ar-SA"/>
    </w:rPr>
  </w:style>
  <w:style w:type="character" w:customStyle="1" w:styleId="1042">
    <w:name w:val="标题二 Char"/>
    <w:link w:val="1043"/>
    <w:qFormat/>
    <w:uiPriority w:val="0"/>
    <w:rPr>
      <w:rFonts w:ascii="Arial" w:hAnsi="Arial" w:eastAsia="仿宋_GB2312"/>
      <w:b/>
      <w:sz w:val="30"/>
      <w:szCs w:val="32"/>
    </w:rPr>
  </w:style>
  <w:style w:type="paragraph" w:customStyle="1" w:styleId="1043">
    <w:name w:val="标题二"/>
    <w:basedOn w:val="4"/>
    <w:link w:val="1042"/>
    <w:qFormat/>
    <w:uiPriority w:val="0"/>
    <w:pPr>
      <w:tabs>
        <w:tab w:val="left" w:pos="570"/>
        <w:tab w:val="left" w:pos="6090"/>
      </w:tabs>
      <w:spacing w:before="0" w:beforeLines="50" w:after="0"/>
      <w:ind w:right="280"/>
    </w:pPr>
    <w:rPr>
      <w:rFonts w:ascii="Arial" w:hAnsi="Arial" w:eastAsia="仿宋_GB2312" w:cstheme="minorBidi"/>
      <w:bCs w:val="0"/>
      <w:color w:val="auto"/>
      <w:szCs w:val="32"/>
    </w:rPr>
  </w:style>
  <w:style w:type="character" w:customStyle="1" w:styleId="1044">
    <w:name w:val="at1"/>
    <w:qFormat/>
    <w:uiPriority w:val="0"/>
  </w:style>
  <w:style w:type="character" w:customStyle="1" w:styleId="1045">
    <w:name w:val="Char Char363"/>
    <w:qFormat/>
    <w:uiPriority w:val="0"/>
    <w:rPr>
      <w:kern w:val="2"/>
      <w:sz w:val="21"/>
    </w:rPr>
  </w:style>
  <w:style w:type="character" w:customStyle="1" w:styleId="1046">
    <w:name w:val="title1"/>
    <w:qFormat/>
    <w:uiPriority w:val="0"/>
    <w:rPr>
      <w:b/>
      <w:bCs/>
      <w:color w:val="333333"/>
      <w:sz w:val="18"/>
      <w:szCs w:val="18"/>
      <w:u w:val="none"/>
    </w:rPr>
  </w:style>
  <w:style w:type="character" w:customStyle="1" w:styleId="1047">
    <w:name w:val="Char Char283"/>
    <w:qFormat/>
    <w:uiPriority w:val="0"/>
    <w:rPr>
      <w:rFonts w:hint="eastAsia" w:ascii="宋体" w:hAnsi="宋体" w:eastAsia="宋体"/>
      <w:kern w:val="2"/>
      <w:sz w:val="18"/>
      <w:szCs w:val="18"/>
      <w:lang w:val="en-US" w:eastAsia="zh-CN" w:bidi="ar-SA"/>
    </w:rPr>
  </w:style>
  <w:style w:type="character" w:customStyle="1" w:styleId="1048">
    <w:name w:val="结束语 Char7"/>
    <w:link w:val="32"/>
    <w:qFormat/>
    <w:uiPriority w:val="0"/>
    <w:rPr>
      <w:rFonts w:ascii="Arial" w:hAnsi="Arial" w:eastAsia="MS Gothic"/>
      <w:spacing w:val="-5"/>
      <w:lang w:eastAsia="ja-JP" w:bidi="he-IL"/>
    </w:rPr>
  </w:style>
  <w:style w:type="character" w:customStyle="1" w:styleId="1049">
    <w:name w:val="Heading 6 Char"/>
    <w:qFormat/>
    <w:locked/>
    <w:uiPriority w:val="0"/>
    <w:rPr>
      <w:rFonts w:ascii="Cambria" w:hAnsi="Cambria" w:eastAsia="宋体" w:cs="Cambria"/>
      <w:b/>
      <w:bCs/>
      <w:sz w:val="24"/>
      <w:szCs w:val="24"/>
    </w:rPr>
  </w:style>
  <w:style w:type="character" w:customStyle="1" w:styleId="1050">
    <w:name w:val="style41"/>
    <w:qFormat/>
    <w:uiPriority w:val="0"/>
    <w:rPr>
      <w:color w:val="000000"/>
      <w:sz w:val="20"/>
      <w:szCs w:val="20"/>
    </w:rPr>
  </w:style>
  <w:style w:type="character" w:customStyle="1" w:styleId="1051">
    <w:name w:val="Char Char163"/>
    <w:qFormat/>
    <w:uiPriority w:val="0"/>
    <w:rPr>
      <w:rFonts w:hint="default" w:ascii="Times New Roman" w:hAnsi="Times New Roman" w:eastAsia="宋体" w:cs="Times New Roman"/>
      <w:color w:val="000000"/>
      <w:sz w:val="24"/>
      <w:szCs w:val="15"/>
    </w:rPr>
  </w:style>
  <w:style w:type="character" w:customStyle="1" w:styleId="1052">
    <w:name w:val="t_blue_01"/>
    <w:qFormat/>
    <w:uiPriority w:val="0"/>
  </w:style>
  <w:style w:type="character" w:customStyle="1" w:styleId="1053">
    <w:name w:val="Heading 7 Char"/>
    <w:qFormat/>
    <w:locked/>
    <w:uiPriority w:val="0"/>
    <w:rPr>
      <w:rFonts w:ascii="Times New Roman" w:hAnsi="Times New Roman" w:eastAsia="宋体" w:cs="Times New Roman"/>
      <w:b/>
      <w:bCs/>
      <w:sz w:val="24"/>
      <w:szCs w:val="24"/>
    </w:rPr>
  </w:style>
  <w:style w:type="character" w:customStyle="1" w:styleId="1054">
    <w:name w:val="正文(首行缩进) Char"/>
    <w:link w:val="1055"/>
    <w:qFormat/>
    <w:uiPriority w:val="0"/>
    <w:rPr>
      <w:snapToGrid w:val="0"/>
      <w:sz w:val="24"/>
      <w:szCs w:val="24"/>
    </w:rPr>
  </w:style>
  <w:style w:type="paragraph" w:customStyle="1" w:styleId="1055">
    <w:name w:val="正文(首行缩进)"/>
    <w:basedOn w:val="1"/>
    <w:link w:val="1054"/>
    <w:qFormat/>
    <w:uiPriority w:val="0"/>
    <w:pPr>
      <w:adjustRightInd w:val="0"/>
      <w:snapToGrid w:val="0"/>
      <w:spacing w:line="360" w:lineRule="auto"/>
      <w:ind w:firstLine="200" w:firstLineChars="200"/>
    </w:pPr>
    <w:rPr>
      <w:rFonts w:asciiTheme="minorHAnsi" w:hAnsiTheme="minorHAnsi" w:eastAsiaTheme="minorEastAsia" w:cstheme="minorBidi"/>
      <w:snapToGrid w:val="0"/>
      <w:sz w:val="24"/>
    </w:rPr>
  </w:style>
  <w:style w:type="character" w:customStyle="1" w:styleId="1056">
    <w:name w:val="占位符文本1"/>
    <w:qFormat/>
    <w:uiPriority w:val="0"/>
    <w:rPr>
      <w:rFonts w:cs="Times New Roman"/>
      <w:color w:val="808080"/>
    </w:rPr>
  </w:style>
  <w:style w:type="character" w:customStyle="1" w:styleId="1057">
    <w:name w:val="f_heading1"/>
    <w:qFormat/>
    <w:uiPriority w:val="0"/>
  </w:style>
  <w:style w:type="character" w:customStyle="1" w:styleId="1058">
    <w:name w:val="不明显强调1"/>
    <w:qFormat/>
    <w:uiPriority w:val="0"/>
    <w:rPr>
      <w:rFonts w:cs="Times New Roman"/>
      <w:i/>
      <w:iCs/>
      <w:color w:val="7F7F7F"/>
    </w:rPr>
  </w:style>
  <w:style w:type="character" w:customStyle="1" w:styleId="1059">
    <w:name w:val="题注 Char Char Char"/>
    <w:qFormat/>
    <w:uiPriority w:val="0"/>
    <w:rPr>
      <w:rFonts w:ascii="华文行楷" w:eastAsia="华文行楷"/>
      <w:i/>
      <w:iCs/>
      <w:color w:val="FF0000"/>
      <w:kern w:val="2"/>
      <w:sz w:val="32"/>
      <w:szCs w:val="24"/>
      <w:lang w:val="en-US" w:eastAsia="zh-CN" w:bidi="ar-SA"/>
    </w:rPr>
  </w:style>
  <w:style w:type="character" w:customStyle="1" w:styleId="1060">
    <w:name w:val="Char Char Char Char Char Char Char2"/>
    <w:link w:val="1061"/>
    <w:qFormat/>
    <w:uiPriority w:val="0"/>
    <w:rPr>
      <w:rFonts w:eastAsia="宋体"/>
      <w:sz w:val="24"/>
      <w:szCs w:val="24"/>
    </w:rPr>
  </w:style>
  <w:style w:type="paragraph" w:customStyle="1" w:styleId="1061">
    <w:name w:val="Char Char Char Char Char Char2"/>
    <w:basedOn w:val="1"/>
    <w:link w:val="1060"/>
    <w:qFormat/>
    <w:uiPriority w:val="0"/>
    <w:rPr>
      <w:rFonts w:asciiTheme="minorHAnsi" w:hAnsiTheme="minorHAnsi" w:cstheme="minorBidi"/>
      <w:sz w:val="24"/>
    </w:rPr>
  </w:style>
  <w:style w:type="character" w:customStyle="1" w:styleId="1062">
    <w:name w:val="puntext"/>
    <w:qFormat/>
    <w:uiPriority w:val="0"/>
  </w:style>
  <w:style w:type="character" w:customStyle="1" w:styleId="1063">
    <w:name w:val="Char Char303"/>
    <w:qFormat/>
    <w:uiPriority w:val="0"/>
    <w:rPr>
      <w:rFonts w:hint="default" w:ascii="Arial" w:hAnsi="Arial" w:eastAsia="黑体" w:cs="Arial"/>
      <w:b/>
      <w:bCs/>
      <w:kern w:val="2"/>
      <w:sz w:val="32"/>
      <w:szCs w:val="32"/>
      <w:lang w:val="en-US" w:eastAsia="zh-CN" w:bidi="ar-SA"/>
    </w:rPr>
  </w:style>
  <w:style w:type="character" w:customStyle="1" w:styleId="1064">
    <w:name w:val="font21"/>
    <w:qFormat/>
    <w:uiPriority w:val="0"/>
    <w:rPr>
      <w:rFonts w:hint="default" w:ascii="Times New Roman" w:hAnsi="Times New Roman" w:cs="Times New Roman"/>
      <w:color w:val="000000"/>
      <w:sz w:val="21"/>
      <w:szCs w:val="21"/>
      <w:u w:val="none"/>
    </w:rPr>
  </w:style>
  <w:style w:type="character" w:customStyle="1" w:styleId="1065">
    <w:name w:val="Body Text Indent 3 Char"/>
    <w:qFormat/>
    <w:locked/>
    <w:uiPriority w:val="0"/>
    <w:rPr>
      <w:rFonts w:ascii="Times New Roman" w:hAnsi="Times New Roman" w:eastAsia="宋体" w:cs="Times New Roman"/>
      <w:sz w:val="16"/>
      <w:szCs w:val="16"/>
    </w:rPr>
  </w:style>
  <w:style w:type="character" w:customStyle="1" w:styleId="1066">
    <w:name w:val="10p"/>
    <w:qFormat/>
    <w:uiPriority w:val="0"/>
  </w:style>
  <w:style w:type="character" w:customStyle="1" w:styleId="1067">
    <w:name w:val="Heading 5 Char"/>
    <w:qFormat/>
    <w:locked/>
    <w:uiPriority w:val="0"/>
    <w:rPr>
      <w:rFonts w:ascii="Times New Roman" w:hAnsi="Times New Roman" w:eastAsia="宋体" w:cs="Times New Roman"/>
      <w:b/>
      <w:bCs/>
      <w:sz w:val="28"/>
      <w:szCs w:val="28"/>
    </w:rPr>
  </w:style>
  <w:style w:type="character" w:customStyle="1" w:styleId="1068">
    <w:name w:val="签名 Char7"/>
    <w:link w:val="58"/>
    <w:qFormat/>
    <w:uiPriority w:val="0"/>
    <w:rPr>
      <w:szCs w:val="24"/>
    </w:rPr>
  </w:style>
  <w:style w:type="character" w:customStyle="1" w:styleId="1069">
    <w:name w:val="time4"/>
    <w:qFormat/>
    <w:uiPriority w:val="0"/>
    <w:rPr>
      <w:rFonts w:cs="Times New Roman"/>
    </w:rPr>
  </w:style>
  <w:style w:type="character" w:customStyle="1" w:styleId="1070">
    <w:name w:val="zi"/>
    <w:qFormat/>
    <w:uiPriority w:val="0"/>
  </w:style>
  <w:style w:type="character" w:customStyle="1" w:styleId="1071">
    <w:name w:val="Date Char"/>
    <w:qFormat/>
    <w:locked/>
    <w:uiPriority w:val="0"/>
    <w:rPr>
      <w:rFonts w:ascii="宋体" w:hAnsi="Times New Roman" w:eastAsia="宋体" w:cs="宋体"/>
      <w:sz w:val="21"/>
      <w:szCs w:val="21"/>
    </w:rPr>
  </w:style>
  <w:style w:type="character" w:customStyle="1" w:styleId="1072">
    <w:name w:val="Char Char293"/>
    <w:qFormat/>
    <w:uiPriority w:val="0"/>
    <w:rPr>
      <w:rFonts w:ascii="黑体" w:eastAsia="黑体"/>
      <w:bCs/>
      <w:kern w:val="2"/>
      <w:sz w:val="24"/>
      <w:lang w:val="en-US" w:eastAsia="zh-CN" w:bidi="ar-SA"/>
    </w:rPr>
  </w:style>
  <w:style w:type="character" w:customStyle="1" w:styleId="1073">
    <w:name w:val="Heading 9 Char"/>
    <w:qFormat/>
    <w:locked/>
    <w:uiPriority w:val="0"/>
    <w:rPr>
      <w:rFonts w:ascii="Arial" w:hAnsi="Arial" w:eastAsia="黑体" w:cs="Arial"/>
      <w:sz w:val="21"/>
      <w:szCs w:val="21"/>
    </w:rPr>
  </w:style>
  <w:style w:type="character" w:customStyle="1" w:styleId="1074">
    <w:name w:val="Char Char18"/>
    <w:qFormat/>
    <w:uiPriority w:val="0"/>
    <w:rPr>
      <w:rFonts w:ascii="华文行楷" w:eastAsia="华文行楷"/>
      <w:i/>
      <w:iCs/>
      <w:color w:val="FF0000"/>
      <w:kern w:val="2"/>
      <w:sz w:val="32"/>
      <w:szCs w:val="24"/>
      <w:lang w:val="en-US" w:eastAsia="zh-CN" w:bidi="ar-SA"/>
    </w:rPr>
  </w:style>
  <w:style w:type="character" w:customStyle="1" w:styleId="1075">
    <w:name w:val="你的正文 Char"/>
    <w:link w:val="1076"/>
    <w:qFormat/>
    <w:uiPriority w:val="0"/>
    <w:rPr>
      <w:rFonts w:ascii="宋体" w:hAnsi="宋体" w:eastAsia="宋体"/>
      <w:color w:val="000000"/>
      <w:sz w:val="28"/>
      <w:szCs w:val="28"/>
    </w:rPr>
  </w:style>
  <w:style w:type="paragraph" w:customStyle="1" w:styleId="1076">
    <w:name w:val="你的正文"/>
    <w:basedOn w:val="1"/>
    <w:link w:val="1075"/>
    <w:qFormat/>
    <w:uiPriority w:val="0"/>
    <w:pPr>
      <w:widowControl/>
      <w:spacing w:line="520" w:lineRule="exact"/>
      <w:ind w:firstLine="560" w:firstLineChars="200"/>
      <w:jc w:val="left"/>
    </w:pPr>
    <w:rPr>
      <w:rFonts w:ascii="宋体" w:hAnsi="宋体" w:cstheme="minorBidi"/>
      <w:color w:val="000000"/>
      <w:sz w:val="28"/>
      <w:szCs w:val="28"/>
    </w:rPr>
  </w:style>
  <w:style w:type="character" w:customStyle="1" w:styleId="1077">
    <w:name w:val="正文首行缩进 2 Char1"/>
    <w:basedOn w:val="757"/>
    <w:qFormat/>
    <w:uiPriority w:val="99"/>
    <w:rPr>
      <w:rFonts w:eastAsia="宋体"/>
      <w:kern w:val="2"/>
      <w:sz w:val="21"/>
      <w:szCs w:val="24"/>
      <w:lang w:val="en-US" w:eastAsia="zh-CN" w:bidi="ar-SA"/>
    </w:rPr>
  </w:style>
  <w:style w:type="character" w:customStyle="1" w:styleId="1078">
    <w:name w:val="标题22 Char"/>
    <w:link w:val="1079"/>
    <w:qFormat/>
    <w:uiPriority w:val="0"/>
    <w:rPr>
      <w:rFonts w:eastAsia="仿宋_GB2312"/>
      <w:b/>
      <w:sz w:val="32"/>
      <w:szCs w:val="32"/>
    </w:rPr>
  </w:style>
  <w:style w:type="paragraph" w:customStyle="1" w:styleId="1079">
    <w:name w:val="标题22"/>
    <w:basedOn w:val="4"/>
    <w:link w:val="1078"/>
    <w:qFormat/>
    <w:uiPriority w:val="0"/>
    <w:pPr>
      <w:tabs>
        <w:tab w:val="left" w:pos="570"/>
        <w:tab w:val="left" w:pos="6090"/>
      </w:tabs>
      <w:spacing w:before="240"/>
      <w:ind w:right="280"/>
    </w:pPr>
    <w:rPr>
      <w:rFonts w:eastAsia="仿宋_GB2312" w:asciiTheme="minorHAnsi" w:hAnsiTheme="minorHAnsi" w:cstheme="minorBidi"/>
      <w:bCs w:val="0"/>
      <w:color w:val="auto"/>
      <w:sz w:val="32"/>
      <w:szCs w:val="32"/>
    </w:rPr>
  </w:style>
  <w:style w:type="character" w:customStyle="1" w:styleId="1080">
    <w:name w:val="签名 Char1"/>
    <w:link w:val="1081"/>
    <w:qFormat/>
    <w:uiPriority w:val="99"/>
    <w:rPr>
      <w:szCs w:val="24"/>
    </w:rPr>
  </w:style>
  <w:style w:type="paragraph" w:customStyle="1" w:styleId="1081">
    <w:name w:val="签名1"/>
    <w:basedOn w:val="1"/>
    <w:link w:val="1080"/>
    <w:qFormat/>
    <w:uiPriority w:val="99"/>
    <w:pPr>
      <w:ind w:left="100" w:leftChars="2100"/>
    </w:pPr>
    <w:rPr>
      <w:rFonts w:asciiTheme="minorHAnsi" w:hAnsiTheme="minorHAnsi" w:eastAsiaTheme="minorEastAsia" w:cstheme="minorBidi"/>
    </w:rPr>
  </w:style>
  <w:style w:type="character" w:customStyle="1" w:styleId="1082">
    <w:name w:val="标题一 Char"/>
    <w:link w:val="1083"/>
    <w:qFormat/>
    <w:uiPriority w:val="0"/>
    <w:rPr>
      <w:rFonts w:eastAsia="黑体"/>
      <w:b/>
      <w:bCs/>
      <w:sz w:val="44"/>
      <w:szCs w:val="44"/>
    </w:rPr>
  </w:style>
  <w:style w:type="paragraph" w:customStyle="1" w:styleId="1083">
    <w:name w:val="标题一"/>
    <w:next w:val="84"/>
    <w:link w:val="1082"/>
    <w:qFormat/>
    <w:uiPriority w:val="0"/>
    <w:pPr>
      <w:spacing w:line="360" w:lineRule="auto"/>
      <w:jc w:val="both"/>
    </w:pPr>
    <w:rPr>
      <w:rFonts w:eastAsia="黑体" w:asciiTheme="minorHAnsi" w:hAnsiTheme="minorHAnsi" w:cstheme="minorBidi"/>
      <w:b/>
      <w:bCs/>
      <w:kern w:val="2"/>
      <w:sz w:val="44"/>
      <w:szCs w:val="44"/>
      <w:lang w:val="en-US" w:eastAsia="zh-CN" w:bidi="ar-SA"/>
    </w:rPr>
  </w:style>
  <w:style w:type="character" w:customStyle="1" w:styleId="1084">
    <w:name w:val="z-窗体底端 字符"/>
    <w:link w:val="1085"/>
    <w:qFormat/>
    <w:uiPriority w:val="0"/>
    <w:rPr>
      <w:rFonts w:ascii="Arial" w:hAnsi="Arial" w:eastAsia="宋体" w:cs="Arial"/>
      <w:vanish/>
      <w:sz w:val="16"/>
      <w:szCs w:val="16"/>
    </w:rPr>
  </w:style>
  <w:style w:type="paragraph" w:customStyle="1" w:styleId="1085">
    <w:name w:val="z-窗体底端1"/>
    <w:basedOn w:val="1"/>
    <w:next w:val="1"/>
    <w:link w:val="1084"/>
    <w:qFormat/>
    <w:uiPriority w:val="0"/>
    <w:pPr>
      <w:pBdr>
        <w:top w:val="single" w:color="auto" w:sz="6" w:space="1"/>
      </w:pBdr>
      <w:jc w:val="center"/>
    </w:pPr>
    <w:rPr>
      <w:rFonts w:ascii="Arial" w:hAnsi="Arial" w:cs="Arial"/>
      <w:vanish/>
      <w:sz w:val="16"/>
      <w:szCs w:val="16"/>
    </w:rPr>
  </w:style>
  <w:style w:type="character" w:customStyle="1" w:styleId="1086">
    <w:name w:val="标题33 Char Char"/>
    <w:link w:val="1087"/>
    <w:qFormat/>
    <w:uiPriority w:val="0"/>
    <w:rPr>
      <w:rFonts w:ascii="宋体" w:hAnsi="宋体" w:eastAsia="仿宋_GB2312"/>
      <w:b/>
      <w:color w:val="000000"/>
      <w:sz w:val="30"/>
      <w:szCs w:val="30"/>
    </w:rPr>
  </w:style>
  <w:style w:type="paragraph" w:customStyle="1" w:styleId="1087">
    <w:name w:val="标题33"/>
    <w:basedOn w:val="193"/>
    <w:link w:val="1086"/>
    <w:qFormat/>
    <w:uiPriority w:val="0"/>
    <w:pPr>
      <w:snapToGrid w:val="0"/>
      <w:spacing w:before="240" w:after="240" w:line="360" w:lineRule="auto"/>
      <w:ind w:firstLine="560"/>
      <w:outlineLvl w:val="2"/>
    </w:pPr>
    <w:rPr>
      <w:rFonts w:ascii="宋体" w:hAnsi="宋体" w:eastAsia="仿宋_GB2312" w:cstheme="minorBidi"/>
      <w:b/>
      <w:sz w:val="30"/>
      <w:szCs w:val="30"/>
    </w:rPr>
  </w:style>
  <w:style w:type="character" w:customStyle="1" w:styleId="1088">
    <w:name w:val="HTML 预设格式 Char1"/>
    <w:link w:val="1089"/>
    <w:qFormat/>
    <w:uiPriority w:val="99"/>
    <w:rPr>
      <w:rFonts w:ascii="Courier New" w:hAnsi="Courier New"/>
    </w:rPr>
  </w:style>
  <w:style w:type="paragraph" w:customStyle="1" w:styleId="1089">
    <w:name w:val="HTML 预设格式2"/>
    <w:basedOn w:val="1"/>
    <w:link w:val="1088"/>
    <w:qFormat/>
    <w:uiPriority w:val="99"/>
    <w:rPr>
      <w:rFonts w:ascii="Courier New" w:hAnsi="Courier New" w:eastAsiaTheme="minorEastAsia" w:cstheme="minorBidi"/>
      <w:szCs w:val="22"/>
    </w:rPr>
  </w:style>
  <w:style w:type="character" w:customStyle="1" w:styleId="1090">
    <w:name w:val="图表文字 Char Char"/>
    <w:link w:val="1091"/>
    <w:qFormat/>
    <w:uiPriority w:val="0"/>
    <w:rPr>
      <w:rFonts w:ascii="仿宋_GB2312" w:eastAsia="仿宋_GB2312"/>
      <w:sz w:val="24"/>
    </w:rPr>
  </w:style>
  <w:style w:type="paragraph" w:customStyle="1" w:styleId="1091">
    <w:name w:val="图表文字"/>
    <w:basedOn w:val="1"/>
    <w:link w:val="1090"/>
    <w:qFormat/>
    <w:uiPriority w:val="0"/>
    <w:pPr>
      <w:snapToGrid w:val="0"/>
      <w:spacing w:line="360" w:lineRule="auto"/>
      <w:ind w:firstLine="266" w:firstLineChars="200"/>
      <w:jc w:val="center"/>
    </w:pPr>
    <w:rPr>
      <w:rFonts w:ascii="仿宋_GB2312" w:eastAsia="仿宋_GB2312" w:hAnsiTheme="minorHAnsi" w:cstheme="minorBidi"/>
      <w:sz w:val="24"/>
      <w:szCs w:val="22"/>
    </w:rPr>
  </w:style>
  <w:style w:type="character" w:customStyle="1" w:styleId="1092">
    <w:name w:val="尾注文本 Char1"/>
    <w:qFormat/>
    <w:uiPriority w:val="99"/>
    <w:rPr>
      <w:kern w:val="2"/>
      <w:sz w:val="21"/>
      <w:szCs w:val="24"/>
    </w:rPr>
  </w:style>
  <w:style w:type="character" w:customStyle="1" w:styleId="1093">
    <w:name w:val="表格标题新 Char"/>
    <w:link w:val="1094"/>
    <w:qFormat/>
    <w:uiPriority w:val="0"/>
    <w:rPr>
      <w:rFonts w:ascii="仿宋_GB2312" w:eastAsia="黑体"/>
      <w:b/>
      <w:snapToGrid w:val="0"/>
      <w:spacing w:val="4"/>
      <w:sz w:val="24"/>
      <w:szCs w:val="24"/>
    </w:rPr>
  </w:style>
  <w:style w:type="paragraph" w:customStyle="1" w:styleId="1094">
    <w:name w:val="表格标题新"/>
    <w:basedOn w:val="1"/>
    <w:link w:val="1093"/>
    <w:qFormat/>
    <w:uiPriority w:val="0"/>
    <w:pPr>
      <w:tabs>
        <w:tab w:val="left" w:pos="0"/>
      </w:tabs>
      <w:adjustRightInd w:val="0"/>
      <w:snapToGrid w:val="0"/>
      <w:spacing w:beforeLines="50"/>
      <w:ind w:firstLine="562"/>
      <w:jc w:val="center"/>
    </w:pPr>
    <w:rPr>
      <w:rFonts w:ascii="仿宋_GB2312" w:eastAsia="黑体" w:hAnsiTheme="minorHAnsi" w:cstheme="minorBidi"/>
      <w:b/>
      <w:snapToGrid w:val="0"/>
      <w:spacing w:val="4"/>
      <w:sz w:val="24"/>
    </w:rPr>
  </w:style>
  <w:style w:type="character" w:customStyle="1" w:styleId="1095">
    <w:name w:val="注释标题 Char3"/>
    <w:link w:val="16"/>
    <w:qFormat/>
    <w:uiPriority w:val="0"/>
    <w:rPr>
      <w:rFonts w:eastAsia="宋体"/>
      <w:szCs w:val="24"/>
    </w:rPr>
  </w:style>
  <w:style w:type="character" w:customStyle="1" w:styleId="1096">
    <w:name w:val="Char Char373"/>
    <w:qFormat/>
    <w:uiPriority w:val="0"/>
    <w:rPr>
      <w:rFonts w:hint="eastAsia" w:ascii="宋体" w:hAnsi="宋体" w:eastAsia="宋体"/>
      <w:kern w:val="2"/>
      <w:sz w:val="18"/>
      <w:szCs w:val="18"/>
    </w:rPr>
  </w:style>
  <w:style w:type="character" w:customStyle="1" w:styleId="1097">
    <w:name w:val="称呼 Char7"/>
    <w:link w:val="30"/>
    <w:qFormat/>
    <w:uiPriority w:val="0"/>
    <w:rPr>
      <w:rFonts w:eastAsia="宋体"/>
      <w:szCs w:val="24"/>
    </w:rPr>
  </w:style>
  <w:style w:type="character" w:customStyle="1" w:styleId="1098">
    <w:name w:val="Document Map Char"/>
    <w:qFormat/>
    <w:locked/>
    <w:uiPriority w:val="0"/>
    <w:rPr>
      <w:rFonts w:ascii="Times New Roman" w:hAnsi="Times New Roman" w:eastAsia="宋体" w:cs="Times New Roman"/>
      <w:sz w:val="21"/>
      <w:szCs w:val="21"/>
      <w:shd w:val="clear" w:color="auto" w:fill="000080"/>
    </w:rPr>
  </w:style>
  <w:style w:type="character" w:customStyle="1" w:styleId="1099">
    <w:name w:val="脚注文本 Char1"/>
    <w:qFormat/>
    <w:uiPriority w:val="99"/>
    <w:rPr>
      <w:kern w:val="2"/>
      <w:sz w:val="18"/>
      <w:szCs w:val="18"/>
    </w:rPr>
  </w:style>
  <w:style w:type="character" w:customStyle="1" w:styleId="1100">
    <w:name w:val="Char Char173"/>
    <w:qFormat/>
    <w:uiPriority w:val="0"/>
    <w:rPr>
      <w:rFonts w:hint="eastAsia" w:ascii="宋体" w:hAnsi="宋体" w:eastAsia="宋体"/>
      <w:kern w:val="2"/>
      <w:sz w:val="18"/>
      <w:szCs w:val="18"/>
      <w:lang w:val="en-US" w:eastAsia="zh-CN" w:bidi="ar-SA"/>
    </w:rPr>
  </w:style>
  <w:style w:type="character" w:customStyle="1" w:styleId="1101">
    <w:name w:val="样式1 Char1"/>
    <w:qFormat/>
    <w:uiPriority w:val="0"/>
    <w:rPr>
      <w:rFonts w:eastAsia="黑体"/>
      <w:b/>
      <w:kern w:val="28"/>
      <w:sz w:val="21"/>
      <w:lang w:val="en-US" w:eastAsia="zh-CN" w:bidi="ar-SA"/>
    </w:rPr>
  </w:style>
  <w:style w:type="character" w:customStyle="1" w:styleId="1102">
    <w:name w:val="Char Char133"/>
    <w:qFormat/>
    <w:uiPriority w:val="0"/>
    <w:rPr>
      <w:rFonts w:hint="eastAsia" w:ascii="宋体" w:hAnsi="Courier New" w:eastAsia="宋体"/>
      <w:sz w:val="21"/>
      <w:szCs w:val="21"/>
      <w:lang w:bidi="ar-SA"/>
    </w:rPr>
  </w:style>
  <w:style w:type="character" w:customStyle="1" w:styleId="1103">
    <w:name w:val="样式5 Char"/>
    <w:qFormat/>
    <w:uiPriority w:val="0"/>
    <w:rPr>
      <w:rFonts w:ascii="宋体" w:hAnsi="宋体" w:eastAsia="宋体" w:cs="宋体"/>
      <w:sz w:val="24"/>
      <w:szCs w:val="24"/>
      <w:lang w:val="en-US" w:eastAsia="zh-CN" w:bidi="ar-SA"/>
    </w:rPr>
  </w:style>
  <w:style w:type="character" w:customStyle="1" w:styleId="1104">
    <w:name w:val="样式7 Char"/>
    <w:link w:val="1105"/>
    <w:qFormat/>
    <w:uiPriority w:val="0"/>
    <w:rPr>
      <w:rFonts w:ascii="宋体" w:hAnsi="宋体" w:eastAsia="宋体" w:cs="宋体"/>
      <w:sz w:val="24"/>
      <w:szCs w:val="24"/>
    </w:rPr>
  </w:style>
  <w:style w:type="paragraph" w:customStyle="1" w:styleId="1105">
    <w:name w:val="样式7"/>
    <w:basedOn w:val="1"/>
    <w:link w:val="1104"/>
    <w:qFormat/>
    <w:uiPriority w:val="0"/>
    <w:pPr>
      <w:adjustRightInd w:val="0"/>
      <w:snapToGrid w:val="0"/>
      <w:spacing w:line="360" w:lineRule="auto"/>
      <w:ind w:firstLine="480" w:firstLineChars="200"/>
    </w:pPr>
    <w:rPr>
      <w:rFonts w:ascii="宋体" w:hAnsi="宋体" w:cs="宋体"/>
      <w:sz w:val="24"/>
    </w:rPr>
  </w:style>
  <w:style w:type="character" w:customStyle="1" w:styleId="1106">
    <w:name w:val="样式4 Char"/>
    <w:link w:val="1107"/>
    <w:qFormat/>
    <w:uiPriority w:val="0"/>
    <w:rPr>
      <w:rFonts w:ascii="宋体" w:hAnsi="宋体" w:eastAsia="宋体"/>
      <w:b/>
      <w:bCs/>
      <w:color w:val="000000"/>
      <w:szCs w:val="21"/>
    </w:rPr>
  </w:style>
  <w:style w:type="paragraph" w:customStyle="1" w:styleId="1107">
    <w:name w:val="样式4"/>
    <w:basedOn w:val="1"/>
    <w:link w:val="1106"/>
    <w:qFormat/>
    <w:uiPriority w:val="0"/>
    <w:pPr>
      <w:spacing w:before="156" w:beforeLines="50" w:line="440" w:lineRule="exact"/>
      <w:jc w:val="center"/>
    </w:pPr>
    <w:rPr>
      <w:rFonts w:ascii="宋体" w:hAnsi="宋体" w:cstheme="minorBidi"/>
      <w:b/>
      <w:bCs/>
      <w:color w:val="000000"/>
      <w:szCs w:val="21"/>
    </w:rPr>
  </w:style>
  <w:style w:type="character" w:customStyle="1" w:styleId="1108">
    <w:name w:val="样式 样式3 + (中文) 宋体 Char"/>
    <w:link w:val="1109"/>
    <w:qFormat/>
    <w:uiPriority w:val="0"/>
    <w:rPr>
      <w:rFonts w:ascii="黑体" w:eastAsia="宋体"/>
      <w:b/>
      <w:color w:val="000000"/>
      <w:szCs w:val="21"/>
    </w:rPr>
  </w:style>
  <w:style w:type="paragraph" w:customStyle="1" w:styleId="1109">
    <w:name w:val="样式 样式3 + (中文) 宋体"/>
    <w:basedOn w:val="807"/>
    <w:link w:val="1108"/>
    <w:qFormat/>
    <w:uiPriority w:val="0"/>
    <w:pPr>
      <w:adjustRightInd/>
      <w:spacing w:before="0" w:after="0" w:line="360" w:lineRule="auto"/>
      <w:jc w:val="both"/>
      <w:outlineLvl w:val="2"/>
    </w:pPr>
    <w:rPr>
      <w:rFonts w:ascii="黑体" w:eastAsia="宋体"/>
      <w:color w:val="000000"/>
      <w:sz w:val="21"/>
      <w:szCs w:val="21"/>
    </w:rPr>
  </w:style>
  <w:style w:type="character" w:customStyle="1" w:styleId="1110">
    <w:name w:val="燕山正文 Char"/>
    <w:qFormat/>
    <w:uiPriority w:val="0"/>
    <w:rPr>
      <w:rFonts w:ascii="宋体" w:hAnsi="宋体" w:eastAsia="宋体"/>
      <w:b/>
      <w:color w:val="000000"/>
      <w:kern w:val="2"/>
      <w:sz w:val="24"/>
      <w:szCs w:val="24"/>
      <w:lang w:val="en-US" w:eastAsia="zh-CN" w:bidi="ar-SA"/>
    </w:rPr>
  </w:style>
  <w:style w:type="character" w:customStyle="1" w:styleId="1111">
    <w:name w:val="燕山正文 Char Char Char"/>
    <w:qFormat/>
    <w:uiPriority w:val="0"/>
    <w:rPr>
      <w:rFonts w:ascii="宋体" w:hAnsi="宋体" w:eastAsia="宋体"/>
      <w:color w:val="000000"/>
      <w:sz w:val="28"/>
      <w:szCs w:val="28"/>
      <w:lang w:val="en-US" w:eastAsia="zh-CN" w:bidi="ar-SA"/>
    </w:rPr>
  </w:style>
  <w:style w:type="character" w:customStyle="1" w:styleId="1112">
    <w:name w:val="表号 Char"/>
    <w:qFormat/>
    <w:uiPriority w:val="0"/>
    <w:rPr>
      <w:rFonts w:eastAsia="宋体" w:cs="宋体"/>
      <w:kern w:val="2"/>
      <w:sz w:val="24"/>
      <w:szCs w:val="24"/>
      <w:lang w:val="en-US" w:eastAsia="zh-CN" w:bidi="ar-SA"/>
    </w:rPr>
  </w:style>
  <w:style w:type="character" w:customStyle="1" w:styleId="1113">
    <w:name w:val="表文字 Char Char"/>
    <w:qFormat/>
    <w:uiPriority w:val="0"/>
    <w:rPr>
      <w:rFonts w:eastAsia="宋体"/>
      <w:snapToGrid w:val="0"/>
      <w:kern w:val="2"/>
      <w:sz w:val="21"/>
      <w:szCs w:val="21"/>
      <w:lang w:val="en-US" w:eastAsia="zh-CN" w:bidi="ar-SA"/>
    </w:rPr>
  </w:style>
  <w:style w:type="character" w:customStyle="1" w:styleId="1114">
    <w:name w:val="自定义正文 Char Char Char"/>
    <w:link w:val="1115"/>
    <w:qFormat/>
    <w:uiPriority w:val="0"/>
    <w:rPr>
      <w:position w:val="-28"/>
      <w:sz w:val="28"/>
      <w:szCs w:val="28"/>
    </w:rPr>
  </w:style>
  <w:style w:type="paragraph" w:customStyle="1" w:styleId="1115">
    <w:name w:val="自定义正文 Char Char"/>
    <w:link w:val="1114"/>
    <w:qFormat/>
    <w:uiPriority w:val="0"/>
    <w:pPr>
      <w:widowControl w:val="0"/>
      <w:topLinePunct/>
      <w:adjustRightInd w:val="0"/>
      <w:snapToGrid w:val="0"/>
      <w:spacing w:line="360" w:lineRule="auto"/>
      <w:ind w:firstLine="510"/>
      <w:jc w:val="both"/>
    </w:pPr>
    <w:rPr>
      <w:rFonts w:asciiTheme="minorHAnsi" w:hAnsiTheme="minorHAnsi" w:eastAsiaTheme="minorEastAsia" w:cstheme="minorBidi"/>
      <w:kern w:val="2"/>
      <w:position w:val="-28"/>
      <w:sz w:val="28"/>
      <w:szCs w:val="28"/>
      <w:lang w:val="en-US" w:eastAsia="zh-CN" w:bidi="ar-SA"/>
    </w:rPr>
  </w:style>
  <w:style w:type="character" w:customStyle="1" w:styleId="1116">
    <w:name w:val="正文01 Char"/>
    <w:link w:val="1117"/>
    <w:qFormat/>
    <w:uiPriority w:val="0"/>
    <w:rPr>
      <w:rFonts w:ascii="Arial" w:hAnsi="Arial" w:eastAsia="宋体"/>
      <w:color w:val="000000"/>
      <w:sz w:val="24"/>
      <w:szCs w:val="24"/>
    </w:rPr>
  </w:style>
  <w:style w:type="paragraph" w:customStyle="1" w:styleId="1117">
    <w:name w:val="正文01"/>
    <w:basedOn w:val="1"/>
    <w:link w:val="1116"/>
    <w:qFormat/>
    <w:uiPriority w:val="0"/>
    <w:pPr>
      <w:spacing w:before="60" w:line="460" w:lineRule="exact"/>
      <w:ind w:firstLine="200" w:firstLineChars="200"/>
    </w:pPr>
    <w:rPr>
      <w:rFonts w:ascii="Arial" w:hAnsi="Arial" w:cstheme="minorBidi"/>
      <w:color w:val="000000"/>
      <w:sz w:val="24"/>
    </w:rPr>
  </w:style>
  <w:style w:type="character" w:customStyle="1" w:styleId="1118">
    <w:name w:val="javascript"/>
    <w:qFormat/>
    <w:uiPriority w:val="0"/>
  </w:style>
  <w:style w:type="character" w:customStyle="1" w:styleId="1119">
    <w:name w:val="bb1"/>
    <w:qFormat/>
    <w:uiPriority w:val="0"/>
    <w:rPr>
      <w:sz w:val="30"/>
      <w:szCs w:val="30"/>
    </w:rPr>
  </w:style>
  <w:style w:type="character" w:customStyle="1" w:styleId="1120">
    <w:name w:val="正文3 Char"/>
    <w:link w:val="1121"/>
    <w:qFormat/>
    <w:uiPriority w:val="0"/>
    <w:rPr>
      <w:rFonts w:ascii="Arial" w:hAnsi="Arial" w:eastAsia="宋体"/>
      <w:sz w:val="24"/>
    </w:rPr>
  </w:style>
  <w:style w:type="paragraph" w:customStyle="1" w:styleId="1121">
    <w:name w:val="正文3"/>
    <w:basedOn w:val="1"/>
    <w:link w:val="1120"/>
    <w:qFormat/>
    <w:uiPriority w:val="0"/>
    <w:pPr>
      <w:tabs>
        <w:tab w:val="left" w:pos="1134"/>
      </w:tabs>
      <w:adjustRightInd w:val="0"/>
      <w:spacing w:before="120" w:after="120" w:line="318" w:lineRule="atLeast"/>
      <w:jc w:val="left"/>
      <w:textAlignment w:val="baseline"/>
    </w:pPr>
    <w:rPr>
      <w:rFonts w:ascii="Arial" w:hAnsi="Arial" w:cstheme="minorBidi"/>
      <w:sz w:val="24"/>
      <w:szCs w:val="22"/>
    </w:rPr>
  </w:style>
  <w:style w:type="character" w:customStyle="1" w:styleId="1122">
    <w:name w:val="little"/>
    <w:basedOn w:val="133"/>
    <w:qFormat/>
    <w:uiPriority w:val="0"/>
  </w:style>
  <w:style w:type="character" w:customStyle="1" w:styleId="1123">
    <w:name w:val="style61"/>
    <w:qFormat/>
    <w:uiPriority w:val="0"/>
    <w:rPr>
      <w:rFonts w:hint="default" w:ascii="Verdana" w:hAnsi="Verdana"/>
    </w:rPr>
  </w:style>
  <w:style w:type="character" w:customStyle="1" w:styleId="1124">
    <w:name w:val="表格1 Char"/>
    <w:link w:val="1125"/>
    <w:qFormat/>
    <w:uiPriority w:val="0"/>
    <w:rPr>
      <w:rFonts w:eastAsia="宋体"/>
      <w:snapToGrid w:val="0"/>
      <w:sz w:val="18"/>
      <w:szCs w:val="13"/>
    </w:rPr>
  </w:style>
  <w:style w:type="paragraph" w:customStyle="1" w:styleId="1125">
    <w:name w:val="表格1"/>
    <w:basedOn w:val="1"/>
    <w:link w:val="1124"/>
    <w:qFormat/>
    <w:uiPriority w:val="0"/>
    <w:pPr>
      <w:adjustRightInd w:val="0"/>
      <w:snapToGrid w:val="0"/>
      <w:spacing w:before="10" w:beforeLines="10" w:after="10" w:afterLines="10"/>
      <w:jc w:val="center"/>
      <w:textAlignment w:val="baseline"/>
    </w:pPr>
    <w:rPr>
      <w:rFonts w:asciiTheme="minorHAnsi" w:hAnsiTheme="minorHAnsi" w:cstheme="minorBidi"/>
      <w:snapToGrid w:val="0"/>
      <w:sz w:val="18"/>
      <w:szCs w:val="13"/>
    </w:rPr>
  </w:style>
  <w:style w:type="character" w:customStyle="1" w:styleId="1126">
    <w:name w:val="pt141"/>
    <w:qFormat/>
    <w:uiPriority w:val="0"/>
    <w:rPr>
      <w:sz w:val="21"/>
      <w:szCs w:val="21"/>
    </w:rPr>
  </w:style>
  <w:style w:type="character" w:customStyle="1" w:styleId="1127">
    <w:name w:val="表格 Char Char"/>
    <w:qFormat/>
    <w:uiPriority w:val="0"/>
    <w:rPr>
      <w:rFonts w:ascii="Arial" w:hAnsi="Arial" w:eastAsia="宋体"/>
      <w:kern w:val="2"/>
      <w:sz w:val="21"/>
      <w:szCs w:val="21"/>
      <w:lang w:val="en-US" w:eastAsia="zh-CN" w:bidi="ar-SA"/>
    </w:rPr>
  </w:style>
  <w:style w:type="character" w:customStyle="1" w:styleId="1128">
    <w:name w:val="content1"/>
    <w:qFormat/>
    <w:uiPriority w:val="0"/>
    <w:rPr>
      <w:color w:val="000000"/>
      <w:sz w:val="21"/>
      <w:szCs w:val="21"/>
    </w:rPr>
  </w:style>
  <w:style w:type="character" w:customStyle="1" w:styleId="1129">
    <w:name w:val="文本框五号 Char Char Char Char"/>
    <w:semiHidden/>
    <w:qFormat/>
    <w:uiPriority w:val="0"/>
    <w:rPr>
      <w:rFonts w:ascii="宋体" w:hAnsi="宋体" w:eastAsia="仿宋_GB2312" w:cs="Courier New"/>
      <w:kern w:val="2"/>
      <w:sz w:val="21"/>
      <w:szCs w:val="21"/>
      <w:lang w:val="en-US" w:eastAsia="zh-CN" w:bidi="ar-SA"/>
    </w:rPr>
  </w:style>
  <w:style w:type="character" w:customStyle="1" w:styleId="1130">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character" w:customStyle="1" w:styleId="1131">
    <w:name w:val="brown2"/>
    <w:basedOn w:val="133"/>
    <w:qFormat/>
    <w:uiPriority w:val="0"/>
  </w:style>
  <w:style w:type="character" w:customStyle="1" w:styleId="1132">
    <w:name w:val="px141"/>
    <w:qFormat/>
    <w:uiPriority w:val="0"/>
    <w:rPr>
      <w:sz w:val="21"/>
      <w:szCs w:val="21"/>
    </w:rPr>
  </w:style>
  <w:style w:type="character" w:customStyle="1" w:styleId="1133">
    <w:name w:val="干标题(a) Char"/>
    <w:qFormat/>
    <w:uiPriority w:val="0"/>
    <w:rPr>
      <w:rFonts w:ascii="Arial" w:hAnsi="Arial" w:eastAsia="黑体"/>
      <w:sz w:val="21"/>
      <w:lang w:val="en-US" w:eastAsia="zh-CN" w:bidi="ar-SA"/>
    </w:rPr>
  </w:style>
  <w:style w:type="character" w:customStyle="1" w:styleId="1134">
    <w:name w:val="font41"/>
    <w:qFormat/>
    <w:uiPriority w:val="0"/>
    <w:rPr>
      <w:rFonts w:hint="default" w:ascii="Times New Roman" w:hAnsi="Times New Roman" w:cs="Times New Roman"/>
      <w:color w:val="000000"/>
      <w:sz w:val="21"/>
      <w:szCs w:val="21"/>
      <w:u w:val="none"/>
      <w:vertAlign w:val="subscript"/>
    </w:rPr>
  </w:style>
  <w:style w:type="character" w:customStyle="1" w:styleId="1135">
    <w:name w:val="HTML 预设格式 Char3"/>
    <w:qFormat/>
    <w:uiPriority w:val="0"/>
    <w:rPr>
      <w:rFonts w:ascii="宋体" w:hAnsi="宋体" w:eastAsia="宋体" w:cs="宋体"/>
      <w:sz w:val="24"/>
      <w:szCs w:val="24"/>
      <w:lang w:val="en-US" w:eastAsia="zh-CN" w:bidi="ar-SA"/>
    </w:rPr>
  </w:style>
  <w:style w:type="character" w:customStyle="1" w:styleId="1136">
    <w:name w:val="电子邮件签名 Char3"/>
    <w:qFormat/>
    <w:uiPriority w:val="0"/>
    <w:rPr>
      <w:rFonts w:eastAsia="宋体"/>
      <w:kern w:val="2"/>
      <w:sz w:val="21"/>
      <w:szCs w:val="24"/>
      <w:lang w:val="en-US" w:eastAsia="zh-CN" w:bidi="ar-SA"/>
    </w:rPr>
  </w:style>
  <w:style w:type="character" w:customStyle="1" w:styleId="1137">
    <w:name w:val="页脚 Char2"/>
    <w:semiHidden/>
    <w:qFormat/>
    <w:uiPriority w:val="0"/>
    <w:rPr>
      <w:rFonts w:ascii="Times New Roman" w:hAnsi="Times New Roman" w:eastAsia="宋体" w:cs="Times New Roman"/>
      <w:color w:val="000000"/>
      <w:sz w:val="18"/>
      <w:szCs w:val="18"/>
    </w:rPr>
  </w:style>
  <w:style w:type="character" w:customStyle="1" w:styleId="1138">
    <w:name w:val="正文文本 Char2"/>
    <w:qFormat/>
    <w:uiPriority w:val="1"/>
    <w:rPr>
      <w:rFonts w:ascii="Times New Roman" w:hAnsi="Times New Roman" w:eastAsia="宋体" w:cs="Times New Roman"/>
      <w:color w:val="000000"/>
      <w:sz w:val="24"/>
      <w:szCs w:val="15"/>
    </w:rPr>
  </w:style>
  <w:style w:type="character" w:customStyle="1" w:styleId="1139">
    <w:name w:val="正文111 Char Char"/>
    <w:link w:val="1140"/>
    <w:qFormat/>
    <w:uiPriority w:val="0"/>
    <w:rPr>
      <w:sz w:val="24"/>
      <w:szCs w:val="24"/>
    </w:rPr>
  </w:style>
  <w:style w:type="paragraph" w:customStyle="1" w:styleId="1140">
    <w:name w:val="正文111"/>
    <w:basedOn w:val="1"/>
    <w:link w:val="1139"/>
    <w:qFormat/>
    <w:uiPriority w:val="0"/>
    <w:pPr>
      <w:spacing w:line="440" w:lineRule="exact"/>
      <w:ind w:firstLine="480" w:firstLineChars="200"/>
    </w:pPr>
    <w:rPr>
      <w:rFonts w:asciiTheme="minorHAnsi" w:hAnsiTheme="minorHAnsi" w:eastAsiaTheme="minorEastAsia" w:cstheme="minorBidi"/>
      <w:sz w:val="24"/>
    </w:rPr>
  </w:style>
  <w:style w:type="character" w:customStyle="1" w:styleId="1141">
    <w:name w:val="样式3四级 Char Char"/>
    <w:qFormat/>
    <w:uiPriority w:val="0"/>
    <w:rPr>
      <w:rFonts w:ascii="仿宋_GB2312" w:hAnsi="宋体" w:eastAsia="仿宋_GB2312"/>
      <w:kern w:val="2"/>
      <w:sz w:val="28"/>
      <w:szCs w:val="24"/>
      <w:lang w:bidi="ar-SA"/>
    </w:rPr>
  </w:style>
  <w:style w:type="character" w:customStyle="1" w:styleId="1142">
    <w:name w:val="表格1 Char Char"/>
    <w:qFormat/>
    <w:uiPriority w:val="0"/>
    <w:rPr>
      <w:rFonts w:ascii="宋体" w:hAnsi="宋体" w:eastAsia="宋体"/>
      <w:color w:val="000000"/>
      <w:kern w:val="2"/>
      <w:sz w:val="21"/>
      <w:szCs w:val="24"/>
      <w:lang w:val="en-US" w:eastAsia="zh-CN" w:bidi="ar-SA"/>
    </w:rPr>
  </w:style>
  <w:style w:type="character" w:customStyle="1" w:styleId="1143">
    <w:name w:val="Char Char511"/>
    <w:qFormat/>
    <w:uiPriority w:val="0"/>
    <w:rPr>
      <w:rFonts w:ascii="Arial" w:hAnsi="Arial" w:eastAsia="黑体"/>
      <w:b/>
      <w:bCs/>
      <w:kern w:val="2"/>
      <w:sz w:val="30"/>
      <w:szCs w:val="32"/>
      <w:lang w:val="en-US" w:eastAsia="zh-CN"/>
    </w:rPr>
  </w:style>
  <w:style w:type="character" w:customStyle="1" w:styleId="1144">
    <w:name w:val="Char Char183"/>
    <w:qFormat/>
    <w:uiPriority w:val="0"/>
    <w:rPr>
      <w:kern w:val="2"/>
      <w:sz w:val="18"/>
      <w:szCs w:val="18"/>
    </w:rPr>
  </w:style>
  <w:style w:type="character" w:customStyle="1" w:styleId="1145">
    <w:name w:val="文档结构图 Char1"/>
    <w:qFormat/>
    <w:uiPriority w:val="99"/>
    <w:rPr>
      <w:rFonts w:ascii="宋体" w:hAnsi="Times New Roman" w:eastAsia="宋体" w:cs="Times New Roman"/>
      <w:color w:val="000000"/>
      <w:sz w:val="18"/>
      <w:szCs w:val="18"/>
    </w:rPr>
  </w:style>
  <w:style w:type="character" w:customStyle="1" w:styleId="1146">
    <w:name w:val="称呼 Char1"/>
    <w:qFormat/>
    <w:uiPriority w:val="99"/>
    <w:rPr>
      <w:rFonts w:ascii="Times New Roman" w:hAnsi="Times New Roman" w:eastAsia="宋体" w:cs="Times New Roman"/>
      <w:color w:val="000000"/>
      <w:sz w:val="24"/>
      <w:szCs w:val="15"/>
    </w:rPr>
  </w:style>
  <w:style w:type="character" w:customStyle="1" w:styleId="1147">
    <w:name w:val="unnamed1131"/>
    <w:qFormat/>
    <w:uiPriority w:val="0"/>
    <w:rPr>
      <w:b/>
      <w:color w:val="0E6898"/>
      <w:sz w:val="21"/>
    </w:rPr>
  </w:style>
  <w:style w:type="character" w:customStyle="1" w:styleId="1148">
    <w:name w:val="标题三 Char"/>
    <w:link w:val="1149"/>
    <w:qFormat/>
    <w:uiPriority w:val="0"/>
    <w:rPr>
      <w:rFonts w:ascii="宋体" w:hAnsi="宋体" w:eastAsia="宋体"/>
      <w:b/>
      <w:bCs/>
      <w:sz w:val="28"/>
      <w:szCs w:val="24"/>
    </w:rPr>
  </w:style>
  <w:style w:type="paragraph" w:customStyle="1" w:styleId="1149">
    <w:name w:val="标题三"/>
    <w:basedOn w:val="1"/>
    <w:link w:val="1148"/>
    <w:qFormat/>
    <w:uiPriority w:val="0"/>
    <w:pPr>
      <w:spacing w:after="120" w:line="360" w:lineRule="auto"/>
    </w:pPr>
    <w:rPr>
      <w:rFonts w:ascii="宋体" w:hAnsi="宋体" w:cstheme="minorBidi"/>
      <w:b/>
      <w:bCs/>
      <w:sz w:val="28"/>
    </w:rPr>
  </w:style>
  <w:style w:type="character" w:customStyle="1" w:styleId="1150">
    <w:name w:val="p5"/>
    <w:basedOn w:val="133"/>
    <w:qFormat/>
    <w:uiPriority w:val="0"/>
  </w:style>
  <w:style w:type="character" w:customStyle="1" w:styleId="1151">
    <w:name w:val="txt1"/>
    <w:qFormat/>
    <w:uiPriority w:val="0"/>
    <w:rPr>
      <w:color w:val="000000"/>
      <w:sz w:val="22"/>
      <w:szCs w:val="22"/>
    </w:rPr>
  </w:style>
  <w:style w:type="character" w:customStyle="1" w:styleId="1152">
    <w:name w:val="和桥报告正文 Char"/>
    <w:link w:val="1153"/>
    <w:qFormat/>
    <w:uiPriority w:val="0"/>
    <w:rPr>
      <w:rFonts w:eastAsia="宋体" w:cs="宋体"/>
      <w:snapToGrid w:val="0"/>
      <w:kern w:val="24"/>
      <w:sz w:val="24"/>
      <w:szCs w:val="21"/>
    </w:rPr>
  </w:style>
  <w:style w:type="paragraph" w:customStyle="1" w:styleId="1153">
    <w:name w:val="和桥报告正文"/>
    <w:basedOn w:val="1"/>
    <w:link w:val="1152"/>
    <w:qFormat/>
    <w:uiPriority w:val="0"/>
    <w:pPr>
      <w:adjustRightInd w:val="0"/>
      <w:snapToGrid w:val="0"/>
      <w:spacing w:line="360" w:lineRule="auto"/>
      <w:ind w:firstLine="482"/>
      <w:textAlignment w:val="baseline"/>
    </w:pPr>
    <w:rPr>
      <w:rFonts w:cs="宋体" w:asciiTheme="minorHAnsi" w:hAnsiTheme="minorHAnsi"/>
      <w:snapToGrid w:val="0"/>
      <w:kern w:val="24"/>
      <w:sz w:val="24"/>
      <w:szCs w:val="21"/>
    </w:rPr>
  </w:style>
  <w:style w:type="character" w:customStyle="1" w:styleId="1154">
    <w:name w:val="样式 正文1 + 首行缩进:  2 字符 Char"/>
    <w:link w:val="1155"/>
    <w:qFormat/>
    <w:uiPriority w:val="0"/>
    <w:rPr>
      <w:rFonts w:cs="宋体"/>
      <w:sz w:val="28"/>
      <w:szCs w:val="28"/>
    </w:rPr>
  </w:style>
  <w:style w:type="paragraph" w:customStyle="1" w:styleId="1155">
    <w:name w:val="样式 正文1 + 首行缩进:  2 字符"/>
    <w:basedOn w:val="1018"/>
    <w:link w:val="1154"/>
    <w:qFormat/>
    <w:uiPriority w:val="0"/>
    <w:pPr>
      <w:adjustRightInd w:val="0"/>
      <w:snapToGrid w:val="0"/>
      <w:ind w:firstLine="560"/>
    </w:pPr>
    <w:rPr>
      <w:rFonts w:cs="宋体"/>
      <w:snapToGrid/>
      <w:sz w:val="28"/>
      <w:szCs w:val="28"/>
    </w:rPr>
  </w:style>
  <w:style w:type="character" w:customStyle="1" w:styleId="1156">
    <w:name w:val="一级标题 Char"/>
    <w:link w:val="1157"/>
    <w:qFormat/>
    <w:locked/>
    <w:uiPriority w:val="0"/>
    <w:rPr>
      <w:rFonts w:ascii="黑体" w:eastAsia="黑体"/>
      <w:bCs/>
      <w:sz w:val="30"/>
      <w:szCs w:val="30"/>
    </w:rPr>
  </w:style>
  <w:style w:type="paragraph" w:customStyle="1" w:styleId="1157">
    <w:name w:val="一级标题"/>
    <w:basedOn w:val="4"/>
    <w:next w:val="86"/>
    <w:link w:val="1156"/>
    <w:qFormat/>
    <w:uiPriority w:val="0"/>
    <w:pPr>
      <w:adjustRightInd w:val="0"/>
      <w:snapToGrid w:val="0"/>
      <w:spacing w:before="0" w:after="0"/>
    </w:pPr>
    <w:rPr>
      <w:rFonts w:ascii="黑体" w:hAnsiTheme="minorHAnsi" w:cstheme="minorBidi"/>
      <w:b w:val="0"/>
      <w:color w:val="auto"/>
      <w:szCs w:val="30"/>
    </w:rPr>
  </w:style>
  <w:style w:type="character" w:customStyle="1" w:styleId="1158">
    <w:name w:val="正文新 Char"/>
    <w:link w:val="1159"/>
    <w:qFormat/>
    <w:uiPriority w:val="0"/>
    <w:rPr>
      <w:rFonts w:ascii="宋体" w:hAnsi="宋体" w:eastAsia="宋体"/>
      <w:sz w:val="28"/>
      <w:szCs w:val="28"/>
    </w:rPr>
  </w:style>
  <w:style w:type="paragraph" w:customStyle="1" w:styleId="1159">
    <w:name w:val="正文新"/>
    <w:basedOn w:val="1"/>
    <w:link w:val="1158"/>
    <w:qFormat/>
    <w:uiPriority w:val="0"/>
    <w:pPr>
      <w:spacing w:line="560" w:lineRule="exact"/>
      <w:ind w:firstLine="560" w:firstLineChars="200"/>
    </w:pPr>
    <w:rPr>
      <w:rFonts w:ascii="宋体" w:hAnsi="宋体" w:cstheme="minorBidi"/>
      <w:sz w:val="28"/>
      <w:szCs w:val="28"/>
    </w:rPr>
  </w:style>
  <w:style w:type="character" w:customStyle="1" w:styleId="1160">
    <w:name w:val="样式 标题 3标题 3 Char Char Char标题 3 Char Charh3H3level_3PIM 3L...1 Char"/>
    <w:link w:val="1161"/>
    <w:qFormat/>
    <w:uiPriority w:val="0"/>
    <w:rPr>
      <w:rFonts w:ascii="宋体" w:hAnsi="宋体" w:eastAsia="黑体"/>
      <w:b/>
      <w:sz w:val="28"/>
    </w:rPr>
  </w:style>
  <w:style w:type="paragraph" w:customStyle="1" w:styleId="1161">
    <w:name w:val="样式 标题 3标题 3 Char Char Char标题 3 Char Charh3H3level_3PIM 3L...1"/>
    <w:basedOn w:val="5"/>
    <w:link w:val="1160"/>
    <w:qFormat/>
    <w:uiPriority w:val="0"/>
    <w:pPr>
      <w:keepLines w:val="0"/>
      <w:widowControl w:val="0"/>
      <w:numPr>
        <w:ilvl w:val="0"/>
        <w:numId w:val="0"/>
      </w:numPr>
      <w:spacing w:line="500" w:lineRule="exact"/>
      <w:ind w:firstLine="200" w:firstLineChars="200"/>
      <w:jc w:val="both"/>
    </w:pPr>
    <w:rPr>
      <w:rFonts w:ascii="宋体" w:hAnsi="宋体" w:eastAsia="黑体" w:cstheme="minorBidi"/>
      <w:bCs w:val="0"/>
      <w:szCs w:val="22"/>
    </w:rPr>
  </w:style>
  <w:style w:type="character" w:customStyle="1" w:styleId="1162">
    <w:name w:val="样式 标题 2标题 2节第一章 标题 2Heading 2 HiddenHeading 2 CCBSheading 2...2 Char"/>
    <w:link w:val="1163"/>
    <w:qFormat/>
    <w:uiPriority w:val="0"/>
    <w:rPr>
      <w:rFonts w:ascii="楷体_GB2312" w:hAnsi="楷体_GB2312" w:eastAsia="楷体_GB2312"/>
      <w:sz w:val="32"/>
      <w:szCs w:val="32"/>
    </w:rPr>
  </w:style>
  <w:style w:type="paragraph" w:customStyle="1" w:styleId="1163">
    <w:name w:val="样式 标题 2标题 2节第一章 标题 2Heading 2 HiddenHeading 2 CCBSheading 2...2"/>
    <w:basedOn w:val="4"/>
    <w:link w:val="1162"/>
    <w:qFormat/>
    <w:uiPriority w:val="0"/>
    <w:pPr>
      <w:jc w:val="center"/>
    </w:pPr>
    <w:rPr>
      <w:rFonts w:ascii="楷体_GB2312" w:hAnsi="楷体_GB2312" w:eastAsia="楷体_GB2312" w:cstheme="minorBidi"/>
      <w:b w:val="0"/>
      <w:bCs w:val="0"/>
      <w:color w:val="auto"/>
      <w:sz w:val="32"/>
      <w:szCs w:val="32"/>
    </w:rPr>
  </w:style>
  <w:style w:type="character" w:customStyle="1" w:styleId="1164">
    <w:name w:val="单学凯段落格式 Char"/>
    <w:link w:val="1165"/>
    <w:qFormat/>
    <w:uiPriority w:val="0"/>
    <w:rPr>
      <w:rFonts w:ascii="宋体" w:hAnsi="宋体" w:eastAsia="宋体"/>
      <w:b/>
      <w:bCs/>
      <w:iCs/>
      <w:color w:val="000000"/>
      <w:sz w:val="28"/>
      <w:szCs w:val="28"/>
    </w:rPr>
  </w:style>
  <w:style w:type="paragraph" w:customStyle="1" w:styleId="1165">
    <w:name w:val="单学凯段落格式"/>
    <w:basedOn w:val="1"/>
    <w:link w:val="1164"/>
    <w:qFormat/>
    <w:uiPriority w:val="0"/>
    <w:pPr>
      <w:spacing w:line="500" w:lineRule="exact"/>
      <w:ind w:firstLine="562" w:firstLineChars="200"/>
    </w:pPr>
    <w:rPr>
      <w:rFonts w:ascii="宋体" w:hAnsi="宋体" w:cstheme="minorBidi"/>
      <w:b/>
      <w:bCs/>
      <w:iCs/>
      <w:color w:val="000000"/>
      <w:sz w:val="28"/>
      <w:szCs w:val="28"/>
    </w:rPr>
  </w:style>
  <w:style w:type="character" w:customStyle="1" w:styleId="1166">
    <w:name w:val="单学凯环表头 Char"/>
    <w:link w:val="1167"/>
    <w:qFormat/>
    <w:uiPriority w:val="0"/>
    <w:rPr>
      <w:rFonts w:ascii="宋体" w:hAnsi="宋体" w:eastAsia="宋体"/>
      <w:b/>
      <w:color w:val="000000"/>
      <w:sz w:val="28"/>
      <w:szCs w:val="28"/>
    </w:rPr>
  </w:style>
  <w:style w:type="paragraph" w:customStyle="1" w:styleId="1167">
    <w:name w:val="单学凯环表头"/>
    <w:basedOn w:val="1"/>
    <w:link w:val="1166"/>
    <w:qFormat/>
    <w:uiPriority w:val="0"/>
    <w:pPr>
      <w:widowControl/>
      <w:tabs>
        <w:tab w:val="left" w:pos="-1008"/>
        <w:tab w:val="left" w:pos="4873"/>
      </w:tabs>
      <w:adjustRightInd w:val="0"/>
      <w:spacing w:line="500" w:lineRule="exact"/>
      <w:ind w:right="-11" w:firstLine="1813" w:firstLineChars="645"/>
      <w:textAlignment w:val="baseline"/>
    </w:pPr>
    <w:rPr>
      <w:rFonts w:ascii="宋体" w:hAnsi="宋体" w:cstheme="minorBidi"/>
      <w:b/>
      <w:color w:val="000000"/>
      <w:sz w:val="28"/>
      <w:szCs w:val="28"/>
    </w:rPr>
  </w:style>
  <w:style w:type="character" w:customStyle="1" w:styleId="1168">
    <w:name w:val="样式 标题 3 + 仿宋_GB2312 Char"/>
    <w:link w:val="1169"/>
    <w:qFormat/>
    <w:uiPriority w:val="0"/>
    <w:rPr>
      <w:rFonts w:ascii="仿宋_GB2312" w:hAnsi="仿宋_GB2312" w:eastAsia="仿宋_GB2312"/>
      <w:b/>
      <w:bCs/>
      <w:color w:val="000000"/>
      <w:sz w:val="28"/>
      <w:szCs w:val="24"/>
    </w:rPr>
  </w:style>
  <w:style w:type="paragraph" w:customStyle="1" w:styleId="1169">
    <w:name w:val="样式 标题 3 + 仿宋_GB2312"/>
    <w:basedOn w:val="5"/>
    <w:link w:val="1168"/>
    <w:qFormat/>
    <w:uiPriority w:val="0"/>
    <w:pPr>
      <w:numPr>
        <w:ilvl w:val="0"/>
        <w:numId w:val="0"/>
      </w:numPr>
      <w:spacing w:before="160" w:after="160" w:line="240" w:lineRule="auto"/>
    </w:pPr>
    <w:rPr>
      <w:rFonts w:ascii="仿宋_GB2312" w:hAnsi="仿宋_GB2312" w:eastAsia="仿宋_GB2312" w:cstheme="minorBidi"/>
      <w:color w:val="000000"/>
      <w:szCs w:val="24"/>
    </w:rPr>
  </w:style>
  <w:style w:type="character" w:customStyle="1" w:styleId="1170">
    <w:name w:val="样式 标题 3 + 仿宋_GB23121 Char"/>
    <w:link w:val="1171"/>
    <w:qFormat/>
    <w:uiPriority w:val="0"/>
    <w:rPr>
      <w:rFonts w:ascii="仿宋_GB2312" w:hAnsi="仿宋_GB2312" w:eastAsia="仿宋_GB2312"/>
      <w:b/>
      <w:bCs/>
      <w:color w:val="000000"/>
      <w:sz w:val="28"/>
      <w:szCs w:val="24"/>
    </w:rPr>
  </w:style>
  <w:style w:type="paragraph" w:customStyle="1" w:styleId="1171">
    <w:name w:val="样式 标题 3 + 仿宋_GB23121"/>
    <w:basedOn w:val="5"/>
    <w:link w:val="1170"/>
    <w:qFormat/>
    <w:uiPriority w:val="0"/>
    <w:pPr>
      <w:numPr>
        <w:ilvl w:val="0"/>
        <w:numId w:val="0"/>
      </w:numPr>
      <w:spacing w:before="160" w:after="160" w:line="240" w:lineRule="auto"/>
    </w:pPr>
    <w:rPr>
      <w:rFonts w:ascii="仿宋_GB2312" w:hAnsi="仿宋_GB2312" w:eastAsia="仿宋_GB2312" w:cstheme="minorBidi"/>
      <w:color w:val="000000"/>
      <w:szCs w:val="24"/>
    </w:rPr>
  </w:style>
  <w:style w:type="character" w:customStyle="1" w:styleId="1172">
    <w:name w:val="标题 2+ 行距: 固定值 24 磅 Char Char"/>
    <w:link w:val="1173"/>
    <w:qFormat/>
    <w:uiPriority w:val="0"/>
    <w:rPr>
      <w:rFonts w:ascii="Arial" w:hAnsi="Arial" w:eastAsia="黑体"/>
      <w:b/>
      <w:bCs/>
      <w:sz w:val="32"/>
      <w:szCs w:val="32"/>
    </w:rPr>
  </w:style>
  <w:style w:type="paragraph" w:customStyle="1" w:styleId="1173">
    <w:name w:val="标题 2+ 行距: 固定值 24 磅 Char"/>
    <w:basedOn w:val="4"/>
    <w:link w:val="1172"/>
    <w:qFormat/>
    <w:uiPriority w:val="0"/>
    <w:pPr>
      <w:spacing w:before="260" w:after="260" w:line="480" w:lineRule="exact"/>
    </w:pPr>
    <w:rPr>
      <w:rFonts w:ascii="Arial" w:hAnsi="Arial" w:cstheme="minorBidi"/>
      <w:color w:val="auto"/>
      <w:sz w:val="32"/>
      <w:szCs w:val="32"/>
    </w:rPr>
  </w:style>
  <w:style w:type="character" w:customStyle="1" w:styleId="1174">
    <w:name w:val="环正文 Char1"/>
    <w:qFormat/>
    <w:uiPriority w:val="0"/>
    <w:rPr>
      <w:rFonts w:ascii="宋体" w:hAnsi="宋体" w:eastAsia="宋体"/>
      <w:sz w:val="24"/>
      <w:lang w:val="en-US" w:eastAsia="zh-CN" w:bidi="ar-SA"/>
    </w:rPr>
  </w:style>
  <w:style w:type="character" w:customStyle="1" w:styleId="1175">
    <w:name w:val="环正文 Char3"/>
    <w:qFormat/>
    <w:uiPriority w:val="0"/>
    <w:rPr>
      <w:rFonts w:ascii="宋体" w:hAnsi="宋体" w:eastAsia="宋体" w:cs="Courier New"/>
      <w:sz w:val="24"/>
      <w:lang w:val="en-US" w:eastAsia="zh-CN" w:bidi="ar-SA"/>
    </w:rPr>
  </w:style>
  <w:style w:type="character" w:customStyle="1" w:styleId="1176">
    <w:name w:val="环正文 Char"/>
    <w:qFormat/>
    <w:uiPriority w:val="0"/>
    <w:rPr>
      <w:rFonts w:ascii="宋体" w:hAnsi="宋体" w:eastAsia="宋体"/>
      <w:sz w:val="24"/>
      <w:lang w:val="en-US" w:eastAsia="zh-CN" w:bidi="ar-SA"/>
    </w:rPr>
  </w:style>
  <w:style w:type="character" w:customStyle="1" w:styleId="1177">
    <w:name w:val="newstxt"/>
    <w:qFormat/>
    <w:uiPriority w:val="0"/>
  </w:style>
  <w:style w:type="character" w:customStyle="1" w:styleId="1178">
    <w:name w:val="ourfont3"/>
    <w:qFormat/>
    <w:uiPriority w:val="0"/>
  </w:style>
  <w:style w:type="character" w:customStyle="1" w:styleId="1179">
    <w:name w:val="环表头 Char"/>
    <w:qFormat/>
    <w:uiPriority w:val="0"/>
    <w:rPr>
      <w:rFonts w:ascii="黑体" w:hAnsi="宋体" w:eastAsia="黑体"/>
      <w:sz w:val="24"/>
      <w:lang w:val="en-US" w:eastAsia="zh-CN" w:bidi="ar-SA"/>
    </w:rPr>
  </w:style>
  <w:style w:type="character" w:customStyle="1" w:styleId="1180">
    <w:name w:val="标题 B Char"/>
    <w:link w:val="1181"/>
    <w:qFormat/>
    <w:locked/>
    <w:uiPriority w:val="0"/>
    <w:rPr>
      <w:rFonts w:ascii="Arial Rounded MT Bold" w:hAnsi="Arial Rounded MT Bold" w:eastAsia="黑体"/>
      <w:spacing w:val="8"/>
      <w:sz w:val="32"/>
    </w:rPr>
  </w:style>
  <w:style w:type="paragraph" w:customStyle="1" w:styleId="1181">
    <w:name w:val="标题 B"/>
    <w:basedOn w:val="4"/>
    <w:link w:val="1180"/>
    <w:qFormat/>
    <w:uiPriority w:val="0"/>
    <w:pPr>
      <w:keepLines w:val="0"/>
      <w:adjustRightInd w:val="0"/>
      <w:spacing w:before="840" w:after="240" w:line="400" w:lineRule="exact"/>
      <w:jc w:val="center"/>
      <w:textAlignment w:val="baseline"/>
      <w:outlineLvl w:val="9"/>
    </w:pPr>
    <w:rPr>
      <w:rFonts w:ascii="Arial Rounded MT Bold" w:hAnsi="Arial Rounded MT Bold" w:cstheme="minorBidi"/>
      <w:b w:val="0"/>
      <w:bCs w:val="0"/>
      <w:color w:val="auto"/>
      <w:spacing w:val="8"/>
      <w:sz w:val="32"/>
      <w:szCs w:val="22"/>
    </w:rPr>
  </w:style>
  <w:style w:type="character" w:customStyle="1" w:styleId="1182">
    <w:name w:val="正文B Char"/>
    <w:link w:val="1183"/>
    <w:qFormat/>
    <w:locked/>
    <w:uiPriority w:val="0"/>
    <w:rPr>
      <w:rFonts w:ascii="宋体" w:hAnsi="宋体" w:eastAsia="楷体_GB2312"/>
      <w:spacing w:val="8"/>
      <w:sz w:val="28"/>
    </w:rPr>
  </w:style>
  <w:style w:type="paragraph" w:customStyle="1" w:styleId="1183">
    <w:name w:val="正文B"/>
    <w:basedOn w:val="1"/>
    <w:link w:val="1182"/>
    <w:qFormat/>
    <w:uiPriority w:val="0"/>
    <w:pPr>
      <w:adjustRightInd w:val="0"/>
      <w:spacing w:line="390" w:lineRule="atLeast"/>
      <w:ind w:firstLine="601"/>
    </w:pPr>
    <w:rPr>
      <w:rFonts w:ascii="宋体" w:hAnsi="宋体" w:eastAsia="楷体_GB2312" w:cstheme="minorBidi"/>
      <w:spacing w:val="8"/>
      <w:sz w:val="28"/>
      <w:szCs w:val="22"/>
    </w:rPr>
  </w:style>
  <w:style w:type="character" w:customStyle="1" w:styleId="1184">
    <w:name w:val="样式 楷体_GB2312 四号"/>
    <w:qFormat/>
    <w:uiPriority w:val="0"/>
    <w:rPr>
      <w:rFonts w:ascii="Times New Roman" w:hAnsi="Times New Roman" w:eastAsia="楷体_GB2312"/>
      <w:sz w:val="28"/>
      <w:szCs w:val="28"/>
    </w:rPr>
  </w:style>
  <w:style w:type="character" w:customStyle="1" w:styleId="1185">
    <w:name w:val="f41"/>
    <w:qFormat/>
    <w:uiPriority w:val="0"/>
    <w:rPr>
      <w:color w:val="333333"/>
      <w:sz w:val="21"/>
      <w:szCs w:val="21"/>
    </w:rPr>
  </w:style>
  <w:style w:type="character" w:customStyle="1" w:styleId="1186">
    <w:name w:val="yqlink"/>
    <w:qFormat/>
    <w:uiPriority w:val="0"/>
  </w:style>
  <w:style w:type="character" w:customStyle="1" w:styleId="1187">
    <w:name w:val="v15"/>
    <w:qFormat/>
    <w:uiPriority w:val="0"/>
  </w:style>
  <w:style w:type="character" w:customStyle="1" w:styleId="1188">
    <w:name w:val="环表头 Char2"/>
    <w:qFormat/>
    <w:uiPriority w:val="0"/>
    <w:rPr>
      <w:rFonts w:ascii="黑体" w:hAnsi="宋体" w:eastAsia="黑体" w:cs="Courier New"/>
      <w:color w:val="000000"/>
      <w:kern w:val="2"/>
      <w:sz w:val="24"/>
      <w:szCs w:val="24"/>
      <w:lang w:val="en-US" w:eastAsia="zh-CN" w:bidi="ar-SA"/>
    </w:rPr>
  </w:style>
  <w:style w:type="character" w:customStyle="1" w:styleId="1189">
    <w:name w:val="gb21"/>
    <w:uiPriority w:val="0"/>
    <w:rPr>
      <w:rFonts w:hint="default"/>
      <w:sz w:val="18"/>
      <w:szCs w:val="18"/>
    </w:rPr>
  </w:style>
  <w:style w:type="character" w:customStyle="1" w:styleId="1190">
    <w:name w:val="tex-biaoti1"/>
    <w:uiPriority w:val="0"/>
  </w:style>
  <w:style w:type="character" w:customStyle="1" w:styleId="1191">
    <w:name w:val="gray s"/>
    <w:qFormat/>
    <w:uiPriority w:val="0"/>
  </w:style>
  <w:style w:type="character" w:customStyle="1" w:styleId="1192">
    <w:name w:val="tdword"/>
    <w:qFormat/>
    <w:uiPriority w:val="0"/>
  </w:style>
  <w:style w:type="character" w:customStyle="1" w:styleId="1193">
    <w:name w:val="txt1501"/>
    <w:qFormat/>
    <w:uiPriority w:val="0"/>
  </w:style>
  <w:style w:type="character" w:customStyle="1" w:styleId="1194">
    <w:name w:val="part"/>
    <w:qFormat/>
    <w:uiPriority w:val="0"/>
  </w:style>
  <w:style w:type="character" w:customStyle="1" w:styleId="1195">
    <w:name w:val="size9"/>
    <w:qFormat/>
    <w:uiPriority w:val="0"/>
  </w:style>
  <w:style w:type="character" w:customStyle="1" w:styleId="1196">
    <w:name w:val="10f"/>
    <w:qFormat/>
    <w:uiPriority w:val="0"/>
  </w:style>
  <w:style w:type="character" w:customStyle="1" w:styleId="1197">
    <w:name w:val="msonormal"/>
    <w:qFormat/>
    <w:uiPriority w:val="0"/>
  </w:style>
  <w:style w:type="character" w:customStyle="1" w:styleId="1198">
    <w:name w:val="style401"/>
    <w:qFormat/>
    <w:uiPriority w:val="0"/>
    <w:rPr>
      <w:color w:val="000000"/>
    </w:rPr>
  </w:style>
  <w:style w:type="character" w:customStyle="1" w:styleId="1199">
    <w:name w:val="llb11"/>
    <w:uiPriority w:val="0"/>
    <w:rPr>
      <w:color w:val="000000"/>
      <w:sz w:val="32"/>
      <w:szCs w:val="32"/>
      <w:u w:val="none"/>
    </w:rPr>
  </w:style>
  <w:style w:type="character" w:customStyle="1" w:styleId="1200">
    <w:name w:val="unnamed21"/>
    <w:qFormat/>
    <w:uiPriority w:val="0"/>
    <w:rPr>
      <w:sz w:val="18"/>
      <w:szCs w:val="18"/>
      <w:u w:val="none"/>
    </w:rPr>
  </w:style>
  <w:style w:type="character" w:customStyle="1" w:styleId="1201">
    <w:name w:val="环表头 Char4"/>
    <w:qFormat/>
    <w:uiPriority w:val="0"/>
    <w:rPr>
      <w:rFonts w:ascii="黑体" w:hAnsi="宋体" w:eastAsia="黑体"/>
      <w:color w:val="000000"/>
      <w:kern w:val="2"/>
      <w:sz w:val="24"/>
      <w:szCs w:val="24"/>
    </w:rPr>
  </w:style>
  <w:style w:type="character" w:customStyle="1" w:styleId="1202">
    <w:name w:val="环表头 Char1"/>
    <w:qFormat/>
    <w:uiPriority w:val="0"/>
    <w:rPr>
      <w:rFonts w:ascii="黑体" w:hAnsi="宋体" w:eastAsia="黑体"/>
      <w:color w:val="000000"/>
      <w:kern w:val="2"/>
      <w:sz w:val="24"/>
      <w:szCs w:val="24"/>
      <w:lang w:val="en-US" w:eastAsia="zh-CN" w:bidi="ar-SA"/>
    </w:rPr>
  </w:style>
  <w:style w:type="character" w:customStyle="1" w:styleId="1203">
    <w:name w:val="Char Char43"/>
    <w:qFormat/>
    <w:uiPriority w:val="0"/>
    <w:rPr>
      <w:rFonts w:eastAsia="宋体"/>
      <w:b/>
      <w:bCs/>
      <w:kern w:val="2"/>
      <w:sz w:val="24"/>
      <w:szCs w:val="24"/>
      <w:lang w:val="en-US" w:eastAsia="zh-CN" w:bidi="ar-SA"/>
    </w:rPr>
  </w:style>
  <w:style w:type="character" w:customStyle="1" w:styleId="1204">
    <w:name w:val="HTML 预设格式 Char11"/>
    <w:qFormat/>
    <w:locked/>
    <w:uiPriority w:val="0"/>
    <w:rPr>
      <w:rFonts w:ascii="Courier New" w:hAnsi="Courier New" w:cs="Courier New"/>
      <w:kern w:val="2"/>
    </w:rPr>
  </w:style>
  <w:style w:type="character" w:customStyle="1" w:styleId="1205">
    <w:name w:val="indetail1"/>
    <w:qFormat/>
    <w:uiPriority w:val="0"/>
    <w:rPr>
      <w:sz w:val="18"/>
      <w:szCs w:val="18"/>
      <w:bdr w:val="single" w:color="E2E2E2" w:sz="6" w:space="0"/>
    </w:rPr>
  </w:style>
  <w:style w:type="character" w:customStyle="1" w:styleId="1206">
    <w:name w:val="框图正文 Char Char"/>
    <w:qFormat/>
    <w:uiPriority w:val="0"/>
    <w:rPr>
      <w:rFonts w:eastAsia="宋体"/>
      <w:kern w:val="2"/>
      <w:sz w:val="21"/>
      <w:szCs w:val="24"/>
      <w:lang w:val="en-US" w:eastAsia="zh-CN" w:bidi="ar-SA"/>
    </w:rPr>
  </w:style>
  <w:style w:type="character" w:customStyle="1" w:styleId="1207">
    <w:name w:val="环正文 Char4"/>
    <w:uiPriority w:val="0"/>
    <w:rPr>
      <w:rFonts w:ascii="宋体" w:hAnsi="宋体" w:eastAsia="宋体"/>
      <w:color w:val="000000"/>
      <w:sz w:val="24"/>
      <w:lang w:val="en-US" w:eastAsia="zh-CN" w:bidi="ar-SA"/>
    </w:rPr>
  </w:style>
  <w:style w:type="character" w:customStyle="1" w:styleId="1208">
    <w:name w:val="style311"/>
    <w:qFormat/>
    <w:uiPriority w:val="0"/>
    <w:rPr>
      <w:b/>
      <w:bCs/>
      <w:color w:val="000000"/>
      <w:sz w:val="18"/>
      <w:szCs w:val="18"/>
    </w:rPr>
  </w:style>
  <w:style w:type="character" w:customStyle="1" w:styleId="1209">
    <w:name w:val="f241"/>
    <w:qFormat/>
    <w:uiPriority w:val="0"/>
    <w:rPr>
      <w:sz w:val="36"/>
      <w:szCs w:val="36"/>
    </w:rPr>
  </w:style>
  <w:style w:type="character" w:customStyle="1" w:styleId="1210">
    <w:name w:val="HTML 地址 Char4"/>
    <w:qFormat/>
    <w:locked/>
    <w:uiPriority w:val="0"/>
    <w:rPr>
      <w:rFonts w:cs="Times New Roman"/>
      <w:i/>
      <w:iCs/>
      <w:kern w:val="2"/>
      <w:sz w:val="24"/>
      <w:szCs w:val="24"/>
    </w:rPr>
  </w:style>
  <w:style w:type="character" w:customStyle="1" w:styleId="1211">
    <w:name w:val="infotitle1"/>
    <w:uiPriority w:val="0"/>
    <w:rPr>
      <w:b/>
      <w:bCs/>
      <w:color w:val="000000"/>
      <w:spacing w:val="500"/>
      <w:sz w:val="32"/>
      <w:szCs w:val="32"/>
    </w:rPr>
  </w:style>
  <w:style w:type="character" w:customStyle="1" w:styleId="1212">
    <w:name w:val="列表项目符号 Char"/>
    <w:qFormat/>
    <w:uiPriority w:val="0"/>
    <w:rPr>
      <w:rFonts w:ascii="仿宋_GB2312" w:hAnsi="Courier New" w:eastAsia="仿宋_GB2312"/>
      <w:sz w:val="28"/>
      <w:lang w:val="en-US" w:eastAsia="zh-CN" w:bidi="ar-SA"/>
    </w:rPr>
  </w:style>
  <w:style w:type="character" w:customStyle="1" w:styleId="1213">
    <w:name w:val="副标题 Char6"/>
    <w:qFormat/>
    <w:uiPriority w:val="0"/>
    <w:rPr>
      <w:rFonts w:ascii="Cambria" w:hAnsi="Cambria" w:cs="Times New Roman"/>
      <w:b/>
      <w:bCs/>
      <w:kern w:val="28"/>
      <w:sz w:val="32"/>
      <w:szCs w:val="32"/>
    </w:rPr>
  </w:style>
  <w:style w:type="character" w:customStyle="1" w:styleId="1214">
    <w:name w:val="s c c"/>
    <w:qFormat/>
    <w:uiPriority w:val="0"/>
  </w:style>
  <w:style w:type="character" w:customStyle="1" w:styleId="1215">
    <w:name w:val="z-窗体顶端 Char11"/>
    <w:qFormat/>
    <w:uiPriority w:val="0"/>
    <w:rPr>
      <w:rFonts w:ascii="Arial" w:hAnsi="Arial" w:cs="Arial"/>
      <w:vanish/>
      <w:kern w:val="2"/>
      <w:sz w:val="16"/>
      <w:szCs w:val="16"/>
    </w:rPr>
  </w:style>
  <w:style w:type="character" w:customStyle="1" w:styleId="1216">
    <w:name w:val="gray"/>
    <w:qFormat/>
    <w:uiPriority w:val="0"/>
  </w:style>
  <w:style w:type="character" w:customStyle="1" w:styleId="1217">
    <w:name w:val="电子邮件签名 Char5"/>
    <w:qFormat/>
    <w:locked/>
    <w:uiPriority w:val="0"/>
    <w:rPr>
      <w:rFonts w:cs="Times New Roman"/>
      <w:kern w:val="2"/>
      <w:sz w:val="24"/>
      <w:szCs w:val="24"/>
    </w:rPr>
  </w:style>
  <w:style w:type="character" w:customStyle="1" w:styleId="1218">
    <w:name w:val="链接"/>
    <w:qFormat/>
    <w:uiPriority w:val="0"/>
    <w:rPr>
      <w:rFonts w:ascii="Times New Roman" w:eastAsia="宋体"/>
      <w:color w:val="0000FF"/>
      <w:sz w:val="21"/>
      <w:u w:val="single" w:color="0000FF"/>
      <w:vertAlign w:val="baseline"/>
      <w:lang w:val="en-US" w:eastAsia="zh-CN"/>
    </w:rPr>
  </w:style>
  <w:style w:type="character" w:customStyle="1" w:styleId="1219">
    <w:name w:val="宏文本 Char5"/>
    <w:qFormat/>
    <w:locked/>
    <w:uiPriority w:val="0"/>
    <w:rPr>
      <w:rFonts w:ascii="Courier New" w:hAnsi="Courier New" w:cs="Courier New"/>
      <w:kern w:val="2"/>
      <w:sz w:val="24"/>
      <w:szCs w:val="24"/>
    </w:rPr>
  </w:style>
  <w:style w:type="character" w:customStyle="1" w:styleId="1220">
    <w:name w:val="BOD 0 Char"/>
    <w:qFormat/>
    <w:uiPriority w:val="0"/>
    <w:rPr>
      <w:rFonts w:eastAsia="宋体"/>
      <w:sz w:val="28"/>
      <w:lang w:val="en-US" w:eastAsia="zh-CN" w:bidi="ar-SA"/>
    </w:rPr>
  </w:style>
  <w:style w:type="character" w:customStyle="1" w:styleId="1221">
    <w:name w:val="正文文本缩进 2 Char2"/>
    <w:qFormat/>
    <w:uiPriority w:val="0"/>
    <w:rPr>
      <w:rFonts w:cs="Times New Roman"/>
      <w:kern w:val="2"/>
      <w:sz w:val="24"/>
      <w:szCs w:val="24"/>
    </w:rPr>
  </w:style>
  <w:style w:type="character" w:customStyle="1" w:styleId="1222">
    <w:name w:val="s"/>
    <w:qFormat/>
    <w:uiPriority w:val="0"/>
  </w:style>
  <w:style w:type="character" w:customStyle="1" w:styleId="1223">
    <w:name w:val="z31"/>
    <w:uiPriority w:val="0"/>
    <w:rPr>
      <w:rFonts w:hint="default"/>
      <w:color w:val="FF0000"/>
      <w:sz w:val="18"/>
      <w:szCs w:val="18"/>
    </w:rPr>
  </w:style>
  <w:style w:type="character" w:customStyle="1" w:styleId="1224">
    <w:name w:val="Char Char Char1"/>
    <w:qFormat/>
    <w:uiPriority w:val="0"/>
    <w:rPr>
      <w:rFonts w:ascii="Arial" w:hAnsi="Arial" w:eastAsia="黑体"/>
      <w:b/>
      <w:bCs/>
      <w:kern w:val="2"/>
      <w:sz w:val="24"/>
      <w:szCs w:val="24"/>
      <w:lang w:val="en-US" w:eastAsia="zh-CN" w:bidi="ar-SA"/>
    </w:rPr>
  </w:style>
  <w:style w:type="character" w:customStyle="1" w:styleId="1225">
    <w:name w:val="HTML 引文12"/>
    <w:qFormat/>
    <w:uiPriority w:val="0"/>
    <w:rPr>
      <w:i/>
      <w:iCs/>
    </w:rPr>
  </w:style>
  <w:style w:type="character" w:customStyle="1" w:styleId="1226">
    <w:name w:val="批注引用12"/>
    <w:qFormat/>
    <w:uiPriority w:val="0"/>
    <w:rPr>
      <w:sz w:val="21"/>
      <w:szCs w:val="21"/>
    </w:rPr>
  </w:style>
  <w:style w:type="character" w:customStyle="1" w:styleId="1227">
    <w:name w:val="文档结构图 Char11"/>
    <w:qFormat/>
    <w:uiPriority w:val="0"/>
    <w:rPr>
      <w:rFonts w:ascii="宋体" w:cs="Times New Roman"/>
      <w:kern w:val="2"/>
      <w:sz w:val="18"/>
      <w:szCs w:val="18"/>
    </w:rPr>
  </w:style>
  <w:style w:type="character" w:customStyle="1" w:styleId="1228">
    <w:name w:val="HTML 定义12"/>
    <w:qFormat/>
    <w:uiPriority w:val="0"/>
    <w:rPr>
      <w:i/>
      <w:iCs/>
    </w:rPr>
  </w:style>
  <w:style w:type="character" w:customStyle="1" w:styleId="1229">
    <w:name w:val="Subtitle Char"/>
    <w:qFormat/>
    <w:locked/>
    <w:uiPriority w:val="0"/>
    <w:rPr>
      <w:rFonts w:ascii="Cambria" w:hAnsi="Cambria" w:eastAsia="宋体" w:cs="Times New Roman"/>
      <w:b/>
      <w:bCs/>
      <w:kern w:val="28"/>
      <w:sz w:val="32"/>
      <w:szCs w:val="32"/>
    </w:rPr>
  </w:style>
  <w:style w:type="character" w:customStyle="1" w:styleId="1230">
    <w:name w:val="样式 Default + (符号) 宋体 四号 行距: 1.5 倍行距 Char"/>
    <w:link w:val="1231"/>
    <w:qFormat/>
    <w:uiPriority w:val="0"/>
    <w:rPr>
      <w:rFonts w:ascii="宋体" w:hAnsi="宋体" w:eastAsia="宋体"/>
      <w:color w:val="000000"/>
      <w:sz w:val="28"/>
    </w:rPr>
  </w:style>
  <w:style w:type="paragraph" w:customStyle="1" w:styleId="1231">
    <w:name w:val="样式 Default + (符号) 宋体 四号 行距: 1.5 倍行距"/>
    <w:basedOn w:val="1"/>
    <w:link w:val="1230"/>
    <w:qFormat/>
    <w:uiPriority w:val="0"/>
    <w:pPr>
      <w:autoSpaceDE w:val="0"/>
      <w:autoSpaceDN w:val="0"/>
      <w:adjustRightInd w:val="0"/>
      <w:spacing w:line="360" w:lineRule="auto"/>
      <w:ind w:firstLine="560" w:firstLineChars="200"/>
      <w:jc w:val="left"/>
    </w:pPr>
    <w:rPr>
      <w:rFonts w:ascii="宋体" w:hAnsi="宋体" w:cstheme="minorBidi"/>
      <w:color w:val="000000"/>
      <w:sz w:val="28"/>
      <w:szCs w:val="22"/>
    </w:rPr>
  </w:style>
  <w:style w:type="character" w:customStyle="1" w:styleId="1232">
    <w:name w:val="Char Char263"/>
    <w:qFormat/>
    <w:uiPriority w:val="0"/>
    <w:rPr>
      <w:rFonts w:hint="default" w:ascii="Arial" w:hAnsi="Arial" w:eastAsia="黑体" w:cs="Arial"/>
      <w:b/>
      <w:kern w:val="2"/>
      <w:sz w:val="28"/>
    </w:rPr>
  </w:style>
  <w:style w:type="character" w:customStyle="1" w:styleId="1233">
    <w:name w:val="批注框文本 Char5"/>
    <w:qFormat/>
    <w:uiPriority w:val="0"/>
    <w:rPr>
      <w:rFonts w:cs="Times New Roman"/>
      <w:kern w:val="2"/>
      <w:sz w:val="18"/>
      <w:szCs w:val="18"/>
    </w:rPr>
  </w:style>
  <w:style w:type="character" w:customStyle="1" w:styleId="1234">
    <w:name w:val="正文文本 3 Char11"/>
    <w:qFormat/>
    <w:uiPriority w:val="0"/>
    <w:rPr>
      <w:rFonts w:cs="Times New Roman"/>
      <w:kern w:val="2"/>
      <w:sz w:val="16"/>
      <w:szCs w:val="16"/>
    </w:rPr>
  </w:style>
  <w:style w:type="character" w:customStyle="1" w:styleId="1235">
    <w:name w:val="批注文字 Char11"/>
    <w:qFormat/>
    <w:uiPriority w:val="0"/>
    <w:rPr>
      <w:rFonts w:cs="Times New Roman"/>
      <w:kern w:val="2"/>
      <w:sz w:val="24"/>
      <w:szCs w:val="24"/>
    </w:rPr>
  </w:style>
  <w:style w:type="character" w:customStyle="1" w:styleId="1236">
    <w:name w:val="标题 Char5"/>
    <w:qFormat/>
    <w:uiPriority w:val="0"/>
    <w:rPr>
      <w:rFonts w:ascii="Cambria" w:hAnsi="Cambria" w:cs="Times New Roman"/>
      <w:b/>
      <w:bCs/>
      <w:kern w:val="2"/>
      <w:sz w:val="32"/>
      <w:szCs w:val="32"/>
    </w:rPr>
  </w:style>
  <w:style w:type="character" w:customStyle="1" w:styleId="1237">
    <w:name w:val="Char Char181"/>
    <w:qFormat/>
    <w:uiPriority w:val="0"/>
    <w:rPr>
      <w:kern w:val="2"/>
      <w:sz w:val="18"/>
    </w:rPr>
  </w:style>
  <w:style w:type="character" w:customStyle="1" w:styleId="1238">
    <w:name w:val="Char Char22"/>
    <w:qFormat/>
    <w:uiPriority w:val="0"/>
    <w:rPr>
      <w:rFonts w:ascii="Arial" w:hAnsi="Arial" w:eastAsia="黑体"/>
      <w:kern w:val="2"/>
      <w:sz w:val="21"/>
      <w:lang w:val="en-US" w:eastAsia="zh-CN"/>
    </w:rPr>
  </w:style>
  <w:style w:type="character" w:customStyle="1" w:styleId="1239">
    <w:name w:val="Char Char42"/>
    <w:qFormat/>
    <w:uiPriority w:val="0"/>
    <w:rPr>
      <w:rFonts w:eastAsia="宋体"/>
      <w:b/>
      <w:kern w:val="2"/>
      <w:sz w:val="24"/>
      <w:lang w:val="en-US" w:eastAsia="zh-CN"/>
    </w:rPr>
  </w:style>
  <w:style w:type="character" w:customStyle="1" w:styleId="1240">
    <w:name w:val="Char Char111"/>
    <w:qFormat/>
    <w:uiPriority w:val="0"/>
    <w:rPr>
      <w:rFonts w:ascii="宋体" w:eastAsia="宋体"/>
      <w:kern w:val="2"/>
      <w:sz w:val="21"/>
      <w:lang w:val="en-US" w:eastAsia="zh-CN"/>
    </w:rPr>
  </w:style>
  <w:style w:type="character" w:customStyle="1" w:styleId="1241">
    <w:name w:val="Char Char81"/>
    <w:qFormat/>
    <w:locked/>
    <w:uiPriority w:val="0"/>
    <w:rPr>
      <w:rFonts w:ascii="仿宋_GB2312" w:hAnsi="Courier New" w:eastAsia="仿宋_GB2312"/>
      <w:sz w:val="28"/>
      <w:lang w:val="en-US" w:eastAsia="zh-CN"/>
    </w:rPr>
  </w:style>
  <w:style w:type="character" w:customStyle="1" w:styleId="1242">
    <w:name w:val="书籍标题2"/>
    <w:qFormat/>
    <w:uiPriority w:val="0"/>
    <w:rPr>
      <w:b/>
      <w:smallCaps/>
      <w:spacing w:val="5"/>
    </w:rPr>
  </w:style>
  <w:style w:type="character" w:customStyle="1" w:styleId="1243">
    <w:name w:val="Char Char131"/>
    <w:qFormat/>
    <w:uiPriority w:val="0"/>
    <w:rPr>
      <w:rFonts w:ascii="宋体" w:hAnsi="Courier New" w:eastAsia="宋体"/>
      <w:sz w:val="21"/>
    </w:rPr>
  </w:style>
  <w:style w:type="character" w:customStyle="1" w:styleId="1244">
    <w:name w:val="Char Char361"/>
    <w:qFormat/>
    <w:uiPriority w:val="0"/>
    <w:rPr>
      <w:kern w:val="2"/>
      <w:sz w:val="21"/>
    </w:rPr>
  </w:style>
  <w:style w:type="character" w:customStyle="1" w:styleId="1245">
    <w:name w:val="Char Char321"/>
    <w:qFormat/>
    <w:uiPriority w:val="0"/>
    <w:rPr>
      <w:rFonts w:ascii="Arial" w:hAnsi="Arial"/>
      <w:b/>
      <w:kern w:val="2"/>
      <w:sz w:val="21"/>
    </w:rPr>
  </w:style>
  <w:style w:type="character" w:customStyle="1" w:styleId="1246">
    <w:name w:val="Char Char281"/>
    <w:qFormat/>
    <w:uiPriority w:val="0"/>
    <w:rPr>
      <w:rFonts w:ascii="宋体" w:hAnsi="宋体" w:eastAsia="宋体"/>
      <w:kern w:val="2"/>
      <w:sz w:val="18"/>
      <w:lang w:val="en-US" w:eastAsia="zh-CN"/>
    </w:rPr>
  </w:style>
  <w:style w:type="character" w:customStyle="1" w:styleId="1247">
    <w:name w:val="Char Char301"/>
    <w:qFormat/>
    <w:uiPriority w:val="0"/>
    <w:rPr>
      <w:rFonts w:ascii="Arial" w:hAnsi="Arial" w:eastAsia="黑体"/>
      <w:b/>
      <w:kern w:val="2"/>
      <w:sz w:val="32"/>
      <w:lang w:val="en-US" w:eastAsia="zh-CN"/>
    </w:rPr>
  </w:style>
  <w:style w:type="character" w:customStyle="1" w:styleId="1248">
    <w:name w:val="Char Char161"/>
    <w:qFormat/>
    <w:uiPriority w:val="0"/>
    <w:rPr>
      <w:rFonts w:ascii="Times New Roman" w:hAnsi="Times New Roman" w:eastAsia="宋体"/>
      <w:color w:val="000000"/>
      <w:sz w:val="15"/>
    </w:rPr>
  </w:style>
  <w:style w:type="character" w:customStyle="1" w:styleId="1249">
    <w:name w:val="Char Char371"/>
    <w:qFormat/>
    <w:uiPriority w:val="0"/>
    <w:rPr>
      <w:rFonts w:ascii="宋体" w:hAnsi="宋体" w:eastAsia="宋体"/>
      <w:kern w:val="2"/>
      <w:sz w:val="18"/>
    </w:rPr>
  </w:style>
  <w:style w:type="character" w:customStyle="1" w:styleId="1250">
    <w:name w:val="Char Char351"/>
    <w:qFormat/>
    <w:uiPriority w:val="0"/>
    <w:rPr>
      <w:kern w:val="2"/>
      <w:sz w:val="18"/>
    </w:rPr>
  </w:style>
  <w:style w:type="character" w:customStyle="1" w:styleId="1251">
    <w:name w:val="Char Char171"/>
    <w:qFormat/>
    <w:uiPriority w:val="0"/>
    <w:rPr>
      <w:rFonts w:ascii="宋体" w:hAnsi="宋体" w:eastAsia="宋体"/>
      <w:kern w:val="2"/>
      <w:sz w:val="18"/>
      <w:lang w:val="en-US" w:eastAsia="zh-CN"/>
    </w:rPr>
  </w:style>
  <w:style w:type="character" w:customStyle="1" w:styleId="1252">
    <w:name w:val="Char Char291"/>
    <w:qFormat/>
    <w:uiPriority w:val="0"/>
    <w:rPr>
      <w:rFonts w:ascii="黑体" w:hAnsi="黑体" w:eastAsia="黑体"/>
      <w:kern w:val="2"/>
      <w:sz w:val="24"/>
      <w:lang w:val="en-US" w:eastAsia="zh-CN"/>
    </w:rPr>
  </w:style>
  <w:style w:type="character" w:customStyle="1" w:styleId="1253">
    <w:name w:val="Char Char261"/>
    <w:qFormat/>
    <w:uiPriority w:val="0"/>
    <w:rPr>
      <w:rFonts w:ascii="Arial" w:hAnsi="Arial" w:eastAsia="黑体"/>
      <w:b/>
      <w:kern w:val="2"/>
      <w:sz w:val="28"/>
    </w:rPr>
  </w:style>
  <w:style w:type="character" w:customStyle="1" w:styleId="1254">
    <w:name w:val="引用 Char4"/>
    <w:link w:val="1255"/>
    <w:qFormat/>
    <w:locked/>
    <w:uiPriority w:val="0"/>
    <w:rPr>
      <w:i/>
      <w:iCs/>
      <w:color w:val="000000"/>
      <w:szCs w:val="24"/>
    </w:rPr>
  </w:style>
  <w:style w:type="paragraph" w:styleId="1255">
    <w:name w:val="Quote"/>
    <w:basedOn w:val="1"/>
    <w:next w:val="1"/>
    <w:link w:val="1254"/>
    <w:qFormat/>
    <w:uiPriority w:val="0"/>
    <w:pPr>
      <w:adjustRightInd w:val="0"/>
      <w:spacing w:afterLines="50" w:line="315" w:lineRule="atLeast"/>
      <w:jc w:val="left"/>
    </w:pPr>
    <w:rPr>
      <w:rFonts w:asciiTheme="minorHAnsi" w:hAnsiTheme="minorHAnsi" w:eastAsiaTheme="minorEastAsia" w:cstheme="minorBidi"/>
      <w:i/>
      <w:iCs/>
      <w:color w:val="000000"/>
    </w:rPr>
  </w:style>
  <w:style w:type="character" w:customStyle="1" w:styleId="1256">
    <w:name w:val="明显引用 Char4"/>
    <w:link w:val="1257"/>
    <w:qFormat/>
    <w:locked/>
    <w:uiPriority w:val="0"/>
    <w:rPr>
      <w:b/>
      <w:bCs/>
      <w:i/>
      <w:iCs/>
      <w:color w:val="4F81BD"/>
      <w:szCs w:val="24"/>
    </w:rPr>
  </w:style>
  <w:style w:type="paragraph" w:styleId="1257">
    <w:name w:val="Intense Quote"/>
    <w:basedOn w:val="1"/>
    <w:next w:val="1"/>
    <w:link w:val="1256"/>
    <w:qFormat/>
    <w:uiPriority w:val="0"/>
    <w:pPr>
      <w:pBdr>
        <w:bottom w:val="single" w:color="4F81BD" w:sz="4" w:space="4"/>
      </w:pBdr>
      <w:adjustRightInd w:val="0"/>
      <w:spacing w:before="200" w:after="280" w:afterLines="50" w:line="315" w:lineRule="atLeast"/>
      <w:ind w:left="936" w:right="936"/>
      <w:jc w:val="left"/>
    </w:pPr>
    <w:rPr>
      <w:rFonts w:asciiTheme="minorHAnsi" w:hAnsiTheme="minorHAnsi" w:eastAsiaTheme="minorEastAsia" w:cstheme="minorBidi"/>
      <w:b/>
      <w:bCs/>
      <w:i/>
      <w:iCs/>
      <w:color w:val="4F81BD"/>
    </w:rPr>
  </w:style>
  <w:style w:type="character" w:customStyle="1" w:styleId="1258">
    <w:name w:val="正文格式 Char Char Char2 Char"/>
    <w:link w:val="1259"/>
    <w:qFormat/>
    <w:locked/>
    <w:uiPriority w:val="0"/>
    <w:rPr>
      <w:rFonts w:ascii="宋体" w:hAnsi="宋体" w:cs="宋体"/>
      <w:sz w:val="24"/>
      <w:szCs w:val="24"/>
    </w:rPr>
  </w:style>
  <w:style w:type="paragraph" w:customStyle="1" w:styleId="1259">
    <w:name w:val="正文格式 Char Char Char2"/>
    <w:basedOn w:val="1"/>
    <w:link w:val="1258"/>
    <w:qFormat/>
    <w:uiPriority w:val="0"/>
    <w:pPr>
      <w:spacing w:line="360" w:lineRule="auto"/>
      <w:ind w:firstLine="482"/>
    </w:pPr>
    <w:rPr>
      <w:rFonts w:ascii="宋体" w:hAnsi="宋体" w:cs="宋体" w:eastAsiaTheme="minorEastAsia"/>
      <w:sz w:val="24"/>
    </w:rPr>
  </w:style>
  <w:style w:type="character" w:customStyle="1" w:styleId="1260">
    <w:name w:val="文字 Char"/>
    <w:link w:val="1261"/>
    <w:locked/>
    <w:uiPriority w:val="0"/>
    <w:rPr>
      <w:sz w:val="24"/>
      <w:szCs w:val="24"/>
    </w:rPr>
  </w:style>
  <w:style w:type="paragraph" w:customStyle="1" w:styleId="1261">
    <w:name w:val="文字"/>
    <w:basedOn w:val="1"/>
    <w:link w:val="1260"/>
    <w:qFormat/>
    <w:uiPriority w:val="0"/>
    <w:pPr>
      <w:spacing w:line="360" w:lineRule="auto"/>
      <w:ind w:firstLine="200" w:firstLineChars="200"/>
    </w:pPr>
    <w:rPr>
      <w:rFonts w:asciiTheme="minorHAnsi" w:hAnsiTheme="minorHAnsi" w:eastAsiaTheme="minorEastAsia" w:cstheme="minorBidi"/>
      <w:sz w:val="24"/>
    </w:rPr>
  </w:style>
  <w:style w:type="character" w:customStyle="1" w:styleId="1262">
    <w:name w:val="hhcwt标题1 Char Char"/>
    <w:link w:val="1263"/>
    <w:qFormat/>
    <w:locked/>
    <w:uiPriority w:val="0"/>
    <w:rPr>
      <w:rFonts w:ascii="黑体" w:hAnsi="黑体" w:eastAsia="黑体" w:cs="宋体"/>
      <w:kern w:val="44"/>
      <w:sz w:val="36"/>
      <w:szCs w:val="24"/>
      <w:lang w:val="zh-CN"/>
    </w:rPr>
  </w:style>
  <w:style w:type="paragraph" w:customStyle="1" w:styleId="1263">
    <w:name w:val="hhcwt标题1"/>
    <w:basedOn w:val="1"/>
    <w:link w:val="1262"/>
    <w:qFormat/>
    <w:uiPriority w:val="0"/>
    <w:pPr>
      <w:keepNext/>
      <w:keepLines/>
      <w:autoSpaceDE w:val="0"/>
      <w:autoSpaceDN w:val="0"/>
      <w:adjustRightInd w:val="0"/>
      <w:spacing w:before="120" w:after="120" w:line="336" w:lineRule="auto"/>
      <w:outlineLvl w:val="0"/>
    </w:pPr>
    <w:rPr>
      <w:rFonts w:ascii="黑体" w:hAnsi="黑体" w:eastAsia="黑体" w:cs="宋体"/>
      <w:kern w:val="44"/>
      <w:sz w:val="36"/>
      <w:lang w:val="zh-CN"/>
    </w:rPr>
  </w:style>
  <w:style w:type="character" w:customStyle="1" w:styleId="1264">
    <w:name w:val="chen 正文字体 Char"/>
    <w:link w:val="1265"/>
    <w:locked/>
    <w:uiPriority w:val="0"/>
  </w:style>
  <w:style w:type="paragraph" w:customStyle="1" w:styleId="1265">
    <w:name w:val="chen 正文字体"/>
    <w:basedOn w:val="1"/>
    <w:link w:val="1264"/>
    <w:qFormat/>
    <w:uiPriority w:val="0"/>
    <w:pPr>
      <w:spacing w:line="360" w:lineRule="auto"/>
      <w:ind w:firstLine="200" w:firstLineChars="200"/>
    </w:pPr>
    <w:rPr>
      <w:rFonts w:asciiTheme="minorHAnsi" w:hAnsiTheme="minorHAnsi" w:eastAsiaTheme="minorEastAsia" w:cstheme="minorBidi"/>
      <w:szCs w:val="22"/>
    </w:rPr>
  </w:style>
  <w:style w:type="character" w:customStyle="1" w:styleId="1266">
    <w:name w:val="报告 Char Char Char Char"/>
    <w:link w:val="1267"/>
    <w:locked/>
    <w:uiPriority w:val="0"/>
    <w:rPr>
      <w:sz w:val="24"/>
      <w:szCs w:val="24"/>
    </w:rPr>
  </w:style>
  <w:style w:type="paragraph" w:customStyle="1" w:styleId="1267">
    <w:name w:val="报告 Char Char Char"/>
    <w:basedOn w:val="1"/>
    <w:link w:val="1266"/>
    <w:qFormat/>
    <w:uiPriority w:val="0"/>
    <w:pPr>
      <w:adjustRightInd w:val="0"/>
      <w:spacing w:line="360" w:lineRule="auto"/>
      <w:ind w:firstLine="505"/>
    </w:pPr>
    <w:rPr>
      <w:rFonts w:asciiTheme="minorHAnsi" w:hAnsiTheme="minorHAnsi" w:eastAsiaTheme="minorEastAsia" w:cstheme="minorBidi"/>
      <w:sz w:val="24"/>
    </w:rPr>
  </w:style>
  <w:style w:type="character" w:customStyle="1" w:styleId="1268">
    <w:name w:val="样式 表头样式1 + Char Char"/>
    <w:link w:val="1269"/>
    <w:qFormat/>
    <w:locked/>
    <w:uiPriority w:val="0"/>
    <w:rPr>
      <w:rFonts w:ascii="黑体" w:hAnsi="黑体" w:eastAsia="黑体"/>
      <w:b/>
      <w:bCs/>
      <w:sz w:val="24"/>
    </w:rPr>
  </w:style>
  <w:style w:type="paragraph" w:customStyle="1" w:styleId="1269">
    <w:name w:val="样式 表头样式1 +"/>
    <w:basedOn w:val="992"/>
    <w:link w:val="1268"/>
    <w:qFormat/>
    <w:uiPriority w:val="0"/>
    <w:pPr>
      <w:spacing w:beforeLines="50"/>
    </w:pPr>
    <w:rPr>
      <w:rFonts w:ascii="黑体" w:hAnsi="黑体" w:eastAsia="黑体"/>
      <w:bCs/>
    </w:rPr>
  </w:style>
  <w:style w:type="character" w:customStyle="1" w:styleId="1270">
    <w:name w:val="样式 样式 样式 宋体 小四 行距: 多倍行距 1.4 字行2 + 黑色 + Times New Roman1 Char"/>
    <w:link w:val="1271"/>
    <w:qFormat/>
    <w:locked/>
    <w:uiPriority w:val="0"/>
    <w:rPr>
      <w:rFonts w:ascii="宋体" w:hAnsi="宋体" w:cs="宋体"/>
      <w:color w:val="000000"/>
      <w:sz w:val="24"/>
      <w:szCs w:val="24"/>
    </w:rPr>
  </w:style>
  <w:style w:type="paragraph" w:customStyle="1" w:styleId="1271">
    <w:name w:val="样式 样式 样式 宋体 小四 行距: 多倍行距 1.4 字行2 + 黑色 + Times New Roman1"/>
    <w:basedOn w:val="1"/>
    <w:link w:val="1270"/>
    <w:qFormat/>
    <w:uiPriority w:val="0"/>
    <w:pPr>
      <w:spacing w:line="360" w:lineRule="auto"/>
      <w:ind w:firstLine="200" w:firstLineChars="200"/>
    </w:pPr>
    <w:rPr>
      <w:rFonts w:ascii="宋体" w:hAnsi="宋体" w:cs="宋体" w:eastAsiaTheme="minorEastAsia"/>
      <w:color w:val="000000"/>
      <w:sz w:val="24"/>
    </w:rPr>
  </w:style>
  <w:style w:type="character" w:customStyle="1" w:styleId="1272">
    <w:name w:val="样式 样式 样式 样式 样式 样式 样式 样式 首行缩进:  2 字符 + 首行缩进:  2 字符2 + 仿宋_GB2312 行...1 Char"/>
    <w:link w:val="1273"/>
    <w:locked/>
    <w:uiPriority w:val="0"/>
    <w:rPr>
      <w:rFonts w:ascii="楷体_GB2312" w:eastAsia="楷体_GB2312"/>
      <w:spacing w:val="14"/>
      <w:sz w:val="28"/>
    </w:rPr>
  </w:style>
  <w:style w:type="paragraph" w:customStyle="1" w:styleId="1273">
    <w:name w:val="样式 样式 样式 样式 样式 样式 样式 样式 首行缩进:  2 字符 + 首行缩进:  2 字符2 + 仿宋_GB2312 行...1"/>
    <w:basedOn w:val="1"/>
    <w:link w:val="1272"/>
    <w:qFormat/>
    <w:uiPriority w:val="0"/>
    <w:pPr>
      <w:spacing w:line="520" w:lineRule="exact"/>
      <w:ind w:firstLine="200" w:firstLineChars="200"/>
    </w:pPr>
    <w:rPr>
      <w:rFonts w:ascii="楷体_GB2312" w:eastAsia="楷体_GB2312" w:hAnsiTheme="minorHAnsi" w:cstheme="minorBidi"/>
      <w:spacing w:val="14"/>
      <w:sz w:val="28"/>
      <w:szCs w:val="22"/>
    </w:rPr>
  </w:style>
  <w:style w:type="character" w:customStyle="1" w:styleId="1274">
    <w:name w:val="样式 样式 宋体 小四 行距: 多倍行距 1.4 字行2 + 黑色 Char"/>
    <w:link w:val="1275"/>
    <w:locked/>
    <w:uiPriority w:val="0"/>
    <w:rPr>
      <w:rFonts w:ascii="宋体" w:hAnsi="宋体" w:cs="宋体"/>
      <w:b/>
      <w:color w:val="000000"/>
      <w:spacing w:val="10"/>
      <w:sz w:val="24"/>
      <w:szCs w:val="24"/>
    </w:rPr>
  </w:style>
  <w:style w:type="paragraph" w:customStyle="1" w:styleId="1275">
    <w:name w:val="样式 样式 宋体 小四 行距: 多倍行距 1.4 字行2 + 黑色"/>
    <w:basedOn w:val="1"/>
    <w:link w:val="1274"/>
    <w:qFormat/>
    <w:uiPriority w:val="0"/>
    <w:pPr>
      <w:spacing w:line="336" w:lineRule="auto"/>
      <w:ind w:firstLine="480" w:firstLineChars="200"/>
    </w:pPr>
    <w:rPr>
      <w:rFonts w:ascii="宋体" w:hAnsi="宋体" w:cs="宋体" w:eastAsiaTheme="minorEastAsia"/>
      <w:b/>
      <w:color w:val="000000"/>
      <w:spacing w:val="10"/>
      <w:sz w:val="24"/>
    </w:rPr>
  </w:style>
  <w:style w:type="character" w:customStyle="1" w:styleId="1276">
    <w:name w:val="大港正文 Char"/>
    <w:link w:val="1277"/>
    <w:qFormat/>
    <w:locked/>
    <w:uiPriority w:val="0"/>
    <w:rPr>
      <w:rFonts w:ascii="宋体" w:hAnsi="宋体"/>
      <w:sz w:val="24"/>
      <w:szCs w:val="24"/>
    </w:rPr>
  </w:style>
  <w:style w:type="paragraph" w:customStyle="1" w:styleId="1277">
    <w:name w:val="大港正文"/>
    <w:basedOn w:val="1"/>
    <w:next w:val="1"/>
    <w:link w:val="1276"/>
    <w:qFormat/>
    <w:uiPriority w:val="0"/>
    <w:pPr>
      <w:adjustRightInd w:val="0"/>
      <w:snapToGrid w:val="0"/>
      <w:spacing w:line="500" w:lineRule="atLeast"/>
      <w:ind w:firstLine="480" w:firstLineChars="200"/>
    </w:pPr>
    <w:rPr>
      <w:rFonts w:ascii="宋体" w:hAnsi="宋体" w:eastAsiaTheme="minorEastAsia" w:cstheme="minorBidi"/>
      <w:sz w:val="24"/>
    </w:rPr>
  </w:style>
  <w:style w:type="character" w:customStyle="1" w:styleId="1278">
    <w:name w:val="样式 正文xxxxx + 首行缩进:  2 字符 Char"/>
    <w:link w:val="1279"/>
    <w:locked/>
    <w:uiPriority w:val="0"/>
    <w:rPr>
      <w:rFonts w:ascii="Arial" w:hAnsi="Arial" w:cs="宋体"/>
      <w:color w:val="000000"/>
      <w:sz w:val="28"/>
    </w:rPr>
  </w:style>
  <w:style w:type="paragraph" w:customStyle="1" w:styleId="1279">
    <w:name w:val="样式 正文xxxxx + 首行缩进:  2 字符"/>
    <w:basedOn w:val="1"/>
    <w:link w:val="1278"/>
    <w:qFormat/>
    <w:uiPriority w:val="0"/>
    <w:pPr>
      <w:spacing w:line="360" w:lineRule="auto"/>
      <w:ind w:firstLine="200" w:firstLineChars="200"/>
      <w:jc w:val="left"/>
    </w:pPr>
    <w:rPr>
      <w:rFonts w:ascii="Arial" w:hAnsi="Arial" w:cs="宋体" w:eastAsiaTheme="minorEastAsia"/>
      <w:color w:val="000000"/>
      <w:sz w:val="28"/>
      <w:szCs w:val="22"/>
    </w:rPr>
  </w:style>
  <w:style w:type="character" w:customStyle="1" w:styleId="1280">
    <w:name w:val="样式 样式 样式 宋体 小四 行距: 多倍行距 1.4 字行2 + 黑色 + Times New Roman2 Char"/>
    <w:link w:val="1281"/>
    <w:qFormat/>
    <w:locked/>
    <w:uiPriority w:val="0"/>
  </w:style>
  <w:style w:type="paragraph" w:customStyle="1" w:styleId="1281">
    <w:name w:val="样式 样式 样式 宋体 小四 行距: 多倍行距 1.4 字行2 + 黑色 + Times New Roman2"/>
    <w:basedOn w:val="1275"/>
    <w:link w:val="1280"/>
    <w:qFormat/>
    <w:uiPriority w:val="0"/>
    <w:pPr>
      <w:spacing w:line="360" w:lineRule="auto"/>
      <w:ind w:firstLine="200"/>
    </w:pPr>
    <w:rPr>
      <w:rFonts w:asciiTheme="minorHAnsi" w:hAnsiTheme="minorHAnsi" w:cstheme="minorBidi"/>
      <w:b w:val="0"/>
      <w:color w:val="auto"/>
      <w:spacing w:val="0"/>
      <w:sz w:val="21"/>
      <w:szCs w:val="22"/>
    </w:rPr>
  </w:style>
  <w:style w:type="character" w:customStyle="1" w:styleId="1282">
    <w:name w:val="chen正文字体11 Char"/>
    <w:link w:val="1283"/>
    <w:qFormat/>
    <w:locked/>
    <w:uiPriority w:val="0"/>
    <w:rPr>
      <w:rFonts w:ascii="宋体" w:hAnsi="宋体" w:cs="宋体"/>
      <w:color w:val="000000"/>
      <w:sz w:val="24"/>
      <w:szCs w:val="24"/>
    </w:rPr>
  </w:style>
  <w:style w:type="paragraph" w:customStyle="1" w:styleId="1283">
    <w:name w:val="chen正文字体11"/>
    <w:basedOn w:val="1"/>
    <w:link w:val="1282"/>
    <w:qFormat/>
    <w:uiPriority w:val="0"/>
    <w:pPr>
      <w:spacing w:line="360" w:lineRule="auto"/>
      <w:ind w:firstLine="480" w:firstLineChars="200"/>
    </w:pPr>
    <w:rPr>
      <w:rFonts w:ascii="宋体" w:hAnsi="宋体" w:cs="宋体" w:eastAsiaTheme="minorEastAsia"/>
      <w:color w:val="000000"/>
      <w:sz w:val="24"/>
    </w:rPr>
  </w:style>
  <w:style w:type="character" w:customStyle="1" w:styleId="1284">
    <w:name w:val="hhcwt标题3 Char Char"/>
    <w:link w:val="1285"/>
    <w:locked/>
    <w:uiPriority w:val="0"/>
    <w:rPr>
      <w:rFonts w:ascii="楷体_GB2312" w:eastAsia="楷体_GB2312" w:cs="宋体"/>
      <w:bCs/>
      <w:sz w:val="28"/>
      <w:szCs w:val="24"/>
    </w:rPr>
  </w:style>
  <w:style w:type="paragraph" w:customStyle="1" w:styleId="1285">
    <w:name w:val="hhcwt标题3"/>
    <w:basedOn w:val="1"/>
    <w:link w:val="1284"/>
    <w:qFormat/>
    <w:uiPriority w:val="0"/>
    <w:pPr>
      <w:keepNext/>
      <w:keepLines/>
      <w:spacing w:line="336" w:lineRule="auto"/>
      <w:outlineLvl w:val="2"/>
    </w:pPr>
    <w:rPr>
      <w:rFonts w:ascii="楷体_GB2312" w:eastAsia="楷体_GB2312" w:cs="宋体" w:hAnsiTheme="minorHAnsi"/>
      <w:bCs/>
      <w:sz w:val="28"/>
    </w:rPr>
  </w:style>
  <w:style w:type="character" w:customStyle="1" w:styleId="1286">
    <w:name w:val="样式 报告书表格 + 字距调整二号 Char"/>
    <w:link w:val="1287"/>
    <w:qFormat/>
    <w:locked/>
    <w:uiPriority w:val="0"/>
    <w:rPr>
      <w:rFonts w:ascii="仿宋_GB2312" w:eastAsia="仿宋_GB2312"/>
      <w:kern w:val="44"/>
      <w:sz w:val="24"/>
      <w:szCs w:val="21"/>
    </w:rPr>
  </w:style>
  <w:style w:type="paragraph" w:customStyle="1" w:styleId="1287">
    <w:name w:val="样式 报告书表格 + 字距调整二号"/>
    <w:basedOn w:val="596"/>
    <w:link w:val="1286"/>
    <w:qFormat/>
    <w:uiPriority w:val="0"/>
    <w:pPr>
      <w:spacing w:before="0" w:after="0" w:line="400" w:lineRule="exact"/>
      <w:textAlignment w:val="auto"/>
    </w:pPr>
    <w:rPr>
      <w:rFonts w:ascii="仿宋_GB2312" w:eastAsia="仿宋_GB2312"/>
      <w:kern w:val="44"/>
      <w:sz w:val="24"/>
      <w:szCs w:val="21"/>
    </w:rPr>
  </w:style>
  <w:style w:type="character" w:customStyle="1" w:styleId="1288">
    <w:name w:val="黑体标题 Char"/>
    <w:link w:val="1289"/>
    <w:semiHidden/>
    <w:qFormat/>
    <w:locked/>
    <w:uiPriority w:val="0"/>
    <w:rPr>
      <w:rFonts w:ascii="宋体" w:hAnsi="宋体"/>
      <w:sz w:val="28"/>
    </w:rPr>
  </w:style>
  <w:style w:type="paragraph" w:customStyle="1" w:styleId="1289">
    <w:name w:val="黑体标题"/>
    <w:basedOn w:val="1"/>
    <w:link w:val="1288"/>
    <w:semiHidden/>
    <w:qFormat/>
    <w:uiPriority w:val="0"/>
    <w:pPr>
      <w:spacing w:line="500" w:lineRule="exact"/>
      <w:ind w:firstLine="560" w:firstLineChars="200"/>
    </w:pPr>
    <w:rPr>
      <w:rFonts w:ascii="宋体" w:hAnsi="宋体" w:eastAsiaTheme="minorEastAsia" w:cstheme="minorBidi"/>
      <w:sz w:val="28"/>
      <w:szCs w:val="22"/>
    </w:rPr>
  </w:style>
  <w:style w:type="character" w:customStyle="1" w:styleId="1290">
    <w:name w:val="hhcwt正文 Char"/>
    <w:link w:val="1291"/>
    <w:qFormat/>
    <w:locked/>
    <w:uiPriority w:val="0"/>
    <w:rPr>
      <w:rFonts w:ascii="宋体" w:hAnsi="宋体" w:cs="宋体"/>
      <w:sz w:val="24"/>
      <w:szCs w:val="24"/>
    </w:rPr>
  </w:style>
  <w:style w:type="paragraph" w:customStyle="1" w:styleId="1291">
    <w:name w:val="hhcwt正文"/>
    <w:basedOn w:val="1"/>
    <w:link w:val="1290"/>
    <w:qFormat/>
    <w:uiPriority w:val="0"/>
    <w:pPr>
      <w:spacing w:line="360" w:lineRule="auto"/>
      <w:ind w:firstLine="480" w:firstLineChars="200"/>
    </w:pPr>
    <w:rPr>
      <w:rFonts w:ascii="宋体" w:hAnsi="宋体" w:cs="宋体" w:eastAsiaTheme="minorEastAsia"/>
      <w:sz w:val="24"/>
    </w:rPr>
  </w:style>
  <w:style w:type="character" w:customStyle="1" w:styleId="1292">
    <w:name w:val="谏壁正文chen Char"/>
    <w:link w:val="1293"/>
    <w:locked/>
    <w:uiPriority w:val="0"/>
    <w:rPr>
      <w:sz w:val="24"/>
      <w:szCs w:val="24"/>
    </w:rPr>
  </w:style>
  <w:style w:type="paragraph" w:customStyle="1" w:styleId="1293">
    <w:name w:val="谏壁正文chen"/>
    <w:basedOn w:val="1"/>
    <w:link w:val="1292"/>
    <w:qFormat/>
    <w:uiPriority w:val="0"/>
    <w:pPr>
      <w:spacing w:line="360" w:lineRule="auto"/>
      <w:ind w:firstLine="200" w:firstLineChars="200"/>
    </w:pPr>
    <w:rPr>
      <w:rFonts w:asciiTheme="minorHAnsi" w:hAnsiTheme="minorHAnsi" w:eastAsiaTheme="minorEastAsia" w:cstheme="minorBidi"/>
      <w:sz w:val="24"/>
    </w:rPr>
  </w:style>
  <w:style w:type="character" w:customStyle="1" w:styleId="1294">
    <w:name w:val="宋体四号 Char"/>
    <w:link w:val="1295"/>
    <w:qFormat/>
    <w:locked/>
    <w:uiPriority w:val="0"/>
    <w:rPr>
      <w:sz w:val="28"/>
    </w:rPr>
  </w:style>
  <w:style w:type="paragraph" w:customStyle="1" w:styleId="1295">
    <w:name w:val="宋体四号"/>
    <w:basedOn w:val="1"/>
    <w:link w:val="1294"/>
    <w:qFormat/>
    <w:uiPriority w:val="0"/>
    <w:pPr>
      <w:spacing w:line="360" w:lineRule="auto"/>
      <w:ind w:firstLine="200" w:firstLineChars="200"/>
    </w:pPr>
    <w:rPr>
      <w:rFonts w:asciiTheme="minorHAnsi" w:hAnsiTheme="minorHAnsi" w:eastAsiaTheme="minorEastAsia" w:cstheme="minorBidi"/>
      <w:sz w:val="28"/>
      <w:szCs w:val="22"/>
    </w:rPr>
  </w:style>
  <w:style w:type="character" w:customStyle="1" w:styleId="1296">
    <w:name w:val="正文001 Char"/>
    <w:link w:val="1297"/>
    <w:qFormat/>
    <w:uiPriority w:val="0"/>
    <w:rPr>
      <w:sz w:val="24"/>
    </w:rPr>
  </w:style>
  <w:style w:type="paragraph" w:customStyle="1" w:styleId="1297">
    <w:name w:val="正文001"/>
    <w:basedOn w:val="1"/>
    <w:link w:val="1296"/>
    <w:qFormat/>
    <w:uiPriority w:val="0"/>
    <w:pPr>
      <w:spacing w:before="60" w:line="420" w:lineRule="exact"/>
      <w:ind w:firstLine="482"/>
    </w:pPr>
    <w:rPr>
      <w:rFonts w:asciiTheme="minorHAnsi" w:hAnsiTheme="minorHAnsi" w:eastAsiaTheme="minorEastAsia" w:cstheme="minorBidi"/>
      <w:sz w:val="24"/>
      <w:szCs w:val="22"/>
    </w:rPr>
  </w:style>
  <w:style w:type="character" w:customStyle="1" w:styleId="1298">
    <w:name w:val="hhcwt标题4 Char Char"/>
    <w:link w:val="1299"/>
    <w:qFormat/>
    <w:locked/>
    <w:uiPriority w:val="0"/>
    <w:rPr>
      <w:rFonts w:ascii="宋体" w:hAnsi="宋体" w:cs="宋体"/>
      <w:bCs/>
      <w:sz w:val="24"/>
      <w:szCs w:val="24"/>
    </w:rPr>
  </w:style>
  <w:style w:type="paragraph" w:customStyle="1" w:styleId="1299">
    <w:name w:val="hhcwt标题4"/>
    <w:basedOn w:val="6"/>
    <w:link w:val="1298"/>
    <w:qFormat/>
    <w:uiPriority w:val="0"/>
    <w:pPr>
      <w:spacing w:before="0" w:after="0" w:line="360" w:lineRule="auto"/>
    </w:pPr>
    <w:rPr>
      <w:rFonts w:ascii="宋体" w:hAnsi="宋体" w:cs="宋体" w:eastAsiaTheme="minorEastAsia"/>
      <w:b w:val="0"/>
      <w:sz w:val="24"/>
      <w:szCs w:val="24"/>
    </w:rPr>
  </w:style>
  <w:style w:type="character" w:customStyle="1" w:styleId="1300">
    <w:name w:val="chen表头1 Char"/>
    <w:link w:val="1301"/>
    <w:locked/>
    <w:uiPriority w:val="0"/>
    <w:rPr>
      <w:rFonts w:ascii="楷体_GB2312" w:eastAsia="楷体_GB2312" w:cs="宋体"/>
      <w:b/>
      <w:sz w:val="24"/>
      <w:szCs w:val="24"/>
    </w:rPr>
  </w:style>
  <w:style w:type="paragraph" w:customStyle="1" w:styleId="1301">
    <w:name w:val="chen表头1"/>
    <w:basedOn w:val="1"/>
    <w:link w:val="1300"/>
    <w:qFormat/>
    <w:uiPriority w:val="0"/>
    <w:pPr>
      <w:spacing w:after="120" w:line="500" w:lineRule="exact"/>
      <w:jc w:val="center"/>
    </w:pPr>
    <w:rPr>
      <w:rFonts w:ascii="楷体_GB2312" w:eastAsia="楷体_GB2312" w:cs="宋体" w:hAnsiTheme="minorHAnsi"/>
      <w:b/>
      <w:sz w:val="24"/>
    </w:rPr>
  </w:style>
  <w:style w:type="character" w:customStyle="1" w:styleId="1302">
    <w:name w:val="正文格式 Char"/>
    <w:link w:val="1303"/>
    <w:locked/>
    <w:uiPriority w:val="0"/>
    <w:rPr>
      <w:rFonts w:ascii="宋体" w:hAnsi="黑体"/>
      <w:b/>
      <w:spacing w:val="10"/>
      <w:sz w:val="24"/>
    </w:rPr>
  </w:style>
  <w:style w:type="paragraph" w:customStyle="1" w:styleId="1303">
    <w:name w:val="正文格式"/>
    <w:basedOn w:val="1"/>
    <w:link w:val="1302"/>
    <w:qFormat/>
    <w:uiPriority w:val="0"/>
    <w:pPr>
      <w:spacing w:line="360" w:lineRule="auto"/>
      <w:ind w:firstLine="482"/>
    </w:pPr>
    <w:rPr>
      <w:rFonts w:ascii="宋体" w:hAnsi="黑体" w:eastAsiaTheme="minorEastAsia" w:cstheme="minorBidi"/>
      <w:b/>
      <w:spacing w:val="10"/>
      <w:sz w:val="24"/>
      <w:szCs w:val="22"/>
    </w:rPr>
  </w:style>
  <w:style w:type="character" w:customStyle="1" w:styleId="1304">
    <w:name w:val="样式 正文首行缩进 + 左侧:  2 字符 段前: 0.15 行 段后: 0.15 行 Char"/>
    <w:link w:val="1305"/>
    <w:qFormat/>
    <w:locked/>
    <w:uiPriority w:val="0"/>
    <w:rPr>
      <w:rFonts w:ascii="宋体" w:hAnsi="宋体" w:cs="宋体"/>
      <w:sz w:val="28"/>
    </w:rPr>
  </w:style>
  <w:style w:type="paragraph" w:customStyle="1" w:styleId="1305">
    <w:name w:val="样式 正文首行缩进 + 左侧:  2 字符 段前: 0.15 行 段后: 0.15 行"/>
    <w:basedOn w:val="86"/>
    <w:link w:val="1304"/>
    <w:qFormat/>
    <w:uiPriority w:val="0"/>
    <w:pPr>
      <w:tabs>
        <w:tab w:val="left" w:pos="283"/>
      </w:tabs>
      <w:adjustRightInd w:val="0"/>
      <w:snapToGrid w:val="0"/>
      <w:spacing w:after="0" w:line="520" w:lineRule="atLeast"/>
      <w:ind w:firstLine="200" w:firstLineChars="200"/>
    </w:pPr>
    <w:rPr>
      <w:rFonts w:cs="宋体" w:eastAsiaTheme="minorEastAsia"/>
      <w:sz w:val="28"/>
      <w:szCs w:val="22"/>
    </w:rPr>
  </w:style>
  <w:style w:type="character" w:customStyle="1" w:styleId="1306">
    <w:name w:val="表注 Char"/>
    <w:link w:val="1307"/>
    <w:qFormat/>
    <w:locked/>
    <w:uiPriority w:val="0"/>
    <w:rPr>
      <w:rFonts w:ascii="宋体" w:hAnsi="宋体" w:cs="Courier New"/>
      <w:b/>
      <w:spacing w:val="10"/>
      <w:sz w:val="18"/>
      <w:szCs w:val="21"/>
    </w:rPr>
  </w:style>
  <w:style w:type="paragraph" w:customStyle="1" w:styleId="1307">
    <w:name w:val="表注"/>
    <w:basedOn w:val="1"/>
    <w:next w:val="1"/>
    <w:link w:val="1306"/>
    <w:qFormat/>
    <w:uiPriority w:val="0"/>
    <w:pPr>
      <w:keepLines/>
      <w:spacing w:line="240" w:lineRule="atLeast"/>
    </w:pPr>
    <w:rPr>
      <w:rFonts w:ascii="宋体" w:hAnsi="宋体" w:cs="Courier New" w:eastAsiaTheme="minorEastAsia"/>
      <w:b/>
      <w:spacing w:val="10"/>
      <w:sz w:val="18"/>
      <w:szCs w:val="21"/>
    </w:rPr>
  </w:style>
  <w:style w:type="character" w:customStyle="1" w:styleId="1308">
    <w:name w:val="表标题1 Char Char"/>
    <w:link w:val="1309"/>
    <w:qFormat/>
    <w:locked/>
    <w:uiPriority w:val="0"/>
    <w:rPr>
      <w:rFonts w:ascii="黑体" w:hAnsi="黑体" w:eastAsia="黑体"/>
      <w:b/>
      <w:sz w:val="24"/>
      <w:szCs w:val="24"/>
    </w:rPr>
  </w:style>
  <w:style w:type="paragraph" w:customStyle="1" w:styleId="1309">
    <w:name w:val="表标题1"/>
    <w:basedOn w:val="1"/>
    <w:link w:val="1308"/>
    <w:qFormat/>
    <w:uiPriority w:val="0"/>
    <w:pPr>
      <w:spacing w:beforeLines="50"/>
      <w:jc w:val="center"/>
    </w:pPr>
    <w:rPr>
      <w:rFonts w:ascii="黑体" w:hAnsi="黑体" w:eastAsia="黑体" w:cstheme="minorBidi"/>
      <w:b/>
      <w:sz w:val="24"/>
    </w:rPr>
  </w:style>
  <w:style w:type="character" w:customStyle="1" w:styleId="1310">
    <w:name w:val="样式正文 Char"/>
    <w:link w:val="1311"/>
    <w:qFormat/>
    <w:locked/>
    <w:uiPriority w:val="0"/>
    <w:rPr>
      <w:rFonts w:ascii="宋体" w:hAnsi="宋体" w:cs="宋体"/>
      <w:sz w:val="24"/>
      <w:szCs w:val="24"/>
    </w:rPr>
  </w:style>
  <w:style w:type="paragraph" w:customStyle="1" w:styleId="1311">
    <w:name w:val="样式正文"/>
    <w:basedOn w:val="1"/>
    <w:link w:val="1310"/>
    <w:qFormat/>
    <w:uiPriority w:val="0"/>
    <w:pPr>
      <w:spacing w:line="400" w:lineRule="exact"/>
      <w:ind w:firstLine="200" w:firstLineChars="200"/>
    </w:pPr>
    <w:rPr>
      <w:rFonts w:ascii="宋体" w:hAnsi="宋体" w:cs="宋体" w:eastAsiaTheme="minorEastAsia"/>
      <w:sz w:val="24"/>
    </w:rPr>
  </w:style>
  <w:style w:type="character" w:customStyle="1" w:styleId="1312">
    <w:name w:val="表格文字 Char Char Char"/>
    <w:link w:val="1313"/>
    <w:qFormat/>
    <w:locked/>
    <w:uiPriority w:val="0"/>
    <w:rPr>
      <w:rFonts w:ascii="Bookman Old Style" w:hAnsi="Bookman Old Style"/>
      <w:bCs/>
      <w:szCs w:val="21"/>
    </w:rPr>
  </w:style>
  <w:style w:type="paragraph" w:customStyle="1" w:styleId="1313">
    <w:name w:val="表格文字 Char Char"/>
    <w:link w:val="1312"/>
    <w:qFormat/>
    <w:uiPriority w:val="0"/>
    <w:pPr>
      <w:widowControl w:val="0"/>
      <w:adjustRightInd w:val="0"/>
      <w:snapToGrid w:val="0"/>
      <w:spacing w:beforeLines="20"/>
      <w:jc w:val="center"/>
    </w:pPr>
    <w:rPr>
      <w:rFonts w:ascii="Bookman Old Style" w:hAnsi="Bookman Old Style" w:eastAsiaTheme="minorEastAsia" w:cstheme="minorBidi"/>
      <w:bCs/>
      <w:kern w:val="2"/>
      <w:sz w:val="21"/>
      <w:szCs w:val="21"/>
      <w:lang w:val="en-US" w:eastAsia="zh-CN" w:bidi="ar-SA"/>
    </w:rPr>
  </w:style>
  <w:style w:type="character" w:customStyle="1" w:styleId="1314">
    <w:name w:val="正文xx Char"/>
    <w:link w:val="1315"/>
    <w:locked/>
    <w:uiPriority w:val="0"/>
    <w:rPr>
      <w:rFonts w:ascii="宋体" w:hAnsi="宋体" w:cs="宋体"/>
      <w:sz w:val="28"/>
    </w:rPr>
  </w:style>
  <w:style w:type="paragraph" w:customStyle="1" w:styleId="1315">
    <w:name w:val="正文xx"/>
    <w:basedOn w:val="1"/>
    <w:link w:val="1314"/>
    <w:qFormat/>
    <w:uiPriority w:val="0"/>
    <w:pPr>
      <w:spacing w:line="360" w:lineRule="auto"/>
      <w:ind w:firstLine="560" w:firstLineChars="200"/>
      <w:jc w:val="left"/>
    </w:pPr>
    <w:rPr>
      <w:rFonts w:ascii="宋体" w:hAnsi="宋体" w:cs="宋体" w:eastAsiaTheme="minorEastAsia"/>
      <w:sz w:val="28"/>
      <w:szCs w:val="22"/>
    </w:rPr>
  </w:style>
  <w:style w:type="character" w:customStyle="1" w:styleId="1316">
    <w:name w:val="报告编制样式 Char"/>
    <w:link w:val="1317"/>
    <w:qFormat/>
    <w:locked/>
    <w:uiPriority w:val="0"/>
    <w:rPr>
      <w:sz w:val="24"/>
      <w:szCs w:val="21"/>
    </w:rPr>
  </w:style>
  <w:style w:type="paragraph" w:customStyle="1" w:styleId="1317">
    <w:name w:val="报告编制样式"/>
    <w:basedOn w:val="1"/>
    <w:link w:val="1316"/>
    <w:qFormat/>
    <w:uiPriority w:val="0"/>
    <w:pPr>
      <w:spacing w:line="360" w:lineRule="auto"/>
      <w:ind w:firstLine="420" w:firstLineChars="200"/>
    </w:pPr>
    <w:rPr>
      <w:rFonts w:asciiTheme="minorHAnsi" w:hAnsiTheme="minorHAnsi" w:eastAsiaTheme="minorEastAsia" w:cstheme="minorBidi"/>
      <w:sz w:val="24"/>
      <w:szCs w:val="21"/>
    </w:rPr>
  </w:style>
  <w:style w:type="character" w:customStyle="1" w:styleId="1318">
    <w:name w:val="表目 Char"/>
    <w:link w:val="1319"/>
    <w:qFormat/>
    <w:locked/>
    <w:uiPriority w:val="0"/>
    <w:rPr>
      <w:b/>
      <w:sz w:val="24"/>
    </w:rPr>
  </w:style>
  <w:style w:type="paragraph" w:customStyle="1" w:styleId="1319">
    <w:name w:val="表目"/>
    <w:basedOn w:val="1"/>
    <w:link w:val="1318"/>
    <w:qFormat/>
    <w:uiPriority w:val="0"/>
    <w:pPr>
      <w:spacing w:line="560" w:lineRule="exact"/>
      <w:jc w:val="center"/>
    </w:pPr>
    <w:rPr>
      <w:rFonts w:asciiTheme="minorHAnsi" w:hAnsiTheme="minorHAnsi" w:eastAsiaTheme="minorEastAsia" w:cstheme="minorBidi"/>
      <w:b/>
      <w:sz w:val="24"/>
      <w:szCs w:val="22"/>
    </w:rPr>
  </w:style>
  <w:style w:type="character" w:customStyle="1" w:styleId="1320">
    <w:name w:val="报告题目 Char"/>
    <w:link w:val="1321"/>
    <w:qFormat/>
    <w:locked/>
    <w:uiPriority w:val="0"/>
    <w:rPr>
      <w:rFonts w:ascii="华康宋体W12(P)" w:eastAsia="华康宋体W12(P)"/>
      <w:color w:val="000000"/>
      <w:sz w:val="72"/>
      <w:szCs w:val="72"/>
    </w:rPr>
  </w:style>
  <w:style w:type="paragraph" w:customStyle="1" w:styleId="1321">
    <w:name w:val="报告题目"/>
    <w:link w:val="1320"/>
    <w:qFormat/>
    <w:uiPriority w:val="0"/>
    <w:pPr>
      <w:jc w:val="center"/>
    </w:pPr>
    <w:rPr>
      <w:rFonts w:ascii="华康宋体W12(P)" w:eastAsia="华康宋体W12(P)" w:hAnsiTheme="minorHAnsi" w:cstheme="minorBidi"/>
      <w:color w:val="000000"/>
      <w:kern w:val="2"/>
      <w:sz w:val="72"/>
      <w:szCs w:val="72"/>
      <w:lang w:val="en-US" w:eastAsia="zh-CN" w:bidi="ar-SA"/>
    </w:rPr>
  </w:style>
  <w:style w:type="character" w:customStyle="1" w:styleId="1322">
    <w:name w:val="01正文 Char"/>
    <w:link w:val="1323"/>
    <w:qFormat/>
    <w:locked/>
    <w:uiPriority w:val="0"/>
    <w:rPr>
      <w:sz w:val="24"/>
      <w:szCs w:val="26"/>
    </w:rPr>
  </w:style>
  <w:style w:type="paragraph" w:customStyle="1" w:styleId="1323">
    <w:name w:val="01正文"/>
    <w:basedOn w:val="1"/>
    <w:link w:val="1322"/>
    <w:qFormat/>
    <w:uiPriority w:val="0"/>
    <w:pPr>
      <w:adjustRightInd w:val="0"/>
      <w:snapToGrid w:val="0"/>
      <w:spacing w:line="360" w:lineRule="auto"/>
      <w:ind w:firstLine="480" w:firstLineChars="200"/>
    </w:pPr>
    <w:rPr>
      <w:rFonts w:asciiTheme="minorHAnsi" w:hAnsiTheme="minorHAnsi" w:eastAsiaTheme="minorEastAsia" w:cstheme="minorBidi"/>
      <w:sz w:val="24"/>
      <w:szCs w:val="26"/>
    </w:rPr>
  </w:style>
  <w:style w:type="character" w:customStyle="1" w:styleId="1324">
    <w:name w:val="dxj正文 Char"/>
    <w:link w:val="1325"/>
    <w:qFormat/>
    <w:locked/>
    <w:uiPriority w:val="0"/>
    <w:rPr>
      <w:sz w:val="24"/>
      <w:szCs w:val="24"/>
    </w:rPr>
  </w:style>
  <w:style w:type="paragraph" w:customStyle="1" w:styleId="1325">
    <w:name w:val="dxj正文"/>
    <w:basedOn w:val="1"/>
    <w:link w:val="1324"/>
    <w:qFormat/>
    <w:uiPriority w:val="0"/>
    <w:pPr>
      <w:spacing w:line="360" w:lineRule="auto"/>
      <w:ind w:firstLine="200" w:firstLineChars="200"/>
    </w:pPr>
    <w:rPr>
      <w:rFonts w:asciiTheme="minorHAnsi" w:hAnsiTheme="minorHAnsi" w:eastAsiaTheme="minorEastAsia" w:cstheme="minorBidi"/>
      <w:sz w:val="24"/>
    </w:rPr>
  </w:style>
  <w:style w:type="character" w:customStyle="1" w:styleId="1326">
    <w:name w:val="样式-wc Char"/>
    <w:link w:val="1327"/>
    <w:qFormat/>
    <w:locked/>
    <w:uiPriority w:val="0"/>
    <w:rPr>
      <w:rFonts w:ascii="宋体" w:hAnsi="宋体"/>
      <w:sz w:val="24"/>
    </w:rPr>
  </w:style>
  <w:style w:type="paragraph" w:customStyle="1" w:styleId="1327">
    <w:name w:val="样式-wc"/>
    <w:basedOn w:val="1"/>
    <w:link w:val="1326"/>
    <w:qFormat/>
    <w:uiPriority w:val="0"/>
    <w:pPr>
      <w:snapToGrid w:val="0"/>
      <w:spacing w:line="500" w:lineRule="exact"/>
      <w:ind w:firstLine="200" w:firstLineChars="200"/>
    </w:pPr>
    <w:rPr>
      <w:rFonts w:ascii="宋体" w:hAnsi="宋体" w:eastAsiaTheme="minorEastAsia" w:cstheme="minorBidi"/>
      <w:sz w:val="24"/>
      <w:szCs w:val="22"/>
    </w:rPr>
  </w:style>
  <w:style w:type="character" w:customStyle="1" w:styleId="1328">
    <w:name w:val="Char Char Char11"/>
    <w:qFormat/>
    <w:uiPriority w:val="0"/>
    <w:rPr>
      <w:rFonts w:hint="default" w:ascii="Arial" w:hAnsi="Arial" w:eastAsia="黑体" w:cs="Arial"/>
      <w:b/>
      <w:bCs/>
      <w:kern w:val="2"/>
      <w:sz w:val="24"/>
      <w:szCs w:val="24"/>
      <w:lang w:val="en-US" w:eastAsia="zh-CN" w:bidi="ar-SA"/>
    </w:rPr>
  </w:style>
  <w:style w:type="character" w:customStyle="1" w:styleId="1329">
    <w:name w:val="正文首行缩进 2 + Times New Roman Char"/>
    <w:qFormat/>
    <w:locked/>
    <w:uiPriority w:val="0"/>
    <w:rPr>
      <w:rFonts w:hint="eastAsia" w:ascii="黑体" w:hAnsi="宋体" w:eastAsia="宋体"/>
      <w:b/>
      <w:spacing w:val="10"/>
      <w:kern w:val="2"/>
      <w:sz w:val="24"/>
      <w:szCs w:val="24"/>
      <w:lang w:val="en-US" w:eastAsia="zh-CN" w:bidi="ar-SA"/>
    </w:rPr>
  </w:style>
  <w:style w:type="character" w:customStyle="1" w:styleId="1330">
    <w:name w:val="标题1 Char Char"/>
    <w:qFormat/>
    <w:uiPriority w:val="0"/>
    <w:rPr>
      <w:rFonts w:hint="default" w:ascii="Arial" w:hAnsi="Arial" w:eastAsia="宋体" w:cs="Arial"/>
      <w:b/>
      <w:bCs/>
      <w:kern w:val="2"/>
      <w:sz w:val="32"/>
      <w:szCs w:val="32"/>
      <w:lang w:val="en-US" w:eastAsia="zh-CN" w:bidi="ar-SA"/>
    </w:rPr>
  </w:style>
  <w:style w:type="character" w:customStyle="1" w:styleId="1331">
    <w:name w:val="超链接3"/>
    <w:qFormat/>
    <w:uiPriority w:val="0"/>
    <w:rPr>
      <w:color w:val="0000FF"/>
      <w:u w:val="single"/>
    </w:rPr>
  </w:style>
  <w:style w:type="character" w:customStyle="1" w:styleId="1332">
    <w:name w:val="size91"/>
    <w:uiPriority w:val="0"/>
    <w:rPr>
      <w:sz w:val="18"/>
      <w:szCs w:val="18"/>
    </w:rPr>
  </w:style>
  <w:style w:type="character" w:customStyle="1" w:styleId="1333">
    <w:name w:val="infodetail1"/>
    <w:qFormat/>
    <w:uiPriority w:val="0"/>
    <w:rPr>
      <w:rFonts w:hint="default" w:ascii="ˎ̥" w:hAnsi="ˎ̥" w:eastAsia="黑体"/>
      <w:b/>
      <w:color w:val="000000"/>
      <w:spacing w:val="10"/>
      <w:kern w:val="44"/>
      <w:sz w:val="24"/>
      <w:u w:val="none"/>
      <w:lang w:val="en-US" w:eastAsia="zh-CN"/>
    </w:rPr>
  </w:style>
  <w:style w:type="character" w:customStyle="1" w:styleId="1334">
    <w:name w:val="s4 Cha"/>
    <w:qFormat/>
    <w:uiPriority w:val="0"/>
    <w:rPr>
      <w:rFonts w:hint="eastAsia" w:ascii="仿宋_GB2312" w:eastAsia="仿宋_GB2312"/>
      <w:kern w:val="2"/>
      <w:sz w:val="28"/>
      <w:szCs w:val="24"/>
      <w:lang w:val="en-US" w:eastAsia="zh-CN" w:bidi="ar-SA"/>
    </w:rPr>
  </w:style>
  <w:style w:type="character" w:customStyle="1" w:styleId="1335">
    <w:name w:val="unnamed91"/>
    <w:qFormat/>
    <w:uiPriority w:val="0"/>
    <w:rPr>
      <w:rFonts w:hint="eastAsia" w:ascii="宋体" w:hAnsi="宋体" w:eastAsia="宋体"/>
      <w:color w:val="000000"/>
      <w:spacing w:val="10"/>
      <w:kern w:val="44"/>
      <w:sz w:val="18"/>
      <w:szCs w:val="18"/>
      <w:u w:val="none"/>
      <w:lang w:val="en-US" w:eastAsia="zh-CN"/>
    </w:rPr>
  </w:style>
  <w:style w:type="character" w:customStyle="1" w:styleId="1336">
    <w:name w:val="duanluo2"/>
    <w:qFormat/>
    <w:uiPriority w:val="0"/>
    <w:rPr>
      <w:rFonts w:hint="default" w:ascii="??" w:hAnsi="??"/>
      <w:color w:val="000000"/>
      <w:sz w:val="21"/>
    </w:rPr>
  </w:style>
  <w:style w:type="character" w:customStyle="1" w:styleId="1337">
    <w:name w:val="引用 Char1"/>
    <w:qFormat/>
    <w:uiPriority w:val="0"/>
    <w:rPr>
      <w:i/>
      <w:iCs/>
      <w:color w:val="000000"/>
      <w:kern w:val="2"/>
      <w:sz w:val="21"/>
      <w:szCs w:val="24"/>
    </w:rPr>
  </w:style>
  <w:style w:type="character" w:customStyle="1" w:styleId="1338">
    <w:name w:val="Char Char Char Char Char"/>
    <w:qFormat/>
    <w:uiPriority w:val="0"/>
    <w:rPr>
      <w:rFonts w:hint="eastAsia" w:ascii="宋体" w:hAnsi="宋体" w:eastAsia="宋体"/>
      <w:kern w:val="2"/>
      <w:sz w:val="18"/>
      <w:szCs w:val="18"/>
      <w:lang w:val="en-US" w:eastAsia="zh-CN" w:bidi="ar-SA"/>
    </w:rPr>
  </w:style>
  <w:style w:type="character" w:customStyle="1" w:styleId="1339">
    <w:name w:val="value"/>
    <w:qFormat/>
    <w:uiPriority w:val="0"/>
    <w:rPr>
      <w:rFonts w:hint="default" w:ascii="Times New Roman" w:hAnsi="Times New Roman" w:cs="Times New Roman"/>
    </w:rPr>
  </w:style>
  <w:style w:type="character" w:customStyle="1" w:styleId="1340">
    <w:name w:val="正文文本缩进 Char Char"/>
    <w:qFormat/>
    <w:uiPriority w:val="0"/>
    <w:rPr>
      <w:kern w:val="2"/>
      <w:sz w:val="21"/>
      <w:szCs w:val="24"/>
    </w:rPr>
  </w:style>
  <w:style w:type="character" w:customStyle="1" w:styleId="1341">
    <w:name w:val="标题 1 Char3"/>
    <w:qFormat/>
    <w:uiPriority w:val="0"/>
    <w:rPr>
      <w:rFonts w:hint="eastAsia" w:ascii="宋体" w:hAnsi="宋体" w:eastAsia="宋体"/>
      <w:b/>
      <w:kern w:val="44"/>
      <w:sz w:val="44"/>
      <w:lang w:val="en-US" w:eastAsia="zh-CN" w:bidi="ar-SA"/>
    </w:rPr>
  </w:style>
  <w:style w:type="character" w:customStyle="1" w:styleId="1342">
    <w:name w:val="de-pnum-ep"/>
    <w:qFormat/>
    <w:uiPriority w:val="0"/>
    <w:rPr>
      <w:rFonts w:hint="default" w:ascii="Times New Roman" w:hAnsi="Times New Roman" w:cs="Times New Roman"/>
    </w:rPr>
  </w:style>
  <w:style w:type="character" w:customStyle="1" w:styleId="1343">
    <w:name w:val="新正文 Char"/>
    <w:qFormat/>
    <w:uiPriority w:val="0"/>
    <w:rPr>
      <w:rFonts w:hint="eastAsia" w:ascii="仿宋_GB2312" w:eastAsia="仿宋_GB2312"/>
      <w:bCs/>
      <w:sz w:val="28"/>
      <w:lang w:val="en-US" w:eastAsia="zh-CN" w:bidi="ar-SA"/>
    </w:rPr>
  </w:style>
  <w:style w:type="character" w:customStyle="1" w:styleId="1344">
    <w:name w:val="123YJ Char Char1"/>
    <w:uiPriority w:val="0"/>
    <w:rPr>
      <w:rFonts w:hint="eastAsia" w:ascii="宋体" w:hAnsi="宋体" w:eastAsia="宋体"/>
      <w:kern w:val="2"/>
      <w:sz w:val="18"/>
      <w:lang w:val="en-US" w:eastAsia="zh-CN" w:bidi="ar-SA"/>
    </w:rPr>
  </w:style>
  <w:style w:type="character" w:customStyle="1" w:styleId="1345">
    <w:name w:val="ca-31"/>
    <w:qFormat/>
    <w:uiPriority w:val="0"/>
    <w:rPr>
      <w:rFonts w:hint="default" w:ascii="Arial" w:hAnsi="Arial" w:cs="Arial"/>
      <w:b/>
      <w:bCs/>
      <w:color w:val="000000"/>
      <w:spacing w:val="-20"/>
      <w:sz w:val="18"/>
      <w:szCs w:val="18"/>
    </w:rPr>
  </w:style>
  <w:style w:type="character" w:customStyle="1" w:styleId="1346">
    <w:name w:val="正文（首行缩进两字） Char Char Char Char Char Char Char Char Char Char"/>
    <w:uiPriority w:val="0"/>
    <w:rPr>
      <w:rFonts w:hint="eastAsia" w:ascii="仿宋_GB2312" w:eastAsia="仿宋_GB2312"/>
      <w:kern w:val="2"/>
      <w:sz w:val="28"/>
      <w:szCs w:val="24"/>
      <w:lang w:val="en-US" w:eastAsia="zh-CN" w:bidi="ar-SA"/>
    </w:rPr>
  </w:style>
  <w:style w:type="character" w:customStyle="1" w:styleId="1347">
    <w:name w:val="表 Char Char"/>
    <w:qFormat/>
    <w:uiPriority w:val="0"/>
    <w:rPr>
      <w:rFonts w:hint="default" w:ascii="Cambria" w:hAnsi="Cambria" w:eastAsia="黑体"/>
      <w:kern w:val="2"/>
      <w:lang w:val="en-US" w:eastAsia="zh-CN" w:bidi="ar-SA"/>
    </w:rPr>
  </w:style>
  <w:style w:type="character" w:customStyle="1" w:styleId="1348">
    <w:name w:val="默认段落字体 Char"/>
    <w:qFormat/>
    <w:uiPriority w:val="0"/>
    <w:rPr>
      <w:color w:val="000000"/>
      <w:sz w:val="21"/>
      <w:u w:color="000000"/>
      <w:lang w:val="en-US" w:eastAsia="zh-CN"/>
    </w:rPr>
  </w:style>
  <w:style w:type="character" w:customStyle="1" w:styleId="1349">
    <w:name w:val="nine-11"/>
    <w:qFormat/>
    <w:uiPriority w:val="0"/>
    <w:rPr>
      <w:rFonts w:hint="default" w:eastAsia="黑体"/>
      <w:b/>
      <w:spacing w:val="10"/>
      <w:kern w:val="44"/>
      <w:sz w:val="18"/>
      <w:szCs w:val="18"/>
      <w:lang w:val="en-US" w:eastAsia="zh-CN"/>
    </w:rPr>
  </w:style>
  <w:style w:type="character" w:customStyle="1" w:styleId="1350">
    <w:name w:val="email"/>
    <w:uiPriority w:val="0"/>
  </w:style>
  <w:style w:type="character" w:customStyle="1" w:styleId="1351">
    <w:name w:val="正文（首行缩进两字） Char Char1 Char Char Char Cha"/>
    <w:qFormat/>
    <w:uiPriority w:val="0"/>
    <w:rPr>
      <w:rFonts w:hint="eastAsia" w:ascii="仿宋_GB2312" w:eastAsia="仿宋_GB2312"/>
      <w:color w:val="000000"/>
      <w:kern w:val="2"/>
      <w:sz w:val="28"/>
      <w:szCs w:val="24"/>
      <w:lang w:val="en-US" w:eastAsia="zh-CN" w:bidi="ar-SA"/>
    </w:rPr>
  </w:style>
  <w:style w:type="character" w:customStyle="1" w:styleId="1352">
    <w:name w:val="hg1"/>
    <w:qFormat/>
    <w:uiPriority w:val="0"/>
  </w:style>
  <w:style w:type="character" w:customStyle="1" w:styleId="1353">
    <w:name w:val="ca-61"/>
    <w:qFormat/>
    <w:uiPriority w:val="0"/>
    <w:rPr>
      <w:rFonts w:hint="default" w:ascii="Arial" w:hAnsi="Arial" w:cs="Arial"/>
      <w:color w:val="000000"/>
      <w:sz w:val="16"/>
      <w:szCs w:val="16"/>
    </w:rPr>
  </w:style>
  <w:style w:type="character" w:customStyle="1" w:styleId="1354">
    <w:name w:val="p9l1"/>
    <w:uiPriority w:val="0"/>
    <w:rPr>
      <w:rFonts w:hint="eastAsia" w:ascii="黑体" w:hAnsi="黑体" w:eastAsia="宋体"/>
      <w:b/>
      <w:spacing w:val="10"/>
      <w:kern w:val="2"/>
      <w:sz w:val="18"/>
      <w:szCs w:val="18"/>
      <w:u w:val="none"/>
      <w:lang w:val="en-US" w:eastAsia="zh-CN" w:bidi="ar-SA"/>
    </w:rPr>
  </w:style>
  <w:style w:type="character" w:customStyle="1" w:styleId="1355">
    <w:name w:val="正文（首行缩进两字） Char Char1 Char"/>
    <w:qFormat/>
    <w:uiPriority w:val="0"/>
    <w:rPr>
      <w:rFonts w:hint="eastAsia" w:ascii="仿宋_GB2312" w:eastAsia="仿宋_GB2312"/>
      <w:color w:val="000000"/>
      <w:kern w:val="2"/>
      <w:sz w:val="28"/>
      <w:szCs w:val="24"/>
      <w:lang w:val="en-US" w:eastAsia="zh-CN" w:bidi="ar-SA"/>
    </w:rPr>
  </w:style>
  <w:style w:type="character" w:customStyle="1" w:styleId="1356">
    <w:name w:val="表蕊 Char1"/>
    <w:qFormat/>
    <w:uiPriority w:val="0"/>
    <w:rPr>
      <w:rFonts w:hint="eastAsia" w:ascii="楷体_GB2312" w:eastAsia="楷体_GB2312"/>
      <w:spacing w:val="-10"/>
      <w:sz w:val="21"/>
      <w:lang w:val="en-US" w:eastAsia="zh-CN" w:bidi="ar-SA"/>
    </w:rPr>
  </w:style>
  <w:style w:type="character" w:customStyle="1" w:styleId="1357">
    <w:name w:val="我的样式（正文） Char Char"/>
    <w:qFormat/>
    <w:uiPriority w:val="0"/>
    <w:rPr>
      <w:rFonts w:hint="eastAsia" w:ascii="宋体" w:hAnsi="华文楷体" w:eastAsia="宋体" w:cs="宋体"/>
      <w:b/>
      <w:spacing w:val="10"/>
      <w:kern w:val="2"/>
      <w:sz w:val="24"/>
      <w:szCs w:val="24"/>
      <w:lang w:val="en-US" w:eastAsia="zh-CN" w:bidi="ar-SA"/>
    </w:rPr>
  </w:style>
  <w:style w:type="character" w:customStyle="1" w:styleId="1358">
    <w:name w:val="question-title2"/>
    <w:qFormat/>
    <w:uiPriority w:val="0"/>
  </w:style>
  <w:style w:type="character" w:customStyle="1" w:styleId="1359">
    <w:name w:val="a51"/>
    <w:qFormat/>
    <w:uiPriority w:val="0"/>
    <w:rPr>
      <w:rFonts w:hint="eastAsia" w:ascii="黑体" w:hAnsi="黑体" w:eastAsia="宋体"/>
      <w:b/>
      <w:color w:val="000000"/>
      <w:spacing w:val="10"/>
      <w:kern w:val="2"/>
      <w:sz w:val="21"/>
      <w:szCs w:val="21"/>
      <w:u w:val="none"/>
      <w:lang w:val="en-US" w:eastAsia="zh-CN" w:bidi="ar-SA"/>
    </w:rPr>
  </w:style>
  <w:style w:type="character" w:customStyle="1" w:styleId="1360">
    <w:name w:val="君邦正文 Char Char"/>
    <w:qFormat/>
    <w:uiPriority w:val="0"/>
    <w:rPr>
      <w:rFonts w:hint="default" w:ascii="Times New Roman" w:hAnsi="Times New Roman" w:eastAsia="Times New Roman" w:cs="Times New Roman"/>
      <w:bCs/>
      <w:snapToGrid w:val="0"/>
      <w:sz w:val="24"/>
      <w:lang w:val="en-US" w:eastAsia="zh-CN" w:bidi="ar-SA"/>
    </w:rPr>
  </w:style>
  <w:style w:type="character" w:customStyle="1" w:styleId="1361">
    <w:name w:val="black1"/>
    <w:qFormat/>
    <w:uiPriority w:val="0"/>
    <w:rPr>
      <w:rFonts w:hint="eastAsia" w:ascii="黑体" w:hAnsi="黑体" w:eastAsia="宋体"/>
      <w:b/>
      <w:color w:val="000000"/>
      <w:spacing w:val="10"/>
      <w:kern w:val="2"/>
      <w:sz w:val="18"/>
      <w:szCs w:val="18"/>
      <w:u w:val="none"/>
      <w:lang w:val="en-US" w:eastAsia="zh-CN" w:bidi="ar-SA"/>
    </w:rPr>
  </w:style>
  <w:style w:type="character" w:customStyle="1" w:styleId="1362">
    <w:name w:val="ca-121"/>
    <w:qFormat/>
    <w:uiPriority w:val="0"/>
    <w:rPr>
      <w:rFonts w:hint="default" w:ascii="Arial" w:hAnsi="Arial" w:cs="Arial"/>
      <w:b/>
      <w:bCs/>
      <w:color w:val="000000"/>
      <w:spacing w:val="-20"/>
      <w:sz w:val="34"/>
      <w:szCs w:val="34"/>
    </w:rPr>
  </w:style>
  <w:style w:type="character" w:customStyle="1" w:styleId="1363">
    <w:name w:val="黑体标题 Char Char"/>
    <w:qFormat/>
    <w:uiPriority w:val="0"/>
    <w:rPr>
      <w:rFonts w:hint="eastAsia" w:ascii="宋体" w:hAnsi="宋体" w:eastAsia="宋体"/>
      <w:b/>
      <w:spacing w:val="10"/>
      <w:kern w:val="2"/>
      <w:sz w:val="28"/>
      <w:szCs w:val="18"/>
      <w:lang w:val="en-US" w:eastAsia="zh-CN" w:bidi="ar-SA"/>
    </w:rPr>
  </w:style>
  <w:style w:type="character" w:customStyle="1" w:styleId="1364">
    <w:name w:val="引用 Char2"/>
    <w:qFormat/>
    <w:uiPriority w:val="29"/>
    <w:rPr>
      <w:i/>
      <w:iCs/>
      <w:color w:val="000000"/>
      <w:kern w:val="2"/>
      <w:sz w:val="21"/>
      <w:szCs w:val="24"/>
    </w:rPr>
  </w:style>
  <w:style w:type="character" w:customStyle="1" w:styleId="1365">
    <w:name w:val="font91"/>
    <w:qFormat/>
    <w:uiPriority w:val="0"/>
    <w:rPr>
      <w:rFonts w:hint="default" w:ascii="Times New Roman" w:hAnsi="Times New Roman" w:cs="Times New Roman"/>
      <w:color w:val="000000"/>
      <w:sz w:val="21"/>
      <w:szCs w:val="21"/>
      <w:u w:val="none"/>
      <w:vertAlign w:val="superscript"/>
    </w:rPr>
  </w:style>
  <w:style w:type="character" w:customStyle="1" w:styleId="1366">
    <w:name w:val="标题4 Char Char"/>
    <w:qFormat/>
    <w:uiPriority w:val="0"/>
    <w:rPr>
      <w:rFonts w:hint="default" w:ascii="Times New Roman" w:hAnsi="Times New Roman" w:eastAsia="宋体" w:cs="Times New Roman"/>
      <w:b/>
      <w:bCs/>
      <w:kern w:val="2"/>
      <w:sz w:val="24"/>
      <w:szCs w:val="28"/>
      <w:lang w:val="en-US" w:eastAsia="zh-CN" w:bidi="ar-SA"/>
    </w:rPr>
  </w:style>
  <w:style w:type="character" w:customStyle="1" w:styleId="1367">
    <w:name w:val="标题 2 Char3"/>
    <w:qFormat/>
    <w:uiPriority w:val="0"/>
    <w:rPr>
      <w:rFonts w:hint="default" w:ascii="Arial" w:hAnsi="Arial" w:eastAsia="黑体" w:cs="Arial"/>
      <w:b/>
      <w:kern w:val="2"/>
      <w:sz w:val="32"/>
      <w:lang w:val="en-US" w:eastAsia="zh-CN" w:bidi="ar"/>
    </w:rPr>
  </w:style>
  <w:style w:type="character" w:customStyle="1" w:styleId="1368">
    <w:name w:val="HTML Definition1"/>
    <w:qFormat/>
    <w:uiPriority w:val="0"/>
    <w:rPr>
      <w:i/>
      <w:iCs/>
    </w:rPr>
  </w:style>
  <w:style w:type="character" w:customStyle="1" w:styleId="1369">
    <w:name w:val="HTML Sample1"/>
    <w:qFormat/>
    <w:uiPriority w:val="0"/>
    <w:rPr>
      <w:rFonts w:hint="default" w:ascii="Courier New" w:hAnsi="Courier New" w:cs="Courier New"/>
    </w:rPr>
  </w:style>
  <w:style w:type="character" w:customStyle="1" w:styleId="1370">
    <w:name w:val="HTML Code1"/>
    <w:qFormat/>
    <w:uiPriority w:val="0"/>
    <w:rPr>
      <w:rFonts w:hint="default" w:ascii="Courier New" w:hAnsi="Courier New" w:cs="Courier New"/>
      <w:sz w:val="20"/>
      <w:szCs w:val="20"/>
    </w:rPr>
  </w:style>
  <w:style w:type="character" w:customStyle="1" w:styleId="1371">
    <w:name w:val="Char Char39"/>
    <w:qFormat/>
    <w:locked/>
    <w:uiPriority w:val="0"/>
    <w:rPr>
      <w:rFonts w:hint="default" w:ascii="Arial" w:hAnsi="Arial" w:eastAsia="黑体" w:cs="Arial"/>
      <w:b/>
      <w:sz w:val="24"/>
      <w:lang w:val="en-US" w:eastAsia="zh-CN" w:bidi="ar-SA"/>
    </w:rPr>
  </w:style>
  <w:style w:type="character" w:customStyle="1" w:styleId="1372">
    <w:name w:val="Char Char34"/>
    <w:qFormat/>
    <w:locked/>
    <w:uiPriority w:val="0"/>
    <w:rPr>
      <w:rFonts w:hint="eastAsia" w:ascii="宋体" w:hAnsi="宋体" w:eastAsia="宋体"/>
      <w:kern w:val="2"/>
      <w:sz w:val="21"/>
      <w:lang w:val="en-US" w:eastAsia="zh-CN" w:bidi="ar-SA"/>
    </w:rPr>
  </w:style>
  <w:style w:type="character" w:customStyle="1" w:styleId="1373">
    <w:name w:val="Char Char33"/>
    <w:qFormat/>
    <w:locked/>
    <w:uiPriority w:val="0"/>
    <w:rPr>
      <w:rFonts w:hint="eastAsia" w:ascii="宋体" w:hAnsi="宋体" w:eastAsia="宋体"/>
      <w:kern w:val="2"/>
      <w:sz w:val="21"/>
      <w:szCs w:val="24"/>
      <w:lang w:val="en-US" w:eastAsia="zh-CN" w:bidi="ar-SA"/>
    </w:rPr>
  </w:style>
  <w:style w:type="character" w:customStyle="1" w:styleId="1374">
    <w:name w:val="TB Char"/>
    <w:link w:val="1375"/>
    <w:qFormat/>
    <w:uiPriority w:val="0"/>
    <w:rPr>
      <w:szCs w:val="21"/>
    </w:rPr>
  </w:style>
  <w:style w:type="paragraph" w:customStyle="1" w:styleId="1375">
    <w:name w:val="TB"/>
    <w:basedOn w:val="1"/>
    <w:link w:val="1374"/>
    <w:qFormat/>
    <w:uiPriority w:val="0"/>
    <w:pPr>
      <w:widowControl/>
      <w:snapToGrid w:val="0"/>
      <w:spacing w:line="360" w:lineRule="exact"/>
      <w:jc w:val="center"/>
    </w:pPr>
    <w:rPr>
      <w:rFonts w:asciiTheme="minorHAnsi" w:hAnsiTheme="minorHAnsi" w:eastAsiaTheme="minorEastAsia" w:cstheme="minorBidi"/>
      <w:szCs w:val="21"/>
    </w:rPr>
  </w:style>
  <w:style w:type="character" w:customStyle="1" w:styleId="1376">
    <w:name w:val="正文首行缩进2个字 Char"/>
    <w:link w:val="1377"/>
    <w:qFormat/>
    <w:uiPriority w:val="0"/>
    <w:rPr>
      <w:rFonts w:ascii="@黑体" w:hAnsi="@黑体" w:eastAsia="Tahoma"/>
      <w:sz w:val="24"/>
      <w:szCs w:val="24"/>
    </w:rPr>
  </w:style>
  <w:style w:type="paragraph" w:customStyle="1" w:styleId="1377">
    <w:name w:val="正文首行缩进2个字"/>
    <w:basedOn w:val="1"/>
    <w:link w:val="1376"/>
    <w:qFormat/>
    <w:uiPriority w:val="0"/>
    <w:pPr>
      <w:ind w:firstLine="480" w:firstLineChars="200"/>
    </w:pPr>
    <w:rPr>
      <w:rFonts w:ascii="@黑体" w:hAnsi="@黑体" w:eastAsia="Tahoma" w:cstheme="minorBidi"/>
      <w:sz w:val="24"/>
    </w:rPr>
  </w:style>
  <w:style w:type="character" w:customStyle="1" w:styleId="1378">
    <w:name w:val="表、图标题 Char Char"/>
    <w:link w:val="1379"/>
    <w:qFormat/>
    <w:uiPriority w:val="0"/>
    <w:rPr>
      <w:rFonts w:ascii="@黑体" w:hAnsi="@黑体"/>
      <w:b/>
      <w:bCs/>
      <w:sz w:val="24"/>
      <w:szCs w:val="21"/>
    </w:rPr>
  </w:style>
  <w:style w:type="paragraph" w:customStyle="1" w:styleId="1379">
    <w:name w:val="表、图标题"/>
    <w:basedOn w:val="1"/>
    <w:link w:val="1378"/>
    <w:qFormat/>
    <w:uiPriority w:val="0"/>
    <w:pPr>
      <w:adjustRightInd w:val="0"/>
      <w:snapToGrid w:val="0"/>
      <w:spacing w:line="480" w:lineRule="exact"/>
      <w:jc w:val="center"/>
    </w:pPr>
    <w:rPr>
      <w:rFonts w:ascii="@黑体" w:hAnsi="@黑体" w:eastAsiaTheme="minorEastAsia" w:cstheme="minorBidi"/>
      <w:b/>
      <w:bCs/>
      <w:sz w:val="24"/>
      <w:szCs w:val="21"/>
    </w:rPr>
  </w:style>
  <w:style w:type="character" w:customStyle="1" w:styleId="1380">
    <w:name w:val="二号标题 字符"/>
    <w:link w:val="1381"/>
    <w:qFormat/>
    <w:uiPriority w:val="0"/>
    <w:rPr>
      <w:b/>
      <w:sz w:val="30"/>
      <w:szCs w:val="30"/>
    </w:rPr>
  </w:style>
  <w:style w:type="paragraph" w:customStyle="1" w:styleId="1381">
    <w:name w:val="二号标题"/>
    <w:basedOn w:val="1"/>
    <w:link w:val="1380"/>
    <w:qFormat/>
    <w:uiPriority w:val="0"/>
    <w:pPr>
      <w:spacing w:before="240" w:beforeLines="100" w:after="240" w:afterLines="100" w:line="360" w:lineRule="auto"/>
      <w:outlineLvl w:val="1"/>
    </w:pPr>
    <w:rPr>
      <w:rFonts w:asciiTheme="minorHAnsi" w:hAnsiTheme="minorHAnsi" w:eastAsiaTheme="minorEastAsia" w:cstheme="minorBidi"/>
      <w:b/>
      <w:sz w:val="30"/>
      <w:szCs w:val="30"/>
    </w:rPr>
  </w:style>
  <w:style w:type="character" w:customStyle="1" w:styleId="1382">
    <w:name w:val="二级条标题 Char1"/>
    <w:qFormat/>
    <w:uiPriority w:val="0"/>
    <w:rPr>
      <w:rFonts w:hint="eastAsia" w:ascii="黑体" w:hAnsi="黑体" w:eastAsia="黑体"/>
      <w:sz w:val="21"/>
      <w:lang w:val="en-US" w:eastAsia="zh-CN" w:bidi="ar-SA"/>
    </w:rPr>
  </w:style>
  <w:style w:type="character" w:customStyle="1" w:styleId="1383">
    <w:name w:val="title3"/>
    <w:qFormat/>
    <w:uiPriority w:val="0"/>
  </w:style>
  <w:style w:type="character" w:customStyle="1" w:styleId="1384">
    <w:name w:val="style4611"/>
    <w:qFormat/>
    <w:uiPriority w:val="0"/>
  </w:style>
  <w:style w:type="character" w:customStyle="1" w:styleId="1385">
    <w:name w:val="无级项 Char Char1"/>
    <w:qFormat/>
    <w:uiPriority w:val="0"/>
    <w:rPr>
      <w:rFonts w:hint="eastAsia" w:ascii="宋体" w:hAnsi="Tms Rmn" w:eastAsia="宋体"/>
      <w:b/>
      <w:sz w:val="24"/>
    </w:rPr>
  </w:style>
  <w:style w:type="character" w:customStyle="1" w:styleId="1386">
    <w:name w:val="批注文字 Char31"/>
    <w:qFormat/>
    <w:uiPriority w:val="0"/>
    <w:rPr>
      <w:kern w:val="2"/>
      <w:sz w:val="21"/>
      <w:lang w:bidi="ar-SA"/>
    </w:rPr>
  </w:style>
  <w:style w:type="character" w:customStyle="1" w:styleId="1387">
    <w:name w:val="style1511"/>
    <w:qFormat/>
    <w:uiPriority w:val="0"/>
    <w:rPr>
      <w:b/>
      <w:bCs/>
      <w:color w:val="FFFFFF"/>
      <w:sz w:val="24"/>
      <w:szCs w:val="24"/>
    </w:rPr>
  </w:style>
  <w:style w:type="character" w:customStyle="1" w:styleId="1388">
    <w:name w:val="zi1"/>
    <w:qFormat/>
    <w:uiPriority w:val="0"/>
  </w:style>
  <w:style w:type="character" w:customStyle="1" w:styleId="1389">
    <w:name w:val="样式5 Char1"/>
    <w:qFormat/>
    <w:uiPriority w:val="0"/>
    <w:rPr>
      <w:rFonts w:hint="eastAsia" w:ascii="宋体" w:hAnsi="宋体" w:eastAsia="宋体" w:cs="宋体"/>
      <w:sz w:val="24"/>
      <w:szCs w:val="24"/>
      <w:lang w:val="en-US" w:eastAsia="zh-CN" w:bidi="ar-SA"/>
    </w:rPr>
  </w:style>
  <w:style w:type="character" w:customStyle="1" w:styleId="1390">
    <w:name w:val="bb11"/>
    <w:uiPriority w:val="0"/>
    <w:rPr>
      <w:sz w:val="30"/>
      <w:szCs w:val="30"/>
    </w:rPr>
  </w:style>
  <w:style w:type="character" w:customStyle="1" w:styleId="1391">
    <w:name w:val="样式5正文 Char1"/>
    <w:qFormat/>
    <w:uiPriority w:val="0"/>
    <w:rPr>
      <w:rFonts w:hint="eastAsia" w:ascii="宋体" w:hAnsi="宋体" w:eastAsia="宋体"/>
      <w:kern w:val="2"/>
      <w:sz w:val="24"/>
      <w:szCs w:val="24"/>
      <w:lang w:val="en-US" w:eastAsia="zh-CN" w:bidi="ar-SA"/>
    </w:rPr>
  </w:style>
  <w:style w:type="character" w:customStyle="1" w:styleId="1392">
    <w:name w:val="正文XXX Char1"/>
    <w:qFormat/>
    <w:uiPriority w:val="0"/>
    <w:rPr>
      <w:rFonts w:hint="default" w:ascii="Arial" w:hAnsi="Arial" w:eastAsia="宋体" w:cs="Arial"/>
      <w:color w:val="000000"/>
      <w:kern w:val="2"/>
      <w:sz w:val="24"/>
      <w:lang w:val="en-US" w:eastAsia="zh-CN" w:bidi="ar-SA"/>
    </w:rPr>
  </w:style>
  <w:style w:type="character" w:customStyle="1" w:styleId="1393">
    <w:name w:val="style42"/>
    <w:qFormat/>
    <w:uiPriority w:val="0"/>
  </w:style>
  <w:style w:type="character" w:customStyle="1" w:styleId="1394">
    <w:name w:val="报告书表格 Char1"/>
    <w:qFormat/>
    <w:uiPriority w:val="0"/>
    <w:rPr>
      <w:rFonts w:hint="eastAsia" w:ascii="宋体" w:hAnsi="宋体" w:eastAsia="宋体"/>
      <w:sz w:val="21"/>
      <w:lang w:val="en-US" w:eastAsia="zh-CN" w:bidi="ar-SA"/>
    </w:rPr>
  </w:style>
  <w:style w:type="character" w:customStyle="1" w:styleId="1395">
    <w:name w:val="表格（5号） Char1"/>
    <w:qFormat/>
    <w:uiPriority w:val="0"/>
    <w:rPr>
      <w:rFonts w:hint="eastAsia" w:ascii="仿宋_GB2312" w:eastAsia="仿宋_GB2312"/>
      <w:color w:val="000000"/>
      <w:sz w:val="21"/>
      <w:lang w:bidi="ar-SA"/>
    </w:rPr>
  </w:style>
  <w:style w:type="character" w:customStyle="1" w:styleId="1396">
    <w:name w:val="BZ 字符"/>
    <w:link w:val="1397"/>
    <w:qFormat/>
    <w:uiPriority w:val="0"/>
    <w:rPr>
      <w:b/>
      <w:bCs/>
      <w:color w:val="000000"/>
      <w:sz w:val="18"/>
      <w:szCs w:val="21"/>
    </w:rPr>
  </w:style>
  <w:style w:type="paragraph" w:customStyle="1" w:styleId="1397">
    <w:name w:val="BZ"/>
    <w:basedOn w:val="1"/>
    <w:link w:val="1396"/>
    <w:qFormat/>
    <w:uiPriority w:val="0"/>
    <w:pPr>
      <w:ind w:firstLine="200" w:firstLineChars="200"/>
      <w:jc w:val="left"/>
    </w:pPr>
    <w:rPr>
      <w:rFonts w:asciiTheme="minorHAnsi" w:hAnsiTheme="minorHAnsi" w:eastAsiaTheme="minorEastAsia" w:cstheme="minorBidi"/>
      <w:b/>
      <w:bCs/>
      <w:color w:val="000000"/>
      <w:sz w:val="18"/>
      <w:szCs w:val="21"/>
    </w:rPr>
  </w:style>
  <w:style w:type="character" w:customStyle="1" w:styleId="1398">
    <w:name w:val="BT2 Char"/>
    <w:link w:val="1399"/>
    <w:qFormat/>
    <w:uiPriority w:val="0"/>
    <w:rPr>
      <w:b/>
      <w:sz w:val="30"/>
      <w:szCs w:val="30"/>
    </w:rPr>
  </w:style>
  <w:style w:type="paragraph" w:customStyle="1" w:styleId="1399">
    <w:name w:val="BT2"/>
    <w:basedOn w:val="4"/>
    <w:link w:val="1398"/>
    <w:qFormat/>
    <w:uiPriority w:val="0"/>
    <w:pPr>
      <w:snapToGrid w:val="0"/>
      <w:spacing w:line="500" w:lineRule="exact"/>
    </w:pPr>
    <w:rPr>
      <w:rFonts w:asciiTheme="minorHAnsi" w:hAnsiTheme="minorHAnsi" w:eastAsiaTheme="minorEastAsia" w:cstheme="minorBidi"/>
      <w:bCs w:val="0"/>
      <w:color w:val="auto"/>
      <w:szCs w:val="30"/>
    </w:rPr>
  </w:style>
  <w:style w:type="character" w:customStyle="1" w:styleId="1400">
    <w:name w:val="tb Char"/>
    <w:link w:val="1401"/>
    <w:qFormat/>
    <w:uiPriority w:val="0"/>
    <w:rPr>
      <w:szCs w:val="21"/>
    </w:rPr>
  </w:style>
  <w:style w:type="paragraph" w:customStyle="1" w:styleId="1401">
    <w:name w:val="tb"/>
    <w:basedOn w:val="1"/>
    <w:link w:val="1400"/>
    <w:qFormat/>
    <w:uiPriority w:val="0"/>
    <w:pPr>
      <w:snapToGrid w:val="0"/>
      <w:spacing w:line="360" w:lineRule="exact"/>
      <w:jc w:val="center"/>
    </w:pPr>
    <w:rPr>
      <w:rFonts w:asciiTheme="minorHAnsi" w:hAnsiTheme="minorHAnsi" w:eastAsiaTheme="minorEastAsia" w:cstheme="minorBidi"/>
      <w:szCs w:val="21"/>
    </w:rPr>
  </w:style>
  <w:style w:type="character" w:customStyle="1" w:styleId="1402">
    <w:name w:val="页眉或页脚 + Malgun Gothic"/>
    <w:qFormat/>
    <w:uiPriority w:val="0"/>
    <w:rPr>
      <w:rFonts w:ascii="Malgun Gothic" w:hAnsi="Malgun Gothic" w:eastAsia="Malgun Gothic" w:cs="Malgun Gothic"/>
      <w:color w:val="000000"/>
      <w:spacing w:val="0"/>
      <w:w w:val="100"/>
      <w:position w:val="0"/>
      <w:sz w:val="24"/>
      <w:szCs w:val="24"/>
      <w:shd w:val="clear" w:color="auto" w:fill="FFFFFF"/>
      <w:lang w:val="en-US"/>
    </w:rPr>
  </w:style>
  <w:style w:type="character" w:customStyle="1" w:styleId="1403">
    <w:name w:val="ZW 字符"/>
    <w:qFormat/>
    <w:uiPriority w:val="0"/>
    <w:rPr>
      <w:rFonts w:ascii="Times New Roman" w:hAnsi="Times New Roman" w:eastAsia="宋体" w:cs="Times New Roman"/>
      <w:sz w:val="24"/>
      <w:szCs w:val="24"/>
    </w:rPr>
  </w:style>
  <w:style w:type="character" w:customStyle="1" w:styleId="1404">
    <w:name w:val="ZW加粗 字符"/>
    <w:link w:val="1405"/>
    <w:qFormat/>
    <w:uiPriority w:val="0"/>
    <w:rPr>
      <w:b/>
      <w:sz w:val="24"/>
      <w:szCs w:val="24"/>
    </w:rPr>
  </w:style>
  <w:style w:type="paragraph" w:customStyle="1" w:styleId="1405">
    <w:name w:val="ZW加粗"/>
    <w:basedOn w:val="330"/>
    <w:link w:val="1404"/>
    <w:qFormat/>
    <w:uiPriority w:val="0"/>
    <w:pPr>
      <w:ind w:firstLine="200"/>
    </w:pPr>
    <w:rPr>
      <w:b/>
      <w:kern w:val="2"/>
    </w:rPr>
  </w:style>
  <w:style w:type="character" w:customStyle="1" w:styleId="1406">
    <w:name w:val="环科院正文 Char Char"/>
    <w:link w:val="1407"/>
    <w:qFormat/>
    <w:uiPriority w:val="0"/>
    <w:rPr>
      <w:sz w:val="24"/>
      <w:szCs w:val="24"/>
    </w:rPr>
  </w:style>
  <w:style w:type="paragraph" w:customStyle="1" w:styleId="1407">
    <w:name w:val="环科院正文"/>
    <w:basedOn w:val="1"/>
    <w:link w:val="1406"/>
    <w:qFormat/>
    <w:uiPriority w:val="0"/>
    <w:pPr>
      <w:widowControl/>
      <w:spacing w:line="300" w:lineRule="auto"/>
      <w:ind w:firstLine="480" w:firstLineChars="200"/>
      <w:jc w:val="left"/>
    </w:pPr>
    <w:rPr>
      <w:rFonts w:asciiTheme="minorHAnsi" w:hAnsiTheme="minorHAnsi" w:eastAsiaTheme="minorEastAsia" w:cstheme="minorBidi"/>
      <w:sz w:val="24"/>
    </w:rPr>
  </w:style>
  <w:style w:type="character" w:customStyle="1" w:styleId="1408">
    <w:name w:val="标题 2 字符"/>
    <w:qFormat/>
    <w:uiPriority w:val="0"/>
    <w:rPr>
      <w:rFonts w:ascii="Cambria" w:hAnsi="Cambria" w:eastAsia="宋体" w:cs="Times New Roman"/>
      <w:b/>
      <w:bCs/>
      <w:sz w:val="32"/>
      <w:szCs w:val="32"/>
    </w:rPr>
  </w:style>
  <w:style w:type="character" w:customStyle="1" w:styleId="1409">
    <w:name w:val="标题 4 字符"/>
    <w:qFormat/>
    <w:uiPriority w:val="0"/>
    <w:rPr>
      <w:rFonts w:ascii="Cambria" w:hAnsi="Cambria" w:eastAsia="宋体" w:cs="Times New Roman"/>
      <w:b/>
      <w:bCs/>
      <w:sz w:val="28"/>
      <w:szCs w:val="28"/>
    </w:rPr>
  </w:style>
  <w:style w:type="character" w:customStyle="1" w:styleId="1410">
    <w:name w:val="正文首行缩进 Char6"/>
    <w:basedOn w:val="555"/>
    <w:qFormat/>
    <w:uiPriority w:val="0"/>
    <w:rPr>
      <w:rFonts w:ascii="宋体" w:hAnsi="宋体" w:eastAsia="宋体"/>
      <w:szCs w:val="24"/>
    </w:rPr>
  </w:style>
  <w:style w:type="character" w:customStyle="1" w:styleId="1411">
    <w:name w:val="Char Char271"/>
    <w:qFormat/>
    <w:uiPriority w:val="0"/>
    <w:rPr>
      <w:rFonts w:ascii="Arial" w:hAnsi="Arial" w:eastAsia="黑体"/>
      <w:b/>
      <w:bCs/>
      <w:kern w:val="2"/>
      <w:sz w:val="28"/>
      <w:szCs w:val="28"/>
      <w:lang w:val="en-US" w:eastAsia="zh-CN" w:bidi="ar-SA"/>
    </w:rPr>
  </w:style>
  <w:style w:type="character" w:customStyle="1" w:styleId="1412">
    <w:name w:val="Char Char231"/>
    <w:qFormat/>
    <w:uiPriority w:val="0"/>
    <w:rPr>
      <w:rFonts w:ascii="Arial" w:hAnsi="Arial" w:eastAsia="黑体"/>
      <w:sz w:val="24"/>
      <w:lang w:val="en-US" w:eastAsia="zh-CN" w:bidi="ar-SA"/>
    </w:rPr>
  </w:style>
  <w:style w:type="character" w:customStyle="1" w:styleId="1413">
    <w:name w:val="Char Char191"/>
    <w:qFormat/>
    <w:uiPriority w:val="0"/>
    <w:rPr>
      <w:rFonts w:eastAsia="宋体"/>
      <w:kern w:val="2"/>
      <w:sz w:val="21"/>
      <w:lang w:val="en-US" w:eastAsia="zh-CN" w:bidi="ar-SA"/>
    </w:rPr>
  </w:style>
  <w:style w:type="character" w:customStyle="1" w:styleId="1414">
    <w:name w:val="Char Char211"/>
    <w:qFormat/>
    <w:uiPriority w:val="0"/>
    <w:rPr>
      <w:rFonts w:eastAsia="宋体"/>
      <w:color w:val="000000"/>
      <w:sz w:val="24"/>
      <w:szCs w:val="15"/>
      <w:lang w:bidi="ar-SA"/>
    </w:rPr>
  </w:style>
  <w:style w:type="character" w:customStyle="1" w:styleId="1415">
    <w:name w:val="Char Char201"/>
    <w:qFormat/>
    <w:uiPriority w:val="0"/>
    <w:rPr>
      <w:rFonts w:eastAsia="宋体"/>
      <w:color w:val="000000"/>
      <w:sz w:val="24"/>
      <w:szCs w:val="15"/>
      <w:lang w:bidi="ar-SA"/>
    </w:rPr>
  </w:style>
  <w:style w:type="character" w:customStyle="1" w:styleId="1416">
    <w:name w:val="Char Char521"/>
    <w:qFormat/>
    <w:uiPriority w:val="0"/>
    <w:rPr>
      <w:rFonts w:eastAsia="宋体"/>
      <w:b/>
      <w:sz w:val="24"/>
      <w:lang w:val="en-US" w:eastAsia="zh-CN" w:bidi="ar-SA"/>
    </w:rPr>
  </w:style>
  <w:style w:type="character" w:customStyle="1" w:styleId="1417">
    <w:name w:val="Char Char551"/>
    <w:qFormat/>
    <w:uiPriority w:val="0"/>
    <w:rPr>
      <w:rFonts w:ascii="宋体" w:hAnsi="Tms Rmn"/>
      <w:b/>
      <w:sz w:val="24"/>
    </w:rPr>
  </w:style>
  <w:style w:type="character" w:customStyle="1" w:styleId="1418">
    <w:name w:val="Char Char601"/>
    <w:qFormat/>
    <w:uiPriority w:val="0"/>
    <w:rPr>
      <w:rFonts w:ascii="Arial" w:hAnsi="Arial" w:eastAsia="黑体"/>
      <w:b/>
      <w:kern w:val="2"/>
      <w:sz w:val="32"/>
    </w:rPr>
  </w:style>
  <w:style w:type="character" w:customStyle="1" w:styleId="1419">
    <w:name w:val="Char Char581"/>
    <w:qFormat/>
    <w:uiPriority w:val="0"/>
    <w:rPr>
      <w:rFonts w:ascii="Arial" w:hAnsi="Arial" w:eastAsia="黑体"/>
      <w:b/>
      <w:bCs/>
      <w:kern w:val="2"/>
      <w:sz w:val="28"/>
      <w:szCs w:val="28"/>
    </w:rPr>
  </w:style>
  <w:style w:type="character" w:customStyle="1" w:styleId="1420">
    <w:name w:val="Char Char561"/>
    <w:qFormat/>
    <w:uiPriority w:val="0"/>
    <w:rPr>
      <w:rFonts w:ascii="Arial" w:hAnsi="Arial" w:eastAsia="黑体"/>
      <w:b/>
      <w:sz w:val="24"/>
    </w:rPr>
  </w:style>
  <w:style w:type="character" w:customStyle="1" w:styleId="1421">
    <w:name w:val="Char Char541"/>
    <w:qFormat/>
    <w:uiPriority w:val="0"/>
    <w:rPr>
      <w:rFonts w:ascii="Arial" w:hAnsi="Arial" w:eastAsia="黑体"/>
      <w:sz w:val="24"/>
    </w:rPr>
  </w:style>
  <w:style w:type="character" w:customStyle="1" w:styleId="1422">
    <w:name w:val="Char Char571"/>
    <w:qFormat/>
    <w:uiPriority w:val="0"/>
    <w:rPr>
      <w:rFonts w:ascii="宋体" w:hAnsi="Tms Rmn"/>
      <w:b/>
      <w:sz w:val="28"/>
    </w:rPr>
  </w:style>
  <w:style w:type="character" w:customStyle="1" w:styleId="1423">
    <w:name w:val="Char Char611"/>
    <w:qFormat/>
    <w:uiPriority w:val="0"/>
    <w:rPr>
      <w:b/>
      <w:kern w:val="44"/>
      <w:sz w:val="44"/>
    </w:rPr>
  </w:style>
  <w:style w:type="character" w:customStyle="1" w:styleId="1424">
    <w:name w:val="Char Char531"/>
    <w:qFormat/>
    <w:uiPriority w:val="0"/>
    <w:rPr>
      <w:rFonts w:ascii="Arial" w:hAnsi="Arial" w:eastAsia="黑体"/>
      <w:sz w:val="21"/>
    </w:rPr>
  </w:style>
  <w:style w:type="character" w:customStyle="1" w:styleId="1425">
    <w:name w:val="Char Char591"/>
    <w:qFormat/>
    <w:uiPriority w:val="0"/>
    <w:rPr>
      <w:b/>
      <w:kern w:val="2"/>
      <w:sz w:val="32"/>
    </w:rPr>
  </w:style>
  <w:style w:type="character" w:customStyle="1" w:styleId="1426">
    <w:name w:val="表格0000 Char"/>
    <w:link w:val="1427"/>
    <w:qFormat/>
    <w:locked/>
    <w:uiPriority w:val="0"/>
    <w:rPr>
      <w:sz w:val="18"/>
    </w:rPr>
  </w:style>
  <w:style w:type="paragraph" w:customStyle="1" w:styleId="1427">
    <w:name w:val="表格0000"/>
    <w:basedOn w:val="1"/>
    <w:link w:val="1426"/>
    <w:qFormat/>
    <w:uiPriority w:val="0"/>
    <w:pPr>
      <w:adjustRightInd w:val="0"/>
      <w:jc w:val="center"/>
    </w:pPr>
    <w:rPr>
      <w:rFonts w:asciiTheme="minorHAnsi" w:hAnsiTheme="minorHAnsi" w:eastAsiaTheme="minorEastAsia" w:cstheme="minorBidi"/>
      <w:sz w:val="18"/>
      <w:szCs w:val="22"/>
    </w:rPr>
  </w:style>
  <w:style w:type="character" w:customStyle="1" w:styleId="1428">
    <w:name w:val="表格标题0000 Char"/>
    <w:link w:val="1429"/>
    <w:qFormat/>
    <w:locked/>
    <w:uiPriority w:val="0"/>
    <w:rPr>
      <w:rFonts w:ascii="黑体" w:hAnsi="黑体" w:eastAsia="黑体"/>
      <w:b/>
    </w:rPr>
  </w:style>
  <w:style w:type="paragraph" w:customStyle="1" w:styleId="1429">
    <w:name w:val="表格标题0000"/>
    <w:basedOn w:val="1"/>
    <w:link w:val="1428"/>
    <w:qFormat/>
    <w:uiPriority w:val="0"/>
    <w:pPr>
      <w:jc w:val="center"/>
    </w:pPr>
    <w:rPr>
      <w:rFonts w:ascii="黑体" w:hAnsi="黑体" w:eastAsia="黑体" w:cstheme="minorBidi"/>
      <w:b/>
      <w:szCs w:val="22"/>
    </w:rPr>
  </w:style>
  <w:style w:type="character" w:customStyle="1" w:styleId="1430">
    <w:name w:val="Comment Text Char"/>
    <w:qFormat/>
    <w:locked/>
    <w:uiPriority w:val="0"/>
    <w:rPr>
      <w:rFonts w:ascii="宋体" w:hAnsi="宋体" w:eastAsia="宋体"/>
      <w:kern w:val="2"/>
      <w:sz w:val="24"/>
      <w:szCs w:val="28"/>
      <w:lang w:val="en-US" w:eastAsia="zh-CN" w:bidi="ar-SA"/>
    </w:rPr>
  </w:style>
  <w:style w:type="character" w:customStyle="1" w:styleId="1431">
    <w:name w:val="我的样式3 Char"/>
    <w:link w:val="1432"/>
    <w:qFormat/>
    <w:locked/>
    <w:uiPriority w:val="0"/>
    <w:rPr>
      <w:rFonts w:ascii="宋体" w:hAnsi="宋体"/>
      <w:b/>
      <w:bCs/>
      <w:sz w:val="30"/>
      <w:szCs w:val="30"/>
    </w:rPr>
  </w:style>
  <w:style w:type="paragraph" w:customStyle="1" w:styleId="1432">
    <w:name w:val="我的样式3"/>
    <w:basedOn w:val="1"/>
    <w:link w:val="1431"/>
    <w:qFormat/>
    <w:uiPriority w:val="0"/>
    <w:pPr>
      <w:spacing w:before="260" w:after="260" w:line="480" w:lineRule="exact"/>
      <w:outlineLvl w:val="2"/>
    </w:pPr>
    <w:rPr>
      <w:rFonts w:ascii="宋体" w:hAnsi="宋体" w:eastAsiaTheme="minorEastAsia" w:cstheme="minorBidi"/>
      <w:b/>
      <w:bCs/>
      <w:sz w:val="30"/>
      <w:szCs w:val="30"/>
    </w:rPr>
  </w:style>
  <w:style w:type="character" w:customStyle="1" w:styleId="1433">
    <w:name w:val="段落 Char Char1 Char"/>
    <w:link w:val="1434"/>
    <w:qFormat/>
    <w:locked/>
    <w:uiPriority w:val="0"/>
    <w:rPr>
      <w:rFonts w:ascii="宋体" w:hAnsi="宋体"/>
      <w:spacing w:val="-4"/>
      <w:kern w:val="24"/>
      <w:sz w:val="24"/>
      <w:szCs w:val="24"/>
    </w:rPr>
  </w:style>
  <w:style w:type="paragraph" w:customStyle="1" w:styleId="1434">
    <w:name w:val="段落 Char Char1"/>
    <w:basedOn w:val="1"/>
    <w:link w:val="1433"/>
    <w:qFormat/>
    <w:uiPriority w:val="0"/>
    <w:pPr>
      <w:tabs>
        <w:tab w:val="left" w:pos="1021"/>
      </w:tabs>
      <w:spacing w:line="500" w:lineRule="exact"/>
      <w:ind w:firstLine="464" w:firstLineChars="200"/>
    </w:pPr>
    <w:rPr>
      <w:rFonts w:ascii="宋体" w:hAnsi="宋体" w:eastAsiaTheme="minorEastAsia" w:cstheme="minorBidi"/>
      <w:spacing w:val="-4"/>
      <w:kern w:val="24"/>
      <w:sz w:val="24"/>
    </w:rPr>
  </w:style>
  <w:style w:type="character" w:customStyle="1" w:styleId="1435">
    <w:name w:val="我的样式2 Char"/>
    <w:link w:val="1436"/>
    <w:qFormat/>
    <w:locked/>
    <w:uiPriority w:val="0"/>
    <w:rPr>
      <w:rFonts w:ascii="宋体" w:hAnsi="宋体"/>
      <w:b/>
      <w:bCs/>
      <w:sz w:val="30"/>
      <w:szCs w:val="30"/>
    </w:rPr>
  </w:style>
  <w:style w:type="paragraph" w:customStyle="1" w:styleId="1436">
    <w:name w:val="我的样式2"/>
    <w:basedOn w:val="1"/>
    <w:link w:val="1435"/>
    <w:qFormat/>
    <w:uiPriority w:val="0"/>
    <w:pPr>
      <w:tabs>
        <w:tab w:val="center" w:pos="4153"/>
      </w:tabs>
      <w:spacing w:before="260" w:after="260" w:line="480" w:lineRule="exact"/>
      <w:outlineLvl w:val="1"/>
    </w:pPr>
    <w:rPr>
      <w:rFonts w:ascii="宋体" w:hAnsi="宋体" w:eastAsiaTheme="minorEastAsia" w:cstheme="minorBidi"/>
      <w:b/>
      <w:bCs/>
      <w:sz w:val="30"/>
      <w:szCs w:val="30"/>
    </w:rPr>
  </w:style>
  <w:style w:type="character" w:customStyle="1" w:styleId="1437">
    <w:name w:val="我的样式1 Char"/>
    <w:link w:val="1438"/>
    <w:qFormat/>
    <w:locked/>
    <w:uiPriority w:val="0"/>
    <w:rPr>
      <w:rFonts w:ascii="宋体" w:hAnsi="宋体"/>
      <w:b/>
      <w:bCs/>
      <w:sz w:val="32"/>
      <w:szCs w:val="32"/>
    </w:rPr>
  </w:style>
  <w:style w:type="paragraph" w:customStyle="1" w:styleId="1438">
    <w:name w:val="我的样式1"/>
    <w:basedOn w:val="273"/>
    <w:link w:val="1437"/>
    <w:qFormat/>
    <w:uiPriority w:val="0"/>
    <w:pPr>
      <w:spacing w:before="340" w:after="340" w:line="480" w:lineRule="exact"/>
      <w:ind w:firstLine="0" w:firstLineChars="0"/>
      <w:jc w:val="left"/>
      <w:outlineLvl w:val="0"/>
    </w:pPr>
    <w:rPr>
      <w:rFonts w:ascii="宋体" w:eastAsiaTheme="minorEastAsia"/>
      <w:bCs/>
      <w:sz w:val="32"/>
      <w:szCs w:val="32"/>
    </w:rPr>
  </w:style>
  <w:style w:type="character" w:customStyle="1" w:styleId="1439">
    <w:name w:val="A-正文 Char Char"/>
    <w:link w:val="1440"/>
    <w:qFormat/>
    <w:locked/>
    <w:uiPriority w:val="0"/>
    <w:rPr>
      <w:sz w:val="24"/>
      <w:szCs w:val="24"/>
    </w:rPr>
  </w:style>
  <w:style w:type="paragraph" w:customStyle="1" w:styleId="1440">
    <w:name w:val="A-正文"/>
    <w:basedOn w:val="86"/>
    <w:link w:val="1439"/>
    <w:qFormat/>
    <w:uiPriority w:val="0"/>
    <w:pPr>
      <w:spacing w:after="0" w:line="360" w:lineRule="auto"/>
      <w:ind w:firstLine="480" w:firstLineChars="200"/>
    </w:pPr>
    <w:rPr>
      <w:rFonts w:asciiTheme="minorHAnsi" w:hAnsiTheme="minorHAnsi" w:eastAsiaTheme="minorEastAsia"/>
      <w:sz w:val="24"/>
    </w:rPr>
  </w:style>
  <w:style w:type="character" w:customStyle="1" w:styleId="1441">
    <w:name w:val="已访问的超链接1"/>
    <w:qFormat/>
    <w:uiPriority w:val="0"/>
    <w:rPr>
      <w:color w:val="800080"/>
      <w:u w:val="single"/>
    </w:rPr>
  </w:style>
  <w:style w:type="character" w:customStyle="1" w:styleId="1442">
    <w:name w:val="五级标题 字符"/>
    <w:link w:val="1443"/>
    <w:qFormat/>
    <w:uiPriority w:val="0"/>
    <w:rPr>
      <w:b/>
      <w:sz w:val="24"/>
      <w:szCs w:val="24"/>
    </w:rPr>
  </w:style>
  <w:style w:type="paragraph" w:customStyle="1" w:styleId="1443">
    <w:name w:val="五级标题"/>
    <w:basedOn w:val="193"/>
    <w:link w:val="1442"/>
    <w:qFormat/>
    <w:uiPriority w:val="0"/>
    <w:pPr>
      <w:spacing w:line="360" w:lineRule="auto"/>
      <w:ind w:firstLine="200"/>
      <w:outlineLvl w:val="4"/>
    </w:pPr>
    <w:rPr>
      <w:rFonts w:asciiTheme="minorHAnsi" w:hAnsiTheme="minorHAnsi" w:eastAsiaTheme="minorEastAsia" w:cstheme="minorBidi"/>
      <w:b/>
      <w:color w:val="auto"/>
    </w:rPr>
  </w:style>
  <w:style w:type="character" w:customStyle="1" w:styleId="1444">
    <w:name w:val="图例2 字符"/>
    <w:link w:val="1445"/>
    <w:qFormat/>
    <w:uiPriority w:val="0"/>
    <w:rPr>
      <w:b/>
      <w:sz w:val="24"/>
      <w:szCs w:val="24"/>
    </w:rPr>
  </w:style>
  <w:style w:type="paragraph" w:customStyle="1" w:styleId="1445">
    <w:name w:val="图例2"/>
    <w:basedOn w:val="199"/>
    <w:link w:val="1444"/>
    <w:qFormat/>
    <w:uiPriority w:val="0"/>
    <w:rPr>
      <w:b/>
    </w:rPr>
  </w:style>
  <w:style w:type="character" w:customStyle="1" w:styleId="1446">
    <w:name w:val="表格内部格式 字符"/>
    <w:link w:val="1447"/>
    <w:qFormat/>
    <w:uiPriority w:val="0"/>
    <w:rPr>
      <w:color w:val="000000"/>
      <w:szCs w:val="21"/>
    </w:rPr>
  </w:style>
  <w:style w:type="paragraph" w:customStyle="1" w:styleId="1447">
    <w:name w:val="表格内部格式"/>
    <w:basedOn w:val="1"/>
    <w:link w:val="1446"/>
    <w:qFormat/>
    <w:uiPriority w:val="0"/>
    <w:pPr>
      <w:widowControl/>
      <w:jc w:val="center"/>
    </w:pPr>
    <w:rPr>
      <w:rFonts w:asciiTheme="minorHAnsi" w:hAnsiTheme="minorHAnsi" w:eastAsiaTheme="minorEastAsia" w:cstheme="minorBidi"/>
      <w:color w:val="000000"/>
      <w:szCs w:val="21"/>
    </w:rPr>
  </w:style>
  <w:style w:type="character" w:customStyle="1" w:styleId="1448">
    <w:name w:val="访问过的超链接2"/>
    <w:qFormat/>
    <w:uiPriority w:val="0"/>
    <w:rPr>
      <w:rFonts w:hint="default" w:ascii="Times New Roman"/>
      <w:color w:val="800080"/>
      <w:u w:val="single"/>
    </w:rPr>
  </w:style>
  <w:style w:type="character" w:customStyle="1" w:styleId="1449">
    <w:name w:val="页码2"/>
    <w:qFormat/>
    <w:uiPriority w:val="0"/>
  </w:style>
  <w:style w:type="character" w:customStyle="1" w:styleId="1450">
    <w:name w:val="Char Char44"/>
    <w:qFormat/>
    <w:uiPriority w:val="0"/>
    <w:rPr>
      <w:rFonts w:eastAsia="宋体"/>
      <w:b/>
      <w:bCs/>
      <w:kern w:val="2"/>
      <w:sz w:val="24"/>
      <w:szCs w:val="24"/>
      <w:lang w:val="en-US" w:eastAsia="zh-CN" w:bidi="ar-SA"/>
    </w:rPr>
  </w:style>
  <w:style w:type="character" w:customStyle="1" w:styleId="1451">
    <w:name w:val="HTML 打字机11"/>
    <w:qFormat/>
    <w:uiPriority w:val="0"/>
    <w:rPr>
      <w:rFonts w:ascii="Courier New" w:hAnsi="Courier New" w:cs="Courier New"/>
      <w:sz w:val="20"/>
      <w:szCs w:val="20"/>
    </w:rPr>
  </w:style>
  <w:style w:type="character" w:customStyle="1" w:styleId="1452">
    <w:name w:val="行号11"/>
    <w:qFormat/>
    <w:uiPriority w:val="0"/>
  </w:style>
  <w:style w:type="character" w:customStyle="1" w:styleId="1453">
    <w:name w:val="HTML 键盘11"/>
    <w:qFormat/>
    <w:uiPriority w:val="0"/>
    <w:rPr>
      <w:rFonts w:ascii="Courier New" w:hAnsi="Courier New" w:cs="Courier New"/>
      <w:sz w:val="20"/>
      <w:szCs w:val="20"/>
    </w:rPr>
  </w:style>
  <w:style w:type="character" w:customStyle="1" w:styleId="1454">
    <w:name w:val="书籍标题11"/>
    <w:qFormat/>
    <w:uiPriority w:val="0"/>
    <w:rPr>
      <w:rFonts w:cs="Times New Roman"/>
      <w:b/>
      <w:bCs/>
      <w:smallCaps/>
      <w:spacing w:val="5"/>
    </w:rPr>
  </w:style>
  <w:style w:type="character" w:customStyle="1" w:styleId="1455">
    <w:name w:val="Char Char362"/>
    <w:qFormat/>
    <w:uiPriority w:val="0"/>
    <w:rPr>
      <w:kern w:val="2"/>
      <w:sz w:val="21"/>
    </w:rPr>
  </w:style>
  <w:style w:type="character" w:customStyle="1" w:styleId="1456">
    <w:name w:val="Char Char162"/>
    <w:qFormat/>
    <w:uiPriority w:val="0"/>
    <w:rPr>
      <w:rFonts w:hint="default" w:ascii="Times New Roman" w:hAnsi="Times New Roman" w:eastAsia="宋体" w:cs="Times New Roman"/>
      <w:color w:val="000000"/>
      <w:sz w:val="24"/>
      <w:szCs w:val="15"/>
    </w:rPr>
  </w:style>
  <w:style w:type="paragraph" w:customStyle="1" w:styleId="1457">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rPr>
  </w:style>
  <w:style w:type="paragraph" w:customStyle="1" w:styleId="1458">
    <w:name w:val="样式 样式 样式 样式 正文 首行缩进 + 首行缩进:  2 字符 行距: 单倍行距 + 首行缩进:  2 字符 + 小四 首行...2"/>
    <w:basedOn w:val="1"/>
    <w:qFormat/>
    <w:uiPriority w:val="0"/>
    <w:pPr>
      <w:spacing w:line="312" w:lineRule="auto"/>
      <w:ind w:firstLine="480" w:firstLineChars="200"/>
    </w:pPr>
    <w:rPr>
      <w:rFonts w:ascii="Arial" w:hAnsi="Arial" w:cs="宋体"/>
      <w:sz w:val="24"/>
      <w:szCs w:val="20"/>
    </w:rPr>
  </w:style>
  <w:style w:type="paragraph" w:customStyle="1" w:styleId="1459">
    <w:name w:val="Q-标题2"/>
    <w:basedOn w:val="4"/>
    <w:next w:val="1460"/>
    <w:qFormat/>
    <w:uiPriority w:val="0"/>
    <w:pPr>
      <w:numPr>
        <w:ilvl w:val="1"/>
        <w:numId w:val="1"/>
      </w:numPr>
      <w:tabs>
        <w:tab w:val="left" w:pos="0"/>
      </w:tabs>
      <w:spacing w:before="0" w:beforeLines="50" w:after="0" w:afterLines="50" w:line="440" w:lineRule="exact"/>
    </w:pPr>
    <w:rPr>
      <w:rFonts w:ascii="Arial" w:hAnsi="Arial"/>
      <w:color w:val="auto"/>
      <w:sz w:val="32"/>
      <w:szCs w:val="32"/>
    </w:rPr>
  </w:style>
  <w:style w:type="paragraph" w:customStyle="1" w:styleId="1460">
    <w:name w:val="Q-正文"/>
    <w:basedOn w:val="1"/>
    <w:next w:val="1"/>
    <w:qFormat/>
    <w:uiPriority w:val="0"/>
    <w:pPr>
      <w:spacing w:line="500" w:lineRule="exact"/>
      <w:ind w:firstLine="200" w:firstLineChars="200"/>
    </w:pPr>
    <w:rPr>
      <w:rFonts w:ascii="Calibri" w:hAnsi="Calibri"/>
      <w:sz w:val="24"/>
    </w:rPr>
  </w:style>
  <w:style w:type="paragraph" w:customStyle="1" w:styleId="1461">
    <w:name w:val="表体"/>
    <w:basedOn w:val="45"/>
    <w:qFormat/>
    <w:uiPriority w:val="0"/>
    <w:pPr>
      <w:adjustRightInd w:val="0"/>
      <w:snapToGrid w:val="0"/>
      <w:spacing w:line="240" w:lineRule="atLeast"/>
      <w:ind w:left="-96" w:right="-85"/>
      <w:jc w:val="center"/>
      <w:textAlignment w:val="baseline"/>
    </w:pPr>
    <w:rPr>
      <w:spacing w:val="-6"/>
      <w:kern w:val="0"/>
      <w:sz w:val="18"/>
      <w:szCs w:val="21"/>
    </w:rPr>
  </w:style>
  <w:style w:type="paragraph" w:customStyle="1" w:styleId="1462">
    <w:name w:val="字元 字元 Char Char 字元 字元1"/>
    <w:basedOn w:val="1"/>
    <w:qFormat/>
    <w:uiPriority w:val="0"/>
    <w:rPr>
      <w:sz w:val="24"/>
    </w:rPr>
  </w:style>
  <w:style w:type="character" w:customStyle="1" w:styleId="1463">
    <w:name w:val="正文首行缩进 2 Char3"/>
    <w:basedOn w:val="948"/>
    <w:qFormat/>
    <w:uiPriority w:val="99"/>
    <w:rPr>
      <w:rFonts w:ascii="Times New Roman" w:hAnsi="Times New Roman" w:eastAsia="宋体" w:cs="Times New Roman"/>
      <w:szCs w:val="24"/>
    </w:rPr>
  </w:style>
  <w:style w:type="paragraph" w:customStyle="1" w:styleId="1464">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1465">
    <w:name w:val="样式 Times New Roman 首行缩进:  0.85 厘米1"/>
    <w:basedOn w:val="1"/>
    <w:qFormat/>
    <w:uiPriority w:val="0"/>
    <w:pPr>
      <w:spacing w:line="360" w:lineRule="auto"/>
      <w:ind w:firstLine="480"/>
    </w:pPr>
    <w:rPr>
      <w:rFonts w:ascii="宋体" w:cs="宋体"/>
      <w:sz w:val="24"/>
    </w:rPr>
  </w:style>
  <w:style w:type="paragraph" w:customStyle="1" w:styleId="1466">
    <w:name w:val="正文图五"/>
    <w:basedOn w:val="1"/>
    <w:semiHidden/>
    <w:qFormat/>
    <w:uiPriority w:val="0"/>
    <w:pPr>
      <w:adjustRightInd w:val="0"/>
      <w:snapToGrid w:val="0"/>
      <w:jc w:val="center"/>
    </w:pPr>
    <w:rPr>
      <w:rFonts w:eastAsia="仿宋_GB2312"/>
      <w:snapToGrid w:val="0"/>
      <w:spacing w:val="6"/>
      <w:szCs w:val="20"/>
    </w:rPr>
  </w:style>
  <w:style w:type="paragraph" w:customStyle="1" w:styleId="1467">
    <w:name w:val="标题3 Char Char Char Char Char Char1 Char"/>
    <w:basedOn w:val="1"/>
    <w:qFormat/>
    <w:uiPriority w:val="0"/>
    <w:pPr>
      <w:spacing w:after="156" w:afterLines="50" w:line="560" w:lineRule="exact"/>
    </w:pPr>
    <w:rPr>
      <w:rFonts w:eastAsia="黑体"/>
      <w:sz w:val="30"/>
      <w:szCs w:val="30"/>
    </w:rPr>
  </w:style>
  <w:style w:type="paragraph" w:customStyle="1" w:styleId="1468">
    <w:name w:val="样式 图表 + 首行缩进:  2 字符1"/>
    <w:basedOn w:val="1"/>
    <w:semiHidden/>
    <w:qFormat/>
    <w:uiPriority w:val="0"/>
    <w:pPr>
      <w:adjustRightInd w:val="0"/>
      <w:snapToGrid w:val="0"/>
      <w:spacing w:before="48" w:beforeLines="20" w:after="48" w:afterLines="20"/>
      <w:ind w:left="-102" w:leftChars="-50" w:right="-105" w:rightChars="-50" w:hanging="3"/>
      <w:jc w:val="center"/>
    </w:pPr>
    <w:rPr>
      <w:rFonts w:eastAsia="仿宋_GB2312"/>
      <w:color w:val="000000"/>
    </w:rPr>
  </w:style>
  <w:style w:type="paragraph" w:customStyle="1" w:styleId="1469">
    <w:name w:val="小点"/>
    <w:qFormat/>
    <w:uiPriority w:val="0"/>
    <w:pPr>
      <w:tabs>
        <w:tab w:val="left" w:pos="1830"/>
      </w:tabs>
      <w:adjustRightInd w:val="0"/>
      <w:snapToGrid w:val="0"/>
      <w:spacing w:line="360" w:lineRule="auto"/>
      <w:ind w:left="1830" w:hanging="510"/>
    </w:pPr>
    <w:rPr>
      <w:rFonts w:ascii="宋体" w:hAnsi="宋体" w:eastAsia="宋体" w:cs="Times New Roman"/>
      <w:sz w:val="24"/>
      <w:szCs w:val="24"/>
      <w:lang w:val="en-US" w:eastAsia="zh-CN" w:bidi="ar-SA"/>
    </w:rPr>
  </w:style>
  <w:style w:type="paragraph" w:customStyle="1" w:styleId="1470">
    <w:name w:val="body"/>
    <w:basedOn w:val="1"/>
    <w:qFormat/>
    <w:uiPriority w:val="0"/>
    <w:pPr>
      <w:spacing w:line="360" w:lineRule="auto"/>
      <w:ind w:firstLine="480" w:firstLineChars="200"/>
    </w:pPr>
    <w:rPr>
      <w:rFonts w:ascii="宋体" w:hAnsi="宋体"/>
      <w:sz w:val="24"/>
    </w:rPr>
  </w:style>
  <w:style w:type="paragraph" w:customStyle="1" w:styleId="1471">
    <w:name w:val="佛表"/>
    <w:basedOn w:val="66"/>
    <w:qFormat/>
    <w:uiPriority w:val="0"/>
    <w:pPr>
      <w:spacing w:line="360" w:lineRule="auto"/>
      <w:ind w:left="0" w:firstLine="0" w:firstLineChars="0"/>
      <w:jc w:val="center"/>
    </w:pPr>
    <w:rPr>
      <w:color w:val="000000"/>
      <w:sz w:val="24"/>
    </w:rPr>
  </w:style>
  <w:style w:type="paragraph" w:customStyle="1" w:styleId="1472">
    <w:name w:val="文档二级标题"/>
    <w:basedOn w:val="1"/>
    <w:qFormat/>
    <w:uiPriority w:val="0"/>
    <w:rPr>
      <w:rFonts w:ascii="楷体_GB2312" w:hAnsi="华文仿宋" w:eastAsia="楷体_GB2312"/>
      <w:sz w:val="28"/>
      <w:szCs w:val="20"/>
    </w:rPr>
  </w:style>
  <w:style w:type="paragraph" w:customStyle="1" w:styleId="1473">
    <w:name w:val="p18"/>
    <w:basedOn w:val="1"/>
    <w:qFormat/>
    <w:uiPriority w:val="0"/>
    <w:pPr>
      <w:widowControl/>
      <w:snapToGrid w:val="0"/>
      <w:spacing w:line="320" w:lineRule="atLeast"/>
      <w:jc w:val="center"/>
    </w:pPr>
    <w:rPr>
      <w:rFonts w:ascii="Arial" w:hAnsi="Arial" w:cs="Arial"/>
      <w:color w:val="000000"/>
      <w:kern w:val="0"/>
      <w:szCs w:val="21"/>
    </w:rPr>
  </w:style>
  <w:style w:type="paragraph" w:customStyle="1" w:styleId="1474">
    <w:name w:val="表样式"/>
    <w:basedOn w:val="1"/>
    <w:qFormat/>
    <w:uiPriority w:val="0"/>
    <w:pPr>
      <w:jc w:val="center"/>
    </w:pPr>
    <w:rPr>
      <w:rFonts w:ascii="仿宋_GB2312" w:eastAsia="黑体"/>
    </w:rPr>
  </w:style>
  <w:style w:type="paragraph" w:customStyle="1" w:styleId="1475">
    <w:name w:val="标题3样式"/>
    <w:basedOn w:val="5"/>
    <w:qFormat/>
    <w:uiPriority w:val="0"/>
    <w:pPr>
      <w:numPr>
        <w:numId w:val="0"/>
      </w:numPr>
      <w:spacing w:line="360" w:lineRule="auto"/>
    </w:pPr>
    <w:rPr>
      <w:rFonts w:ascii="黑体" w:eastAsia="黑体"/>
      <w:kern w:val="0"/>
      <w:sz w:val="24"/>
    </w:rPr>
  </w:style>
  <w:style w:type="paragraph" w:customStyle="1" w:styleId="1476">
    <w:name w:val="xl79"/>
    <w:basedOn w:val="1"/>
    <w:qFormat/>
    <w:uiPriority w:val="0"/>
    <w:pPr>
      <w:widowControl/>
      <w:spacing w:before="100" w:beforeAutospacing="1" w:after="100" w:afterAutospacing="1"/>
      <w:jc w:val="center"/>
    </w:pPr>
    <w:rPr>
      <w:rFonts w:ascii="Arial" w:hAnsi="Arial" w:cs="Arial"/>
      <w:kern w:val="0"/>
      <w:sz w:val="24"/>
    </w:rPr>
  </w:style>
  <w:style w:type="paragraph" w:customStyle="1" w:styleId="1477">
    <w:name w:val="四号 1.5倍行距 宋体 Timenewrome"/>
    <w:basedOn w:val="1"/>
    <w:next w:val="1"/>
    <w:qFormat/>
    <w:uiPriority w:val="0"/>
    <w:rPr>
      <w:szCs w:val="21"/>
    </w:rPr>
  </w:style>
  <w:style w:type="character" w:customStyle="1" w:styleId="1478">
    <w:name w:val="文档结构图 Char5"/>
    <w:basedOn w:val="133"/>
    <w:semiHidden/>
    <w:qFormat/>
    <w:uiPriority w:val="99"/>
    <w:rPr>
      <w:rFonts w:ascii="Microsoft YaHei UI" w:hAnsi="Times New Roman" w:eastAsia="Microsoft YaHei UI" w:cs="Times New Roman"/>
      <w:sz w:val="18"/>
      <w:szCs w:val="18"/>
    </w:rPr>
  </w:style>
  <w:style w:type="paragraph" w:customStyle="1" w:styleId="1479">
    <w:name w:val="标题样式1"/>
    <w:basedOn w:val="34"/>
    <w:qFormat/>
    <w:uiPriority w:val="0"/>
    <w:pPr>
      <w:adjustRightInd w:val="0"/>
      <w:snapToGrid w:val="0"/>
      <w:jc w:val="center"/>
      <w:textAlignment w:val="baseline"/>
    </w:pPr>
    <w:rPr>
      <w:rFonts w:ascii="Times New Roman" w:hAnsi="Times New Roman"/>
      <w:b/>
      <w:bCs/>
      <w:snapToGrid w:val="0"/>
      <w:kern w:val="0"/>
      <w:sz w:val="24"/>
      <w:szCs w:val="20"/>
    </w:rPr>
  </w:style>
  <w:style w:type="paragraph" w:customStyle="1" w:styleId="148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81">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2">
    <w:name w:val="正文1"/>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1483">
    <w:name w:val="样式 标题 2H2Heading 2 HiddenHeading 2 CCBS2nd levelh22Header..."/>
    <w:basedOn w:val="4"/>
    <w:qFormat/>
    <w:uiPriority w:val="0"/>
    <w:pPr>
      <w:spacing w:before="260" w:after="260" w:line="413" w:lineRule="auto"/>
    </w:pPr>
    <w:rPr>
      <w:rFonts w:ascii="Arial" w:hAnsi="Arial"/>
      <w:color w:val="auto"/>
      <w:szCs w:val="32"/>
    </w:rPr>
  </w:style>
  <w:style w:type="paragraph" w:customStyle="1" w:styleId="1484">
    <w:name w:val="xl190"/>
    <w:basedOn w:val="1"/>
    <w:qFormat/>
    <w:uiPriority w:val="0"/>
    <w:pPr>
      <w:widowControl/>
      <w:pBdr>
        <w:left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1485">
    <w:name w:val="bh1"/>
    <w:basedOn w:val="1"/>
    <w:qFormat/>
    <w:uiPriority w:val="0"/>
    <w:pPr>
      <w:widowControl/>
      <w:jc w:val="left"/>
    </w:pPr>
    <w:rPr>
      <w:rFonts w:ascii="宋体" w:hAnsi="宋体" w:cs="宋体"/>
      <w:kern w:val="0"/>
      <w:sz w:val="24"/>
    </w:rPr>
  </w:style>
  <w:style w:type="paragraph" w:customStyle="1" w:styleId="1486">
    <w:name w:val="s0"/>
    <w:qFormat/>
    <w:uiPriority w:val="0"/>
    <w:pPr>
      <w:widowControl w:val="0"/>
      <w:autoSpaceDE w:val="0"/>
      <w:autoSpaceDN w:val="0"/>
      <w:adjustRightInd w:val="0"/>
    </w:pPr>
    <w:rPr>
      <w:rFonts w:ascii="????" w:hAnsi="Times New Roman" w:eastAsia="????" w:cs="Times New Roman"/>
      <w:lang w:val="en-US" w:eastAsia="zh-CN" w:bidi="ar-SA"/>
    </w:rPr>
  </w:style>
  <w:style w:type="paragraph" w:customStyle="1" w:styleId="1487">
    <w:name w:val="样式23"/>
    <w:basedOn w:val="1"/>
    <w:qFormat/>
    <w:uiPriority w:val="0"/>
    <w:pPr>
      <w:adjustRightInd w:val="0"/>
      <w:spacing w:before="120" w:after="120" w:line="240" w:lineRule="atLeast"/>
      <w:jc w:val="center"/>
    </w:pPr>
    <w:rPr>
      <w:rFonts w:eastAsia="楷体_GB2312"/>
      <w:kern w:val="28"/>
      <w:szCs w:val="20"/>
    </w:rPr>
  </w:style>
  <w:style w:type="paragraph" w:customStyle="1" w:styleId="1488">
    <w:name w:val="样式 标题 31.1.1条标题 3 Char Char标题 3 CharBSH-3条标题1.1.1H3b33..."/>
    <w:basedOn w:val="5"/>
    <w:qFormat/>
    <w:uiPriority w:val="0"/>
    <w:pPr>
      <w:widowControl w:val="0"/>
      <w:numPr>
        <w:numId w:val="0"/>
      </w:numPr>
      <w:spacing w:line="360" w:lineRule="auto"/>
      <w:jc w:val="both"/>
    </w:pPr>
    <w:rPr>
      <w:rFonts w:ascii="黑体" w:eastAsia="黑体"/>
      <w:b w:val="0"/>
      <w:bCs w:val="0"/>
      <w:sz w:val="24"/>
      <w:szCs w:val="20"/>
    </w:rPr>
  </w:style>
  <w:style w:type="paragraph" w:customStyle="1" w:styleId="1489">
    <w:name w:val="xl70"/>
    <w:basedOn w:val="1"/>
    <w:qFormat/>
    <w:uiPriority w:val="0"/>
    <w:pPr>
      <w:widowControl/>
      <w:spacing w:before="100" w:beforeAutospacing="1" w:after="100" w:afterAutospacing="1"/>
      <w:jc w:val="center"/>
    </w:pPr>
    <w:rPr>
      <w:kern w:val="0"/>
      <w:sz w:val="24"/>
    </w:rPr>
  </w:style>
  <w:style w:type="paragraph" w:customStyle="1" w:styleId="1490">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491">
    <w:name w:val="表 Char"/>
    <w:basedOn w:val="1"/>
    <w:qFormat/>
    <w:uiPriority w:val="0"/>
    <w:pPr>
      <w:adjustRightInd w:val="0"/>
      <w:spacing w:afterLines="50" w:line="315" w:lineRule="atLeast"/>
      <w:jc w:val="left"/>
    </w:pPr>
    <w:rPr>
      <w:rFonts w:ascii="宋体"/>
      <w:kern w:val="0"/>
      <w:szCs w:val="20"/>
    </w:rPr>
  </w:style>
  <w:style w:type="character" w:customStyle="1" w:styleId="1492">
    <w:name w:val="HTML 地址 Char5"/>
    <w:basedOn w:val="133"/>
    <w:qFormat/>
    <w:uiPriority w:val="0"/>
    <w:rPr>
      <w:rFonts w:ascii="Times New Roman" w:hAnsi="Times New Roman" w:eastAsia="宋体" w:cs="Times New Roman"/>
      <w:i/>
      <w:iCs/>
      <w:szCs w:val="24"/>
    </w:rPr>
  </w:style>
  <w:style w:type="paragraph" w:customStyle="1" w:styleId="1493">
    <w:name w:val="y表格"/>
    <w:basedOn w:val="34"/>
    <w:qFormat/>
    <w:uiPriority w:val="0"/>
    <w:pPr>
      <w:widowControl/>
      <w:adjustRightInd w:val="0"/>
      <w:snapToGrid w:val="0"/>
      <w:spacing w:line="240" w:lineRule="auto"/>
      <w:jc w:val="center"/>
    </w:pPr>
    <w:rPr>
      <w:rFonts w:hint="eastAsia"/>
      <w:kern w:val="0"/>
      <w:sz w:val="24"/>
      <w:szCs w:val="20"/>
    </w:rPr>
  </w:style>
  <w:style w:type="paragraph" w:customStyle="1" w:styleId="1494">
    <w:name w:val="et7"/>
    <w:basedOn w:val="1"/>
    <w:qFormat/>
    <w:uiPriority w:val="0"/>
    <w:pPr>
      <w:widowControl/>
      <w:spacing w:before="100" w:beforeAutospacing="1" w:after="100" w:afterAutospacing="1"/>
      <w:jc w:val="left"/>
      <w:textAlignment w:val="bottom"/>
    </w:pPr>
    <w:rPr>
      <w:color w:val="000000"/>
      <w:kern w:val="0"/>
      <w:sz w:val="24"/>
    </w:rPr>
  </w:style>
  <w:style w:type="paragraph" w:customStyle="1" w:styleId="1495">
    <w:name w:val="p2"/>
    <w:basedOn w:val="1"/>
    <w:qFormat/>
    <w:uiPriority w:val="0"/>
    <w:pPr>
      <w:widowControl/>
      <w:autoSpaceDE w:val="0"/>
      <w:autoSpaceDN w:val="0"/>
      <w:spacing w:line="540" w:lineRule="atLeast"/>
      <w:ind w:firstLine="596"/>
    </w:pPr>
    <w:rPr>
      <w:rFonts w:ascii="華康中楷體" w:eastAsia="華康中楷體"/>
      <w:spacing w:val="20"/>
      <w:kern w:val="0"/>
      <w:sz w:val="28"/>
      <w:szCs w:val="28"/>
      <w:lang w:eastAsia="zh-TW"/>
    </w:rPr>
  </w:style>
  <w:style w:type="paragraph" w:customStyle="1" w:styleId="1496">
    <w:name w:val="表图1"/>
    <w:basedOn w:val="1"/>
    <w:qFormat/>
    <w:uiPriority w:val="0"/>
    <w:pPr>
      <w:spacing w:line="0" w:lineRule="atLeast"/>
    </w:pPr>
    <w:rPr>
      <w:szCs w:val="20"/>
    </w:rPr>
  </w:style>
  <w:style w:type="paragraph" w:customStyle="1" w:styleId="1497">
    <w:name w:val="Char Char Char Char Char Char Char Char Char1 Char Char Char Char"/>
    <w:basedOn w:val="1"/>
    <w:qFormat/>
    <w:uiPriority w:val="0"/>
    <w:rPr>
      <w:sz w:val="24"/>
    </w:rPr>
  </w:style>
  <w:style w:type="paragraph" w:customStyle="1" w:styleId="1498">
    <w:name w:val="表"/>
    <w:basedOn w:val="1"/>
    <w:qFormat/>
    <w:uiPriority w:val="0"/>
    <w:pPr>
      <w:jc w:val="center"/>
    </w:pPr>
    <w:rPr>
      <w:rFonts w:eastAsia="黑体"/>
      <w:sz w:val="24"/>
      <w:lang w:val="en-GB"/>
    </w:rPr>
  </w:style>
  <w:style w:type="character" w:customStyle="1" w:styleId="1499">
    <w:name w:val="宏文本 Char6"/>
    <w:basedOn w:val="133"/>
    <w:qFormat/>
    <w:uiPriority w:val="0"/>
    <w:rPr>
      <w:rFonts w:ascii="Courier New" w:hAnsi="Courier New" w:eastAsia="宋体" w:cs="Courier New"/>
      <w:sz w:val="24"/>
      <w:szCs w:val="24"/>
    </w:rPr>
  </w:style>
  <w:style w:type="paragraph" w:customStyle="1" w:styleId="1500">
    <w:name w:val="表文"/>
    <w:basedOn w:val="1"/>
    <w:qFormat/>
    <w:uiPriority w:val="0"/>
    <w:pPr>
      <w:tabs>
        <w:tab w:val="left" w:pos="1021"/>
      </w:tabs>
      <w:spacing w:line="300" w:lineRule="auto"/>
      <w:jc w:val="center"/>
    </w:pPr>
    <w:rPr>
      <w:kern w:val="0"/>
      <w:position w:val="-24"/>
      <w:sz w:val="24"/>
      <w:szCs w:val="21"/>
    </w:rPr>
  </w:style>
  <w:style w:type="paragraph" w:customStyle="1" w:styleId="1501">
    <w:name w:val="表格2"/>
    <w:basedOn w:val="1"/>
    <w:qFormat/>
    <w:uiPriority w:val="0"/>
    <w:pPr>
      <w:autoSpaceDE w:val="0"/>
      <w:autoSpaceDN w:val="0"/>
      <w:adjustRightInd w:val="0"/>
      <w:snapToGrid w:val="0"/>
      <w:jc w:val="center"/>
    </w:pPr>
    <w:rPr>
      <w:rFonts w:ascii="宋体" w:hAnsi="宋体"/>
      <w:spacing w:val="-8"/>
    </w:rPr>
  </w:style>
  <w:style w:type="paragraph" w:customStyle="1" w:styleId="1502">
    <w:name w:val="文章正文"/>
    <w:basedOn w:val="1"/>
    <w:qFormat/>
    <w:uiPriority w:val="0"/>
    <w:pPr>
      <w:spacing w:line="360" w:lineRule="auto"/>
      <w:ind w:firstLine="480" w:firstLineChars="200"/>
    </w:pPr>
    <w:rPr>
      <w:sz w:val="24"/>
      <w:szCs w:val="20"/>
    </w:rPr>
  </w:style>
  <w:style w:type="paragraph" w:customStyle="1" w:styleId="1503">
    <w:name w:val="font9"/>
    <w:basedOn w:val="1"/>
    <w:qFormat/>
    <w:uiPriority w:val="0"/>
    <w:pPr>
      <w:widowControl/>
      <w:spacing w:before="100" w:beforeAutospacing="1" w:after="100" w:afterAutospacing="1"/>
      <w:jc w:val="left"/>
    </w:pPr>
    <w:rPr>
      <w:rFonts w:ascii="宋体" w:hAnsi="宋体"/>
      <w:kern w:val="0"/>
      <w:sz w:val="20"/>
      <w:szCs w:val="20"/>
    </w:rPr>
  </w:style>
  <w:style w:type="character" w:customStyle="1" w:styleId="1504">
    <w:name w:val="正文文本 2 Char2"/>
    <w:basedOn w:val="133"/>
    <w:qFormat/>
    <w:uiPriority w:val="0"/>
    <w:rPr>
      <w:rFonts w:ascii="Times New Roman" w:hAnsi="Times New Roman" w:eastAsia="宋体" w:cs="Times New Roman"/>
      <w:szCs w:val="24"/>
    </w:rPr>
  </w:style>
  <w:style w:type="character" w:customStyle="1" w:styleId="1505">
    <w:name w:val="正文文本 Char3"/>
    <w:basedOn w:val="133"/>
    <w:qFormat/>
    <w:uiPriority w:val="0"/>
    <w:rPr>
      <w:rFonts w:ascii="Times New Roman" w:hAnsi="Times New Roman" w:eastAsia="宋体" w:cs="Times New Roman"/>
      <w:szCs w:val="24"/>
    </w:rPr>
  </w:style>
  <w:style w:type="paragraph" w:customStyle="1" w:styleId="1506">
    <w:name w:val="ST20_1"/>
    <w:basedOn w:val="1"/>
    <w:qFormat/>
    <w:uiPriority w:val="0"/>
    <w:pPr>
      <w:autoSpaceDE w:val="0"/>
      <w:autoSpaceDN w:val="0"/>
      <w:adjustRightInd w:val="0"/>
      <w:spacing w:line="312" w:lineRule="atLeast"/>
      <w:jc w:val="center"/>
      <w:textAlignment w:val="baseline"/>
    </w:pPr>
    <w:rPr>
      <w:rFonts w:ascii="宋体" w:hAnsi="Tms Rmn"/>
      <w:kern w:val="0"/>
      <w:sz w:val="24"/>
    </w:rPr>
  </w:style>
  <w:style w:type="paragraph" w:customStyle="1" w:styleId="1507">
    <w:name w:val="样式 目录 2 + 左侧:  2 字符 首行缩进:  2 字符"/>
    <w:basedOn w:val="74"/>
    <w:qFormat/>
    <w:uiPriority w:val="0"/>
    <w:pPr>
      <w:ind w:left="480" w:leftChars="0" w:firstLine="480" w:firstLineChars="200"/>
    </w:pPr>
    <w:rPr>
      <w:rFonts w:ascii="Calibri" w:hAnsi="Calibri" w:cs="宋体"/>
      <w:b/>
      <w:bCs/>
      <w:sz w:val="20"/>
      <w:szCs w:val="20"/>
    </w:rPr>
  </w:style>
  <w:style w:type="paragraph" w:customStyle="1" w:styleId="1508">
    <w:name w:val="样式 标题 1 + 首行缩进:  2 字符1"/>
    <w:basedOn w:val="3"/>
    <w:qFormat/>
    <w:uiPriority w:val="0"/>
    <w:pPr>
      <w:spacing w:before="340" w:after="330" w:line="576" w:lineRule="auto"/>
    </w:pPr>
    <w:rPr>
      <w:rFonts w:eastAsia="宋体" w:cs="宋体"/>
      <w:sz w:val="44"/>
      <w:szCs w:val="20"/>
    </w:rPr>
  </w:style>
  <w:style w:type="paragraph" w:customStyle="1" w:styleId="1509">
    <w:name w:val="样式 题注 + 居中 首行缩进:  2 字符2"/>
    <w:basedOn w:val="22"/>
    <w:qFormat/>
    <w:uiPriority w:val="0"/>
    <w:pPr>
      <w:adjustRightInd w:val="0"/>
      <w:spacing w:before="152" w:after="160" w:line="360" w:lineRule="atLeast"/>
      <w:ind w:firstLine="400" w:firstLineChars="200"/>
      <w:textAlignment w:val="baseline"/>
    </w:pPr>
    <w:rPr>
      <w:rFonts w:ascii="Arial" w:hAnsi="Arial" w:eastAsia="宋体"/>
      <w:b w:val="0"/>
      <w:sz w:val="21"/>
    </w:rPr>
  </w:style>
  <w:style w:type="paragraph" w:customStyle="1" w:styleId="151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51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512">
    <w:name w:val="五级条标题"/>
    <w:basedOn w:val="1513"/>
    <w:next w:val="1"/>
    <w:qFormat/>
    <w:uiPriority w:val="0"/>
    <w:pPr>
      <w:tabs>
        <w:tab w:val="left" w:pos="1008"/>
        <w:tab w:val="left" w:pos="1152"/>
        <w:tab w:val="left" w:pos="1296"/>
      </w:tabs>
      <w:ind w:left="1296" w:hanging="1296"/>
      <w:outlineLvl w:val="6"/>
    </w:pPr>
  </w:style>
  <w:style w:type="paragraph" w:customStyle="1" w:styleId="1513">
    <w:name w:val="四级条标题"/>
    <w:basedOn w:val="1514"/>
    <w:next w:val="1"/>
    <w:qFormat/>
    <w:uiPriority w:val="0"/>
    <w:pPr>
      <w:tabs>
        <w:tab w:val="left" w:pos="1008"/>
        <w:tab w:val="left" w:pos="1152"/>
      </w:tabs>
      <w:ind w:left="1152" w:hanging="1152"/>
      <w:outlineLvl w:val="5"/>
    </w:pPr>
  </w:style>
  <w:style w:type="paragraph" w:customStyle="1" w:styleId="1514">
    <w:name w:val="三级条标题"/>
    <w:basedOn w:val="734"/>
    <w:next w:val="1"/>
    <w:qFormat/>
    <w:uiPriority w:val="0"/>
    <w:pPr>
      <w:tabs>
        <w:tab w:val="left" w:pos="1008"/>
        <w:tab w:val="clear" w:pos="0"/>
        <w:tab w:val="clear" w:pos="360"/>
      </w:tabs>
      <w:ind w:left="1008" w:hanging="1008"/>
      <w:outlineLvl w:val="4"/>
    </w:pPr>
  </w:style>
  <w:style w:type="paragraph" w:customStyle="1" w:styleId="1515">
    <w:name w:val="样式 标题 3 + 首行缩进:  2 字符 段前: 8.15 磅 段后: 8.15 磅"/>
    <w:basedOn w:val="5"/>
    <w:qFormat/>
    <w:uiPriority w:val="0"/>
    <w:pPr>
      <w:widowControl w:val="0"/>
      <w:numPr>
        <w:ilvl w:val="0"/>
        <w:numId w:val="0"/>
      </w:numPr>
      <w:tabs>
        <w:tab w:val="left" w:pos="1575"/>
      </w:tabs>
      <w:spacing w:before="163" w:after="163" w:line="0" w:lineRule="atLeast"/>
      <w:ind w:firstLine="482" w:firstLineChars="200"/>
    </w:pPr>
    <w:rPr>
      <w:rFonts w:ascii="Arial Unicode MS" w:hAnsi="Arial Unicode MS" w:eastAsia="黑体" w:cs="宋体"/>
      <w:sz w:val="24"/>
      <w:szCs w:val="20"/>
    </w:rPr>
  </w:style>
  <w:style w:type="paragraph" w:customStyle="1" w:styleId="1516">
    <w:name w:val="xl16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17">
    <w:name w:val="List Number 41"/>
    <w:basedOn w:val="1"/>
    <w:qFormat/>
    <w:uiPriority w:val="0"/>
    <w:pPr>
      <w:tabs>
        <w:tab w:val="left" w:pos="360"/>
        <w:tab w:val="left" w:pos="1620"/>
      </w:tabs>
      <w:ind w:left="360" w:hanging="360"/>
    </w:pPr>
  </w:style>
  <w:style w:type="paragraph" w:customStyle="1" w:styleId="1518">
    <w:name w:val="et11"/>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519">
    <w:name w:val="设计书正文"/>
    <w:basedOn w:val="1"/>
    <w:qFormat/>
    <w:uiPriority w:val="0"/>
    <w:pPr>
      <w:spacing w:line="520" w:lineRule="atLeast"/>
      <w:ind w:firstLine="200" w:firstLineChars="200"/>
    </w:pPr>
    <w:rPr>
      <w:rFonts w:hint="eastAsia" w:ascii="宋体" w:hAnsi="宋体"/>
      <w:sz w:val="28"/>
    </w:rPr>
  </w:style>
  <w:style w:type="paragraph" w:customStyle="1" w:styleId="1520">
    <w:name w:val="样式 四号 行距: 1.5 倍行距 首行缩进:  2 字符"/>
    <w:basedOn w:val="1"/>
    <w:qFormat/>
    <w:uiPriority w:val="0"/>
    <w:pPr>
      <w:spacing w:line="360" w:lineRule="auto"/>
      <w:ind w:firstLine="560" w:firstLineChars="200"/>
    </w:pPr>
    <w:rPr>
      <w:sz w:val="28"/>
      <w:szCs w:val="20"/>
    </w:rPr>
  </w:style>
  <w:style w:type="paragraph" w:customStyle="1" w:styleId="1521">
    <w:name w:val="样式 标题 3 + 段前: 1 行"/>
    <w:basedOn w:val="5"/>
    <w:qFormat/>
    <w:uiPriority w:val="0"/>
    <w:pPr>
      <w:widowControl w:val="0"/>
      <w:numPr>
        <w:numId w:val="0"/>
      </w:numPr>
      <w:adjustRightInd w:val="0"/>
      <w:snapToGrid w:val="0"/>
      <w:spacing w:before="156" w:beforeLines="50" w:line="360" w:lineRule="auto"/>
      <w:jc w:val="both"/>
    </w:pPr>
    <w:rPr>
      <w:rFonts w:ascii="方正大标宋简体" w:eastAsia="方正大标宋简体" w:cs="宋体"/>
      <w:b w:val="0"/>
      <w:bCs w:val="0"/>
      <w:szCs w:val="20"/>
    </w:rPr>
  </w:style>
  <w:style w:type="paragraph" w:customStyle="1" w:styleId="1522">
    <w:name w:val="样式 目录 2 + 左侧:  2 字符 首行缩进:  2 字符2"/>
    <w:basedOn w:val="74"/>
    <w:qFormat/>
    <w:uiPriority w:val="0"/>
    <w:pPr>
      <w:tabs>
        <w:tab w:val="left" w:pos="720"/>
      </w:tabs>
      <w:ind w:left="200" w:leftChars="0" w:firstLine="200" w:firstLineChars="200"/>
    </w:pPr>
    <w:rPr>
      <w:rFonts w:ascii="Calibri" w:hAnsi="Calibri" w:cs="宋体"/>
      <w:b/>
      <w:bCs/>
      <w:sz w:val="20"/>
      <w:szCs w:val="20"/>
    </w:rPr>
  </w:style>
  <w:style w:type="character" w:customStyle="1" w:styleId="1523">
    <w:name w:val="正文文本缩进 2 Char3"/>
    <w:basedOn w:val="133"/>
    <w:qFormat/>
    <w:uiPriority w:val="0"/>
    <w:rPr>
      <w:rFonts w:ascii="Times New Roman" w:hAnsi="Times New Roman" w:eastAsia="宋体" w:cs="Times New Roman"/>
      <w:szCs w:val="24"/>
    </w:rPr>
  </w:style>
  <w:style w:type="character" w:customStyle="1" w:styleId="1524">
    <w:name w:val="正文首行缩进 Char2"/>
    <w:basedOn w:val="1505"/>
    <w:qFormat/>
    <w:uiPriority w:val="0"/>
    <w:rPr>
      <w:rFonts w:ascii="Times New Roman" w:hAnsi="Times New Roman" w:eastAsia="宋体" w:cs="Times New Roman"/>
      <w:szCs w:val="24"/>
    </w:rPr>
  </w:style>
  <w:style w:type="paragraph" w:customStyle="1" w:styleId="1525">
    <w:name w:val="神华4.1"/>
    <w:basedOn w:val="1"/>
    <w:next w:val="1"/>
    <w:qFormat/>
    <w:uiPriority w:val="0"/>
    <w:pPr>
      <w:tabs>
        <w:tab w:val="left" w:pos="370"/>
      </w:tabs>
      <w:spacing w:line="360" w:lineRule="auto"/>
      <w:ind w:left="200" w:hanging="425"/>
    </w:pPr>
    <w:rPr>
      <w:rFonts w:ascii="宋体" w:hAnsi="宋体" w:cs="宋体"/>
      <w:sz w:val="24"/>
    </w:rPr>
  </w:style>
  <w:style w:type="paragraph" w:customStyle="1" w:styleId="1526">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1527">
    <w:name w:val="样式6"/>
    <w:basedOn w:val="1"/>
    <w:qFormat/>
    <w:uiPriority w:val="0"/>
    <w:pPr>
      <w:spacing w:line="440" w:lineRule="exact"/>
    </w:pPr>
    <w:rPr>
      <w:b/>
      <w:sz w:val="24"/>
    </w:rPr>
  </w:style>
  <w:style w:type="paragraph" w:customStyle="1" w:styleId="1528">
    <w:name w:val="表题4"/>
    <w:basedOn w:val="1107"/>
    <w:qFormat/>
    <w:uiPriority w:val="0"/>
    <w:pPr>
      <w:keepNext/>
      <w:topLinePunct/>
      <w:adjustRightInd w:val="0"/>
      <w:spacing w:before="0" w:beforeLines="0" w:line="480" w:lineRule="exact"/>
      <w:outlineLvl w:val="0"/>
    </w:pPr>
    <w:rPr>
      <w:rFonts w:ascii="楷体_GB2312" w:hAnsi="楷体_GB2312" w:eastAsia="楷体_GB2312"/>
      <w:b w:val="0"/>
      <w:bCs w:val="0"/>
      <w:color w:val="auto"/>
      <w:w w:val="95"/>
      <w:kern w:val="0"/>
      <w:sz w:val="24"/>
      <w:szCs w:val="20"/>
    </w:rPr>
  </w:style>
  <w:style w:type="paragraph" w:customStyle="1" w:styleId="1529">
    <w:name w:val="圆点"/>
    <w:qFormat/>
    <w:uiPriority w:val="0"/>
    <w:pPr>
      <w:tabs>
        <w:tab w:val="left" w:pos="1199"/>
        <w:tab w:val="left" w:pos="1242"/>
      </w:tabs>
      <w:snapToGrid w:val="0"/>
      <w:spacing w:line="360" w:lineRule="auto"/>
      <w:ind w:left="1196" w:hanging="476"/>
    </w:pPr>
    <w:rPr>
      <w:rFonts w:ascii="Times New Roman" w:hAnsi="Times New Roman" w:eastAsia="宋体" w:cs="Times New Roman"/>
      <w:snapToGrid w:val="0"/>
      <w:sz w:val="24"/>
      <w:lang w:val="en-US" w:eastAsia="zh-CN" w:bidi="ar-SA"/>
    </w:rPr>
  </w:style>
  <w:style w:type="paragraph" w:customStyle="1" w:styleId="1530">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1531">
    <w:name w:val="湛江码头表"/>
    <w:basedOn w:val="1"/>
    <w:qFormat/>
    <w:uiPriority w:val="0"/>
    <w:pPr>
      <w:jc w:val="center"/>
    </w:pPr>
    <w:rPr>
      <w:rFonts w:eastAsia="仿宋_GB2312"/>
      <w:kern w:val="0"/>
      <w:lang w:eastAsia="zh-TW"/>
    </w:rPr>
  </w:style>
  <w:style w:type="paragraph" w:customStyle="1" w:styleId="1532">
    <w:name w:val="xl166"/>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33">
    <w:name w:val="xl83"/>
    <w:basedOn w:val="1"/>
    <w:qFormat/>
    <w:uiPriority w:val="0"/>
    <w:pPr>
      <w:widowControl/>
      <w:pBdr>
        <w:top w:val="single" w:color="auto" w:sz="8" w:space="0"/>
        <w:bottom w:val="single" w:color="auto" w:sz="4" w:space="0"/>
      </w:pBdr>
      <w:spacing w:before="100" w:beforeAutospacing="1" w:after="100" w:afterAutospacing="1"/>
      <w:jc w:val="left"/>
      <w:textAlignment w:val="center"/>
    </w:pPr>
    <w:rPr>
      <w:rFonts w:ascii="Arial" w:hAnsi="Arial" w:cs="Arial"/>
      <w:kern w:val="0"/>
      <w:sz w:val="24"/>
    </w:rPr>
  </w:style>
  <w:style w:type="paragraph" w:customStyle="1" w:styleId="1534">
    <w:name w:val="样式 样式 样式 标题 1标题 1 Char章节标题-*+章标题 1b1第一章heading 1H1Heading 1 (......"/>
    <w:basedOn w:val="1"/>
    <w:qFormat/>
    <w:uiPriority w:val="0"/>
    <w:pPr>
      <w:keepNext/>
      <w:keepLines/>
      <w:snapToGrid w:val="0"/>
      <w:spacing w:line="360" w:lineRule="auto"/>
      <w:outlineLvl w:val="0"/>
    </w:pPr>
    <w:rPr>
      <w:rFonts w:ascii="黑体" w:eastAsia="黑体" w:cs="宋体"/>
      <w:kern w:val="44"/>
      <w:sz w:val="24"/>
      <w:szCs w:val="20"/>
    </w:rPr>
  </w:style>
  <w:style w:type="paragraph" w:customStyle="1" w:styleId="1535">
    <w:name w:val="Char Char Char Char Char Char"/>
    <w:basedOn w:val="1"/>
    <w:qFormat/>
    <w:uiPriority w:val="0"/>
  </w:style>
  <w:style w:type="paragraph" w:customStyle="1" w:styleId="1536">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1537">
    <w:name w:val="xl41"/>
    <w:basedOn w:val="1"/>
    <w:qFormat/>
    <w:uiPriority w:val="0"/>
    <w:pPr>
      <w:widowControl/>
      <w:pBdr>
        <w:bottom w:val="single" w:color="auto" w:sz="4" w:space="0"/>
      </w:pBdr>
      <w:spacing w:before="100" w:beforeAutospacing="1" w:after="100" w:afterAutospacing="1"/>
      <w:jc w:val="center"/>
    </w:pPr>
    <w:rPr>
      <w:kern w:val="0"/>
      <w:szCs w:val="21"/>
    </w:rPr>
  </w:style>
  <w:style w:type="character" w:customStyle="1" w:styleId="1538">
    <w:name w:val="正文文本 3 Char2"/>
    <w:basedOn w:val="133"/>
    <w:qFormat/>
    <w:uiPriority w:val="0"/>
    <w:rPr>
      <w:rFonts w:ascii="Times New Roman" w:hAnsi="Times New Roman" w:eastAsia="宋体" w:cs="Times New Roman"/>
      <w:sz w:val="16"/>
      <w:szCs w:val="16"/>
    </w:rPr>
  </w:style>
  <w:style w:type="paragraph" w:customStyle="1" w:styleId="1539">
    <w:name w:val="正文2"/>
    <w:basedOn w:val="1"/>
    <w:qFormat/>
    <w:uiPriority w:val="0"/>
    <w:pPr>
      <w:adjustRightInd w:val="0"/>
      <w:spacing w:after="156" w:afterLines="50" w:line="315" w:lineRule="atLeast"/>
      <w:jc w:val="left"/>
      <w:textAlignment w:val="baseline"/>
    </w:pPr>
    <w:rPr>
      <w:rFonts w:ascii="宋体"/>
      <w:kern w:val="0"/>
      <w:szCs w:val="20"/>
    </w:rPr>
  </w:style>
  <w:style w:type="paragraph" w:customStyle="1" w:styleId="1540">
    <w:name w:val="我的样式（正文）"/>
    <w:basedOn w:val="1"/>
    <w:qFormat/>
    <w:uiPriority w:val="0"/>
    <w:pPr>
      <w:spacing w:line="440" w:lineRule="exact"/>
    </w:pPr>
    <w:rPr>
      <w:rFonts w:ascii="宋体"/>
      <w:sz w:val="28"/>
      <w:szCs w:val="20"/>
    </w:rPr>
  </w:style>
  <w:style w:type="paragraph" w:customStyle="1" w:styleId="1541">
    <w:name w:val="表头AECOM"/>
    <w:basedOn w:val="1"/>
    <w:qFormat/>
    <w:uiPriority w:val="0"/>
    <w:pPr>
      <w:snapToGrid w:val="0"/>
      <w:spacing w:before="156" w:beforeLines="50"/>
      <w:jc w:val="center"/>
    </w:pPr>
    <w:rPr>
      <w:kern w:val="10"/>
      <w:sz w:val="24"/>
    </w:rPr>
  </w:style>
  <w:style w:type="paragraph" w:customStyle="1" w:styleId="1542">
    <w:name w:val="xl21"/>
    <w:basedOn w:val="1"/>
    <w:qFormat/>
    <w:uiPriority w:val="0"/>
    <w:pPr>
      <w:widowControl/>
      <w:spacing w:before="100" w:beforeAutospacing="1" w:after="100" w:afterAutospacing="1"/>
      <w:jc w:val="center"/>
    </w:pPr>
    <w:rPr>
      <w:rFonts w:ascii="宋体" w:hAnsi="宋体"/>
      <w:kern w:val="0"/>
      <w:sz w:val="24"/>
    </w:rPr>
  </w:style>
  <w:style w:type="paragraph" w:customStyle="1" w:styleId="1543">
    <w:name w:val="样式 表格 32 + 首行缩进:  2 字符1"/>
    <w:basedOn w:val="260"/>
    <w:qFormat/>
    <w:uiPriority w:val="0"/>
    <w:pPr>
      <w:widowControl w:val="0"/>
    </w:pPr>
    <w:rPr>
      <w:rFonts w:ascii="Times New Roman" w:hAnsi="Times New Roman" w:eastAsia="宋体"/>
      <w:sz w:val="21"/>
      <w:szCs w:val="21"/>
    </w:rPr>
  </w:style>
  <w:style w:type="paragraph" w:customStyle="1" w:styleId="1544">
    <w:name w:val="Date1"/>
    <w:basedOn w:val="1"/>
    <w:next w:val="1"/>
    <w:qFormat/>
    <w:uiPriority w:val="0"/>
    <w:pPr>
      <w:adjustRightInd w:val="0"/>
      <w:textAlignment w:val="baseline"/>
    </w:pPr>
    <w:rPr>
      <w:szCs w:val="20"/>
    </w:rPr>
  </w:style>
  <w:style w:type="paragraph" w:customStyle="1" w:styleId="1545">
    <w:name w:val="样式 标题 3 + 首行缩进:  2 字符"/>
    <w:basedOn w:val="5"/>
    <w:qFormat/>
    <w:uiPriority w:val="0"/>
    <w:pPr>
      <w:widowControl w:val="0"/>
      <w:numPr>
        <w:ilvl w:val="0"/>
        <w:numId w:val="0"/>
      </w:numPr>
      <w:tabs>
        <w:tab w:val="left" w:pos="1575"/>
      </w:tabs>
      <w:spacing w:line="300" w:lineRule="auto"/>
      <w:jc w:val="both"/>
    </w:pPr>
    <w:rPr>
      <w:rFonts w:hAnsi="宋体" w:eastAsia="黑体" w:cs="宋体"/>
      <w:b w:val="0"/>
      <w:szCs w:val="20"/>
    </w:rPr>
  </w:style>
  <w:style w:type="paragraph" w:customStyle="1" w:styleId="1546">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1"/>
    </w:rPr>
  </w:style>
  <w:style w:type="paragraph" w:customStyle="1" w:styleId="1547">
    <w:name w:val="xl188"/>
    <w:basedOn w:val="1"/>
    <w:uiPriority w:val="0"/>
    <w:pPr>
      <w:widowControl/>
      <w:pBdr>
        <w:left w:val="single" w:color="auto" w:sz="4" w:space="0"/>
        <w:right w:val="single" w:color="auto" w:sz="4" w:space="0"/>
      </w:pBdr>
      <w:shd w:val="clear" w:color="000000" w:fill="A5E2AC"/>
      <w:spacing w:before="100" w:beforeAutospacing="1" w:after="100" w:afterAutospacing="1"/>
      <w:jc w:val="center"/>
      <w:textAlignment w:val="center"/>
    </w:pPr>
    <w:rPr>
      <w:kern w:val="0"/>
      <w:sz w:val="24"/>
    </w:rPr>
  </w:style>
  <w:style w:type="paragraph" w:customStyle="1" w:styleId="1548">
    <w:name w:val="mainte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549">
    <w:name w:val="环评标题"/>
    <w:basedOn w:val="1"/>
    <w:qFormat/>
    <w:uiPriority w:val="0"/>
    <w:pPr>
      <w:widowControl/>
      <w:tabs>
        <w:tab w:val="left" w:pos="567"/>
      </w:tabs>
      <w:snapToGrid w:val="0"/>
      <w:spacing w:line="360" w:lineRule="auto"/>
      <w:ind w:hanging="431"/>
      <w:jc w:val="left"/>
    </w:pPr>
    <w:rPr>
      <w:rFonts w:eastAsia="黑体" w:cs="Times"/>
      <w:kern w:val="0"/>
      <w:sz w:val="24"/>
    </w:rPr>
  </w:style>
  <w:style w:type="character" w:customStyle="1" w:styleId="1550">
    <w:name w:val="纯文本 Char3"/>
    <w:basedOn w:val="133"/>
    <w:qFormat/>
    <w:uiPriority w:val="0"/>
    <w:rPr>
      <w:rFonts w:ascii="宋体" w:hAnsi="Courier New" w:eastAsia="宋体" w:cs="Courier New"/>
      <w:szCs w:val="21"/>
    </w:rPr>
  </w:style>
  <w:style w:type="paragraph" w:customStyle="1" w:styleId="1551">
    <w:name w:val="河石管道 表头"/>
    <w:qFormat/>
    <w:uiPriority w:val="0"/>
    <w:pPr>
      <w:jc w:val="center"/>
    </w:pPr>
    <w:rPr>
      <w:rFonts w:ascii="Times New Roman" w:hAnsi="Times New Roman" w:eastAsia="宋体" w:cs="Times New Roman"/>
      <w:bCs/>
      <w:sz w:val="21"/>
      <w:szCs w:val="21"/>
      <w:lang w:val="en-US" w:eastAsia="zh-CN" w:bidi="ar-SA"/>
    </w:rPr>
  </w:style>
  <w:style w:type="paragraph" w:customStyle="1" w:styleId="1552">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553">
    <w:name w:val="说明书"/>
    <w:basedOn w:val="1"/>
    <w:qFormat/>
    <w:uiPriority w:val="0"/>
    <w:pPr>
      <w:spacing w:line="400" w:lineRule="exact"/>
      <w:ind w:firstLine="567"/>
    </w:pPr>
    <w:rPr>
      <w:rFonts w:eastAsia="仿宋_GB2312"/>
      <w:sz w:val="28"/>
      <w:szCs w:val="20"/>
    </w:rPr>
  </w:style>
  <w:style w:type="paragraph" w:customStyle="1" w:styleId="1554">
    <w:name w:val="明显引用1"/>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1555">
    <w:name w:val="xl4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1556">
    <w:name w:val="日期1"/>
    <w:basedOn w:val="1"/>
    <w:next w:val="1"/>
    <w:qFormat/>
    <w:uiPriority w:val="0"/>
    <w:pPr>
      <w:adjustRightInd w:val="0"/>
      <w:textAlignment w:val="baseline"/>
    </w:pPr>
    <w:rPr>
      <w:sz w:val="24"/>
      <w:szCs w:val="20"/>
    </w:rPr>
  </w:style>
  <w:style w:type="paragraph" w:customStyle="1" w:styleId="1557">
    <w:name w:val="Char Char Char Char"/>
    <w:basedOn w:val="1"/>
    <w:qFormat/>
    <w:uiPriority w:val="0"/>
    <w:rPr>
      <w:szCs w:val="21"/>
    </w:rPr>
  </w:style>
  <w:style w:type="paragraph" w:customStyle="1" w:styleId="1558">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559">
    <w:name w:val="图文框"/>
    <w:basedOn w:val="1"/>
    <w:qFormat/>
    <w:uiPriority w:val="0"/>
    <w:pPr>
      <w:autoSpaceDE w:val="0"/>
      <w:autoSpaceDN w:val="0"/>
      <w:adjustRightInd w:val="0"/>
      <w:snapToGrid w:val="0"/>
      <w:spacing w:line="360" w:lineRule="exact"/>
      <w:jc w:val="center"/>
      <w:textAlignment w:val="baseline"/>
    </w:pPr>
    <w:rPr>
      <w:rFonts w:ascii="宋体" w:hAnsi="宋体"/>
      <w:szCs w:val="20"/>
    </w:rPr>
  </w:style>
  <w:style w:type="paragraph" w:customStyle="1" w:styleId="1560">
    <w:name w:val="标题样式2"/>
    <w:basedOn w:val="4"/>
    <w:qFormat/>
    <w:uiPriority w:val="0"/>
    <w:pPr>
      <w:keepNext w:val="0"/>
      <w:keepLines w:val="0"/>
      <w:tabs>
        <w:tab w:val="left" w:pos="720"/>
        <w:tab w:val="left" w:pos="4142"/>
        <w:tab w:val="left" w:pos="6833"/>
        <w:tab w:val="left" w:pos="9030"/>
        <w:tab w:val="left" w:pos="9287"/>
      </w:tabs>
      <w:overflowPunct w:val="0"/>
      <w:topLinePunct/>
      <w:autoSpaceDE w:val="0"/>
      <w:autoSpaceDN w:val="0"/>
      <w:adjustRightInd w:val="0"/>
      <w:snapToGrid w:val="0"/>
      <w:spacing w:before="15" w:beforeLines="5" w:after="15" w:afterLines="5" w:line="360" w:lineRule="atLeast"/>
      <w:ind w:left="720" w:hanging="720"/>
      <w:jc w:val="center"/>
      <w:textAlignment w:val="baseline"/>
      <w:outlineLvl w:val="9"/>
    </w:pPr>
    <w:rPr>
      <w:rFonts w:eastAsia="宋体"/>
      <w:b w:val="0"/>
      <w:color w:val="auto"/>
      <w:kern w:val="0"/>
      <w:sz w:val="24"/>
      <w:szCs w:val="20"/>
    </w:rPr>
  </w:style>
  <w:style w:type="paragraph" w:customStyle="1" w:styleId="1561">
    <w:name w:val="小五居中"/>
    <w:basedOn w:val="1"/>
    <w:qFormat/>
    <w:uiPriority w:val="0"/>
    <w:pPr>
      <w:jc w:val="center"/>
    </w:pPr>
    <w:rPr>
      <w:sz w:val="18"/>
    </w:rPr>
  </w:style>
  <w:style w:type="paragraph" w:customStyle="1" w:styleId="1562">
    <w:name w:val="编号1"/>
    <w:basedOn w:val="1"/>
    <w:qFormat/>
    <w:uiPriority w:val="0"/>
    <w:pPr>
      <w:tabs>
        <w:tab w:val="left" w:pos="360"/>
        <w:tab w:val="left" w:pos="1230"/>
      </w:tabs>
    </w:pPr>
    <w:rPr>
      <w:szCs w:val="20"/>
    </w:rPr>
  </w:style>
  <w:style w:type="paragraph" w:customStyle="1" w:styleId="1563">
    <w:name w:val="et41"/>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564">
    <w:name w:val="小四表文左齐"/>
    <w:basedOn w:val="1"/>
    <w:qFormat/>
    <w:uiPriority w:val="0"/>
    <w:pPr>
      <w:jc w:val="center"/>
    </w:pPr>
    <w:rPr>
      <w:rFonts w:ascii="仿宋_GB2312" w:hAnsi="宋体" w:eastAsia="仿宋_GB2312"/>
      <w:sz w:val="24"/>
      <w:szCs w:val="20"/>
    </w:rPr>
  </w:style>
  <w:style w:type="paragraph" w:customStyle="1" w:styleId="1565">
    <w:name w:val="框图内容"/>
    <w:basedOn w:val="1"/>
    <w:semiHidden/>
    <w:qFormat/>
    <w:uiPriority w:val="0"/>
    <w:pPr>
      <w:jc w:val="center"/>
    </w:pPr>
    <w:rPr>
      <w:rFonts w:ascii="宋体"/>
      <w:lang w:val="en-GB"/>
    </w:rPr>
  </w:style>
  <w:style w:type="paragraph" w:customStyle="1" w:styleId="1566">
    <w:name w:val="xl182"/>
    <w:basedOn w:val="1"/>
    <w:qFormat/>
    <w:uiPriority w:val="0"/>
    <w:pPr>
      <w:widowControl/>
      <w:pBdr>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1567">
    <w:name w:val="MG"/>
    <w:basedOn w:val="3"/>
    <w:semiHidden/>
    <w:qFormat/>
    <w:uiPriority w:val="0"/>
    <w:pPr>
      <w:keepLines w:val="0"/>
      <w:widowControl/>
      <w:tabs>
        <w:tab w:val="left" w:pos="2260"/>
        <w:tab w:val="left" w:pos="2820"/>
        <w:tab w:val="left" w:pos="3420"/>
      </w:tabs>
      <w:adjustRightInd w:val="0"/>
      <w:snapToGrid w:val="0"/>
      <w:spacing w:before="440" w:after="0" w:line="240" w:lineRule="auto"/>
      <w:ind w:left="851" w:right="-28" w:hanging="851"/>
      <w:jc w:val="both"/>
    </w:pPr>
    <w:rPr>
      <w:rFonts w:ascii="Arial" w:hAnsi="Arial" w:eastAsia="宋体"/>
      <w:bCs w:val="0"/>
      <w:kern w:val="0"/>
      <w:sz w:val="22"/>
      <w:szCs w:val="20"/>
      <w:lang w:val="en-GB"/>
    </w:rPr>
  </w:style>
  <w:style w:type="paragraph" w:customStyle="1" w:styleId="1568">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569">
    <w:name w:val="小4黑居中行1"/>
    <w:qFormat/>
    <w:uiPriority w:val="0"/>
    <w:pPr>
      <w:widowControl w:val="0"/>
      <w:tabs>
        <w:tab w:val="right" w:leader="middleDot" w:pos="8222"/>
      </w:tabs>
      <w:jc w:val="center"/>
    </w:pPr>
    <w:rPr>
      <w:rFonts w:ascii="仿宋_GB2312" w:hAnsi="宋体" w:eastAsia="仿宋_GB2312" w:cs="Times New Roman"/>
      <w:kern w:val="2"/>
      <w:sz w:val="24"/>
      <w:lang w:val="en-US" w:eastAsia="zh-CN" w:bidi="ar-SA"/>
    </w:rPr>
  </w:style>
  <w:style w:type="paragraph" w:customStyle="1" w:styleId="157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1571">
    <w:name w:val="字元 字元 Char Char 字元 字元13"/>
    <w:basedOn w:val="1"/>
    <w:qFormat/>
    <w:uiPriority w:val="0"/>
    <w:rPr>
      <w:sz w:val="24"/>
    </w:rPr>
  </w:style>
  <w:style w:type="paragraph" w:customStyle="1" w:styleId="1572">
    <w:name w:val="陈光的正文"/>
    <w:basedOn w:val="1"/>
    <w:qFormat/>
    <w:uiPriority w:val="0"/>
    <w:pPr>
      <w:adjustRightInd w:val="0"/>
      <w:snapToGrid w:val="0"/>
      <w:spacing w:before="31" w:beforeLines="10" w:after="31" w:afterLines="10" w:line="360" w:lineRule="auto"/>
      <w:ind w:firstLine="560" w:firstLineChars="200"/>
    </w:pPr>
    <w:rPr>
      <w:sz w:val="28"/>
      <w:szCs w:val="20"/>
    </w:rPr>
  </w:style>
  <w:style w:type="paragraph" w:customStyle="1" w:styleId="1573">
    <w:name w:val="Char Char Char Char Char Char1 Char"/>
    <w:basedOn w:val="1"/>
    <w:qFormat/>
    <w:uiPriority w:val="0"/>
    <w:pPr>
      <w:spacing w:line="360" w:lineRule="auto"/>
    </w:pPr>
    <w:rPr>
      <w:sz w:val="24"/>
    </w:rPr>
  </w:style>
  <w:style w:type="paragraph" w:customStyle="1" w:styleId="1574">
    <w:name w:val="font7"/>
    <w:basedOn w:val="1"/>
    <w:qFormat/>
    <w:uiPriority w:val="0"/>
    <w:pPr>
      <w:widowControl/>
      <w:spacing w:before="100" w:beforeAutospacing="1" w:after="100" w:afterAutospacing="1"/>
      <w:jc w:val="left"/>
    </w:pPr>
    <w:rPr>
      <w:kern w:val="0"/>
      <w:sz w:val="20"/>
      <w:szCs w:val="20"/>
    </w:rPr>
  </w:style>
  <w:style w:type="paragraph" w:customStyle="1" w:styleId="1575">
    <w:name w:val="表格式"/>
    <w:basedOn w:val="66"/>
    <w:qFormat/>
    <w:uiPriority w:val="0"/>
    <w:pPr>
      <w:spacing w:line="400" w:lineRule="exact"/>
      <w:ind w:left="0" w:firstLine="0" w:firstLineChars="0"/>
      <w:jc w:val="center"/>
    </w:pPr>
    <w:rPr>
      <w:rFonts w:ascii="宋体"/>
      <w:szCs w:val="20"/>
    </w:rPr>
  </w:style>
  <w:style w:type="paragraph" w:customStyle="1" w:styleId="1576">
    <w:name w:val="样式 标题 3 + 左侧:  0.5 字符1"/>
    <w:basedOn w:val="5"/>
    <w:qFormat/>
    <w:uiPriority w:val="0"/>
    <w:pPr>
      <w:widowControl w:val="0"/>
      <w:numPr>
        <w:ilvl w:val="0"/>
        <w:numId w:val="0"/>
      </w:numPr>
      <w:tabs>
        <w:tab w:val="left" w:pos="1575"/>
      </w:tabs>
      <w:spacing w:before="120" w:after="120" w:line="413" w:lineRule="auto"/>
      <w:ind w:left="50" w:leftChars="50"/>
    </w:pPr>
    <w:rPr>
      <w:rFonts w:ascii="Arial" w:hAnsi="Arial" w:eastAsia="黑体"/>
      <w:b w:val="0"/>
      <w:szCs w:val="20"/>
    </w:rPr>
  </w:style>
  <w:style w:type="paragraph" w:customStyle="1" w:styleId="1577">
    <w:name w:val="批注主题1"/>
    <w:basedOn w:val="28"/>
    <w:next w:val="28"/>
    <w:qFormat/>
    <w:uiPriority w:val="0"/>
    <w:rPr>
      <w:rFonts w:ascii="宋体" w:hAnsi="宋体" w:eastAsia="Times New Roman"/>
      <w:b/>
      <w:bCs/>
      <w:sz w:val="28"/>
    </w:rPr>
  </w:style>
  <w:style w:type="paragraph" w:customStyle="1" w:styleId="1578">
    <w:name w:val="普通(网站)1"/>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1579">
    <w:name w:val="公式样式1"/>
    <w:basedOn w:val="1"/>
    <w:qFormat/>
    <w:uiPriority w:val="0"/>
    <w:pPr>
      <w:spacing w:line="360" w:lineRule="auto"/>
      <w:ind w:firstLine="235" w:firstLineChars="100"/>
    </w:pPr>
    <w:rPr>
      <w:rFonts w:ascii="宋体" w:hAnsi="宋体"/>
      <w:sz w:val="24"/>
      <w:szCs w:val="20"/>
    </w:rPr>
  </w:style>
  <w:style w:type="paragraph" w:customStyle="1" w:styleId="158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581">
    <w:name w:val="默认段落字体 Para Char Char Char Char"/>
    <w:basedOn w:val="1"/>
    <w:qFormat/>
    <w:uiPriority w:val="0"/>
    <w:rPr>
      <w:rFonts w:ascii="楷体_GB2312" w:hAnsi="宋体" w:eastAsia="楷体_GB2312" w:cs="宋体"/>
      <w:sz w:val="24"/>
    </w:rPr>
  </w:style>
  <w:style w:type="paragraph" w:customStyle="1" w:styleId="1582">
    <w:name w:val="Char Char Char Char Char Char Char Char Char Char"/>
    <w:basedOn w:val="1"/>
    <w:qFormat/>
    <w:uiPriority w:val="0"/>
    <w:pPr>
      <w:spacing w:line="360" w:lineRule="auto"/>
      <w:ind w:firstLine="200" w:firstLineChars="200"/>
    </w:pPr>
    <w:rPr>
      <w:sz w:val="24"/>
      <w:szCs w:val="20"/>
    </w:rPr>
  </w:style>
  <w:style w:type="paragraph" w:customStyle="1" w:styleId="1583">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paragraph" w:customStyle="1" w:styleId="1584">
    <w:name w:val="xl45"/>
    <w:basedOn w:val="1"/>
    <w:qFormat/>
    <w:uiPriority w:val="0"/>
    <w:pPr>
      <w:widowControl/>
      <w:pBdr>
        <w:right w:val="single" w:color="auto" w:sz="4" w:space="0"/>
      </w:pBdr>
      <w:spacing w:before="100" w:beforeAutospacing="1" w:after="100" w:afterAutospacing="1"/>
      <w:jc w:val="center"/>
      <w:textAlignment w:val="center"/>
    </w:pPr>
    <w:rPr>
      <w:rFonts w:hint="eastAsia" w:ascii="Arial Unicode MS" w:hAnsi="Arial Unicode MS" w:eastAsia="Arial Unicode MS" w:cs="Arial Unicode MS"/>
      <w:kern w:val="0"/>
      <w:sz w:val="20"/>
      <w:szCs w:val="20"/>
    </w:rPr>
  </w:style>
  <w:style w:type="paragraph" w:customStyle="1" w:styleId="1585">
    <w:name w:val="小五表文"/>
    <w:qFormat/>
    <w:uiPriority w:val="0"/>
    <w:pPr>
      <w:jc w:val="center"/>
    </w:pPr>
    <w:rPr>
      <w:rFonts w:ascii="Times New Roman" w:hAnsi="Times New Roman" w:eastAsia="仿宋_GB2312" w:cs="Times New Roman"/>
      <w:sz w:val="18"/>
      <w:lang w:val="en-US" w:eastAsia="zh-CN" w:bidi="ar-SA"/>
    </w:rPr>
  </w:style>
  <w:style w:type="character" w:customStyle="1" w:styleId="1586">
    <w:name w:val="注释标题 Char2"/>
    <w:basedOn w:val="133"/>
    <w:qFormat/>
    <w:uiPriority w:val="0"/>
    <w:rPr>
      <w:rFonts w:ascii="Times New Roman" w:hAnsi="Times New Roman" w:eastAsia="宋体" w:cs="Times New Roman"/>
      <w:szCs w:val="24"/>
    </w:rPr>
  </w:style>
  <w:style w:type="paragraph" w:customStyle="1" w:styleId="1587">
    <w:name w:val="样式 目录 2 + 左侧:  2 字符 首行缩进:  2 字符5"/>
    <w:basedOn w:val="74"/>
    <w:qFormat/>
    <w:uiPriority w:val="0"/>
    <w:pPr>
      <w:ind w:left="480" w:leftChars="0" w:firstLine="420" w:firstLineChars="200"/>
    </w:pPr>
    <w:rPr>
      <w:rFonts w:ascii="Calibri" w:hAnsi="Calibri" w:cs="宋体"/>
      <w:b/>
      <w:bCs/>
      <w:sz w:val="20"/>
      <w:szCs w:val="21"/>
    </w:rPr>
  </w:style>
  <w:style w:type="paragraph" w:customStyle="1" w:styleId="1588">
    <w:name w:val="表格内正文"/>
    <w:qFormat/>
    <w:uiPriority w:val="0"/>
    <w:pPr>
      <w:widowControl w:val="0"/>
      <w:tabs>
        <w:tab w:val="right" w:pos="6521"/>
        <w:tab w:val="left" w:pos="6804"/>
      </w:tabs>
      <w:adjustRightInd w:val="0"/>
      <w:spacing w:before="120" w:line="360" w:lineRule="auto"/>
      <w:textAlignment w:val="bottom"/>
    </w:pPr>
    <w:rPr>
      <w:rFonts w:ascii="宋体" w:hAnsi="Arial" w:eastAsia="宋体" w:cs="Times New Roman"/>
      <w:sz w:val="24"/>
      <w:lang w:val="en-US" w:eastAsia="zh-CN" w:bidi="ar-SA"/>
    </w:rPr>
  </w:style>
  <w:style w:type="paragraph" w:customStyle="1" w:styleId="1589">
    <w:name w:val="样式 标题 2 + 非加粗"/>
    <w:basedOn w:val="4"/>
    <w:qFormat/>
    <w:uiPriority w:val="0"/>
    <w:pPr>
      <w:spacing w:before="260" w:after="260" w:line="312" w:lineRule="auto"/>
      <w:jc w:val="left"/>
    </w:pPr>
    <w:rPr>
      <w:color w:val="auto"/>
      <w:sz w:val="24"/>
      <w:szCs w:val="32"/>
    </w:rPr>
  </w:style>
  <w:style w:type="paragraph" w:customStyle="1" w:styleId="1590">
    <w:name w:val="T表格"/>
    <w:qFormat/>
    <w:uiPriority w:val="0"/>
    <w:pPr>
      <w:widowControl w:val="0"/>
      <w:tabs>
        <w:tab w:val="left" w:pos="0"/>
      </w:tabs>
      <w:adjustRightInd w:val="0"/>
      <w:snapToGrid w:val="0"/>
      <w:jc w:val="center"/>
    </w:pPr>
    <w:rPr>
      <w:rFonts w:ascii="宋体" w:hAnsi="宋体" w:eastAsia="宋体" w:cs="Times New Roman"/>
      <w:color w:val="000000"/>
      <w:kern w:val="2"/>
      <w:sz w:val="24"/>
      <w:szCs w:val="24"/>
      <w:lang w:val="en-US" w:eastAsia="zh-CN" w:bidi="ar-SA"/>
    </w:rPr>
  </w:style>
  <w:style w:type="character" w:customStyle="1" w:styleId="1591">
    <w:name w:val="日期 Char2"/>
    <w:basedOn w:val="133"/>
    <w:qFormat/>
    <w:uiPriority w:val="0"/>
    <w:rPr>
      <w:rFonts w:ascii="Times New Roman" w:hAnsi="Times New Roman" w:eastAsia="宋体" w:cs="Times New Roman"/>
      <w:szCs w:val="24"/>
    </w:rPr>
  </w:style>
  <w:style w:type="paragraph" w:customStyle="1" w:styleId="1592">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1593">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宋体"/>
      <w:kern w:val="0"/>
      <w:sz w:val="18"/>
      <w:szCs w:val="18"/>
      <w:lang w:bidi="th-TH"/>
    </w:rPr>
  </w:style>
  <w:style w:type="paragraph" w:customStyle="1" w:styleId="1594">
    <w:name w:val="Char Char Char1 Char Char Char1 Char Char Char Char Char Char1 Char Char Char1 Char"/>
    <w:basedOn w:val="1"/>
    <w:semiHidden/>
    <w:qFormat/>
    <w:uiPriority w:val="0"/>
  </w:style>
  <w:style w:type="paragraph" w:customStyle="1" w:styleId="1595">
    <w:name w:val="MTDisplayEquation"/>
    <w:basedOn w:val="1"/>
    <w:next w:val="1"/>
    <w:qFormat/>
    <w:uiPriority w:val="0"/>
    <w:pPr>
      <w:tabs>
        <w:tab w:val="center" w:pos="4160"/>
        <w:tab w:val="right" w:pos="8320"/>
      </w:tabs>
      <w:spacing w:line="360" w:lineRule="auto"/>
      <w:ind w:firstLine="480" w:firstLineChars="200"/>
    </w:pPr>
    <w:rPr>
      <w:sz w:val="24"/>
    </w:rPr>
  </w:style>
  <w:style w:type="paragraph" w:customStyle="1" w:styleId="1596">
    <w:name w:val="xl1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597">
    <w:name w:val="样式 样式 样式 目录2 + 左侧:  -2 字符 + 左侧:  2 字符 + 左侧:  2 字符"/>
    <w:basedOn w:val="1"/>
    <w:qFormat/>
    <w:uiPriority w:val="0"/>
    <w:pPr>
      <w:adjustRightInd w:val="0"/>
      <w:snapToGrid w:val="0"/>
      <w:spacing w:line="300" w:lineRule="auto"/>
      <w:ind w:left="200" w:leftChars="200"/>
      <w:jc w:val="distribute"/>
    </w:pPr>
    <w:rPr>
      <w:rFonts w:ascii="宋体" w:hAnsi="宋体" w:cs="宋体"/>
      <w:szCs w:val="20"/>
    </w:rPr>
  </w:style>
  <w:style w:type="paragraph" w:customStyle="1" w:styleId="1598">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1599">
    <w:name w:val="文本框文字"/>
    <w:basedOn w:val="1"/>
    <w:qFormat/>
    <w:uiPriority w:val="0"/>
    <w:pPr>
      <w:adjustRightInd w:val="0"/>
      <w:snapToGrid w:val="0"/>
      <w:spacing w:line="240" w:lineRule="exact"/>
      <w:jc w:val="center"/>
      <w:textAlignment w:val="center"/>
    </w:pPr>
    <w:rPr>
      <w:rFonts w:ascii="宋体"/>
      <w:snapToGrid w:val="0"/>
      <w:kern w:val="0"/>
      <w:sz w:val="24"/>
    </w:rPr>
  </w:style>
  <w:style w:type="paragraph" w:customStyle="1" w:styleId="1600">
    <w:name w:val="批注文字 Char Char"/>
    <w:basedOn w:val="1"/>
    <w:qFormat/>
    <w:uiPriority w:val="0"/>
    <w:pPr>
      <w:spacing w:line="351" w:lineRule="atLeast"/>
      <w:ind w:firstLine="419"/>
      <w:jc w:val="left"/>
    </w:pPr>
    <w:rPr>
      <w:szCs w:val="20"/>
    </w:rPr>
  </w:style>
  <w:style w:type="paragraph" w:customStyle="1" w:styleId="1601">
    <w:name w:val="正文 + 宋体"/>
    <w:basedOn w:val="1"/>
    <w:qFormat/>
    <w:uiPriority w:val="0"/>
    <w:pPr>
      <w:snapToGrid w:val="0"/>
      <w:spacing w:line="400" w:lineRule="exact"/>
      <w:ind w:firstLine="480" w:firstLineChars="200"/>
    </w:pPr>
    <w:rPr>
      <w:rFonts w:ascii="宋体" w:hAnsi="宋体"/>
      <w:color w:val="000000"/>
      <w:sz w:val="24"/>
    </w:rPr>
  </w:style>
  <w:style w:type="paragraph" w:customStyle="1" w:styleId="1602">
    <w:name w:val="font6"/>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1603">
    <w:name w:val="表格32"/>
    <w:basedOn w:val="1"/>
    <w:qFormat/>
    <w:uiPriority w:val="0"/>
    <w:pPr>
      <w:adjustRightInd w:val="0"/>
      <w:ind w:firstLine="480" w:firstLineChars="200"/>
      <w:jc w:val="center"/>
      <w:textAlignment w:val="center"/>
    </w:pPr>
    <w:rPr>
      <w:rFonts w:eastAsia="仿宋_GB2312"/>
      <w:sz w:val="24"/>
      <w:szCs w:val="20"/>
    </w:rPr>
  </w:style>
  <w:style w:type="paragraph" w:customStyle="1" w:styleId="1604">
    <w:name w:val="Char Char3 Char Char Char1 Char"/>
    <w:basedOn w:val="1"/>
    <w:qFormat/>
    <w:uiPriority w:val="0"/>
    <w:rPr>
      <w:szCs w:val="20"/>
    </w:rPr>
  </w:style>
  <w:style w:type="paragraph" w:customStyle="1" w:styleId="1605">
    <w:name w:val="大纲封面"/>
    <w:basedOn w:val="1"/>
    <w:qFormat/>
    <w:uiPriority w:val="0"/>
    <w:pPr>
      <w:spacing w:line="360" w:lineRule="auto"/>
      <w:jc w:val="center"/>
    </w:pPr>
    <w:rPr>
      <w:rFonts w:ascii="宋体" w:hAnsi="Arial Black" w:eastAsia="楷体_GB2312"/>
      <w:b/>
      <w:spacing w:val="100"/>
      <w:kern w:val="44"/>
      <w:sz w:val="72"/>
      <w:szCs w:val="20"/>
    </w:rPr>
  </w:style>
  <w:style w:type="paragraph" w:customStyle="1" w:styleId="1606">
    <w:name w:val="表格排版"/>
    <w:next w:val="1"/>
    <w:qFormat/>
    <w:uiPriority w:val="0"/>
    <w:pPr>
      <w:jc w:val="center"/>
    </w:pPr>
    <w:rPr>
      <w:rFonts w:ascii="Times New Roman" w:hAnsi="Times New Roman" w:eastAsia="宋体" w:cs="Times New Roman"/>
      <w:bCs/>
      <w:kern w:val="44"/>
      <w:sz w:val="21"/>
      <w:szCs w:val="44"/>
      <w:lang w:val="en-US" w:eastAsia="zh-CN" w:bidi="ar-SA"/>
    </w:rPr>
  </w:style>
  <w:style w:type="character" w:customStyle="1" w:styleId="1607">
    <w:name w:val="结束语 Char6"/>
    <w:basedOn w:val="133"/>
    <w:qFormat/>
    <w:uiPriority w:val="0"/>
    <w:rPr>
      <w:rFonts w:ascii="Times New Roman" w:hAnsi="Times New Roman" w:eastAsia="宋体" w:cs="Times New Roman"/>
      <w:szCs w:val="24"/>
    </w:rPr>
  </w:style>
  <w:style w:type="paragraph" w:customStyle="1" w:styleId="1608">
    <w:name w:val="z-窗体顶端13"/>
    <w:basedOn w:val="1"/>
    <w:next w:val="1"/>
    <w:qFormat/>
    <w:uiPriority w:val="0"/>
    <w:pPr>
      <w:pBdr>
        <w:bottom w:val="single" w:color="auto" w:sz="6" w:space="1"/>
      </w:pBdr>
      <w:jc w:val="center"/>
    </w:pPr>
    <w:rPr>
      <w:rFonts w:hint="eastAsia" w:ascii="Arial" w:hAnsi="Arial"/>
      <w:vanish/>
      <w:sz w:val="16"/>
      <w:szCs w:val="20"/>
    </w:rPr>
  </w:style>
  <w:style w:type="paragraph" w:customStyle="1" w:styleId="1609">
    <w:name w:val="样式 目录 2 + 左侧:  2 字符 首行缩进:  2 字符3"/>
    <w:basedOn w:val="74"/>
    <w:qFormat/>
    <w:uiPriority w:val="0"/>
    <w:pPr>
      <w:ind w:left="200" w:leftChars="0"/>
    </w:pPr>
    <w:rPr>
      <w:rFonts w:ascii="Calibri" w:hAnsi="Calibri" w:cs="宋体"/>
      <w:b/>
      <w:bCs/>
      <w:sz w:val="20"/>
      <w:szCs w:val="20"/>
    </w:rPr>
  </w:style>
  <w:style w:type="paragraph" w:customStyle="1" w:styleId="1610">
    <w:name w:val="标题 1."/>
    <w:next w:val="34"/>
    <w:qFormat/>
    <w:uiPriority w:val="0"/>
    <w:pPr>
      <w:spacing w:before="240" w:after="240" w:line="360" w:lineRule="auto"/>
      <w:jc w:val="center"/>
    </w:pPr>
    <w:rPr>
      <w:rFonts w:ascii="Times New Roman" w:hAnsi="Times New Roman" w:eastAsia="黑体" w:cs="宋体"/>
      <w:b/>
      <w:bCs/>
      <w:kern w:val="44"/>
      <w:sz w:val="44"/>
      <w:lang w:val="en-US" w:eastAsia="zh-CN" w:bidi="ar-SA"/>
    </w:rPr>
  </w:style>
  <w:style w:type="paragraph" w:customStyle="1" w:styleId="1611">
    <w:name w:val="yz"/>
    <w:basedOn w:val="34"/>
    <w:qFormat/>
    <w:uiPriority w:val="0"/>
    <w:pPr>
      <w:tabs>
        <w:tab w:val="left" w:pos="900"/>
      </w:tabs>
      <w:adjustRightInd w:val="0"/>
      <w:spacing w:line="240" w:lineRule="auto"/>
      <w:ind w:firstLine="200" w:firstLineChars="200"/>
    </w:pPr>
    <w:rPr>
      <w:rFonts w:hint="eastAsia"/>
      <w:sz w:val="24"/>
      <w:szCs w:val="20"/>
    </w:rPr>
  </w:style>
  <w:style w:type="character" w:customStyle="1" w:styleId="1612">
    <w:name w:val="电子邮件签名 Char6"/>
    <w:basedOn w:val="133"/>
    <w:qFormat/>
    <w:uiPriority w:val="0"/>
    <w:rPr>
      <w:rFonts w:ascii="Times New Roman" w:hAnsi="Times New Roman" w:eastAsia="宋体" w:cs="Times New Roman"/>
      <w:szCs w:val="24"/>
    </w:rPr>
  </w:style>
  <w:style w:type="paragraph" w:customStyle="1" w:styleId="1613">
    <w:name w:val="表内字"/>
    <w:basedOn w:val="45"/>
    <w:qFormat/>
    <w:uiPriority w:val="0"/>
    <w:pPr>
      <w:snapToGrid w:val="0"/>
      <w:spacing w:line="360" w:lineRule="auto"/>
      <w:jc w:val="center"/>
    </w:pPr>
    <w:rPr>
      <w:rFonts w:ascii="Times New Roman" w:hAnsi="Times New Roman"/>
      <w:kern w:val="0"/>
      <w:sz w:val="24"/>
    </w:rPr>
  </w:style>
  <w:style w:type="paragraph" w:customStyle="1" w:styleId="1614">
    <w:name w:val="默认段落字体 Para Char Char Char Char Char Char Char"/>
    <w:basedOn w:val="1"/>
    <w:qFormat/>
    <w:uiPriority w:val="0"/>
    <w:rPr>
      <w:szCs w:val="20"/>
    </w:rPr>
  </w:style>
  <w:style w:type="paragraph" w:customStyle="1" w:styleId="1615">
    <w:name w:val="项目符号1"/>
    <w:basedOn w:val="1"/>
    <w:qFormat/>
    <w:uiPriority w:val="0"/>
    <w:pPr>
      <w:tabs>
        <w:tab w:val="left" w:pos="210"/>
      </w:tabs>
      <w:snapToGrid w:val="0"/>
      <w:spacing w:before="120" w:after="120" w:line="312" w:lineRule="auto"/>
      <w:ind w:left="210" w:hanging="210"/>
    </w:pPr>
    <w:rPr>
      <w:rFonts w:ascii="Arial" w:hAnsi="Arial" w:eastAsia="楷体_GB2312"/>
      <w:b/>
      <w:sz w:val="28"/>
      <w:szCs w:val="20"/>
    </w:rPr>
  </w:style>
  <w:style w:type="paragraph" w:customStyle="1" w:styleId="1616">
    <w:name w:val="xl66"/>
    <w:basedOn w:val="1"/>
    <w:qFormat/>
    <w:uiPriority w:val="0"/>
    <w:pPr>
      <w:widowControl/>
      <w:pBdr>
        <w:top w:val="single" w:color="auto" w:sz="4" w:space="0"/>
        <w:bottom w:val="single" w:color="auto" w:sz="8" w:space="0"/>
      </w:pBdr>
      <w:spacing w:before="100" w:beforeAutospacing="1" w:after="100" w:afterAutospacing="1"/>
      <w:jc w:val="left"/>
    </w:pPr>
    <w:rPr>
      <w:rFonts w:ascii="宋体" w:hAnsi="宋体" w:cs="宋体"/>
      <w:kern w:val="0"/>
      <w:sz w:val="20"/>
      <w:szCs w:val="20"/>
      <w:lang w:bidi="th-TH"/>
    </w:rPr>
  </w:style>
  <w:style w:type="paragraph" w:customStyle="1" w:styleId="1617">
    <w:name w:val="样式 正文文本缩进 + 左侧:  0.95 厘米 首行缩进:  0.63 厘米"/>
    <w:basedOn w:val="35"/>
    <w:qFormat/>
    <w:uiPriority w:val="0"/>
    <w:pPr>
      <w:spacing w:after="0" w:line="480" w:lineRule="exact"/>
      <w:ind w:left="0" w:leftChars="0" w:firstLine="480" w:firstLineChars="200"/>
    </w:pPr>
    <w:rPr>
      <w:rFonts w:ascii="宋体" w:hAnsi="宋体"/>
      <w:color w:val="000000"/>
      <w:sz w:val="24"/>
      <w:szCs w:val="20"/>
    </w:rPr>
  </w:style>
  <w:style w:type="paragraph" w:customStyle="1" w:styleId="1618">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61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620">
    <w:name w:val="样式1表头 Char"/>
    <w:basedOn w:val="27"/>
    <w:qFormat/>
    <w:uiPriority w:val="0"/>
    <w:pPr>
      <w:spacing w:before="50" w:beforeLines="50" w:after="50" w:afterLines="50" w:line="240" w:lineRule="auto"/>
      <w:jc w:val="center"/>
    </w:pPr>
    <w:rPr>
      <w:kern w:val="2"/>
      <w:szCs w:val="24"/>
    </w:rPr>
  </w:style>
  <w:style w:type="paragraph" w:customStyle="1" w:styleId="1621">
    <w:name w:val="码头表"/>
    <w:basedOn w:val="1471"/>
    <w:qFormat/>
    <w:uiPriority w:val="0"/>
    <w:pPr>
      <w:spacing w:line="0" w:lineRule="atLeast"/>
    </w:pPr>
    <w:rPr>
      <w:color w:val="auto"/>
      <w:sz w:val="21"/>
      <w:szCs w:val="21"/>
    </w:rPr>
  </w:style>
  <w:style w:type="paragraph" w:customStyle="1" w:styleId="1622">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paragraph" w:customStyle="1" w:styleId="1623">
    <w:name w:val="et13"/>
    <w:basedOn w:val="1"/>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624">
    <w:name w:val="河石管道 表格正文"/>
    <w:qFormat/>
    <w:uiPriority w:val="0"/>
    <w:pPr>
      <w:snapToGrid w:val="0"/>
      <w:jc w:val="both"/>
    </w:pPr>
    <w:rPr>
      <w:rFonts w:ascii="Times New Roman" w:hAnsi="Times New Roman" w:eastAsia="宋体" w:cs="Times New Roman"/>
      <w:kern w:val="2"/>
      <w:sz w:val="21"/>
      <w:szCs w:val="21"/>
      <w:lang w:val="en-US" w:eastAsia="zh-CN" w:bidi="ar-SA"/>
    </w:rPr>
  </w:style>
  <w:style w:type="paragraph" w:customStyle="1" w:styleId="162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62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character" w:customStyle="1" w:styleId="1627">
    <w:name w:val="签名 Char6"/>
    <w:basedOn w:val="133"/>
    <w:qFormat/>
    <w:uiPriority w:val="0"/>
    <w:rPr>
      <w:rFonts w:ascii="Times New Roman" w:hAnsi="Times New Roman" w:eastAsia="宋体" w:cs="Times New Roman"/>
      <w:szCs w:val="24"/>
    </w:rPr>
  </w:style>
  <w:style w:type="paragraph" w:customStyle="1" w:styleId="162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kern w:val="0"/>
      <w:sz w:val="20"/>
      <w:szCs w:val="20"/>
    </w:rPr>
  </w:style>
  <w:style w:type="paragraph" w:customStyle="1" w:styleId="1629">
    <w:name w:val="首行缩进: 2字符"/>
    <w:basedOn w:val="1"/>
    <w:qFormat/>
    <w:uiPriority w:val="0"/>
    <w:pPr>
      <w:adjustRightInd w:val="0"/>
      <w:snapToGrid w:val="0"/>
      <w:spacing w:line="360" w:lineRule="auto"/>
      <w:ind w:firstLine="200" w:firstLineChars="200"/>
    </w:pPr>
    <w:rPr>
      <w:rFonts w:eastAsia="仿宋_GB2312"/>
      <w:sz w:val="28"/>
      <w:szCs w:val="20"/>
    </w:rPr>
  </w:style>
  <w:style w:type="paragraph" w:customStyle="1" w:styleId="1630">
    <w:name w:val="标题3"/>
    <w:basedOn w:val="1"/>
    <w:qFormat/>
    <w:uiPriority w:val="0"/>
  </w:style>
  <w:style w:type="paragraph" w:customStyle="1" w:styleId="1631">
    <w:name w:val="1.1标题"/>
    <w:basedOn w:val="4"/>
    <w:qFormat/>
    <w:uiPriority w:val="0"/>
    <w:pPr>
      <w:adjustRightInd w:val="0"/>
      <w:snapToGrid w:val="0"/>
      <w:spacing w:before="0" w:after="0" w:line="440" w:lineRule="exact"/>
      <w:ind w:firstLine="482" w:firstLineChars="200"/>
    </w:pPr>
    <w:rPr>
      <w:rFonts w:ascii="黑体" w:hAnsi="宋体"/>
      <w:color w:val="auto"/>
      <w:sz w:val="24"/>
      <w:szCs w:val="24"/>
    </w:rPr>
  </w:style>
  <w:style w:type="paragraph" w:customStyle="1" w:styleId="1632">
    <w:name w:val="?y??"/>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33">
    <w:name w:val="章标题"/>
    <w:next w:val="1"/>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1634">
    <w:name w:val="样式 标题 2Chapter Heading2nd levelh22Titre2l2H2Header 2UND...1"/>
    <w:basedOn w:val="4"/>
    <w:qFormat/>
    <w:uiPriority w:val="0"/>
    <w:pPr>
      <w:widowControl/>
      <w:tabs>
        <w:tab w:val="left" w:pos="360"/>
        <w:tab w:val="left" w:pos="576"/>
      </w:tabs>
      <w:spacing w:before="156" w:beforeLines="50" w:after="156" w:afterLines="50"/>
      <w:ind w:left="245" w:hanging="245"/>
      <w:jc w:val="left"/>
    </w:pPr>
    <w:rPr>
      <w:rFonts w:eastAsia="宋体"/>
      <w:color w:val="auto"/>
      <w:szCs w:val="30"/>
    </w:rPr>
  </w:style>
  <w:style w:type="paragraph" w:customStyle="1" w:styleId="1635">
    <w:name w:val="Char Char Char Char Char Char Char Char Char Char Char Char Char Char Char Char Char Char Char Char Char Char"/>
    <w:basedOn w:val="1"/>
    <w:qFormat/>
    <w:uiPriority w:val="0"/>
    <w:rPr>
      <w:sz w:val="24"/>
    </w:rPr>
  </w:style>
  <w:style w:type="paragraph" w:customStyle="1" w:styleId="1636">
    <w:name w:val="xl22"/>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163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638">
    <w:name w:val="样式 标题 1标题 1宋旭峰标题1章节H1h11headingHeader 1st Pageh1 chapte..."/>
    <w:basedOn w:val="3"/>
    <w:semiHidden/>
    <w:qFormat/>
    <w:uiPriority w:val="0"/>
    <w:pPr>
      <w:adjustRightInd w:val="0"/>
      <w:snapToGrid w:val="0"/>
      <w:spacing w:before="0" w:after="156" w:line="360" w:lineRule="auto"/>
      <w:jc w:val="left"/>
    </w:pPr>
    <w:rPr>
      <w:kern w:val="2"/>
      <w:szCs w:val="30"/>
    </w:rPr>
  </w:style>
  <w:style w:type="paragraph" w:customStyle="1" w:styleId="1639">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1640">
    <w:name w:val="TOC 标题1"/>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1641">
    <w:name w:val="xl181"/>
    <w:basedOn w:val="1"/>
    <w:qFormat/>
    <w:uiPriority w:val="0"/>
    <w:pPr>
      <w:widowControl/>
      <w:pBdr>
        <w:top w:val="single" w:color="auto" w:sz="4" w:space="0"/>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1642">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character" w:customStyle="1" w:styleId="1643">
    <w:name w:val="称呼 Char6"/>
    <w:basedOn w:val="133"/>
    <w:qFormat/>
    <w:uiPriority w:val="0"/>
    <w:rPr>
      <w:rFonts w:ascii="Times New Roman" w:hAnsi="Times New Roman" w:eastAsia="宋体" w:cs="Times New Roman"/>
      <w:szCs w:val="24"/>
    </w:rPr>
  </w:style>
  <w:style w:type="paragraph" w:customStyle="1" w:styleId="1644">
    <w:name w:val="xl48"/>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Arial Unicode MS" w:hAnsi="Arial Unicode MS" w:eastAsia="Arial Unicode MS"/>
      <w:kern w:val="0"/>
      <w:sz w:val="24"/>
      <w:szCs w:val="20"/>
    </w:rPr>
  </w:style>
  <w:style w:type="paragraph" w:customStyle="1" w:styleId="1645">
    <w:name w:val="样式 正文文本缩进 + 首行缩进:  2 字符"/>
    <w:basedOn w:val="35"/>
    <w:qFormat/>
    <w:uiPriority w:val="0"/>
    <w:pPr>
      <w:spacing w:after="0" w:line="440" w:lineRule="exact"/>
      <w:ind w:left="0" w:leftChars="0" w:firstLine="200" w:firstLineChars="200"/>
    </w:pPr>
    <w:rPr>
      <w:rFonts w:cs="宋体"/>
      <w:sz w:val="24"/>
      <w:szCs w:val="20"/>
    </w:rPr>
  </w:style>
  <w:style w:type="paragraph" w:customStyle="1" w:styleId="1646">
    <w:name w:val="图号样式"/>
    <w:basedOn w:val="1"/>
    <w:qFormat/>
    <w:uiPriority w:val="0"/>
    <w:pPr>
      <w:spacing w:line="360" w:lineRule="auto"/>
      <w:jc w:val="center"/>
    </w:pPr>
    <w:rPr>
      <w:sz w:val="24"/>
    </w:rPr>
  </w:style>
  <w:style w:type="paragraph" w:customStyle="1" w:styleId="1647">
    <w:name w:val="默认段落字体 Para Char"/>
    <w:basedOn w:val="1"/>
    <w:next w:val="1"/>
    <w:qFormat/>
    <w:uiPriority w:val="0"/>
    <w:pPr>
      <w:spacing w:line="360" w:lineRule="auto"/>
      <w:ind w:firstLine="200" w:firstLineChars="200"/>
    </w:pPr>
    <w:rPr>
      <w:rFonts w:ascii="宋体" w:hAnsi="宋体" w:cs="宋体"/>
      <w:sz w:val="24"/>
    </w:rPr>
  </w:style>
  <w:style w:type="character" w:customStyle="1" w:styleId="1648">
    <w:name w:val="脚注文本 Char6"/>
    <w:basedOn w:val="133"/>
    <w:qFormat/>
    <w:uiPriority w:val="0"/>
    <w:rPr>
      <w:rFonts w:ascii="Times New Roman" w:hAnsi="Times New Roman" w:eastAsia="宋体" w:cs="Times New Roman"/>
      <w:sz w:val="18"/>
      <w:szCs w:val="18"/>
    </w:rPr>
  </w:style>
  <w:style w:type="paragraph" w:customStyle="1" w:styleId="1649">
    <w:name w:val="样式 标题 31.1.1条标题 3 Char Char标题 3 CharBSH-3条标题1.1.1H3b3标题...1"/>
    <w:basedOn w:val="5"/>
    <w:qFormat/>
    <w:uiPriority w:val="0"/>
    <w:pPr>
      <w:widowControl w:val="0"/>
      <w:numPr>
        <w:ilvl w:val="0"/>
        <w:numId w:val="0"/>
      </w:numPr>
      <w:spacing w:before="156" w:after="156" w:line="360" w:lineRule="auto"/>
      <w:jc w:val="both"/>
    </w:pPr>
    <w:rPr>
      <w:rFonts w:ascii="楷体_GB2312" w:hAnsi="宋体" w:eastAsia="楷体_GB2312" w:cs="Tahoma"/>
      <w:bCs w:val="0"/>
      <w:szCs w:val="28"/>
    </w:rPr>
  </w:style>
  <w:style w:type="paragraph" w:customStyle="1" w:styleId="1650">
    <w:name w:val="标题 2 + 首行缩进:  2 字符"/>
    <w:basedOn w:val="4"/>
    <w:qFormat/>
    <w:uiPriority w:val="0"/>
    <w:pPr>
      <w:spacing w:before="0" w:after="0" w:line="300" w:lineRule="auto"/>
      <w:ind w:firstLine="200" w:firstLineChars="200"/>
      <w:jc w:val="center"/>
    </w:pPr>
    <w:rPr>
      <w:rFonts w:ascii="Arial" w:hAnsi="Arial" w:cs="宋体"/>
      <w:b w:val="0"/>
      <w:color w:val="auto"/>
      <w:szCs w:val="20"/>
    </w:rPr>
  </w:style>
  <w:style w:type="paragraph" w:customStyle="1" w:styleId="1651">
    <w:name w:val="段落"/>
    <w:basedOn w:val="1"/>
    <w:qFormat/>
    <w:uiPriority w:val="0"/>
    <w:pPr>
      <w:adjustRightInd w:val="0"/>
      <w:spacing w:after="120" w:line="360" w:lineRule="auto"/>
      <w:ind w:firstLine="567"/>
    </w:pPr>
    <w:rPr>
      <w:rFonts w:ascii="宋体" w:hAnsi="宋体" w:cs="Arial"/>
      <w:sz w:val="28"/>
      <w:szCs w:val="30"/>
    </w:rPr>
  </w:style>
  <w:style w:type="paragraph" w:customStyle="1" w:styleId="1652">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653">
    <w:name w:val="样式5"/>
    <w:basedOn w:val="1"/>
    <w:qFormat/>
    <w:uiPriority w:val="0"/>
    <w:pPr>
      <w:spacing w:line="360" w:lineRule="auto"/>
      <w:ind w:left="200" w:leftChars="200" w:firstLine="480" w:firstLineChars="200"/>
    </w:pPr>
    <w:rPr>
      <w:rFonts w:ascii="宋体" w:hAnsi="宋体"/>
      <w:snapToGrid w:val="0"/>
      <w:color w:val="222288"/>
      <w:kern w:val="0"/>
      <w:sz w:val="24"/>
    </w:rPr>
  </w:style>
  <w:style w:type="paragraph" w:customStyle="1" w:styleId="1654">
    <w:name w:val="封面正文"/>
    <w:qFormat/>
    <w:uiPriority w:val="0"/>
    <w:pPr>
      <w:jc w:val="both"/>
    </w:pPr>
    <w:rPr>
      <w:rFonts w:ascii="Times New Roman" w:hAnsi="Times New Roman" w:eastAsia="宋体" w:cs="Times New Roman"/>
      <w:lang w:val="en-US" w:eastAsia="zh-CN" w:bidi="ar-SA"/>
    </w:rPr>
  </w:style>
  <w:style w:type="paragraph" w:customStyle="1" w:styleId="1655">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000000"/>
      <w:kern w:val="0"/>
      <w:sz w:val="18"/>
      <w:szCs w:val="18"/>
    </w:rPr>
  </w:style>
  <w:style w:type="paragraph" w:customStyle="1" w:styleId="1656">
    <w:name w:val="xl4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657">
    <w:name w:val="正文文本缩进 21"/>
    <w:basedOn w:val="1"/>
    <w:qFormat/>
    <w:uiPriority w:val="0"/>
    <w:pPr>
      <w:adjustRightInd w:val="0"/>
      <w:spacing w:line="360" w:lineRule="auto"/>
      <w:ind w:firstLine="510"/>
      <w:textAlignment w:val="baseline"/>
    </w:pPr>
    <w:rPr>
      <w:rFonts w:ascii="宋体" w:hAnsi="宋体"/>
      <w:sz w:val="28"/>
      <w:szCs w:val="20"/>
    </w:rPr>
  </w:style>
  <w:style w:type="paragraph" w:customStyle="1" w:styleId="1658">
    <w:name w:val="Char2 Char Char Char Char Char"/>
    <w:basedOn w:val="1"/>
    <w:qFormat/>
    <w:uiPriority w:val="0"/>
    <w:rPr>
      <w:sz w:val="24"/>
    </w:rPr>
  </w:style>
  <w:style w:type="paragraph" w:customStyle="1" w:styleId="1659">
    <w:name w:val="样式10"/>
    <w:basedOn w:val="1"/>
    <w:qFormat/>
    <w:uiPriority w:val="0"/>
    <w:rPr>
      <w:rFonts w:ascii="黑体" w:hAnsi="宋体" w:eastAsia="黑体"/>
    </w:rPr>
  </w:style>
  <w:style w:type="paragraph" w:customStyle="1" w:styleId="1660">
    <w:name w:val="文档标题"/>
    <w:basedOn w:val="1"/>
    <w:qFormat/>
    <w:uiPriority w:val="0"/>
    <w:pPr>
      <w:jc w:val="center"/>
    </w:pPr>
    <w:rPr>
      <w:rFonts w:ascii="黑体" w:hAnsi="华文仿宋" w:eastAsia="黑体"/>
      <w:sz w:val="36"/>
      <w:szCs w:val="20"/>
    </w:rPr>
  </w:style>
  <w:style w:type="paragraph" w:customStyle="1" w:styleId="1661">
    <w:name w:val="表左"/>
    <w:basedOn w:val="1"/>
    <w:next w:val="1"/>
    <w:qFormat/>
    <w:uiPriority w:val="0"/>
    <w:pPr>
      <w:adjustRightInd w:val="0"/>
      <w:spacing w:line="280" w:lineRule="exact"/>
      <w:ind w:firstLine="567"/>
      <w:jc w:val="center"/>
      <w:textAlignment w:val="baseline"/>
    </w:pPr>
    <w:rPr>
      <w:rFonts w:ascii="仿宋_GB2312" w:eastAsia="仿宋_GB2312"/>
      <w:color w:val="000000"/>
      <w:szCs w:val="21"/>
    </w:rPr>
  </w:style>
  <w:style w:type="character" w:customStyle="1" w:styleId="1662">
    <w:name w:val="尾注文本 Char4"/>
    <w:basedOn w:val="133"/>
    <w:qFormat/>
    <w:uiPriority w:val="0"/>
    <w:rPr>
      <w:rFonts w:ascii="Times New Roman" w:hAnsi="Times New Roman" w:eastAsia="宋体" w:cs="Times New Roman"/>
      <w:szCs w:val="24"/>
    </w:rPr>
  </w:style>
  <w:style w:type="character" w:customStyle="1" w:styleId="1663">
    <w:name w:val="信息标题 Char5"/>
    <w:basedOn w:val="133"/>
    <w:qFormat/>
    <w:uiPriority w:val="0"/>
    <w:rPr>
      <w:rFonts w:asciiTheme="majorHAnsi" w:hAnsiTheme="majorHAnsi" w:eastAsiaTheme="majorEastAsia" w:cstheme="majorBidi"/>
      <w:sz w:val="24"/>
      <w:szCs w:val="24"/>
      <w:shd w:val="pct20" w:color="auto" w:fill="auto"/>
    </w:rPr>
  </w:style>
  <w:style w:type="paragraph" w:customStyle="1" w:styleId="1664">
    <w:name w:val="样式 首行缩进:  0.85 厘米 段后: 0.5 行 行距: 固定值 22 磅"/>
    <w:basedOn w:val="1"/>
    <w:qFormat/>
    <w:uiPriority w:val="0"/>
    <w:pPr>
      <w:spacing w:after="156" w:line="440" w:lineRule="exact"/>
      <w:ind w:firstLine="480"/>
    </w:pPr>
  </w:style>
  <w:style w:type="paragraph" w:customStyle="1" w:styleId="1665">
    <w:name w:val="正文（首行缩进）"/>
    <w:basedOn w:val="1"/>
    <w:qFormat/>
    <w:uiPriority w:val="0"/>
    <w:pPr>
      <w:widowControl/>
      <w:spacing w:line="360" w:lineRule="auto"/>
      <w:ind w:firstLine="480" w:firstLineChars="200"/>
      <w:jc w:val="left"/>
    </w:pPr>
    <w:rPr>
      <w:rFonts w:ascii="宋体" w:hAnsi="宋体"/>
      <w:color w:val="000000"/>
      <w:sz w:val="24"/>
      <w:szCs w:val="20"/>
    </w:rPr>
  </w:style>
  <w:style w:type="paragraph" w:customStyle="1" w:styleId="1666">
    <w:name w:val="我的正文 Char"/>
    <w:basedOn w:val="1"/>
    <w:next w:val="1"/>
    <w:qFormat/>
    <w:uiPriority w:val="0"/>
    <w:pPr>
      <w:spacing w:line="520" w:lineRule="exact"/>
      <w:ind w:firstLine="540" w:firstLineChars="225"/>
    </w:pPr>
    <w:rPr>
      <w:sz w:val="24"/>
    </w:rPr>
  </w:style>
  <w:style w:type="paragraph" w:customStyle="1" w:styleId="1667">
    <w:name w:val="自定义标题1"/>
    <w:basedOn w:val="1"/>
    <w:qFormat/>
    <w:uiPriority w:val="0"/>
    <w:pPr>
      <w:spacing w:before="156" w:beforeLines="50" w:line="360" w:lineRule="exact"/>
      <w:jc w:val="left"/>
    </w:pPr>
    <w:rPr>
      <w:b/>
      <w:bCs/>
    </w:rPr>
  </w:style>
  <w:style w:type="paragraph" w:customStyle="1" w:styleId="1668">
    <w:name w:val="样式 标题 2 + 首行缩进:  2 字符 + 首行缩进:  2 字符"/>
    <w:basedOn w:val="1650"/>
    <w:qFormat/>
    <w:uiPriority w:val="0"/>
    <w:pPr>
      <w:ind w:firstLine="0" w:firstLineChars="0"/>
    </w:pPr>
    <w:rPr>
      <w:bCs w:val="0"/>
    </w:rPr>
  </w:style>
  <w:style w:type="paragraph" w:customStyle="1" w:styleId="1669">
    <w:name w:val="样式1）"/>
    <w:basedOn w:val="7"/>
    <w:qFormat/>
    <w:uiPriority w:val="0"/>
    <w:pPr>
      <w:tabs>
        <w:tab w:val="left" w:pos="1226"/>
        <w:tab w:val="left" w:pos="2730"/>
      </w:tabs>
      <w:spacing w:before="156" w:beforeLines="50" w:after="156" w:afterLines="50" w:line="400" w:lineRule="exact"/>
      <w:ind w:left="821" w:leftChars="213" w:hanging="374" w:hangingChars="156"/>
      <w:jc w:val="both"/>
    </w:pPr>
    <w:rPr>
      <w:rFonts w:eastAsia="宋体"/>
      <w:b w:val="0"/>
    </w:rPr>
  </w:style>
  <w:style w:type="paragraph" w:customStyle="1" w:styleId="1670">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0"/>
    </w:rPr>
  </w:style>
  <w:style w:type="paragraph" w:customStyle="1" w:styleId="1671">
    <w:name w:val="样式 标题 3 + (西文) Times New Roman (中文) 宋体 小四 加粗"/>
    <w:basedOn w:val="5"/>
    <w:qFormat/>
    <w:uiPriority w:val="0"/>
    <w:pPr>
      <w:widowControl w:val="0"/>
      <w:numPr>
        <w:ilvl w:val="0"/>
        <w:numId w:val="0"/>
      </w:numPr>
      <w:tabs>
        <w:tab w:val="left" w:pos="1021"/>
      </w:tabs>
      <w:adjustRightInd w:val="0"/>
      <w:snapToGrid w:val="0"/>
      <w:spacing w:line="360" w:lineRule="auto"/>
      <w:ind w:left="1021" w:hanging="1021"/>
    </w:pPr>
    <w:rPr>
      <w:rFonts w:ascii="幼圆" w:eastAsia="幼圆"/>
      <w:b w:val="0"/>
      <w:bCs w:val="0"/>
      <w:color w:val="0000FF"/>
      <w:kern w:val="0"/>
      <w:szCs w:val="30"/>
    </w:rPr>
  </w:style>
  <w:style w:type="paragraph" w:customStyle="1" w:styleId="1672">
    <w:name w:val="ENUM"/>
    <w:basedOn w:val="1"/>
    <w:semiHidden/>
    <w:qFormat/>
    <w:uiPriority w:val="0"/>
    <w:pPr>
      <w:widowControl/>
      <w:tabs>
        <w:tab w:val="left" w:pos="840"/>
        <w:tab w:val="left" w:pos="1418"/>
      </w:tabs>
      <w:spacing w:before="60" w:after="60"/>
      <w:ind w:left="1418" w:hanging="284" w:firstLineChars="200"/>
    </w:pPr>
    <w:rPr>
      <w:rFonts w:ascii="Arial" w:hAnsi="Arial"/>
      <w:kern w:val="0"/>
      <w:sz w:val="22"/>
      <w:szCs w:val="20"/>
      <w:lang w:val="en-GB"/>
    </w:rPr>
  </w:style>
  <w:style w:type="paragraph" w:customStyle="1" w:styleId="1673">
    <w:name w:val="框图"/>
    <w:basedOn w:val="1"/>
    <w:qFormat/>
    <w:uiPriority w:val="0"/>
    <w:pPr>
      <w:jc w:val="center"/>
    </w:pPr>
    <w:rPr>
      <w:rFonts w:eastAsia="黑体"/>
      <w:color w:val="000000"/>
      <w:sz w:val="30"/>
      <w:szCs w:val="20"/>
    </w:rPr>
  </w:style>
  <w:style w:type="paragraph" w:customStyle="1" w:styleId="1674">
    <w:name w:val="xl162"/>
    <w:basedOn w:val="1"/>
    <w:qFormat/>
    <w:uiPriority w:val="0"/>
    <w:pPr>
      <w:widowControl/>
      <w:pBdr>
        <w:top w:val="single" w:color="auto" w:sz="4" w:space="0"/>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1675">
    <w:name w:val="正文23"/>
    <w:basedOn w:val="1"/>
    <w:qFormat/>
    <w:uiPriority w:val="0"/>
    <w:pPr>
      <w:adjustRightInd w:val="0"/>
      <w:spacing w:line="312" w:lineRule="atLeast"/>
      <w:jc w:val="left"/>
      <w:textAlignment w:val="baseline"/>
    </w:pPr>
    <w:rPr>
      <w:color w:val="000000"/>
      <w:kern w:val="0"/>
      <w:sz w:val="28"/>
      <w:szCs w:val="20"/>
    </w:rPr>
  </w:style>
  <w:style w:type="paragraph" w:customStyle="1" w:styleId="1676">
    <w:name w:val="表头 Char Char"/>
    <w:basedOn w:val="1"/>
    <w:qFormat/>
    <w:uiPriority w:val="0"/>
    <w:pPr>
      <w:spacing w:line="360" w:lineRule="auto"/>
      <w:jc w:val="center"/>
    </w:pPr>
    <w:rPr>
      <w:rFonts w:ascii="黑体" w:hAnsi="黑体" w:eastAsia="黑体"/>
      <w:kern w:val="0"/>
    </w:rPr>
  </w:style>
  <w:style w:type="paragraph" w:customStyle="1" w:styleId="1677">
    <w:name w:val="WPS Plain"/>
    <w:qFormat/>
    <w:uiPriority w:val="0"/>
    <w:rPr>
      <w:rFonts w:ascii="Times New Roman" w:hAnsi="Times New Roman" w:eastAsia="宋体" w:cs="Times New Roman"/>
      <w:lang w:val="en-US" w:eastAsia="zh-CN" w:bidi="ar-SA"/>
    </w:rPr>
  </w:style>
  <w:style w:type="paragraph" w:customStyle="1" w:styleId="1678">
    <w:name w:val="Char Char1 Char Char Char Char Char Char Char Char Char Char Char Char Char Char Char Char Char Char Char Char1 Char1"/>
    <w:basedOn w:val="1"/>
    <w:qFormat/>
    <w:uiPriority w:val="0"/>
    <w:pPr>
      <w:widowControl/>
      <w:spacing w:line="360" w:lineRule="auto"/>
      <w:jc w:val="left"/>
    </w:pPr>
    <w:rPr>
      <w:rFonts w:ascii="宋体" w:hAnsi="宋体" w:cs="宋体"/>
      <w:sz w:val="24"/>
    </w:rPr>
  </w:style>
  <w:style w:type="paragraph" w:customStyle="1" w:styleId="1679">
    <w:name w:val="Q-标题1"/>
    <w:basedOn w:val="3"/>
    <w:next w:val="1460"/>
    <w:qFormat/>
    <w:uiPriority w:val="0"/>
    <w:pPr>
      <w:numPr>
        <w:ilvl w:val="0"/>
        <w:numId w:val="1"/>
      </w:numPr>
      <w:spacing w:before="600"/>
    </w:pPr>
    <w:rPr>
      <w:rFonts w:eastAsia="宋体"/>
      <w:sz w:val="44"/>
      <w:szCs w:val="44"/>
    </w:rPr>
  </w:style>
  <w:style w:type="paragraph" w:customStyle="1" w:styleId="1680">
    <w:name w:val="默认段落字体 Para Char Char Char Char Char Char Char Char Char Char Char"/>
    <w:basedOn w:val="5"/>
    <w:qFormat/>
    <w:uiPriority w:val="0"/>
    <w:pPr>
      <w:keepNext w:val="0"/>
      <w:keepLines w:val="0"/>
      <w:widowControl w:val="0"/>
      <w:numPr>
        <w:ilvl w:val="0"/>
        <w:numId w:val="0"/>
      </w:numPr>
      <w:tabs>
        <w:tab w:val="left" w:pos="360"/>
        <w:tab w:val="left" w:pos="900"/>
      </w:tabs>
      <w:snapToGrid w:val="0"/>
      <w:spacing w:before="120" w:after="120" w:line="360" w:lineRule="auto"/>
      <w:ind w:left="542" w:leftChars="-12" w:firstLine="200" w:firstLineChars="200"/>
      <w:jc w:val="both"/>
    </w:pPr>
    <w:rPr>
      <w:rFonts w:ascii="楷体_GB2312" w:eastAsia="黑体"/>
      <w:b w:val="0"/>
      <w:bCs w:val="0"/>
      <w:snapToGrid w:val="0"/>
      <w:sz w:val="24"/>
      <w:szCs w:val="24"/>
    </w:rPr>
  </w:style>
  <w:style w:type="paragraph" w:customStyle="1" w:styleId="1681">
    <w:name w:val="book1_1_1_1"/>
    <w:basedOn w:val="6"/>
    <w:qFormat/>
    <w:uiPriority w:val="0"/>
    <w:pPr>
      <w:keepNext w:val="0"/>
      <w:tabs>
        <w:tab w:val="left" w:pos="2310"/>
      </w:tabs>
      <w:spacing w:before="156" w:beforeLines="50" w:after="156" w:afterLines="50" w:line="400" w:lineRule="exact"/>
      <w:ind w:left="536" w:hanging="420"/>
    </w:pPr>
    <w:rPr>
      <w:rFonts w:ascii="宋体" w:hAnsi="宋体" w:eastAsia="宋体" w:cs="Arial"/>
      <w:b w:val="0"/>
      <w:sz w:val="24"/>
    </w:rPr>
  </w:style>
  <w:style w:type="character" w:customStyle="1" w:styleId="1682">
    <w:name w:val="HTML 预设格式 Char4"/>
    <w:basedOn w:val="133"/>
    <w:qFormat/>
    <w:uiPriority w:val="0"/>
    <w:rPr>
      <w:rFonts w:ascii="Courier New" w:hAnsi="Courier New" w:eastAsia="宋体" w:cs="Courier New"/>
      <w:sz w:val="20"/>
      <w:szCs w:val="20"/>
    </w:rPr>
  </w:style>
  <w:style w:type="paragraph" w:customStyle="1" w:styleId="1683">
    <w:name w:val="附录一级条标题"/>
    <w:basedOn w:val="1684"/>
    <w:next w:val="6"/>
    <w:qFormat/>
    <w:uiPriority w:val="0"/>
    <w:pPr>
      <w:tabs>
        <w:tab w:val="left" w:pos="828"/>
      </w:tabs>
      <w:autoSpaceDN w:val="0"/>
      <w:spacing w:before="0" w:beforeLines="0" w:after="0" w:afterLines="0"/>
      <w:ind w:left="828" w:hanging="240"/>
      <w:outlineLvl w:val="2"/>
    </w:pPr>
  </w:style>
  <w:style w:type="paragraph" w:customStyle="1" w:styleId="1684">
    <w:name w:val="附录章标题"/>
    <w:next w:val="6"/>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685">
    <w:name w:val="a"/>
    <w:basedOn w:val="1"/>
    <w:qFormat/>
    <w:uiPriority w:val="0"/>
    <w:pPr>
      <w:widowControl/>
      <w:snapToGrid w:val="0"/>
      <w:spacing w:after="60" w:line="360" w:lineRule="auto"/>
      <w:ind w:firstLine="480"/>
    </w:pPr>
    <w:rPr>
      <w:rFonts w:ascii="宋体" w:hAnsi="宋体" w:cs="宋体"/>
      <w:kern w:val="0"/>
      <w:sz w:val="24"/>
    </w:rPr>
  </w:style>
  <w:style w:type="paragraph" w:customStyle="1" w:styleId="1686">
    <w:name w:val="样式9"/>
    <w:basedOn w:val="1"/>
    <w:qFormat/>
    <w:uiPriority w:val="0"/>
    <w:pPr>
      <w:adjustRightInd w:val="0"/>
      <w:snapToGrid w:val="0"/>
      <w:spacing w:line="360" w:lineRule="auto"/>
    </w:pPr>
    <w:rPr>
      <w:rFonts w:ascii="黑体" w:eastAsia="黑体"/>
      <w:sz w:val="24"/>
    </w:rPr>
  </w:style>
  <w:style w:type="paragraph" w:customStyle="1" w:styleId="1687">
    <w:name w:val="样式 标题 4 + 首行缩进:  2 字符 段前: 0 磅 段后: 0 磅 行距: 1.5 倍行距"/>
    <w:basedOn w:val="6"/>
    <w:qFormat/>
    <w:uiPriority w:val="0"/>
    <w:pPr>
      <w:spacing w:before="0" w:after="0" w:line="360" w:lineRule="auto"/>
    </w:pPr>
    <w:rPr>
      <w:rFonts w:ascii="Arial" w:hAnsi="Arial" w:eastAsia="黑体" w:cs="宋体"/>
      <w:szCs w:val="20"/>
    </w:rPr>
  </w:style>
  <w:style w:type="paragraph" w:customStyle="1" w:styleId="1688">
    <w:name w:val="Char1"/>
    <w:basedOn w:val="1"/>
    <w:qFormat/>
    <w:uiPriority w:val="0"/>
    <w:pPr>
      <w:spacing w:line="360" w:lineRule="auto"/>
      <w:ind w:firstLine="200" w:firstLineChars="200"/>
    </w:pPr>
    <w:rPr>
      <w:szCs w:val="20"/>
    </w:rPr>
  </w:style>
  <w:style w:type="paragraph" w:customStyle="1" w:styleId="1689">
    <w:name w:val="Char2"/>
    <w:basedOn w:val="1"/>
    <w:qFormat/>
    <w:uiPriority w:val="0"/>
    <w:rPr>
      <w:sz w:val="24"/>
    </w:rPr>
  </w:style>
  <w:style w:type="paragraph" w:customStyle="1" w:styleId="1690">
    <w:name w:val="HeadLine"/>
    <w:basedOn w:val="1"/>
    <w:qFormat/>
    <w:uiPriority w:val="0"/>
    <w:pPr>
      <w:tabs>
        <w:tab w:val="right" w:pos="8320"/>
      </w:tabs>
      <w:spacing w:before="24" w:beforeLines="10" w:after="24" w:afterLines="10" w:line="0" w:lineRule="atLeast"/>
    </w:pPr>
    <w:rPr>
      <w:rFonts w:ascii="Tahoma" w:hAnsi="Tahoma" w:eastAsia="华文中宋" w:cs="Arial"/>
      <w:bCs/>
      <w:sz w:val="20"/>
      <w:szCs w:val="20"/>
    </w:rPr>
  </w:style>
  <w:style w:type="paragraph" w:customStyle="1" w:styleId="1691">
    <w:name w:val="样式 目录2 + 分散对齐 左侧:  -2 字符"/>
    <w:basedOn w:val="1"/>
    <w:qFormat/>
    <w:uiPriority w:val="0"/>
    <w:pPr>
      <w:adjustRightInd w:val="0"/>
      <w:snapToGrid w:val="0"/>
      <w:spacing w:line="360" w:lineRule="auto"/>
      <w:ind w:left="420" w:leftChars="200"/>
      <w:jc w:val="distribute"/>
    </w:pPr>
    <w:rPr>
      <w:rFonts w:ascii="宋体" w:hAnsi="宋体" w:cs="宋体"/>
      <w:szCs w:val="20"/>
    </w:rPr>
  </w:style>
  <w:style w:type="paragraph" w:customStyle="1" w:styleId="1692">
    <w:name w:val="样式 标题 31.1.1条标题 3 Char Char标题 3 CharBSH-3条标题1.1.1H3b3 + ..."/>
    <w:basedOn w:val="5"/>
    <w:qFormat/>
    <w:uiPriority w:val="0"/>
    <w:pPr>
      <w:widowControl w:val="0"/>
      <w:numPr>
        <w:numId w:val="0"/>
      </w:numPr>
      <w:tabs>
        <w:tab w:val="left" w:pos="720"/>
      </w:tabs>
      <w:spacing w:line="360" w:lineRule="auto"/>
      <w:ind w:left="720" w:hanging="720"/>
      <w:jc w:val="both"/>
    </w:pPr>
    <w:rPr>
      <w:rFonts w:ascii="黑体" w:hAnsi="宋体" w:eastAsia="黑体" w:cs="宋体"/>
      <w:b w:val="0"/>
      <w:bCs w:val="0"/>
      <w:sz w:val="24"/>
      <w:szCs w:val="20"/>
    </w:rPr>
  </w:style>
  <w:style w:type="paragraph" w:customStyle="1" w:styleId="1693">
    <w:name w:val="基准标题"/>
    <w:basedOn w:val="34"/>
    <w:next w:val="34"/>
    <w:qFormat/>
    <w:uiPriority w:val="0"/>
    <w:pPr>
      <w:snapToGrid w:val="0"/>
      <w:spacing w:before="80" w:after="80" w:line="240" w:lineRule="auto"/>
      <w:jc w:val="center"/>
    </w:pPr>
    <w:rPr>
      <w:rFonts w:ascii="Times New Roman" w:hAnsi="Times New Roman"/>
      <w:color w:val="000000"/>
      <w:szCs w:val="21"/>
    </w:rPr>
  </w:style>
  <w:style w:type="paragraph" w:customStyle="1" w:styleId="1694">
    <w:name w:val="正文表标题"/>
    <w:next w:val="1"/>
    <w:qFormat/>
    <w:uiPriority w:val="0"/>
    <w:pPr>
      <w:tabs>
        <w:tab w:val="left" w:pos="0"/>
      </w:tabs>
      <w:jc w:val="center"/>
    </w:pPr>
    <w:rPr>
      <w:rFonts w:ascii="黑体" w:hAnsi="Times New Roman" w:eastAsia="黑体" w:cs="Times New Roman"/>
      <w:sz w:val="21"/>
      <w:lang w:val="en-US" w:eastAsia="zh-CN" w:bidi="ar-SA"/>
    </w:rPr>
  </w:style>
  <w:style w:type="paragraph" w:customStyle="1" w:styleId="1695">
    <w:name w:val="_1.1.1"/>
    <w:basedOn w:val="5"/>
    <w:next w:val="1696"/>
    <w:qFormat/>
    <w:uiPriority w:val="0"/>
    <w:pPr>
      <w:widowControl w:val="0"/>
      <w:numPr>
        <w:ilvl w:val="0"/>
        <w:numId w:val="0"/>
      </w:numPr>
      <w:tabs>
        <w:tab w:val="left" w:pos="180"/>
        <w:tab w:val="left" w:pos="1092"/>
      </w:tabs>
      <w:spacing w:before="42" w:after="42" w:line="320" w:lineRule="exact"/>
      <w:ind w:left="180" w:hanging="180"/>
      <w:jc w:val="both"/>
    </w:pPr>
    <w:rPr>
      <w:rFonts w:ascii="宋体" w:hAnsi="宋体" w:eastAsia="宋体"/>
      <w:b w:val="0"/>
      <w:sz w:val="21"/>
    </w:rPr>
  </w:style>
  <w:style w:type="paragraph" w:customStyle="1" w:styleId="1696">
    <w:name w:val="_1.1"/>
    <w:basedOn w:val="4"/>
    <w:next w:val="1697"/>
    <w:qFormat/>
    <w:uiPriority w:val="0"/>
    <w:pPr>
      <w:tabs>
        <w:tab w:val="left" w:pos="180"/>
      </w:tabs>
      <w:spacing w:before="63" w:after="63" w:line="320" w:lineRule="exact"/>
      <w:ind w:left="180" w:hanging="180"/>
    </w:pPr>
    <w:rPr>
      <w:rFonts w:ascii="Arial" w:hAnsi="Arial" w:eastAsia="宋体"/>
      <w:b w:val="0"/>
      <w:color w:val="auto"/>
      <w:sz w:val="21"/>
      <w:szCs w:val="32"/>
    </w:rPr>
  </w:style>
  <w:style w:type="paragraph" w:customStyle="1" w:styleId="1697">
    <w:name w:val="_1"/>
    <w:basedOn w:val="3"/>
    <w:qFormat/>
    <w:uiPriority w:val="0"/>
    <w:pPr>
      <w:tabs>
        <w:tab w:val="left" w:pos="180"/>
      </w:tabs>
      <w:spacing w:before="100" w:beforeLines="100" w:after="50" w:afterLines="50" w:line="360" w:lineRule="exact"/>
      <w:ind w:left="180" w:hanging="180"/>
      <w:jc w:val="both"/>
    </w:pPr>
    <w:rPr>
      <w:b w:val="0"/>
      <w:sz w:val="24"/>
      <w:szCs w:val="44"/>
    </w:rPr>
  </w:style>
  <w:style w:type="paragraph" w:customStyle="1" w:styleId="1698">
    <w:name w:val="xl9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14"/>
      <w:szCs w:val="14"/>
      <w:lang w:eastAsia="en-US"/>
    </w:rPr>
  </w:style>
  <w:style w:type="paragraph" w:customStyle="1" w:styleId="1699">
    <w:name w:val="Char Char Char Char Char Char1 Char Char Char1 Char Char Char1 Char Char Char Char Char Char Char Char Char Char3"/>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1700">
    <w:name w:val="xl175"/>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01">
    <w:name w:val="样式 标题 3 + 首行缩进:  0.85 厘米"/>
    <w:basedOn w:val="5"/>
    <w:qFormat/>
    <w:uiPriority w:val="0"/>
    <w:pPr>
      <w:widowControl w:val="0"/>
      <w:numPr>
        <w:ilvl w:val="0"/>
        <w:numId w:val="0"/>
      </w:numPr>
      <w:tabs>
        <w:tab w:val="left" w:pos="1575"/>
      </w:tabs>
      <w:spacing w:before="260" w:after="260" w:line="413" w:lineRule="auto"/>
      <w:jc w:val="both"/>
    </w:pPr>
    <w:rPr>
      <w:rFonts w:hAnsi="宋体" w:eastAsia="仿宋_GB2312"/>
      <w:sz w:val="24"/>
      <w:szCs w:val="24"/>
    </w:rPr>
  </w:style>
  <w:style w:type="paragraph" w:customStyle="1" w:styleId="1702">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Calibri" w:hAnsi="Calibri"/>
      <w:szCs w:val="20"/>
    </w:rPr>
  </w:style>
  <w:style w:type="paragraph" w:customStyle="1" w:styleId="1703">
    <w:name w:val="目录fuxi"/>
    <w:basedOn w:val="1"/>
    <w:qFormat/>
    <w:uiPriority w:val="0"/>
    <w:pPr>
      <w:snapToGrid w:val="0"/>
      <w:spacing w:before="60" w:after="60"/>
      <w:jc w:val="center"/>
    </w:pPr>
    <w:rPr>
      <w:rFonts w:ascii="宋体"/>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1704">
    <w:name w:val="text-black"/>
    <w:basedOn w:val="1"/>
    <w:qFormat/>
    <w:uiPriority w:val="0"/>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1705">
    <w:name w:val="couv"/>
    <w:basedOn w:val="1"/>
    <w:semiHidden/>
    <w:qFormat/>
    <w:uiPriority w:val="0"/>
    <w:pPr>
      <w:widowControl/>
      <w:spacing w:before="120" w:after="120"/>
      <w:ind w:firstLine="200" w:firstLineChars="200"/>
      <w:jc w:val="center"/>
    </w:pPr>
    <w:rPr>
      <w:b/>
      <w:kern w:val="0"/>
      <w:sz w:val="40"/>
      <w:szCs w:val="20"/>
      <w:lang w:val="en-GB"/>
    </w:rPr>
  </w:style>
  <w:style w:type="paragraph" w:customStyle="1" w:styleId="1706">
    <w:name w:val="XYF1"/>
    <w:basedOn w:val="1"/>
    <w:qFormat/>
    <w:uiPriority w:val="0"/>
    <w:pPr>
      <w:tabs>
        <w:tab w:val="left" w:pos="1080"/>
      </w:tabs>
      <w:spacing w:line="440" w:lineRule="exact"/>
      <w:ind w:firstLine="195" w:firstLineChars="195"/>
    </w:pPr>
    <w:rPr>
      <w:sz w:val="24"/>
    </w:rPr>
  </w:style>
  <w:style w:type="paragraph" w:customStyle="1" w:styleId="1707">
    <w:name w:val="样式 标题 4款标题1.1.1.1标题 4 Char段项1.1.1.1标题 4.1.1.1.1款 + 宋体 小四..."/>
    <w:basedOn w:val="6"/>
    <w:qFormat/>
    <w:uiPriority w:val="0"/>
    <w:pPr>
      <w:tabs>
        <w:tab w:val="left" w:pos="864"/>
      </w:tabs>
      <w:spacing w:before="0" w:after="0" w:line="360" w:lineRule="auto"/>
      <w:ind w:left="864" w:hanging="864"/>
    </w:pPr>
    <w:rPr>
      <w:rFonts w:ascii="宋体" w:hAnsi="宋体" w:eastAsia="宋体" w:cs="宋体"/>
      <w:sz w:val="24"/>
      <w:szCs w:val="20"/>
    </w:rPr>
  </w:style>
  <w:style w:type="paragraph" w:customStyle="1" w:styleId="1708">
    <w:name w:val="Char Char2 Char Char Char Char Char Char2"/>
    <w:basedOn w:val="1"/>
    <w:qFormat/>
    <w:uiPriority w:val="0"/>
    <w:pPr>
      <w:spacing w:line="480" w:lineRule="exact"/>
    </w:pPr>
    <w:rPr>
      <w:sz w:val="22"/>
    </w:rPr>
  </w:style>
  <w:style w:type="paragraph" w:customStyle="1" w:styleId="1709">
    <w:name w:val="样式 标题 2 + 段后: 0.5 行"/>
    <w:basedOn w:val="4"/>
    <w:qFormat/>
    <w:uiPriority w:val="0"/>
    <w:pPr>
      <w:keepNext w:val="0"/>
      <w:keepLines w:val="0"/>
      <w:tabs>
        <w:tab w:val="left" w:pos="630"/>
        <w:tab w:val="left" w:pos="840"/>
        <w:tab w:val="left" w:pos="1287"/>
        <w:tab w:val="left" w:pos="3920"/>
        <w:tab w:val="left" w:pos="5670"/>
      </w:tabs>
      <w:adjustRightInd w:val="0"/>
      <w:snapToGrid w:val="0"/>
      <w:spacing w:before="60" w:after="0" w:line="240" w:lineRule="auto"/>
      <w:ind w:firstLine="567"/>
    </w:pPr>
    <w:rPr>
      <w:rFonts w:eastAsia="仿宋_GB2312"/>
      <w:bCs w:val="0"/>
      <w:szCs w:val="32"/>
    </w:rPr>
  </w:style>
  <w:style w:type="paragraph" w:customStyle="1" w:styleId="1710">
    <w:name w:val="样式 标题 1标题3，标题3Head 1wsa一、h1标题2标题 1 CharPart'Document1.标...1"/>
    <w:basedOn w:val="3"/>
    <w:qFormat/>
    <w:uiPriority w:val="0"/>
    <w:pPr>
      <w:widowControl/>
      <w:tabs>
        <w:tab w:val="left" w:pos="360"/>
        <w:tab w:val="left" w:pos="432"/>
      </w:tabs>
      <w:spacing w:before="300" w:after="300" w:line="360" w:lineRule="auto"/>
      <w:ind w:left="245" w:hanging="245"/>
    </w:pPr>
    <w:rPr>
      <w:rFonts w:hAnsi="宋体" w:eastAsia="宋体"/>
      <w:sz w:val="36"/>
      <w:szCs w:val="36"/>
    </w:rPr>
  </w:style>
  <w:style w:type="paragraph" w:customStyle="1" w:styleId="1711">
    <w:name w:val="5号表文"/>
    <w:qFormat/>
    <w:uiPriority w:val="0"/>
    <w:pPr>
      <w:kinsoku w:val="0"/>
      <w:jc w:val="both"/>
    </w:pPr>
    <w:rPr>
      <w:rFonts w:ascii="Times New Roman" w:hAnsi="Times New Roman" w:eastAsia="宋体" w:cs="Times New Roman"/>
      <w:snapToGrid w:val="0"/>
      <w:sz w:val="21"/>
      <w:lang w:val="en-US" w:eastAsia="zh-CN" w:bidi="ar-SA"/>
    </w:rPr>
  </w:style>
  <w:style w:type="paragraph" w:customStyle="1" w:styleId="1712">
    <w:name w:val="Char1 Char Char Char"/>
    <w:basedOn w:val="1"/>
    <w:qFormat/>
    <w:uiPriority w:val="0"/>
    <w:pPr>
      <w:spacing w:line="360" w:lineRule="auto"/>
      <w:ind w:firstLine="200" w:firstLineChars="200"/>
    </w:pPr>
    <w:rPr>
      <w:rFonts w:ascii="宋体" w:hAnsi="宋体" w:cs="宋体"/>
      <w:sz w:val="24"/>
    </w:rPr>
  </w:style>
  <w:style w:type="paragraph" w:customStyle="1" w:styleId="1713">
    <w:name w:val="样式 标题 1 + (符号) 宋体 二号 段前: 0 磅 段后: 0 磅 行距: 单倍行距"/>
    <w:basedOn w:val="3"/>
    <w:qFormat/>
    <w:uiPriority w:val="0"/>
    <w:pPr>
      <w:spacing w:before="0" w:after="0" w:line="240" w:lineRule="auto"/>
      <w:ind w:firstLine="200" w:firstLineChars="200"/>
    </w:pPr>
    <w:rPr>
      <w:rFonts w:hAnsi="宋体" w:cs="宋体"/>
      <w:kern w:val="2"/>
      <w:sz w:val="44"/>
      <w:szCs w:val="20"/>
    </w:rPr>
  </w:style>
  <w:style w:type="paragraph" w:customStyle="1" w:styleId="1714">
    <w:name w:val="公式"/>
    <w:qFormat/>
    <w:uiPriority w:val="0"/>
    <w:pPr>
      <w:spacing w:line="720" w:lineRule="auto"/>
      <w:jc w:val="center"/>
    </w:pPr>
    <w:rPr>
      <w:rFonts w:ascii="Times New Roman" w:hAnsi="Times New Roman" w:eastAsia="宋体" w:cs="Times New Roman"/>
      <w:lang w:val="en-US" w:eastAsia="zh-CN" w:bidi="ar-SA"/>
    </w:rPr>
  </w:style>
  <w:style w:type="paragraph" w:customStyle="1" w:styleId="1715">
    <w:name w:val="封面单位"/>
    <w:basedOn w:val="1"/>
    <w:qFormat/>
    <w:uiPriority w:val="0"/>
    <w:pPr>
      <w:tabs>
        <w:tab w:val="right" w:leader="middleDot" w:pos="8222"/>
      </w:tabs>
      <w:spacing w:line="360" w:lineRule="auto"/>
      <w:jc w:val="center"/>
    </w:pPr>
    <w:rPr>
      <w:rFonts w:ascii="楷体_GB2312" w:hAnsi="Arial Black" w:eastAsia="楷体_GB2312"/>
      <w:b/>
      <w:kern w:val="44"/>
      <w:sz w:val="36"/>
      <w:szCs w:val="20"/>
    </w:rPr>
  </w:style>
  <w:style w:type="paragraph" w:customStyle="1" w:styleId="1716">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1717">
    <w:name w:val="样式 目录 2 + 左侧:  2 字符 首行缩进:  2 字符4"/>
    <w:basedOn w:val="74"/>
    <w:qFormat/>
    <w:uiPriority w:val="0"/>
    <w:pPr>
      <w:ind w:left="200" w:leftChars="0" w:firstLine="200" w:firstLineChars="200"/>
    </w:pPr>
    <w:rPr>
      <w:rFonts w:ascii="Calibri" w:hAnsi="Calibri" w:cs="宋体"/>
      <w:b/>
      <w:bCs/>
      <w:sz w:val="20"/>
      <w:szCs w:val="20"/>
    </w:rPr>
  </w:style>
  <w:style w:type="paragraph" w:customStyle="1" w:styleId="1718">
    <w:name w:val="样式 目录 2 + 左侧:  2 字符 首行缩进:  2 字符1"/>
    <w:basedOn w:val="74"/>
    <w:qFormat/>
    <w:uiPriority w:val="0"/>
    <w:pPr>
      <w:ind w:left="480" w:leftChars="0" w:firstLine="480" w:firstLineChars="200"/>
    </w:pPr>
    <w:rPr>
      <w:rFonts w:ascii="Calibri" w:hAnsi="Calibri" w:cs="宋体"/>
      <w:b/>
      <w:bCs/>
      <w:sz w:val="20"/>
      <w:szCs w:val="20"/>
    </w:rPr>
  </w:style>
  <w:style w:type="paragraph" w:customStyle="1" w:styleId="1719">
    <w:name w:val="列出段落11"/>
    <w:basedOn w:val="1"/>
    <w:qFormat/>
    <w:uiPriority w:val="0"/>
    <w:pPr>
      <w:ind w:firstLine="420" w:firstLineChars="200"/>
    </w:pPr>
    <w:rPr>
      <w:rFonts w:ascii="Calibri" w:hAnsi="Calibri"/>
      <w:szCs w:val="22"/>
    </w:rPr>
  </w:style>
  <w:style w:type="paragraph" w:customStyle="1" w:styleId="1720">
    <w:name w:val="CM35"/>
    <w:basedOn w:val="180"/>
    <w:next w:val="180"/>
    <w:qFormat/>
    <w:uiPriority w:val="0"/>
    <w:pPr>
      <w:adjustRightInd w:val="0"/>
      <w:spacing w:after="200" w:line="240" w:lineRule="auto"/>
    </w:pPr>
    <w:rPr>
      <w:rFonts w:hint="default" w:ascii="Arial Unicode MS" w:hAnsi="Arial Unicode MS"/>
      <w:color w:val="auto"/>
      <w:szCs w:val="24"/>
    </w:rPr>
  </w:style>
  <w:style w:type="paragraph" w:customStyle="1" w:styleId="1721">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722">
    <w:name w:val="xl163"/>
    <w:basedOn w:val="1"/>
    <w:qFormat/>
    <w:uiPriority w:val="0"/>
    <w:pPr>
      <w:widowControl/>
      <w:pBdr>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1723">
    <w:name w:val="unnamed3"/>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1724">
    <w:name w:val="xl178"/>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725">
    <w:name w:val="正文首行缩进 2 + Times New Roman"/>
    <w:basedOn w:val="1"/>
    <w:qFormat/>
    <w:uiPriority w:val="0"/>
    <w:pPr>
      <w:tabs>
        <w:tab w:val="left" w:pos="0"/>
        <w:tab w:val="left" w:pos="870"/>
        <w:tab w:val="left" w:pos="3150"/>
      </w:tabs>
      <w:autoSpaceDE w:val="0"/>
      <w:autoSpaceDN w:val="0"/>
      <w:spacing w:line="312" w:lineRule="auto"/>
      <w:ind w:firstLine="480" w:firstLineChars="200"/>
    </w:pPr>
    <w:rPr>
      <w:kern w:val="0"/>
      <w:sz w:val="24"/>
    </w:rPr>
  </w:style>
  <w:style w:type="paragraph" w:customStyle="1" w:styleId="1726">
    <w:name w:val="样式 标题 2 + 段后: 16.3 磅"/>
    <w:basedOn w:val="4"/>
    <w:qFormat/>
    <w:uiPriority w:val="0"/>
    <w:pPr>
      <w:spacing w:before="260" w:after="326" w:line="312" w:lineRule="auto"/>
      <w:jc w:val="left"/>
    </w:pPr>
    <w:rPr>
      <w:rFonts w:cs="宋体"/>
      <w:color w:val="auto"/>
      <w:sz w:val="24"/>
      <w:szCs w:val="20"/>
    </w:rPr>
  </w:style>
  <w:style w:type="paragraph" w:customStyle="1" w:styleId="1727">
    <w:name w:val="样式 标题 3 + 首行缩进:  2 字符 段前: 8.15 磅 段后: 8.15 磅1"/>
    <w:basedOn w:val="5"/>
    <w:qFormat/>
    <w:uiPriority w:val="0"/>
    <w:pPr>
      <w:widowControl w:val="0"/>
      <w:numPr>
        <w:ilvl w:val="0"/>
        <w:numId w:val="0"/>
      </w:numPr>
      <w:tabs>
        <w:tab w:val="left" w:pos="1575"/>
      </w:tabs>
      <w:spacing w:before="163" w:after="163" w:line="0" w:lineRule="atLeast"/>
      <w:ind w:firstLine="482" w:firstLineChars="200"/>
    </w:pPr>
    <w:rPr>
      <w:rFonts w:ascii="Arial Unicode MS" w:hAnsi="Arial Unicode MS" w:eastAsia="黑体" w:cs="宋体"/>
      <w:sz w:val="24"/>
      <w:szCs w:val="20"/>
    </w:rPr>
  </w:style>
  <w:style w:type="paragraph" w:customStyle="1" w:styleId="1728">
    <w:name w:val="小四表格"/>
    <w:basedOn w:val="1"/>
    <w:qFormat/>
    <w:uiPriority w:val="0"/>
    <w:pPr>
      <w:keepNext/>
      <w:autoSpaceDE w:val="0"/>
      <w:autoSpaceDN w:val="0"/>
      <w:adjustRightInd w:val="0"/>
      <w:spacing w:line="480" w:lineRule="atLeast"/>
      <w:jc w:val="center"/>
    </w:pPr>
    <w:rPr>
      <w:color w:val="000000"/>
      <w:sz w:val="24"/>
      <w:szCs w:val="20"/>
    </w:rPr>
  </w:style>
  <w:style w:type="paragraph" w:customStyle="1" w:styleId="1729">
    <w:name w:val="文本框五号1.5倍行距"/>
    <w:basedOn w:val="1622"/>
    <w:qFormat/>
    <w:uiPriority w:val="0"/>
    <w:pPr>
      <w:spacing w:line="360" w:lineRule="auto"/>
    </w:pPr>
  </w:style>
  <w:style w:type="paragraph" w:customStyle="1" w:styleId="1730">
    <w:name w:val="font13"/>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1731">
    <w:name w:val="标题 2."/>
    <w:next w:val="34"/>
    <w:qFormat/>
    <w:uiPriority w:val="0"/>
    <w:pPr>
      <w:spacing w:before="120" w:after="120" w:line="360" w:lineRule="auto"/>
    </w:pPr>
    <w:rPr>
      <w:rFonts w:ascii="Times New Roman" w:hAnsi="Times New Roman" w:eastAsia="黑体" w:cs="宋体"/>
      <w:b/>
      <w:bCs/>
      <w:kern w:val="2"/>
      <w:sz w:val="32"/>
      <w:lang w:val="en-US" w:eastAsia="zh-CN" w:bidi="ar-SA"/>
    </w:rPr>
  </w:style>
  <w:style w:type="paragraph" w:customStyle="1" w:styleId="1732">
    <w:name w:val="xl80"/>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lang w:bidi="th-TH"/>
    </w:rPr>
  </w:style>
  <w:style w:type="paragraph" w:customStyle="1" w:styleId="1733">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1734">
    <w:name w:val="Body Text 23"/>
    <w:basedOn w:val="1"/>
    <w:qFormat/>
    <w:uiPriority w:val="0"/>
    <w:pPr>
      <w:autoSpaceDE w:val="0"/>
      <w:autoSpaceDN w:val="0"/>
      <w:adjustRightInd w:val="0"/>
      <w:spacing w:line="500" w:lineRule="atLeast"/>
      <w:ind w:firstLine="600"/>
      <w:jc w:val="left"/>
      <w:textAlignment w:val="bottom"/>
    </w:pPr>
    <w:rPr>
      <w:kern w:val="0"/>
      <w:sz w:val="28"/>
      <w:szCs w:val="20"/>
    </w:rPr>
  </w:style>
  <w:style w:type="paragraph" w:customStyle="1" w:styleId="1735">
    <w:name w:val="xl7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1736">
    <w:name w:val="样式 燕山正文 + 首行缩进:  3.5 字符1"/>
    <w:basedOn w:val="1737"/>
    <w:qFormat/>
    <w:uiPriority w:val="0"/>
    <w:pPr>
      <w:tabs>
        <w:tab w:val="left" w:pos="4680"/>
      </w:tabs>
      <w:ind w:firstLine="200"/>
      <w:jc w:val="both"/>
    </w:pPr>
    <w:rPr>
      <w:rFonts w:cs="宋体"/>
      <w:sz w:val="28"/>
      <w:szCs w:val="20"/>
    </w:rPr>
  </w:style>
  <w:style w:type="paragraph" w:customStyle="1" w:styleId="1737">
    <w:name w:val="燕山正文"/>
    <w:basedOn w:val="1"/>
    <w:qFormat/>
    <w:uiPriority w:val="0"/>
    <w:pPr>
      <w:tabs>
        <w:tab w:val="left" w:pos="4680"/>
      </w:tabs>
      <w:adjustRightInd w:val="0"/>
      <w:snapToGrid w:val="0"/>
      <w:spacing w:line="360" w:lineRule="auto"/>
      <w:ind w:firstLine="482" w:firstLineChars="200"/>
      <w:jc w:val="left"/>
    </w:pPr>
    <w:rPr>
      <w:rFonts w:ascii="宋体" w:hAnsi="宋体"/>
      <w:b/>
      <w:color w:val="000000"/>
      <w:sz w:val="24"/>
    </w:rPr>
  </w:style>
  <w:style w:type="paragraph" w:customStyle="1" w:styleId="1738">
    <w:name w:val="默认段落字体 Para Char Char Char Char Char Char Char Char Char Char Char Char Char Char Char"/>
    <w:basedOn w:val="26"/>
    <w:qFormat/>
    <w:uiPriority w:val="0"/>
    <w:pPr>
      <w:shd w:val="clear" w:color="auto" w:fill="000080"/>
    </w:pPr>
    <w:rPr>
      <w:rFonts w:hint="eastAsia" w:ascii="Tahoma" w:hAnsi="Tahoma" w:eastAsia="宋体"/>
      <w:sz w:val="24"/>
      <w:szCs w:val="24"/>
    </w:rPr>
  </w:style>
  <w:style w:type="paragraph" w:customStyle="1" w:styleId="1739">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740">
    <w:name w:val="样式 标题 3h33rd levelH33Head 3level_3PIM 3Level 3 Head二级节名...1"/>
    <w:basedOn w:val="1"/>
    <w:qFormat/>
    <w:uiPriority w:val="0"/>
    <w:pPr>
      <w:tabs>
        <w:tab w:val="left" w:pos="360"/>
        <w:tab w:val="left" w:pos="720"/>
      </w:tabs>
      <w:ind w:left="245" w:hanging="245"/>
    </w:pPr>
  </w:style>
  <w:style w:type="paragraph" w:customStyle="1" w:styleId="1741">
    <w:name w:val="Char Char Char Char Char Char5"/>
    <w:basedOn w:val="1"/>
    <w:qFormat/>
    <w:uiPriority w:val="0"/>
  </w:style>
  <w:style w:type="paragraph" w:customStyle="1" w:styleId="1742">
    <w:name w:val="- 页码 -"/>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43">
    <w:name w:val="说明书1"/>
    <w:basedOn w:val="1"/>
    <w:qFormat/>
    <w:uiPriority w:val="0"/>
    <w:pPr>
      <w:spacing w:line="520" w:lineRule="exact"/>
      <w:ind w:firstLine="567"/>
    </w:pPr>
    <w:rPr>
      <w:sz w:val="28"/>
      <w:szCs w:val="20"/>
    </w:rPr>
  </w:style>
  <w:style w:type="paragraph" w:customStyle="1" w:styleId="1744">
    <w:name w:val="项目名称"/>
    <w:basedOn w:val="1"/>
    <w:qFormat/>
    <w:uiPriority w:val="0"/>
    <w:pPr>
      <w:adjustRightInd w:val="0"/>
      <w:spacing w:before="60" w:after="60" w:line="360" w:lineRule="atLeast"/>
      <w:jc w:val="center"/>
      <w:textAlignment w:val="baseline"/>
    </w:pPr>
    <w:rPr>
      <w:rFonts w:ascii="华文中宋" w:eastAsia="华文中宋"/>
      <w:b/>
      <w:bCs/>
      <w:color w:val="000000"/>
      <w:sz w:val="84"/>
      <w:szCs w:val="84"/>
    </w:rPr>
  </w:style>
  <w:style w:type="paragraph" w:customStyle="1" w:styleId="1745">
    <w:name w:val="正文样式一"/>
    <w:basedOn w:val="1"/>
    <w:qFormat/>
    <w:uiPriority w:val="0"/>
    <w:pPr>
      <w:adjustRightInd w:val="0"/>
      <w:spacing w:line="400" w:lineRule="atLeast"/>
      <w:ind w:firstLine="510"/>
      <w:textAlignment w:val="baseline"/>
    </w:pPr>
    <w:rPr>
      <w:kern w:val="0"/>
      <w:sz w:val="24"/>
      <w:szCs w:val="20"/>
    </w:rPr>
  </w:style>
  <w:style w:type="paragraph" w:customStyle="1" w:styleId="1746">
    <w:name w:val="项目三级编号"/>
    <w:basedOn w:val="5"/>
    <w:next w:val="1"/>
    <w:qFormat/>
    <w:uiPriority w:val="0"/>
    <w:pPr>
      <w:widowControl w:val="0"/>
      <w:numPr>
        <w:ilvl w:val="0"/>
        <w:numId w:val="0"/>
      </w:numPr>
      <w:tabs>
        <w:tab w:val="left" w:pos="851"/>
      </w:tabs>
      <w:spacing w:line="360" w:lineRule="auto"/>
      <w:ind w:left="150" w:hanging="150"/>
      <w:jc w:val="both"/>
    </w:pPr>
    <w:rPr>
      <w:rFonts w:eastAsia="黑体"/>
      <w:bCs w:val="0"/>
      <w:kern w:val="44"/>
      <w:sz w:val="24"/>
      <w:szCs w:val="24"/>
    </w:rPr>
  </w:style>
  <w:style w:type="paragraph" w:customStyle="1" w:styleId="1747">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1748">
    <w:name w:val="样式 标题 2 + 段前: 0 磅"/>
    <w:basedOn w:val="4"/>
    <w:uiPriority w:val="0"/>
    <w:pPr>
      <w:spacing w:before="0" w:line="520" w:lineRule="exact"/>
    </w:pPr>
    <w:rPr>
      <w:rFonts w:ascii="Arial" w:hAnsi="Arial" w:eastAsia="宋体"/>
      <w:color w:val="auto"/>
      <w:sz w:val="24"/>
      <w:szCs w:val="20"/>
    </w:rPr>
  </w:style>
  <w:style w:type="paragraph" w:customStyle="1" w:styleId="1749">
    <w:name w:val="样式 正文新 Char + 首行缩进:  2 字符"/>
    <w:basedOn w:val="1"/>
    <w:qFormat/>
    <w:uiPriority w:val="0"/>
    <w:pPr>
      <w:spacing w:line="360" w:lineRule="auto"/>
      <w:ind w:firstLine="480" w:firstLineChars="200"/>
    </w:pPr>
    <w:rPr>
      <w:sz w:val="24"/>
      <w:szCs w:val="20"/>
    </w:rPr>
  </w:style>
  <w:style w:type="paragraph" w:customStyle="1" w:styleId="1750">
    <w:name w:val="目次、标准名称标题"/>
    <w:basedOn w:val="1"/>
    <w:next w:val="1"/>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751">
    <w:name w:val="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752">
    <w:name w:val="正文样式1"/>
    <w:basedOn w:val="1"/>
    <w:qFormat/>
    <w:uiPriority w:val="0"/>
    <w:pPr>
      <w:adjustRightInd w:val="0"/>
      <w:spacing w:line="480" w:lineRule="atLeast"/>
      <w:ind w:firstLine="567"/>
      <w:jc w:val="left"/>
      <w:textAlignment w:val="baseline"/>
    </w:pPr>
    <w:rPr>
      <w:kern w:val="0"/>
      <w:sz w:val="28"/>
      <w:szCs w:val="20"/>
    </w:rPr>
  </w:style>
  <w:style w:type="paragraph" w:customStyle="1" w:styleId="1753">
    <w:name w:val="List 41"/>
    <w:basedOn w:val="1"/>
    <w:qFormat/>
    <w:uiPriority w:val="0"/>
    <w:pPr>
      <w:ind w:left="100" w:leftChars="600" w:hanging="200" w:hangingChars="200"/>
    </w:pPr>
  </w:style>
  <w:style w:type="paragraph" w:customStyle="1" w:styleId="1754">
    <w:name w:val="样式 标题 4 + (西文) Times New Roman (中文) 宋体 小四"/>
    <w:basedOn w:val="6"/>
    <w:qFormat/>
    <w:uiPriority w:val="0"/>
    <w:pPr>
      <w:tabs>
        <w:tab w:val="left" w:pos="1247"/>
      </w:tabs>
      <w:snapToGrid w:val="0"/>
      <w:spacing w:before="0" w:beforeLines="25" w:after="0" w:afterLines="25" w:line="360" w:lineRule="auto"/>
      <w:ind w:left="964" w:hanging="964"/>
    </w:pPr>
    <w:rPr>
      <w:rFonts w:ascii="幼圆" w:hAnsi="Times New Roman" w:eastAsia="幼圆" w:cs="Times New Roman"/>
      <w:b w:val="0"/>
      <w:bCs w:val="0"/>
      <w:color w:val="0000FF"/>
      <w:sz w:val="24"/>
      <w:szCs w:val="24"/>
    </w:rPr>
  </w:style>
  <w:style w:type="paragraph" w:customStyle="1" w:styleId="1755">
    <w:name w:val="Char4 Char Char Char Char Char Char Char Char Char Char Char Char Char Char Char Char Char1 Char"/>
    <w:basedOn w:val="1"/>
    <w:qFormat/>
    <w:uiPriority w:val="0"/>
    <w:pPr>
      <w:spacing w:line="240" w:lineRule="exact"/>
      <w:ind w:firstLine="200" w:firstLineChars="200"/>
    </w:pPr>
    <w:rPr>
      <w:sz w:val="28"/>
      <w:szCs w:val="28"/>
    </w:rPr>
  </w:style>
  <w:style w:type="paragraph" w:customStyle="1" w:styleId="1756">
    <w:name w:val="Date2"/>
    <w:basedOn w:val="1"/>
    <w:next w:val="1"/>
    <w:semiHidden/>
    <w:qFormat/>
    <w:uiPriority w:val="0"/>
    <w:pPr>
      <w:adjustRightInd w:val="0"/>
      <w:jc w:val="left"/>
    </w:pPr>
    <w:rPr>
      <w:rFonts w:ascii="宋体"/>
      <w:spacing w:val="24"/>
      <w:kern w:val="24"/>
      <w:sz w:val="24"/>
      <w:szCs w:val="20"/>
    </w:rPr>
  </w:style>
  <w:style w:type="paragraph" w:customStyle="1" w:styleId="1757">
    <w:name w:val="第4级标题"/>
    <w:basedOn w:val="6"/>
    <w:next w:val="1"/>
    <w:qFormat/>
    <w:uiPriority w:val="0"/>
    <w:pPr>
      <w:widowControl/>
      <w:tabs>
        <w:tab w:val="left" w:pos="864"/>
      </w:tabs>
      <w:spacing w:before="100" w:beforeAutospacing="1" w:after="100" w:afterAutospacing="1" w:line="460" w:lineRule="exact"/>
      <w:ind w:left="864" w:hanging="864"/>
      <w:jc w:val="left"/>
    </w:pPr>
    <w:rPr>
      <w:rFonts w:ascii="Times New Roman" w:hAnsi="Times New Roman" w:eastAsia="华文中宋" w:cs="宋体"/>
      <w:kern w:val="0"/>
    </w:rPr>
  </w:style>
  <w:style w:type="paragraph" w:customStyle="1" w:styleId="1758">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1759">
    <w:name w:val="Char Char Char Char Char Char Char Char Char Char Char Char Char"/>
    <w:basedOn w:val="1"/>
    <w:qFormat/>
    <w:uiPriority w:val="0"/>
  </w:style>
  <w:style w:type="paragraph" w:customStyle="1" w:styleId="1760">
    <w:name w:val="et4"/>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761">
    <w:name w:val="List Number 31"/>
    <w:basedOn w:val="1"/>
    <w:qFormat/>
    <w:uiPriority w:val="0"/>
    <w:pPr>
      <w:tabs>
        <w:tab w:val="left" w:pos="780"/>
        <w:tab w:val="left" w:pos="1200"/>
      </w:tabs>
      <w:ind w:left="780" w:hanging="360"/>
    </w:pPr>
  </w:style>
  <w:style w:type="paragraph" w:customStyle="1" w:styleId="1762">
    <w:name w:val="批注框文本1"/>
    <w:basedOn w:val="1"/>
    <w:qFormat/>
    <w:uiPriority w:val="0"/>
    <w:rPr>
      <w:sz w:val="18"/>
      <w:szCs w:val="18"/>
    </w:rPr>
  </w:style>
  <w:style w:type="paragraph" w:customStyle="1" w:styleId="1763">
    <w:name w:val="样式（大表格）"/>
    <w:basedOn w:val="1"/>
    <w:qFormat/>
    <w:uiPriority w:val="0"/>
    <w:pPr>
      <w:adjustRightInd w:val="0"/>
      <w:snapToGrid w:val="0"/>
      <w:spacing w:line="400" w:lineRule="exact"/>
    </w:pPr>
    <w:rPr>
      <w:color w:val="FF0000"/>
      <w:sz w:val="24"/>
    </w:rPr>
  </w:style>
  <w:style w:type="paragraph" w:customStyle="1" w:styleId="1764">
    <w:name w:val="mp"/>
    <w:basedOn w:val="1"/>
    <w:qFormat/>
    <w:uiPriority w:val="0"/>
    <w:pPr>
      <w:widowControl/>
      <w:spacing w:before="100" w:beforeAutospacing="1" w:after="100" w:afterAutospacing="1" w:line="400" w:lineRule="atLeast"/>
      <w:ind w:firstLine="360"/>
    </w:pPr>
    <w:rPr>
      <w:rFonts w:ascii="ˎ̥" w:hAnsi="ˎ̥" w:cs="宋体"/>
      <w:color w:val="454D63"/>
      <w:kern w:val="0"/>
      <w:sz w:val="24"/>
    </w:rPr>
  </w:style>
  <w:style w:type="character" w:customStyle="1" w:styleId="1765">
    <w:name w:val="z-窗体顶端 Char2"/>
    <w:basedOn w:val="133"/>
    <w:semiHidden/>
    <w:qFormat/>
    <w:uiPriority w:val="99"/>
    <w:rPr>
      <w:rFonts w:ascii="Arial" w:hAnsi="Arial" w:eastAsia="宋体" w:cs="Arial"/>
      <w:vanish/>
      <w:sz w:val="16"/>
      <w:szCs w:val="16"/>
    </w:rPr>
  </w:style>
  <w:style w:type="character" w:customStyle="1" w:styleId="1766">
    <w:name w:val="z-窗体底端 Char2"/>
    <w:basedOn w:val="133"/>
    <w:semiHidden/>
    <w:qFormat/>
    <w:uiPriority w:val="99"/>
    <w:rPr>
      <w:rFonts w:ascii="Arial" w:hAnsi="Arial" w:eastAsia="宋体" w:cs="Arial"/>
      <w:vanish/>
      <w:sz w:val="16"/>
      <w:szCs w:val="16"/>
    </w:rPr>
  </w:style>
  <w:style w:type="paragraph" w:customStyle="1" w:styleId="1767">
    <w:name w:val="List Paragraph1"/>
    <w:basedOn w:val="1"/>
    <w:qFormat/>
    <w:uiPriority w:val="0"/>
    <w:pPr>
      <w:ind w:firstLine="420" w:firstLineChars="200"/>
    </w:pPr>
  </w:style>
  <w:style w:type="paragraph" w:customStyle="1" w:styleId="1768">
    <w:name w:val="Char Char Char Char Char Char1 Char3"/>
    <w:basedOn w:val="1"/>
    <w:qFormat/>
    <w:uiPriority w:val="0"/>
    <w:pPr>
      <w:spacing w:line="360" w:lineRule="auto"/>
      <w:ind w:firstLine="200" w:firstLineChars="200"/>
    </w:pPr>
    <w:rPr>
      <w:rFonts w:ascii="宋体" w:hAnsi="宋体" w:cs="宋体"/>
      <w:sz w:val="24"/>
    </w:rPr>
  </w:style>
  <w:style w:type="paragraph" w:customStyle="1" w:styleId="1769">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1770">
    <w:name w:val="Closing1"/>
    <w:basedOn w:val="1"/>
    <w:qFormat/>
    <w:uiPriority w:val="0"/>
    <w:pPr>
      <w:ind w:left="100" w:leftChars="2100"/>
    </w:pPr>
    <w:rPr>
      <w:color w:val="000000"/>
      <w:kern w:val="0"/>
      <w:sz w:val="24"/>
      <w:szCs w:val="15"/>
    </w:rPr>
  </w:style>
  <w:style w:type="paragraph" w:customStyle="1" w:styleId="1771">
    <w:name w:val="表题"/>
    <w:next w:val="1"/>
    <w:qFormat/>
    <w:uiPriority w:val="0"/>
    <w:pPr>
      <w:adjustRightInd w:val="0"/>
      <w:snapToGrid w:val="0"/>
      <w:jc w:val="center"/>
    </w:pPr>
    <w:rPr>
      <w:rFonts w:ascii="Times New Roman" w:hAnsi="Times New Roman" w:eastAsia="Times New Roman" w:cs="黑体"/>
      <w:b/>
      <w:bCs/>
      <w:kern w:val="2"/>
      <w:sz w:val="24"/>
      <w:szCs w:val="24"/>
      <w:lang w:val="en-GB" w:eastAsia="zh-CN" w:bidi="ar-SA"/>
    </w:rPr>
  </w:style>
  <w:style w:type="paragraph" w:customStyle="1" w:styleId="1772">
    <w:name w:val="简单回函地址"/>
    <w:basedOn w:val="1"/>
    <w:qFormat/>
    <w:uiPriority w:val="0"/>
  </w:style>
  <w:style w:type="paragraph" w:customStyle="1" w:styleId="1773">
    <w:name w:val="et12"/>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774">
    <w:name w:val="表格 23"/>
    <w:basedOn w:val="1"/>
    <w:qFormat/>
    <w:uiPriority w:val="0"/>
    <w:pPr>
      <w:autoSpaceDE w:val="0"/>
      <w:autoSpaceDN w:val="0"/>
      <w:adjustRightInd w:val="0"/>
      <w:jc w:val="center"/>
    </w:pPr>
    <w:rPr>
      <w:rFonts w:eastAsia="仿宋体"/>
      <w:kern w:val="0"/>
      <w:szCs w:val="20"/>
    </w:rPr>
  </w:style>
  <w:style w:type="paragraph" w:customStyle="1" w:styleId="1775">
    <w:name w:val="Signature1"/>
    <w:basedOn w:val="1"/>
    <w:qFormat/>
    <w:uiPriority w:val="0"/>
    <w:pPr>
      <w:ind w:left="100" w:leftChars="2100"/>
    </w:pPr>
    <w:rPr>
      <w:color w:val="000000"/>
      <w:kern w:val="0"/>
      <w:sz w:val="24"/>
      <w:szCs w:val="15"/>
    </w:rPr>
  </w:style>
  <w:style w:type="paragraph" w:customStyle="1" w:styleId="1776">
    <w:name w:val="普通(网站)11"/>
    <w:basedOn w:val="1"/>
    <w:qFormat/>
    <w:uiPriority w:val="0"/>
    <w:rPr>
      <w:sz w:val="24"/>
    </w:rPr>
  </w:style>
  <w:style w:type="paragraph" w:customStyle="1" w:styleId="1777">
    <w:name w:val="p0"/>
    <w:basedOn w:val="1"/>
    <w:qFormat/>
    <w:uiPriority w:val="0"/>
    <w:pPr>
      <w:widowControl/>
    </w:pPr>
    <w:rPr>
      <w:kern w:val="0"/>
      <w:szCs w:val="21"/>
    </w:rPr>
  </w:style>
  <w:style w:type="paragraph" w:customStyle="1" w:styleId="177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 w:val="20"/>
      <w:szCs w:val="20"/>
    </w:rPr>
  </w:style>
  <w:style w:type="paragraph" w:customStyle="1" w:styleId="1779">
    <w:name w:val="List Number 51"/>
    <w:basedOn w:val="1"/>
    <w:qFormat/>
    <w:uiPriority w:val="0"/>
    <w:pPr>
      <w:tabs>
        <w:tab w:val="left" w:pos="2040"/>
      </w:tabs>
      <w:ind w:left="2040" w:hanging="360"/>
    </w:pPr>
  </w:style>
  <w:style w:type="paragraph" w:customStyle="1" w:styleId="1780">
    <w:name w:val="et26"/>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78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78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83">
    <w:name w:val="表格内容1"/>
    <w:basedOn w:val="1"/>
    <w:qFormat/>
    <w:uiPriority w:val="0"/>
    <w:pPr>
      <w:adjustRightInd w:val="0"/>
      <w:snapToGrid w:val="0"/>
      <w:spacing w:line="240" w:lineRule="atLeast"/>
      <w:jc w:val="center"/>
    </w:pPr>
    <w:rPr>
      <w:snapToGrid w:val="0"/>
      <w:kern w:val="0"/>
    </w:rPr>
  </w:style>
  <w:style w:type="paragraph" w:customStyle="1" w:styleId="1784">
    <w:name w:val="样式 标题 3 + 11 磅 蓝色"/>
    <w:basedOn w:val="5"/>
    <w:qFormat/>
    <w:uiPriority w:val="0"/>
    <w:pPr>
      <w:widowControl w:val="0"/>
      <w:numPr>
        <w:ilvl w:val="0"/>
        <w:numId w:val="0"/>
      </w:numPr>
      <w:autoSpaceDE w:val="0"/>
      <w:autoSpaceDN w:val="0"/>
      <w:adjustRightInd w:val="0"/>
      <w:snapToGrid w:val="0"/>
      <w:spacing w:line="360" w:lineRule="auto"/>
    </w:pPr>
    <w:rPr>
      <w:rFonts w:ascii="Bookman Old Style" w:hAnsi="Bookman Old Style" w:eastAsia="黑体"/>
      <w:color w:val="0000FF"/>
      <w:kern w:val="0"/>
      <w:szCs w:val="20"/>
    </w:rPr>
  </w:style>
  <w:style w:type="paragraph" w:customStyle="1" w:styleId="1785">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1786">
    <w:name w:val="标题 3 + (西文) Bookman Old Style"/>
    <w:basedOn w:val="4"/>
    <w:qFormat/>
    <w:uiPriority w:val="0"/>
    <w:pPr>
      <w:keepLines w:val="0"/>
      <w:spacing w:before="0" w:after="0" w:line="560" w:lineRule="exact"/>
    </w:pPr>
    <w:rPr>
      <w:rFonts w:ascii="Bookman Old Style" w:hAnsi="Bookman Old Style" w:eastAsia="宋体"/>
      <w:color w:val="auto"/>
      <w:szCs w:val="30"/>
    </w:rPr>
  </w:style>
  <w:style w:type="paragraph" w:customStyle="1" w:styleId="1787">
    <w:name w:val="Char Char Char Char Char Char Char Char Char Char Char Char Char Char Char Char Char Char Char Char Char Char Char Char Char Char Char Char Char Char Char Char Char Char Char Char Char Char Char Char Char Char"/>
    <w:basedOn w:val="1"/>
    <w:semiHidden/>
    <w:qFormat/>
    <w:uiPriority w:val="0"/>
  </w:style>
  <w:style w:type="paragraph" w:customStyle="1" w:styleId="1788">
    <w:name w:val="2级标题"/>
    <w:basedOn w:val="4"/>
    <w:qFormat/>
    <w:uiPriority w:val="0"/>
    <w:pPr>
      <w:keepNext w:val="0"/>
      <w:keepLines w:val="0"/>
      <w:tabs>
        <w:tab w:val="left" w:pos="3564"/>
      </w:tabs>
      <w:adjustRightInd w:val="0"/>
      <w:snapToGrid w:val="0"/>
      <w:spacing w:before="50" w:after="0"/>
    </w:pPr>
    <w:rPr>
      <w:rFonts w:ascii="黑体" w:hAnsi="Arial"/>
      <w:b w:val="0"/>
      <w:bCs w:val="0"/>
      <w:snapToGrid w:val="0"/>
      <w:color w:val="auto"/>
      <w:kern w:val="0"/>
    </w:rPr>
  </w:style>
  <w:style w:type="paragraph" w:customStyle="1" w:styleId="1789">
    <w:name w:val="font16"/>
    <w:basedOn w:val="1"/>
    <w:qFormat/>
    <w:uiPriority w:val="0"/>
    <w:pPr>
      <w:widowControl/>
      <w:spacing w:before="100" w:beforeAutospacing="1" w:after="100" w:afterAutospacing="1"/>
      <w:jc w:val="left"/>
    </w:pPr>
    <w:rPr>
      <w:color w:val="FF6600"/>
      <w:kern w:val="0"/>
      <w:sz w:val="24"/>
    </w:rPr>
  </w:style>
  <w:style w:type="paragraph" w:customStyle="1" w:styleId="1790">
    <w:name w:val="Char Char Char Char Char Char Char Char Char"/>
    <w:basedOn w:val="1"/>
    <w:qFormat/>
    <w:uiPriority w:val="0"/>
  </w:style>
  <w:style w:type="paragraph" w:customStyle="1" w:styleId="1791">
    <w:name w:val="et8"/>
    <w:basedOn w:val="1"/>
    <w:qFormat/>
    <w:uiPriority w:val="0"/>
    <w:pPr>
      <w:widowControl/>
      <w:spacing w:before="100" w:beforeAutospacing="1" w:after="100" w:afterAutospacing="1"/>
      <w:jc w:val="left"/>
      <w:textAlignment w:val="bottom"/>
    </w:pPr>
    <w:rPr>
      <w:color w:val="000000"/>
      <w:kern w:val="0"/>
      <w:sz w:val="24"/>
    </w:rPr>
  </w:style>
  <w:style w:type="paragraph" w:customStyle="1" w:styleId="1792">
    <w:name w:val="Normal Indent1"/>
    <w:basedOn w:val="1"/>
    <w:qFormat/>
    <w:uiPriority w:val="0"/>
    <w:pPr>
      <w:ind w:firstLine="420" w:firstLineChars="200"/>
    </w:pPr>
    <w:rPr>
      <w:szCs w:val="20"/>
    </w:rPr>
  </w:style>
  <w:style w:type="paragraph" w:customStyle="1" w:styleId="1793">
    <w:name w:val="文-1"/>
    <w:basedOn w:val="1"/>
    <w:semiHidden/>
    <w:qFormat/>
    <w:uiPriority w:val="0"/>
    <w:pPr>
      <w:spacing w:before="120"/>
      <w:ind w:left="851" w:firstLine="482"/>
    </w:pPr>
    <w:rPr>
      <w:sz w:val="24"/>
      <w:szCs w:val="20"/>
    </w:rPr>
  </w:style>
  <w:style w:type="paragraph" w:customStyle="1" w:styleId="1794">
    <w:name w:val="君邦-标题1"/>
    <w:basedOn w:val="45"/>
    <w:next w:val="1"/>
    <w:qFormat/>
    <w:uiPriority w:val="0"/>
    <w:pPr>
      <w:pageBreakBefore/>
      <w:tabs>
        <w:tab w:val="left" w:pos="360"/>
        <w:tab w:val="left" w:pos="900"/>
      </w:tabs>
      <w:snapToGrid w:val="0"/>
      <w:spacing w:before="960" w:after="960"/>
      <w:ind w:left="-12" w:leftChars="-12"/>
    </w:pPr>
    <w:rPr>
      <w:rFonts w:hAnsi="宋体" w:eastAsia="仿宋_GB2312" w:cs="宋体"/>
      <w:sz w:val="24"/>
      <w:szCs w:val="24"/>
    </w:rPr>
  </w:style>
  <w:style w:type="paragraph" w:customStyle="1" w:styleId="1795">
    <w:name w:val="正文文本缩进 212"/>
    <w:basedOn w:val="1"/>
    <w:qFormat/>
    <w:uiPriority w:val="0"/>
    <w:pPr>
      <w:spacing w:after="120" w:line="480" w:lineRule="auto"/>
      <w:ind w:left="420" w:leftChars="200"/>
    </w:pPr>
    <w:rPr>
      <w:kern w:val="0"/>
      <w:sz w:val="20"/>
    </w:rPr>
  </w:style>
  <w:style w:type="paragraph" w:customStyle="1" w:styleId="1796">
    <w:name w:val="正文文本缩进 31"/>
    <w:basedOn w:val="1"/>
    <w:qFormat/>
    <w:uiPriority w:val="0"/>
    <w:pPr>
      <w:spacing w:after="120"/>
      <w:ind w:left="420" w:leftChars="200"/>
    </w:pPr>
    <w:rPr>
      <w:kern w:val="0"/>
      <w:sz w:val="16"/>
      <w:szCs w:val="16"/>
    </w:rPr>
  </w:style>
  <w:style w:type="paragraph" w:customStyle="1" w:styleId="1797">
    <w:name w:val="样式 样式 表格 + (符号) 宋体 五号 居中 + 小五"/>
    <w:basedOn w:val="1"/>
    <w:semiHidden/>
    <w:qFormat/>
    <w:uiPriority w:val="0"/>
    <w:pPr>
      <w:kinsoku w:val="0"/>
      <w:overflowPunct w:val="0"/>
      <w:adjustRightInd w:val="0"/>
      <w:snapToGrid w:val="0"/>
      <w:jc w:val="center"/>
    </w:pPr>
    <w:rPr>
      <w:snapToGrid w:val="0"/>
      <w:kern w:val="0"/>
      <w:sz w:val="18"/>
      <w:szCs w:val="21"/>
    </w:rPr>
  </w:style>
  <w:style w:type="paragraph" w:customStyle="1" w:styleId="1798">
    <w:name w:val="样式 样式 题注 + 首行缩进:  2 字符 + 首行缩进:  2 字符"/>
    <w:basedOn w:val="1"/>
    <w:qFormat/>
    <w:uiPriority w:val="0"/>
    <w:pPr>
      <w:widowControl/>
      <w:spacing w:before="120" w:beforeLines="50" w:after="120" w:afterLines="50"/>
      <w:jc w:val="center"/>
    </w:pPr>
    <w:rPr>
      <w:rFonts w:ascii="宋体" w:cs="宋体"/>
      <w:b/>
      <w:bCs/>
      <w:kern w:val="0"/>
      <w:sz w:val="28"/>
      <w:szCs w:val="28"/>
      <w:lang w:bidi="en-US"/>
    </w:rPr>
  </w:style>
  <w:style w:type="paragraph" w:customStyle="1" w:styleId="1799">
    <w:name w:val="_Style 1"/>
    <w:basedOn w:val="1"/>
    <w:qFormat/>
    <w:uiPriority w:val="1"/>
    <w:pPr>
      <w:widowControl/>
      <w:jc w:val="left"/>
    </w:pPr>
    <w:rPr>
      <w:kern w:val="0"/>
      <w:sz w:val="24"/>
      <w:szCs w:val="32"/>
    </w:rPr>
  </w:style>
  <w:style w:type="paragraph" w:customStyle="1" w:styleId="1800">
    <w:name w:val="表格03"/>
    <w:basedOn w:val="1"/>
    <w:qFormat/>
    <w:uiPriority w:val="0"/>
    <w:pPr>
      <w:spacing w:line="400" w:lineRule="exact"/>
      <w:jc w:val="center"/>
    </w:pPr>
    <w:rPr>
      <w:szCs w:val="21"/>
    </w:rPr>
  </w:style>
  <w:style w:type="paragraph" w:customStyle="1" w:styleId="1801">
    <w:name w:val="表1表2"/>
    <w:basedOn w:val="1"/>
    <w:qFormat/>
    <w:uiPriority w:val="0"/>
    <w:pPr>
      <w:autoSpaceDE w:val="0"/>
      <w:autoSpaceDN w:val="0"/>
      <w:adjustRightInd w:val="0"/>
      <w:jc w:val="center"/>
      <w:textAlignment w:val="center"/>
    </w:pPr>
    <w:rPr>
      <w:rFonts w:eastAsia="仿宋_GB2312"/>
      <w:kern w:val="0"/>
      <w:szCs w:val="21"/>
    </w:rPr>
  </w:style>
  <w:style w:type="paragraph" w:customStyle="1" w:styleId="1802">
    <w:name w:val="Char2 Char Char Char"/>
    <w:basedOn w:val="1"/>
    <w:qFormat/>
    <w:uiPriority w:val="0"/>
    <w:rPr>
      <w:szCs w:val="21"/>
    </w:rPr>
  </w:style>
  <w:style w:type="paragraph" w:customStyle="1" w:styleId="1803">
    <w:name w:val="样式 标题 3条标题1.1.1条标题1.1.11条标题1.1.12条标题1.1.13条标题1.1.111条标题1.1..."/>
    <w:basedOn w:val="5"/>
    <w:qFormat/>
    <w:uiPriority w:val="0"/>
    <w:pPr>
      <w:widowControl w:val="0"/>
      <w:numPr>
        <w:ilvl w:val="0"/>
        <w:numId w:val="0"/>
      </w:numPr>
      <w:spacing w:line="360" w:lineRule="auto"/>
      <w:jc w:val="both"/>
    </w:pPr>
    <w:rPr>
      <w:rFonts w:ascii="Bookman Old Style" w:hAnsi="Bookman Old Style" w:eastAsia="黑体"/>
      <w:b w:val="0"/>
      <w:szCs w:val="20"/>
    </w:rPr>
  </w:style>
  <w:style w:type="paragraph" w:customStyle="1" w:styleId="1804">
    <w:name w:val="BG1"/>
    <w:basedOn w:val="1"/>
    <w:semiHidden/>
    <w:qFormat/>
    <w:uiPriority w:val="0"/>
    <w:pPr>
      <w:autoSpaceDE w:val="0"/>
      <w:autoSpaceDN w:val="0"/>
      <w:jc w:val="center"/>
    </w:pPr>
    <w:rPr>
      <w:color w:val="000000"/>
      <w:kern w:val="0"/>
    </w:rPr>
  </w:style>
  <w:style w:type="paragraph" w:customStyle="1" w:styleId="1805">
    <w:name w:val="样式 (符号) 宋体 小四 黑色 行距: 1.5 倍行距 首行缩进:  2 字符"/>
    <w:basedOn w:val="1"/>
    <w:qFormat/>
    <w:uiPriority w:val="0"/>
    <w:pPr>
      <w:adjustRightInd w:val="0"/>
      <w:snapToGrid w:val="0"/>
      <w:spacing w:line="360" w:lineRule="auto"/>
      <w:ind w:firstLine="200" w:firstLineChars="200"/>
      <w:jc w:val="left"/>
    </w:pPr>
    <w:rPr>
      <w:rFonts w:hAnsi="宋体" w:cs="宋体"/>
      <w:color w:val="000000"/>
      <w:sz w:val="24"/>
      <w:szCs w:val="20"/>
    </w:rPr>
  </w:style>
  <w:style w:type="paragraph" w:customStyle="1" w:styleId="1806">
    <w:name w:val="et28"/>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807">
    <w:name w:val="标-4"/>
    <w:basedOn w:val="1"/>
    <w:semiHidden/>
    <w:qFormat/>
    <w:uiPriority w:val="0"/>
    <w:pPr>
      <w:spacing w:before="120"/>
      <w:ind w:left="851" w:hanging="851"/>
    </w:pPr>
    <w:rPr>
      <w:sz w:val="24"/>
      <w:szCs w:val="20"/>
    </w:rPr>
  </w:style>
  <w:style w:type="paragraph" w:customStyle="1" w:styleId="1808">
    <w:name w:val="三级标题"/>
    <w:basedOn w:val="1"/>
    <w:next w:val="87"/>
    <w:qFormat/>
    <w:uiPriority w:val="0"/>
    <w:pPr>
      <w:adjustRightInd w:val="0"/>
      <w:snapToGrid w:val="0"/>
      <w:spacing w:line="360" w:lineRule="exact"/>
      <w:jc w:val="center"/>
    </w:pPr>
    <w:rPr>
      <w:bCs/>
      <w:sz w:val="24"/>
      <w:szCs w:val="20"/>
    </w:rPr>
  </w:style>
  <w:style w:type="paragraph" w:customStyle="1" w:styleId="1809">
    <w:name w:val="表格文字（居中）"/>
    <w:basedOn w:val="1"/>
    <w:qFormat/>
    <w:uiPriority w:val="0"/>
    <w:pPr>
      <w:jc w:val="center"/>
    </w:pPr>
    <w:rPr>
      <w:szCs w:val="21"/>
    </w:rPr>
  </w:style>
  <w:style w:type="paragraph" w:customStyle="1" w:styleId="1810">
    <w:name w:val="引文目录标题1"/>
    <w:basedOn w:val="1"/>
    <w:next w:val="1"/>
    <w:qFormat/>
    <w:uiPriority w:val="0"/>
    <w:pPr>
      <w:spacing w:before="120"/>
    </w:pPr>
    <w:rPr>
      <w:rFonts w:ascii="Arial" w:hAnsi="Arial" w:cs="Arial"/>
      <w:sz w:val="24"/>
    </w:rPr>
  </w:style>
  <w:style w:type="paragraph" w:customStyle="1" w:styleId="1811">
    <w:name w:val="Char Char Char Char Char Char Char Char Char1 Char Char Char Char Char Char Char Char Char Char Char Char Char"/>
    <w:basedOn w:val="3"/>
    <w:qFormat/>
    <w:uiPriority w:val="0"/>
    <w:pPr>
      <w:snapToGrid w:val="0"/>
      <w:spacing w:line="348" w:lineRule="auto"/>
      <w:jc w:val="both"/>
    </w:pPr>
    <w:rPr>
      <w:rFonts w:ascii="Tahoma" w:hAnsi="Tahoma" w:eastAsia="宋体" w:cs="Tahoma"/>
      <w:kern w:val="2"/>
      <w:sz w:val="24"/>
      <w:szCs w:val="24"/>
    </w:rPr>
  </w:style>
  <w:style w:type="paragraph" w:customStyle="1" w:styleId="1812">
    <w:name w:val="表格001"/>
    <w:basedOn w:val="1"/>
    <w:qFormat/>
    <w:uiPriority w:val="0"/>
    <w:pPr>
      <w:jc w:val="center"/>
    </w:pPr>
    <w:rPr>
      <w:szCs w:val="20"/>
    </w:rPr>
  </w:style>
  <w:style w:type="paragraph" w:customStyle="1" w:styleId="1813">
    <w:name w:val="font17"/>
    <w:basedOn w:val="1"/>
    <w:qFormat/>
    <w:uiPriority w:val="0"/>
    <w:pPr>
      <w:widowControl/>
      <w:spacing w:before="100" w:beforeAutospacing="1" w:after="100" w:afterAutospacing="1"/>
      <w:jc w:val="left"/>
    </w:pPr>
    <w:rPr>
      <w:rFonts w:ascii="宋体" w:hAnsi="宋体" w:cs="宋体"/>
      <w:color w:val="FF6600"/>
      <w:kern w:val="0"/>
      <w:sz w:val="24"/>
    </w:rPr>
  </w:style>
  <w:style w:type="paragraph" w:customStyle="1" w:styleId="1814">
    <w:name w:val="p20"/>
    <w:basedOn w:val="1"/>
    <w:qFormat/>
    <w:uiPriority w:val="0"/>
    <w:pPr>
      <w:widowControl/>
      <w:spacing w:line="240" w:lineRule="atLeast"/>
      <w:jc w:val="center"/>
    </w:pPr>
    <w:rPr>
      <w:color w:val="000000"/>
      <w:kern w:val="0"/>
      <w:szCs w:val="21"/>
    </w:rPr>
  </w:style>
  <w:style w:type="paragraph" w:customStyle="1" w:styleId="1815">
    <w:name w:val="font8"/>
    <w:basedOn w:val="1"/>
    <w:qFormat/>
    <w:uiPriority w:val="0"/>
    <w:pPr>
      <w:widowControl/>
      <w:spacing w:before="100" w:beforeAutospacing="1" w:after="100" w:afterAutospacing="1"/>
      <w:jc w:val="left"/>
    </w:pPr>
    <w:rPr>
      <w:kern w:val="0"/>
      <w:sz w:val="20"/>
      <w:szCs w:val="20"/>
    </w:rPr>
  </w:style>
  <w:style w:type="paragraph" w:customStyle="1" w:styleId="1816">
    <w:name w:val="font24"/>
    <w:basedOn w:val="1"/>
    <w:qFormat/>
    <w:uiPriority w:val="0"/>
    <w:pPr>
      <w:widowControl/>
      <w:spacing w:before="100" w:beforeAutospacing="1" w:after="100" w:afterAutospacing="1"/>
      <w:jc w:val="left"/>
    </w:pPr>
    <w:rPr>
      <w:color w:val="008000"/>
      <w:kern w:val="0"/>
      <w:sz w:val="24"/>
    </w:rPr>
  </w:style>
  <w:style w:type="paragraph" w:customStyle="1" w:styleId="1817">
    <w:name w:val="纯文本1"/>
    <w:basedOn w:val="1"/>
    <w:qFormat/>
    <w:uiPriority w:val="0"/>
    <w:pPr>
      <w:adjustRightInd w:val="0"/>
      <w:jc w:val="left"/>
      <w:textAlignment w:val="baseline"/>
    </w:pPr>
    <w:rPr>
      <w:rFonts w:ascii="宋体"/>
      <w:kern w:val="0"/>
      <w:sz w:val="24"/>
      <w:szCs w:val="20"/>
    </w:rPr>
  </w:style>
  <w:style w:type="paragraph" w:customStyle="1" w:styleId="1818">
    <w:name w:val="Char22"/>
    <w:basedOn w:val="1"/>
    <w:qFormat/>
    <w:uiPriority w:val="0"/>
    <w:pPr>
      <w:widowControl/>
      <w:spacing w:after="160" w:line="240" w:lineRule="exact"/>
      <w:jc w:val="left"/>
    </w:pPr>
    <w:rPr>
      <w:szCs w:val="21"/>
    </w:rPr>
  </w:style>
  <w:style w:type="paragraph" w:customStyle="1" w:styleId="1819">
    <w:name w:val="二级标题"/>
    <w:basedOn w:val="1"/>
    <w:qFormat/>
    <w:uiPriority w:val="0"/>
    <w:pPr>
      <w:tabs>
        <w:tab w:val="left" w:pos="360"/>
      </w:tabs>
      <w:spacing w:before="156" w:beforeLines="50" w:after="156" w:afterLines="50"/>
      <w:outlineLvl w:val="1"/>
    </w:pPr>
    <w:rPr>
      <w:b/>
      <w:sz w:val="30"/>
      <w:szCs w:val="30"/>
    </w:rPr>
  </w:style>
  <w:style w:type="paragraph" w:customStyle="1" w:styleId="1820">
    <w:name w:val="3"/>
    <w:basedOn w:val="1"/>
    <w:qFormat/>
    <w:uiPriority w:val="34"/>
    <w:pPr>
      <w:widowControl/>
      <w:spacing w:before="240" w:after="312" w:afterLines="100" w:line="360" w:lineRule="auto"/>
      <w:jc w:val="left"/>
    </w:pPr>
    <w:rPr>
      <w:rFonts w:ascii="宋体" w:hAnsi="宋体"/>
      <w:spacing w:val="16"/>
      <w:kern w:val="52"/>
      <w:sz w:val="24"/>
    </w:rPr>
  </w:style>
  <w:style w:type="paragraph" w:customStyle="1" w:styleId="1821">
    <w:name w:val="注释"/>
    <w:basedOn w:val="1"/>
    <w:qFormat/>
    <w:uiPriority w:val="0"/>
    <w:pPr>
      <w:adjustRightInd w:val="0"/>
      <w:snapToGrid w:val="0"/>
      <w:spacing w:line="360" w:lineRule="exact"/>
    </w:pPr>
    <w:rPr>
      <w:snapToGrid w:val="0"/>
      <w:color w:val="000000"/>
      <w:kern w:val="0"/>
    </w:rPr>
  </w:style>
  <w:style w:type="paragraph" w:customStyle="1" w:styleId="1822">
    <w:name w:val="font23"/>
    <w:basedOn w:val="1"/>
    <w:qFormat/>
    <w:uiPriority w:val="0"/>
    <w:pPr>
      <w:widowControl/>
      <w:spacing w:before="100" w:beforeAutospacing="1" w:after="100" w:afterAutospacing="1"/>
      <w:jc w:val="left"/>
    </w:pPr>
    <w:rPr>
      <w:kern w:val="0"/>
      <w:sz w:val="24"/>
    </w:rPr>
  </w:style>
  <w:style w:type="paragraph" w:customStyle="1" w:styleId="1823">
    <w:name w:val="样式 标题 1 + 首行缩进:  2 字符"/>
    <w:basedOn w:val="3"/>
    <w:qFormat/>
    <w:uiPriority w:val="0"/>
    <w:pPr>
      <w:spacing w:before="0" w:after="0" w:line="300" w:lineRule="auto"/>
      <w:ind w:firstLine="200" w:firstLineChars="200"/>
    </w:pPr>
    <w:rPr>
      <w:rFonts w:eastAsia="宋体" w:cs="宋体"/>
      <w:b w:val="0"/>
      <w:szCs w:val="20"/>
    </w:rPr>
  </w:style>
  <w:style w:type="paragraph" w:customStyle="1" w:styleId="1824">
    <w:name w:val="1233"/>
    <w:basedOn w:val="1"/>
    <w:qFormat/>
    <w:uiPriority w:val="0"/>
    <w:pPr>
      <w:spacing w:before="100" w:beforeAutospacing="1" w:line="360" w:lineRule="auto"/>
      <w:ind w:firstLine="480" w:firstLineChars="200"/>
    </w:pPr>
    <w:rPr>
      <w:sz w:val="24"/>
    </w:rPr>
  </w:style>
  <w:style w:type="paragraph" w:customStyle="1" w:styleId="1825">
    <w:name w:val="样式 样式 样式 编号正文缩进 + 左侧:  0 厘米 首行缩进: 2 字符 + 首行缩进:  2 字符"/>
    <w:basedOn w:val="1"/>
    <w:qFormat/>
    <w:uiPriority w:val="0"/>
    <w:pPr>
      <w:widowControl/>
      <w:spacing w:line="312" w:lineRule="auto"/>
      <w:ind w:firstLine="200" w:firstLineChars="200"/>
      <w:jc w:val="left"/>
    </w:pPr>
    <w:rPr>
      <w:rFonts w:cs="宋体"/>
      <w:szCs w:val="20"/>
    </w:rPr>
  </w:style>
  <w:style w:type="paragraph" w:customStyle="1" w:styleId="1826">
    <w:name w:val="Char4"/>
    <w:basedOn w:val="1"/>
    <w:qFormat/>
    <w:uiPriority w:val="0"/>
    <w:pPr>
      <w:spacing w:line="360" w:lineRule="auto"/>
      <w:ind w:firstLine="200" w:firstLineChars="200"/>
    </w:pPr>
    <w:rPr>
      <w:rFonts w:ascii="宋体" w:hAnsi="宋体" w:cs="宋体"/>
      <w:sz w:val="24"/>
    </w:rPr>
  </w:style>
  <w:style w:type="paragraph" w:customStyle="1" w:styleId="1827">
    <w:name w:val="表头图名"/>
    <w:basedOn w:val="37"/>
    <w:qFormat/>
    <w:uiPriority w:val="0"/>
    <w:pPr>
      <w:spacing w:line="240" w:lineRule="auto"/>
      <w:ind w:left="900" w:leftChars="200" w:hanging="480" w:hangingChars="200"/>
    </w:pPr>
    <w:rPr>
      <w:rFonts w:ascii="黑体" w:eastAsia="黑体"/>
      <w:szCs w:val="24"/>
    </w:rPr>
  </w:style>
  <w:style w:type="paragraph" w:customStyle="1" w:styleId="1828">
    <w:name w:val="表格文字2"/>
    <w:basedOn w:val="1"/>
    <w:qFormat/>
    <w:uiPriority w:val="0"/>
    <w:pPr>
      <w:tabs>
        <w:tab w:val="left" w:pos="277"/>
        <w:tab w:val="left" w:pos="600"/>
        <w:tab w:val="left" w:pos="780"/>
        <w:tab w:val="left" w:pos="2517"/>
      </w:tabs>
      <w:adjustRightInd w:val="0"/>
      <w:spacing w:before="60"/>
      <w:jc w:val="center"/>
    </w:pPr>
    <w:rPr>
      <w:kern w:val="0"/>
      <w:szCs w:val="21"/>
    </w:rPr>
  </w:style>
  <w:style w:type="paragraph" w:customStyle="1" w:styleId="1829">
    <w:name w:val="前言、引言标题"/>
    <w:next w:val="1"/>
    <w:qFormat/>
    <w:uiPriority w:val="0"/>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830">
    <w:name w:val="样式 标题 3 + 左侧:  2 字符 段前: 0.5 行1"/>
    <w:basedOn w:val="5"/>
    <w:qFormat/>
    <w:uiPriority w:val="0"/>
    <w:pPr>
      <w:keepNext w:val="0"/>
      <w:numPr>
        <w:ilvl w:val="0"/>
        <w:numId w:val="0"/>
      </w:numPr>
      <w:spacing w:line="580" w:lineRule="exact"/>
    </w:pPr>
    <w:rPr>
      <w:rFonts w:ascii="黑体" w:eastAsia="黑体"/>
      <w:b w:val="0"/>
      <w:bCs w:val="0"/>
      <w:spacing w:val="-2"/>
      <w:szCs w:val="20"/>
    </w:rPr>
  </w:style>
  <w:style w:type="paragraph" w:customStyle="1" w:styleId="1831">
    <w:name w:val="1标题4级"/>
    <w:basedOn w:val="1832"/>
    <w:qFormat/>
    <w:uiPriority w:val="0"/>
  </w:style>
  <w:style w:type="paragraph" w:customStyle="1" w:styleId="1832">
    <w:name w:val="1标题3级"/>
    <w:basedOn w:val="1"/>
    <w:qFormat/>
    <w:uiPriority w:val="0"/>
    <w:pPr>
      <w:keepNext/>
      <w:adjustRightInd w:val="0"/>
      <w:snapToGrid w:val="0"/>
      <w:spacing w:line="420" w:lineRule="auto"/>
    </w:pPr>
    <w:rPr>
      <w:rFonts w:ascii="宋体" w:hAnsi="宋体" w:eastAsia="黑体"/>
      <w:b/>
      <w:sz w:val="28"/>
      <w:szCs w:val="20"/>
    </w:rPr>
  </w:style>
  <w:style w:type="paragraph" w:customStyle="1" w:styleId="1833">
    <w:name w:val="样式 正文文字 + 首行缩进:  0.99 厘米"/>
    <w:basedOn w:val="34"/>
    <w:qFormat/>
    <w:uiPriority w:val="0"/>
    <w:pPr>
      <w:tabs>
        <w:tab w:val="left" w:pos="0"/>
      </w:tabs>
      <w:spacing w:line="600" w:lineRule="exact"/>
      <w:ind w:firstLine="560"/>
    </w:pPr>
    <w:rPr>
      <w:rFonts w:ascii="Times New Roman" w:hAnsi="Times New Roman"/>
      <w:spacing w:val="-2"/>
      <w:kern w:val="0"/>
      <w:sz w:val="28"/>
      <w:szCs w:val="28"/>
    </w:rPr>
  </w:style>
  <w:style w:type="paragraph" w:customStyle="1" w:styleId="1834">
    <w:name w:val="Char Char20 Char Char"/>
    <w:basedOn w:val="1"/>
    <w:qFormat/>
    <w:uiPriority w:val="0"/>
    <w:pPr>
      <w:widowControl/>
      <w:jc w:val="left"/>
    </w:pPr>
    <w:rPr>
      <w:rFonts w:ascii="宋体"/>
      <w:kern w:val="0"/>
      <w:sz w:val="24"/>
    </w:rPr>
  </w:style>
  <w:style w:type="paragraph" w:customStyle="1" w:styleId="1835">
    <w:name w:val="目录3"/>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1836">
    <w:name w:val="目录2"/>
    <w:basedOn w:val="1"/>
    <w:next w:val="1"/>
    <w:qFormat/>
    <w:uiPriority w:val="0"/>
    <w:pPr>
      <w:widowControl/>
      <w:tabs>
        <w:tab w:val="left" w:leader="dot" w:pos="8503"/>
      </w:tabs>
      <w:spacing w:line="317" w:lineRule="atLeast"/>
      <w:ind w:left="419" w:firstLine="419"/>
      <w:textAlignment w:val="baseline"/>
    </w:pPr>
    <w:rPr>
      <w:color w:val="000000"/>
      <w:kern w:val="0"/>
      <w:szCs w:val="20"/>
      <w:u w:color="000000"/>
    </w:rPr>
  </w:style>
  <w:style w:type="paragraph" w:customStyle="1" w:styleId="1837">
    <w:name w:val="样式 标题 3 + (西文) Arial (中文) 仿宋_GB2312 四号 首行缩进:  2 字符"/>
    <w:basedOn w:val="5"/>
    <w:qFormat/>
    <w:uiPriority w:val="0"/>
    <w:pPr>
      <w:widowControl w:val="0"/>
      <w:numPr>
        <w:ilvl w:val="0"/>
        <w:numId w:val="0"/>
      </w:numPr>
      <w:spacing w:before="260" w:after="260" w:line="413" w:lineRule="auto"/>
      <w:jc w:val="both"/>
    </w:pPr>
    <w:rPr>
      <w:rFonts w:ascii="Arial" w:hAnsi="Arial" w:eastAsia="仿宋_GB2312" w:cs="宋体"/>
      <w:szCs w:val="20"/>
    </w:rPr>
  </w:style>
  <w:style w:type="paragraph" w:customStyle="1" w:styleId="1838">
    <w:name w:val="_Style 4"/>
    <w:basedOn w:val="1"/>
    <w:qFormat/>
    <w:uiPriority w:val="0"/>
    <w:pPr>
      <w:snapToGrid w:val="0"/>
      <w:spacing w:line="360" w:lineRule="auto"/>
      <w:ind w:firstLine="200" w:firstLineChars="200"/>
    </w:pPr>
    <w:rPr>
      <w:rFonts w:ascii="宋体" w:hAnsi="宋体" w:cs="Arial"/>
      <w:kern w:val="0"/>
      <w:sz w:val="24"/>
      <w:szCs w:val="21"/>
      <w:lang w:val="eu-ES"/>
    </w:rPr>
  </w:style>
  <w:style w:type="paragraph" w:customStyle="1" w:styleId="1839">
    <w:name w:val="标题正1"/>
    <w:basedOn w:val="1"/>
    <w:qFormat/>
    <w:uiPriority w:val="0"/>
    <w:pPr>
      <w:jc w:val="left"/>
      <w:outlineLvl w:val="0"/>
    </w:pPr>
    <w:rPr>
      <w:rFonts w:ascii="宋体" w:hAnsi="宋体"/>
      <w:b/>
      <w:color w:val="000000"/>
      <w:sz w:val="30"/>
      <w:szCs w:val="30"/>
    </w:rPr>
  </w:style>
  <w:style w:type="paragraph" w:customStyle="1" w:styleId="1840">
    <w:name w:val="0"/>
    <w:basedOn w:val="1"/>
    <w:qFormat/>
    <w:uiPriority w:val="0"/>
    <w:pPr>
      <w:widowControl/>
      <w:snapToGrid w:val="0"/>
    </w:pPr>
    <w:rPr>
      <w:kern w:val="0"/>
      <w:szCs w:val="21"/>
    </w:rPr>
  </w:style>
  <w:style w:type="paragraph" w:customStyle="1" w:styleId="1841">
    <w:name w:val="et35"/>
    <w:basedOn w:val="1"/>
    <w:qFormat/>
    <w:uiPriority w:val="0"/>
    <w:pPr>
      <w:widowControl/>
      <w:spacing w:before="100" w:beforeAutospacing="1" w:after="100" w:afterAutospacing="1"/>
      <w:jc w:val="left"/>
      <w:textAlignment w:val="bottom"/>
    </w:pPr>
    <w:rPr>
      <w:rFonts w:ascii="楷体_GB2312" w:hAnsi="宋体" w:eastAsia="楷体_GB2312" w:cs="宋体"/>
      <w:color w:val="000000"/>
      <w:kern w:val="0"/>
      <w:sz w:val="24"/>
    </w:rPr>
  </w:style>
  <w:style w:type="paragraph" w:customStyle="1" w:styleId="1842">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843">
    <w:name w:val="Char"/>
    <w:basedOn w:val="1"/>
    <w:qFormat/>
    <w:uiPriority w:val="0"/>
  </w:style>
  <w:style w:type="paragraph" w:customStyle="1" w:styleId="1844">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1845">
    <w:name w:val="et15"/>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846">
    <w:name w:val="Char Char Char1 Char"/>
    <w:basedOn w:val="1"/>
    <w:qFormat/>
    <w:uiPriority w:val="0"/>
  </w:style>
  <w:style w:type="paragraph" w:customStyle="1" w:styleId="1847">
    <w:name w:val="图片"/>
    <w:basedOn w:val="1"/>
    <w:qFormat/>
    <w:uiPriority w:val="0"/>
    <w:pPr>
      <w:widowControl/>
      <w:jc w:val="center"/>
    </w:pPr>
    <w:rPr>
      <w:kern w:val="0"/>
      <w:sz w:val="24"/>
      <w:szCs w:val="20"/>
    </w:rPr>
  </w:style>
  <w:style w:type="paragraph" w:customStyle="1" w:styleId="1848">
    <w:name w:val="Char Char1 Char Char Char Char Char Char Char"/>
    <w:basedOn w:val="1"/>
    <w:qFormat/>
    <w:uiPriority w:val="0"/>
    <w:rPr>
      <w:szCs w:val="20"/>
    </w:rPr>
  </w:style>
  <w:style w:type="paragraph" w:customStyle="1" w:styleId="1849">
    <w:name w:val="z-窗体顶端12"/>
    <w:basedOn w:val="1"/>
    <w:next w:val="1"/>
    <w:qFormat/>
    <w:uiPriority w:val="0"/>
    <w:pPr>
      <w:pBdr>
        <w:bottom w:val="single" w:color="auto" w:sz="6" w:space="1"/>
      </w:pBdr>
      <w:adjustRightInd w:val="0"/>
      <w:snapToGrid w:val="0"/>
      <w:spacing w:line="300" w:lineRule="auto"/>
      <w:jc w:val="center"/>
    </w:pPr>
    <w:rPr>
      <w:rFonts w:ascii="Arial" w:hAnsi="Arial" w:eastAsia="仿宋_GB2312"/>
      <w:vanish/>
      <w:sz w:val="16"/>
      <w:szCs w:val="16"/>
    </w:rPr>
  </w:style>
  <w:style w:type="paragraph" w:customStyle="1" w:styleId="1850">
    <w:name w:val="样式 标题 1 + 宋体 四号 左 段前: 0 磅 段后: 0 磅 行距: 单倍行距"/>
    <w:basedOn w:val="3"/>
    <w:qFormat/>
    <w:uiPriority w:val="0"/>
    <w:pPr>
      <w:tabs>
        <w:tab w:val="left" w:pos="284"/>
      </w:tabs>
      <w:spacing w:before="0" w:after="0" w:line="240" w:lineRule="auto"/>
      <w:ind w:left="431" w:firstLine="551" w:firstLineChars="196"/>
      <w:jc w:val="left"/>
    </w:pPr>
    <w:rPr>
      <w:rFonts w:ascii="宋体" w:hAnsi="宋体" w:eastAsia="宋体" w:cs="宋体"/>
      <w:kern w:val="2"/>
      <w:szCs w:val="20"/>
    </w:rPr>
  </w:style>
  <w:style w:type="paragraph" w:customStyle="1" w:styleId="1851">
    <w:name w:val="电镀表"/>
    <w:basedOn w:val="1801"/>
    <w:qFormat/>
    <w:uiPriority w:val="0"/>
    <w:pPr>
      <w:spacing w:line="0" w:lineRule="atLeast"/>
      <w:jc w:val="right"/>
    </w:pPr>
    <w:rPr>
      <w:rFonts w:eastAsia="宋体"/>
    </w:rPr>
  </w:style>
  <w:style w:type="paragraph" w:customStyle="1" w:styleId="1852">
    <w:name w:val="报告表格"/>
    <w:basedOn w:val="1"/>
    <w:next w:val="1"/>
    <w:qFormat/>
    <w:uiPriority w:val="0"/>
    <w:pPr>
      <w:autoSpaceDE w:val="0"/>
      <w:autoSpaceDN w:val="0"/>
      <w:adjustRightInd w:val="0"/>
      <w:spacing w:line="318" w:lineRule="atLeast"/>
      <w:jc w:val="center"/>
      <w:textAlignment w:val="bottom"/>
    </w:pPr>
    <w:rPr>
      <w:kern w:val="0"/>
      <w:sz w:val="24"/>
      <w:szCs w:val="20"/>
    </w:rPr>
  </w:style>
  <w:style w:type="paragraph" w:customStyle="1" w:styleId="1853">
    <w:name w:val="正文修改"/>
    <w:basedOn w:val="1"/>
    <w:qFormat/>
    <w:uiPriority w:val="0"/>
    <w:pPr>
      <w:ind w:firstLine="480"/>
    </w:pPr>
    <w:rPr>
      <w:rFonts w:cs="宋体"/>
      <w:sz w:val="24"/>
    </w:rPr>
  </w:style>
  <w:style w:type="paragraph" w:customStyle="1" w:styleId="1854">
    <w:name w:val="xl9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1855">
    <w:name w:val="引言"/>
    <w:basedOn w:val="1"/>
    <w:next w:val="1"/>
    <w:qFormat/>
    <w:uiPriority w:val="0"/>
    <w:pPr>
      <w:autoSpaceDE w:val="0"/>
      <w:autoSpaceDN w:val="0"/>
      <w:adjustRightInd w:val="0"/>
      <w:spacing w:line="480" w:lineRule="exact"/>
      <w:jc w:val="center"/>
    </w:pPr>
    <w:rPr>
      <w:szCs w:val="21"/>
    </w:rPr>
  </w:style>
  <w:style w:type="paragraph" w:customStyle="1" w:styleId="1856">
    <w:name w:val="Content"/>
    <w:basedOn w:val="1"/>
    <w:semiHidden/>
    <w:qFormat/>
    <w:uiPriority w:val="0"/>
    <w:pPr>
      <w:widowControl/>
      <w:tabs>
        <w:tab w:val="left" w:pos="9480"/>
        <w:tab w:val="left" w:pos="9600"/>
      </w:tabs>
      <w:spacing w:before="120" w:after="120" w:line="240" w:lineRule="atLeast"/>
      <w:jc w:val="center"/>
    </w:pPr>
    <w:rPr>
      <w:rFonts w:ascii="Arial" w:hAnsi="Arial"/>
      <w:b/>
      <w:kern w:val="0"/>
      <w:sz w:val="28"/>
      <w:szCs w:val="20"/>
      <w:lang w:val="fr-FR"/>
    </w:rPr>
  </w:style>
  <w:style w:type="paragraph" w:customStyle="1" w:styleId="1857">
    <w:name w:val="xl180"/>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kern w:val="0"/>
      <w:sz w:val="24"/>
    </w:rPr>
  </w:style>
  <w:style w:type="paragraph" w:customStyle="1" w:styleId="1858">
    <w:name w:val="表内式样"/>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1859">
    <w:name w:val="报告 Char"/>
    <w:basedOn w:val="1"/>
    <w:qFormat/>
    <w:uiPriority w:val="0"/>
    <w:pPr>
      <w:adjustRightInd w:val="0"/>
      <w:spacing w:line="360" w:lineRule="auto"/>
      <w:ind w:firstLine="505"/>
      <w:textAlignment w:val="baseline"/>
    </w:pPr>
    <w:rPr>
      <w:sz w:val="24"/>
    </w:rPr>
  </w:style>
  <w:style w:type="paragraph" w:customStyle="1" w:styleId="1860">
    <w:name w:val="表格正文AECOM"/>
    <w:basedOn w:val="1"/>
    <w:qFormat/>
    <w:uiPriority w:val="0"/>
    <w:pPr>
      <w:jc w:val="center"/>
    </w:pPr>
    <w:rPr>
      <w:szCs w:val="21"/>
    </w:rPr>
  </w:style>
  <w:style w:type="paragraph" w:customStyle="1" w:styleId="1861">
    <w:name w:val="T正文"/>
    <w:qFormat/>
    <w:uiPriority w:val="0"/>
    <w:pPr>
      <w:widowControl w:val="0"/>
      <w:adjustRightInd w:val="0"/>
      <w:snapToGrid w:val="0"/>
      <w:spacing w:line="360" w:lineRule="auto"/>
      <w:jc w:val="both"/>
    </w:pPr>
    <w:rPr>
      <w:rFonts w:ascii="Times New Roman" w:hAnsi="Times New Roman" w:eastAsia="仿宋_GB2312" w:cs="Times New Roman"/>
      <w:sz w:val="28"/>
      <w:lang w:val="en-US" w:eastAsia="zh-CN" w:bidi="ar-SA"/>
    </w:rPr>
  </w:style>
  <w:style w:type="paragraph" w:customStyle="1" w:styleId="1862">
    <w:name w:val="xl68"/>
    <w:basedOn w:val="1"/>
    <w:qFormat/>
    <w:uiPriority w:val="0"/>
    <w:pPr>
      <w:widowControl/>
      <w:pBdr>
        <w:left w:val="single" w:color="auto" w:sz="8" w:space="0"/>
        <w:right w:val="single" w:color="auto" w:sz="4" w:space="0"/>
      </w:pBdr>
      <w:spacing w:before="100" w:beforeAutospacing="1" w:after="100" w:afterAutospacing="1"/>
      <w:jc w:val="center"/>
    </w:pPr>
    <w:rPr>
      <w:rFonts w:ascii="Arial" w:hAnsi="Arial" w:cs="宋体"/>
      <w:kern w:val="0"/>
      <w:sz w:val="18"/>
      <w:szCs w:val="18"/>
      <w:lang w:bidi="th-TH"/>
    </w:rPr>
  </w:style>
  <w:style w:type="paragraph" w:customStyle="1" w:styleId="1863">
    <w:name w:val="正文 + (西文) 宋体"/>
    <w:basedOn w:val="1"/>
    <w:qFormat/>
    <w:uiPriority w:val="0"/>
    <w:pPr>
      <w:tabs>
        <w:tab w:val="left" w:pos="1140"/>
      </w:tabs>
      <w:spacing w:line="360" w:lineRule="auto"/>
      <w:ind w:firstLine="510"/>
    </w:pPr>
    <w:rPr>
      <w:rFonts w:ascii="宋体" w:hAnsi="宋体" w:eastAsia="仿宋_GB2312"/>
      <w:sz w:val="24"/>
    </w:rPr>
  </w:style>
  <w:style w:type="paragraph" w:customStyle="1" w:styleId="1864">
    <w:name w:val="表格小5"/>
    <w:basedOn w:val="1"/>
    <w:qFormat/>
    <w:uiPriority w:val="0"/>
    <w:rPr>
      <w:sz w:val="18"/>
    </w:rPr>
  </w:style>
  <w:style w:type="paragraph" w:customStyle="1" w:styleId="1865">
    <w:name w:val="标准"/>
    <w:basedOn w:val="1"/>
    <w:qFormat/>
    <w:uiPriority w:val="0"/>
    <w:pPr>
      <w:adjustRightInd w:val="0"/>
      <w:spacing w:line="240" w:lineRule="atLeast"/>
      <w:textAlignment w:val="baseline"/>
    </w:pPr>
    <w:rPr>
      <w:rFonts w:ascii="仿宋_GB2312" w:eastAsia="仿宋_GB2312"/>
      <w:kern w:val="0"/>
      <w:sz w:val="24"/>
      <w:szCs w:val="20"/>
    </w:rPr>
  </w:style>
  <w:style w:type="paragraph" w:customStyle="1" w:styleId="1866">
    <w:name w:val="样式 标题 2 + 首行缩进:  2 字符"/>
    <w:basedOn w:val="4"/>
    <w:qFormat/>
    <w:uiPriority w:val="0"/>
    <w:pPr>
      <w:spacing w:before="0" w:after="0" w:line="300" w:lineRule="auto"/>
    </w:pPr>
    <w:rPr>
      <w:rFonts w:ascii="Arial" w:hAnsi="Arial" w:cs="宋体"/>
      <w:b w:val="0"/>
      <w:color w:val="auto"/>
      <w:szCs w:val="20"/>
    </w:rPr>
  </w:style>
  <w:style w:type="paragraph" w:customStyle="1" w:styleId="1867">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868">
    <w:name w:val="框图-1"/>
    <w:basedOn w:val="1"/>
    <w:qFormat/>
    <w:uiPriority w:val="0"/>
    <w:pPr>
      <w:snapToGrid w:val="0"/>
      <w:jc w:val="center"/>
    </w:pPr>
    <w:rPr>
      <w:rFonts w:eastAsia="仿宋_GB2312" w:cs="宋体"/>
      <w:kern w:val="0"/>
      <w:szCs w:val="20"/>
    </w:rPr>
  </w:style>
  <w:style w:type="paragraph" w:customStyle="1" w:styleId="1869">
    <w:name w:val="15"/>
    <w:basedOn w:val="1"/>
    <w:qFormat/>
    <w:uiPriority w:val="0"/>
    <w:pPr>
      <w:widowControl/>
      <w:snapToGrid w:val="0"/>
      <w:spacing w:before="100" w:beforeAutospacing="1" w:after="120"/>
      <w:ind w:left="420"/>
    </w:pPr>
    <w:rPr>
      <w:kern w:val="0"/>
      <w:sz w:val="16"/>
      <w:szCs w:val="16"/>
    </w:rPr>
  </w:style>
  <w:style w:type="paragraph" w:customStyle="1" w:styleId="1870">
    <w:name w:val="Char Char Char Char2"/>
    <w:basedOn w:val="1"/>
    <w:qFormat/>
    <w:uiPriority w:val="0"/>
    <w:rPr>
      <w:sz w:val="24"/>
    </w:rPr>
  </w:style>
  <w:style w:type="paragraph" w:customStyle="1" w:styleId="1871">
    <w:name w:val="附录四级条标题"/>
    <w:basedOn w:val="1872"/>
    <w:next w:val="6"/>
    <w:qFormat/>
    <w:uiPriority w:val="0"/>
    <w:pPr>
      <w:tabs>
        <w:tab w:val="left" w:pos="360"/>
        <w:tab w:val="left" w:pos="960"/>
        <w:tab w:val="left" w:pos="1068"/>
      </w:tabs>
      <w:ind w:left="960"/>
      <w:outlineLvl w:val="5"/>
    </w:pPr>
  </w:style>
  <w:style w:type="paragraph" w:customStyle="1" w:styleId="1872">
    <w:name w:val="附录三级条标题"/>
    <w:basedOn w:val="1873"/>
    <w:next w:val="6"/>
    <w:qFormat/>
    <w:uiPriority w:val="0"/>
    <w:pPr>
      <w:tabs>
        <w:tab w:val="left" w:pos="360"/>
        <w:tab w:val="left" w:pos="1068"/>
      </w:tabs>
      <w:ind w:left="1068"/>
      <w:outlineLvl w:val="4"/>
    </w:pPr>
  </w:style>
  <w:style w:type="paragraph" w:customStyle="1" w:styleId="1873">
    <w:name w:val="附录二级条标题"/>
    <w:basedOn w:val="1683"/>
    <w:next w:val="6"/>
    <w:qFormat/>
    <w:uiPriority w:val="0"/>
    <w:pPr>
      <w:tabs>
        <w:tab w:val="left" w:pos="360"/>
        <w:tab w:val="clear" w:pos="828"/>
      </w:tabs>
      <w:ind w:left="360" w:hanging="360"/>
      <w:outlineLvl w:val="3"/>
    </w:pPr>
  </w:style>
  <w:style w:type="paragraph" w:customStyle="1" w:styleId="1874">
    <w:name w:val="NF3正文"/>
    <w:basedOn w:val="1"/>
    <w:qFormat/>
    <w:uiPriority w:val="0"/>
    <w:pPr>
      <w:snapToGrid w:val="0"/>
      <w:spacing w:line="500" w:lineRule="exact"/>
      <w:ind w:firstLine="200" w:firstLineChars="200"/>
    </w:pPr>
    <w:rPr>
      <w:rFonts w:ascii="宋体" w:hAnsi="宋体"/>
      <w:sz w:val="28"/>
      <w:szCs w:val="28"/>
    </w:rPr>
  </w:style>
  <w:style w:type="paragraph" w:customStyle="1" w:styleId="1875">
    <w:name w:val="说明正文"/>
    <w:basedOn w:val="34"/>
    <w:qFormat/>
    <w:uiPriority w:val="0"/>
    <w:pPr>
      <w:spacing w:line="360" w:lineRule="auto"/>
    </w:pPr>
    <w:rPr>
      <w:rFonts w:ascii="楷体_GB2312" w:hAnsi="Times New Roman" w:eastAsia="楷体_GB2312"/>
      <w:sz w:val="24"/>
    </w:rPr>
  </w:style>
  <w:style w:type="paragraph" w:customStyle="1" w:styleId="1876">
    <w:name w:val="电镀正文"/>
    <w:basedOn w:val="21"/>
    <w:qFormat/>
    <w:uiPriority w:val="0"/>
    <w:pPr>
      <w:spacing w:line="312" w:lineRule="auto"/>
      <w:ind w:firstLine="200" w:firstLineChars="200"/>
    </w:pPr>
    <w:rPr>
      <w:rFonts w:ascii="宋体" w:hAnsi="宋体"/>
      <w:sz w:val="24"/>
      <w:szCs w:val="24"/>
    </w:rPr>
  </w:style>
  <w:style w:type="paragraph" w:customStyle="1" w:styleId="1877">
    <w:name w:val="xl87"/>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kern w:val="0"/>
      <w:sz w:val="20"/>
      <w:szCs w:val="20"/>
      <w:lang w:eastAsia="en-US"/>
    </w:rPr>
  </w:style>
  <w:style w:type="paragraph" w:customStyle="1" w:styleId="1878">
    <w:name w:val="正文样式3"/>
    <w:basedOn w:val="1"/>
    <w:qFormat/>
    <w:uiPriority w:val="0"/>
    <w:pPr>
      <w:keepLines/>
      <w:adjustRightInd w:val="0"/>
      <w:spacing w:line="20" w:lineRule="atLeast"/>
      <w:jc w:val="center"/>
      <w:textAlignment w:val="baseline"/>
    </w:pPr>
    <w:rPr>
      <w:kern w:val="0"/>
      <w:sz w:val="24"/>
      <w:szCs w:val="20"/>
    </w:rPr>
  </w:style>
  <w:style w:type="paragraph" w:customStyle="1" w:styleId="1879">
    <w:name w:val="环评表格样式"/>
    <w:basedOn w:val="1"/>
    <w:qFormat/>
    <w:uiPriority w:val="0"/>
    <w:pPr>
      <w:spacing w:line="680" w:lineRule="atLeast"/>
      <w:ind w:firstLine="573"/>
    </w:pPr>
    <w:rPr>
      <w:sz w:val="28"/>
      <w:szCs w:val="20"/>
    </w:rPr>
  </w:style>
  <w:style w:type="paragraph" w:customStyle="1" w:styleId="1880">
    <w:name w:val="CM19"/>
    <w:basedOn w:val="180"/>
    <w:next w:val="180"/>
    <w:qFormat/>
    <w:uiPriority w:val="0"/>
    <w:pPr>
      <w:adjustRightInd w:val="0"/>
      <w:spacing w:line="408" w:lineRule="atLeast"/>
    </w:pPr>
    <w:rPr>
      <w:rFonts w:hint="default" w:ascii="Arial Unicode MS" w:hAnsi="Arial Unicode MS"/>
      <w:color w:val="auto"/>
      <w:szCs w:val="24"/>
    </w:rPr>
  </w:style>
  <w:style w:type="paragraph" w:customStyle="1" w:styleId="1881">
    <w:name w:val="Char Char Char Char Char Char1 Char Char Char Char"/>
    <w:basedOn w:val="1"/>
    <w:qFormat/>
    <w:uiPriority w:val="0"/>
    <w:rPr>
      <w:sz w:val="24"/>
    </w:rPr>
  </w:style>
  <w:style w:type="paragraph" w:customStyle="1" w:styleId="1882">
    <w:name w:val="字元 字元"/>
    <w:basedOn w:val="1"/>
    <w:qFormat/>
    <w:uiPriority w:val="0"/>
    <w:rPr>
      <w:szCs w:val="21"/>
    </w:rPr>
  </w:style>
  <w:style w:type="paragraph" w:customStyle="1" w:styleId="1883">
    <w:name w:val="3级标题"/>
    <w:basedOn w:val="1"/>
    <w:qFormat/>
    <w:uiPriority w:val="0"/>
    <w:pPr>
      <w:spacing w:before="200" w:line="400" w:lineRule="exact"/>
      <w:outlineLvl w:val="2"/>
    </w:pPr>
    <w:rPr>
      <w:b/>
      <w:kern w:val="0"/>
      <w:sz w:val="24"/>
      <w:szCs w:val="20"/>
    </w:rPr>
  </w:style>
  <w:style w:type="paragraph" w:customStyle="1" w:styleId="1884">
    <w:name w:val="xl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885">
    <w:name w:val="!Texte courant"/>
    <w:qFormat/>
    <w:uiPriority w:val="0"/>
    <w:pPr>
      <w:spacing w:before="120" w:line="280" w:lineRule="atLeast"/>
      <w:jc w:val="both"/>
    </w:pPr>
    <w:rPr>
      <w:rFonts w:ascii="Times New Roman" w:hAnsi="Times New Roman" w:eastAsia="宋体" w:cs="Times New Roman"/>
      <w:sz w:val="24"/>
      <w:lang w:val="fr-FR" w:eastAsia="en-US" w:bidi="ar-SA"/>
    </w:rPr>
  </w:style>
  <w:style w:type="paragraph" w:customStyle="1" w:styleId="1886">
    <w:name w:val="表格样式"/>
    <w:basedOn w:val="1"/>
    <w:qFormat/>
    <w:uiPriority w:val="0"/>
    <w:pPr>
      <w:jc w:val="center"/>
    </w:pPr>
    <w:rPr>
      <w:bCs/>
    </w:rPr>
  </w:style>
  <w:style w:type="paragraph" w:customStyle="1" w:styleId="1887">
    <w:name w:val="样式 表格文字居中 + (符号) 宋体 两端对齐1"/>
    <w:basedOn w:val="1"/>
    <w:semiHidden/>
    <w:qFormat/>
    <w:uiPriority w:val="0"/>
    <w:rPr>
      <w:rFonts w:ascii="宋体" w:hAnsi="宋体"/>
      <w:sz w:val="24"/>
      <w:szCs w:val="18"/>
    </w:rPr>
  </w:style>
  <w:style w:type="paragraph" w:customStyle="1" w:styleId="1888">
    <w:name w:val="样式a1"/>
    <w:basedOn w:val="1"/>
    <w:qFormat/>
    <w:uiPriority w:val="0"/>
    <w:pPr>
      <w:spacing w:line="336" w:lineRule="auto"/>
    </w:pPr>
    <w:rPr>
      <w:rFonts w:ascii="楷体_GB2312" w:eastAsia="楷体_GB2312"/>
      <w:sz w:val="32"/>
    </w:rPr>
  </w:style>
  <w:style w:type="paragraph" w:customStyle="1" w:styleId="1889">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890">
    <w:name w:val="我的正文"/>
    <w:qFormat/>
    <w:uiPriority w:val="0"/>
    <w:pPr>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customStyle="1" w:styleId="1891">
    <w:name w:val="Char Char Char Char6"/>
    <w:basedOn w:val="1"/>
    <w:qFormat/>
    <w:uiPriority w:val="0"/>
    <w:rPr>
      <w:sz w:val="24"/>
      <w:szCs w:val="20"/>
    </w:rPr>
  </w:style>
  <w:style w:type="paragraph" w:customStyle="1" w:styleId="1892">
    <w:name w:val="z-窗体底端13"/>
    <w:basedOn w:val="1"/>
    <w:next w:val="1"/>
    <w:qFormat/>
    <w:uiPriority w:val="0"/>
    <w:pPr>
      <w:pBdr>
        <w:top w:val="single" w:color="auto" w:sz="6" w:space="1"/>
      </w:pBdr>
      <w:jc w:val="center"/>
    </w:pPr>
    <w:rPr>
      <w:rFonts w:hint="eastAsia" w:ascii="Arial" w:hAnsi="Arial"/>
      <w:vanish/>
      <w:sz w:val="16"/>
      <w:szCs w:val="20"/>
    </w:rPr>
  </w:style>
  <w:style w:type="paragraph" w:customStyle="1" w:styleId="1893">
    <w:name w:val="表内容中"/>
    <w:basedOn w:val="50"/>
    <w:qFormat/>
    <w:uiPriority w:val="0"/>
    <w:pPr>
      <w:adjustRightInd/>
      <w:spacing w:line="240" w:lineRule="auto"/>
      <w:jc w:val="center"/>
      <w:textAlignment w:val="auto"/>
    </w:pPr>
    <w:rPr>
      <w:rFonts w:ascii="楷体_GB2312" w:hAnsi="宋体" w:eastAsia="楷体_GB2312"/>
      <w:color w:val="000000"/>
    </w:rPr>
  </w:style>
  <w:style w:type="paragraph" w:customStyle="1" w:styleId="1894">
    <w:name w:val="Char Char16 Char Char"/>
    <w:basedOn w:val="1"/>
    <w:qFormat/>
    <w:uiPriority w:val="0"/>
    <w:rPr>
      <w:szCs w:val="21"/>
    </w:rPr>
  </w:style>
  <w:style w:type="paragraph" w:customStyle="1" w:styleId="1895">
    <w:name w:val="样式 表格文字居中 + Times New Roman"/>
    <w:basedOn w:val="1896"/>
    <w:qFormat/>
    <w:uiPriority w:val="0"/>
    <w:pPr>
      <w:spacing w:line="240" w:lineRule="auto"/>
    </w:pPr>
    <w:rPr>
      <w:bCs w:val="0"/>
      <w:color w:val="000000"/>
      <w:spacing w:val="0"/>
    </w:rPr>
  </w:style>
  <w:style w:type="paragraph" w:customStyle="1" w:styleId="1896">
    <w:name w:val="表格文字居中"/>
    <w:basedOn w:val="1"/>
    <w:qFormat/>
    <w:uiPriority w:val="0"/>
    <w:pPr>
      <w:widowControl/>
      <w:adjustRightInd w:val="0"/>
      <w:snapToGrid w:val="0"/>
      <w:spacing w:line="320" w:lineRule="exact"/>
      <w:jc w:val="center"/>
    </w:pPr>
    <w:rPr>
      <w:rFonts w:ascii="宋体" w:hAnsi="宋体"/>
      <w:bCs/>
      <w:snapToGrid w:val="0"/>
      <w:color w:val="FF0000"/>
      <w:spacing w:val="-8"/>
      <w:kern w:val="0"/>
      <w:szCs w:val="21"/>
    </w:rPr>
  </w:style>
  <w:style w:type="paragraph" w:customStyle="1" w:styleId="1897">
    <w:name w:val="万瑞正文"/>
    <w:basedOn w:val="1"/>
    <w:qFormat/>
    <w:uiPriority w:val="0"/>
    <w:pPr>
      <w:adjustRightInd w:val="0"/>
      <w:snapToGrid w:val="0"/>
      <w:spacing w:line="360" w:lineRule="auto"/>
      <w:ind w:firstLine="200" w:firstLineChars="200"/>
      <w:jc w:val="left"/>
    </w:pPr>
    <w:rPr>
      <w:sz w:val="24"/>
    </w:rPr>
  </w:style>
  <w:style w:type="paragraph" w:customStyle="1" w:styleId="1898">
    <w:name w:val="样式 标题 3 + 首行缩进:  2 字符 段前: 8.15 磅 段后: 8.15 磅3"/>
    <w:basedOn w:val="5"/>
    <w:qFormat/>
    <w:uiPriority w:val="0"/>
    <w:pPr>
      <w:widowControl w:val="0"/>
      <w:numPr>
        <w:ilvl w:val="0"/>
        <w:numId w:val="0"/>
      </w:numPr>
      <w:tabs>
        <w:tab w:val="left" w:pos="1575"/>
      </w:tabs>
      <w:spacing w:before="163" w:after="163" w:line="0" w:lineRule="atLeast"/>
    </w:pPr>
    <w:rPr>
      <w:rFonts w:ascii="Arial Unicode MS" w:hAnsi="Arial Unicode MS" w:eastAsia="黑体" w:cs="宋体"/>
      <w:sz w:val="24"/>
      <w:szCs w:val="20"/>
    </w:rPr>
  </w:style>
  <w:style w:type="paragraph" w:customStyle="1" w:styleId="1899">
    <w:name w:val="样式 表格1 + 首行缩进:  2 字符"/>
    <w:basedOn w:val="1125"/>
    <w:qFormat/>
    <w:uiPriority w:val="0"/>
    <w:pPr>
      <w:snapToGrid/>
      <w:spacing w:before="0" w:beforeLines="0" w:after="0" w:afterLines="0"/>
      <w:ind w:firstLine="200"/>
      <w:textAlignment w:val="center"/>
    </w:pPr>
    <w:rPr>
      <w:rFonts w:ascii="宋体" w:hAnsi="宋体" w:cs="宋体"/>
      <w:snapToGrid/>
      <w:sz w:val="24"/>
      <w:szCs w:val="20"/>
    </w:rPr>
  </w:style>
  <w:style w:type="paragraph" w:customStyle="1" w:styleId="1900">
    <w:name w:val="M"/>
    <w:basedOn w:val="3"/>
    <w:semiHidden/>
    <w:qFormat/>
    <w:uiPriority w:val="0"/>
    <w:pPr>
      <w:keepLines w:val="0"/>
      <w:widowControl/>
      <w:tabs>
        <w:tab w:val="left" w:pos="2260"/>
        <w:tab w:val="left" w:pos="2820"/>
        <w:tab w:val="left" w:pos="3420"/>
      </w:tabs>
      <w:adjustRightInd w:val="0"/>
      <w:snapToGrid w:val="0"/>
      <w:spacing w:before="440" w:after="0" w:line="240" w:lineRule="auto"/>
      <w:ind w:left="851" w:right="-28" w:hanging="851"/>
      <w:jc w:val="both"/>
    </w:pPr>
    <w:rPr>
      <w:rFonts w:ascii="Arial" w:hAnsi="Arial" w:eastAsia="宋体"/>
      <w:b w:val="0"/>
      <w:bCs w:val="0"/>
      <w:kern w:val="0"/>
      <w:sz w:val="22"/>
      <w:szCs w:val="20"/>
      <w:lang w:val="en-GB"/>
    </w:rPr>
  </w:style>
  <w:style w:type="paragraph" w:customStyle="1" w:styleId="1901">
    <w:name w:val="标题3 Char Char Char Char"/>
    <w:basedOn w:val="1"/>
    <w:qFormat/>
    <w:uiPriority w:val="0"/>
    <w:pPr>
      <w:spacing w:after="156" w:afterLines="50" w:line="560" w:lineRule="exact"/>
    </w:pPr>
    <w:rPr>
      <w:rFonts w:eastAsia="黑体"/>
      <w:sz w:val="30"/>
      <w:szCs w:val="30"/>
    </w:rPr>
  </w:style>
  <w:style w:type="paragraph" w:customStyle="1" w:styleId="1902">
    <w:name w:val="Char Char1 Char"/>
    <w:basedOn w:val="1"/>
    <w:qFormat/>
    <w:uiPriority w:val="0"/>
    <w:pPr>
      <w:spacing w:line="360" w:lineRule="auto"/>
      <w:ind w:firstLine="200" w:firstLineChars="200"/>
    </w:pPr>
    <w:rPr>
      <w:rFonts w:ascii="宋体" w:hAnsi="宋体" w:cs="宋体"/>
      <w:sz w:val="24"/>
    </w:rPr>
  </w:style>
  <w:style w:type="paragraph" w:customStyle="1" w:styleId="1903">
    <w:name w:val="表格新"/>
    <w:basedOn w:val="190"/>
    <w:qFormat/>
    <w:uiPriority w:val="0"/>
    <w:pPr>
      <w:widowControl/>
      <w:adjustRightInd/>
      <w:snapToGrid/>
      <w:spacing w:line="360" w:lineRule="exact"/>
      <w:textAlignment w:val="auto"/>
    </w:pPr>
    <w:rPr>
      <w:rFonts w:ascii="宋体" w:eastAsia="宋体" w:cs="Times New Roman"/>
      <w:kern w:val="0"/>
      <w:sz w:val="21"/>
      <w:szCs w:val="24"/>
    </w:rPr>
  </w:style>
  <w:style w:type="paragraph" w:customStyle="1" w:styleId="1904">
    <w:name w:val="样式 标题 1 + 段后: 1 行"/>
    <w:basedOn w:val="3"/>
    <w:qFormat/>
    <w:uiPriority w:val="0"/>
    <w:pPr>
      <w:spacing w:after="312" w:line="240" w:lineRule="auto"/>
    </w:pPr>
    <w:rPr>
      <w:rFonts w:ascii="黑体" w:hAnsi="宋体"/>
      <w:b w:val="0"/>
      <w:bCs w:val="0"/>
      <w:szCs w:val="20"/>
    </w:rPr>
  </w:style>
  <w:style w:type="paragraph" w:customStyle="1" w:styleId="1905">
    <w:name w:val="正式文本"/>
    <w:basedOn w:val="1"/>
    <w:qFormat/>
    <w:uiPriority w:val="0"/>
    <w:pPr>
      <w:ind w:firstLine="199" w:firstLineChars="71"/>
    </w:pPr>
    <w:rPr>
      <w:rFonts w:ascii="仿宋_GB2312" w:eastAsia="仿宋_GB2312"/>
      <w:sz w:val="28"/>
      <w:szCs w:val="21"/>
    </w:rPr>
  </w:style>
  <w:style w:type="paragraph" w:customStyle="1" w:styleId="1906">
    <w:name w:val="Char Char Char1 Char3"/>
    <w:basedOn w:val="1"/>
    <w:semiHidden/>
    <w:qFormat/>
    <w:uiPriority w:val="0"/>
  </w:style>
  <w:style w:type="paragraph" w:customStyle="1" w:styleId="1907">
    <w:name w:val="目录1"/>
    <w:basedOn w:val="1"/>
    <w:qFormat/>
    <w:uiPriority w:val="0"/>
    <w:pPr>
      <w:adjustRightInd w:val="0"/>
      <w:snapToGrid w:val="0"/>
      <w:spacing w:line="300" w:lineRule="auto"/>
      <w:jc w:val="distribute"/>
    </w:pPr>
    <w:rPr>
      <w:rFonts w:ascii="宋体" w:hAnsi="宋体"/>
      <w:szCs w:val="21"/>
    </w:rPr>
  </w:style>
  <w:style w:type="paragraph" w:customStyle="1" w:styleId="1908">
    <w:name w:val="正文样式2"/>
    <w:basedOn w:val="1752"/>
    <w:qFormat/>
    <w:uiPriority w:val="0"/>
    <w:pPr>
      <w:widowControl/>
      <w:adjustRightInd/>
      <w:spacing w:line="240" w:lineRule="auto"/>
      <w:ind w:firstLine="420" w:firstLineChars="200"/>
      <w:textAlignment w:val="auto"/>
    </w:pPr>
    <w:rPr>
      <w:rFonts w:ascii="宋体" w:hAnsi="Courier New" w:cs="Courier New"/>
      <w:sz w:val="21"/>
      <w:szCs w:val="21"/>
    </w:rPr>
  </w:style>
  <w:style w:type="paragraph" w:customStyle="1" w:styleId="1909">
    <w:name w:val="标题样式3"/>
    <w:basedOn w:val="5"/>
    <w:qFormat/>
    <w:uiPriority w:val="0"/>
    <w:pPr>
      <w:widowControl w:val="0"/>
      <w:numPr>
        <w:numId w:val="0"/>
      </w:numPr>
      <w:spacing w:line="360" w:lineRule="auto"/>
      <w:jc w:val="both"/>
    </w:pPr>
    <w:rPr>
      <w:rFonts w:ascii="黑体" w:eastAsia="黑体"/>
      <w:bCs w:val="0"/>
      <w:sz w:val="24"/>
      <w:szCs w:val="24"/>
    </w:rPr>
  </w:style>
  <w:style w:type="paragraph" w:customStyle="1" w:styleId="1910">
    <w:name w:val="正文（行首缩进）"/>
    <w:basedOn w:val="1"/>
    <w:qFormat/>
    <w:uiPriority w:val="0"/>
    <w:pPr>
      <w:spacing w:after="156" w:afterLines="50" w:line="360" w:lineRule="auto"/>
      <w:ind w:firstLine="200" w:firstLineChars="200"/>
    </w:pPr>
    <w:rPr>
      <w:kern w:val="0"/>
      <w:sz w:val="24"/>
      <w:szCs w:val="20"/>
    </w:rPr>
  </w:style>
  <w:style w:type="paragraph" w:customStyle="1" w:styleId="1911">
    <w:name w:val="Q-标题3"/>
    <w:basedOn w:val="5"/>
    <w:next w:val="1460"/>
    <w:qFormat/>
    <w:uiPriority w:val="0"/>
    <w:pPr>
      <w:widowControl w:val="0"/>
      <w:spacing w:beforeLines="50" w:afterLines="50" w:line="440" w:lineRule="exact"/>
      <w:ind w:left="568" w:hanging="284"/>
      <w:jc w:val="both"/>
    </w:pPr>
    <w:rPr>
      <w:rFonts w:eastAsia="宋体"/>
      <w:sz w:val="32"/>
    </w:rPr>
  </w:style>
  <w:style w:type="paragraph" w:customStyle="1" w:styleId="1912">
    <w:name w:val="样式 宋体 左侧:  0.8 厘米 行距: 1.5 倍行距"/>
    <w:basedOn w:val="1"/>
    <w:qFormat/>
    <w:uiPriority w:val="0"/>
    <w:pPr>
      <w:adjustRightInd w:val="0"/>
      <w:snapToGrid w:val="0"/>
      <w:spacing w:before="120" w:after="120" w:line="240" w:lineRule="atLeast"/>
      <w:ind w:left="454"/>
    </w:pPr>
    <w:rPr>
      <w:rFonts w:ascii="宋体" w:hAnsi="宋体"/>
      <w:sz w:val="24"/>
      <w:szCs w:val="20"/>
    </w:rPr>
  </w:style>
  <w:style w:type="paragraph" w:customStyle="1" w:styleId="1913">
    <w:name w:val="puce"/>
    <w:basedOn w:val="1"/>
    <w:semiHidden/>
    <w:qFormat/>
    <w:uiPriority w:val="0"/>
    <w:pPr>
      <w:widowControl/>
      <w:tabs>
        <w:tab w:val="left" w:pos="1200"/>
        <w:tab w:val="left" w:pos="1320"/>
      </w:tabs>
      <w:adjustRightInd w:val="0"/>
      <w:snapToGrid w:val="0"/>
      <w:spacing w:line="360" w:lineRule="auto"/>
      <w:ind w:left="1320" w:firstLine="480" w:firstLineChars="200"/>
    </w:pPr>
    <w:rPr>
      <w:rFonts w:ascii="Arial" w:hAnsi="Arial"/>
      <w:snapToGrid w:val="0"/>
      <w:color w:val="FF00FF"/>
      <w:kern w:val="0"/>
      <w:sz w:val="24"/>
    </w:rPr>
  </w:style>
  <w:style w:type="paragraph" w:customStyle="1" w:styleId="1914">
    <w:name w:val="小五"/>
    <w:basedOn w:val="1"/>
    <w:qFormat/>
    <w:uiPriority w:val="0"/>
    <w:pPr>
      <w:jc w:val="center"/>
    </w:pPr>
    <w:rPr>
      <w:sz w:val="18"/>
    </w:rPr>
  </w:style>
  <w:style w:type="paragraph" w:customStyle="1" w:styleId="1915">
    <w:name w:val="et39"/>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916">
    <w:name w:val="样式3二级"/>
    <w:basedOn w:val="1"/>
    <w:qFormat/>
    <w:uiPriority w:val="0"/>
    <w:pPr>
      <w:spacing w:before="156" w:beforeLines="50" w:after="156" w:afterLines="50"/>
      <w:jc w:val="left"/>
    </w:pPr>
    <w:rPr>
      <w:rFonts w:ascii="黑体" w:eastAsia="黑体"/>
      <w:sz w:val="32"/>
    </w:rPr>
  </w:style>
  <w:style w:type="paragraph" w:customStyle="1" w:styleId="1917">
    <w:name w:val="Q-标题4"/>
    <w:basedOn w:val="6"/>
    <w:next w:val="1460"/>
    <w:qFormat/>
    <w:uiPriority w:val="0"/>
    <w:pPr>
      <w:numPr>
        <w:ilvl w:val="3"/>
        <w:numId w:val="1"/>
      </w:numPr>
      <w:tabs>
        <w:tab w:val="left" w:pos="0"/>
      </w:tabs>
      <w:spacing w:before="200" w:after="200" w:line="440" w:lineRule="exact"/>
    </w:pPr>
    <w:rPr>
      <w:rFonts w:ascii="Arial" w:hAnsi="Arial" w:eastAsia="黑体" w:cs="Times New Roman"/>
    </w:rPr>
  </w:style>
  <w:style w:type="paragraph" w:customStyle="1" w:styleId="1918">
    <w:name w:val="表X－X"/>
    <w:basedOn w:val="1"/>
    <w:qFormat/>
    <w:uiPriority w:val="0"/>
    <w:pPr>
      <w:jc w:val="center"/>
    </w:pPr>
    <w:rPr>
      <w:rFonts w:ascii="黑体" w:hAnsi="华文仿宋" w:eastAsia="黑体"/>
      <w:sz w:val="28"/>
    </w:rPr>
  </w:style>
  <w:style w:type="paragraph" w:customStyle="1" w:styleId="1919">
    <w:name w:val="xl39"/>
    <w:basedOn w:val="1"/>
    <w:qFormat/>
    <w:uiPriority w:val="0"/>
    <w:pPr>
      <w:widowControl/>
      <w:spacing w:before="100" w:beforeAutospacing="1" w:after="100" w:afterAutospacing="1"/>
      <w:jc w:val="center"/>
    </w:pPr>
    <w:rPr>
      <w:rFonts w:ascii="Arial Unicode MS" w:hAnsi="Arial Unicode MS" w:eastAsia="Arial Unicode MS" w:cs="Arial Unicode MS"/>
      <w:kern w:val="0"/>
      <w:szCs w:val="21"/>
    </w:rPr>
  </w:style>
  <w:style w:type="paragraph" w:customStyle="1" w:styleId="1920">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1">
    <w:name w:val="图框文字"/>
    <w:basedOn w:val="1"/>
    <w:qFormat/>
    <w:uiPriority w:val="0"/>
    <w:pPr>
      <w:jc w:val="center"/>
    </w:pPr>
    <w:rPr>
      <w:rFonts w:ascii="Arial" w:hAnsi="Arial"/>
    </w:rPr>
  </w:style>
  <w:style w:type="paragraph" w:customStyle="1" w:styleId="1922">
    <w:name w:val="标题4样式"/>
    <w:basedOn w:val="6"/>
    <w:qFormat/>
    <w:uiPriority w:val="0"/>
    <w:pPr>
      <w:widowControl/>
      <w:autoSpaceDE w:val="0"/>
      <w:autoSpaceDN w:val="0"/>
      <w:adjustRightInd w:val="0"/>
      <w:spacing w:before="0" w:after="0" w:line="360" w:lineRule="auto"/>
      <w:jc w:val="left"/>
      <w:textAlignment w:val="baseline"/>
    </w:pPr>
    <w:rPr>
      <w:rFonts w:ascii="黑体" w:hAnsi="Arial" w:eastAsia="黑体" w:cs="Times New Roman"/>
      <w:bCs w:val="0"/>
      <w:kern w:val="0"/>
      <w:sz w:val="24"/>
      <w:szCs w:val="20"/>
    </w:rPr>
  </w:style>
  <w:style w:type="paragraph" w:customStyle="1" w:styleId="1923">
    <w:name w:val="宏福3A"/>
    <w:basedOn w:val="1924"/>
    <w:qFormat/>
    <w:uiPriority w:val="0"/>
    <w:pPr>
      <w:tabs>
        <w:tab w:val="left" w:pos="0"/>
      </w:tabs>
      <w:spacing w:before="240" w:beforeLines="50"/>
    </w:pPr>
    <w:rPr>
      <w:b/>
      <w:sz w:val="24"/>
    </w:rPr>
  </w:style>
  <w:style w:type="paragraph" w:customStyle="1" w:styleId="1924">
    <w:name w:val="宏福3"/>
    <w:basedOn w:val="5"/>
    <w:qFormat/>
    <w:uiPriority w:val="0"/>
    <w:pPr>
      <w:widowControl w:val="0"/>
      <w:numPr>
        <w:ilvl w:val="0"/>
        <w:numId w:val="0"/>
      </w:numPr>
      <w:snapToGrid w:val="0"/>
      <w:spacing w:line="240" w:lineRule="auto"/>
      <w:jc w:val="both"/>
    </w:pPr>
    <w:rPr>
      <w:rFonts w:eastAsia="宋体"/>
      <w:b w:val="0"/>
      <w:bCs w:val="0"/>
      <w:szCs w:val="20"/>
    </w:rPr>
  </w:style>
  <w:style w:type="paragraph" w:customStyle="1" w:styleId="1925">
    <w:name w:val="样式 标题 3 + 首行缩进:  2 字符 段前: 8.15 磅 段后: 8.15 磅2"/>
    <w:basedOn w:val="5"/>
    <w:qFormat/>
    <w:uiPriority w:val="0"/>
    <w:pPr>
      <w:widowControl w:val="0"/>
      <w:numPr>
        <w:ilvl w:val="0"/>
        <w:numId w:val="0"/>
      </w:numPr>
      <w:tabs>
        <w:tab w:val="left" w:pos="1575"/>
      </w:tabs>
      <w:spacing w:before="163" w:after="163" w:line="0" w:lineRule="atLeast"/>
      <w:ind w:firstLine="482" w:firstLineChars="200"/>
    </w:pPr>
    <w:rPr>
      <w:rFonts w:ascii="Arial Unicode MS" w:hAnsi="Arial Unicode MS" w:eastAsia="黑体" w:cs="宋体"/>
      <w:sz w:val="24"/>
      <w:szCs w:val="20"/>
    </w:rPr>
  </w:style>
  <w:style w:type="paragraph" w:customStyle="1" w:styleId="1926">
    <w:name w:val="标题1样式"/>
    <w:basedOn w:val="3"/>
    <w:qFormat/>
    <w:uiPriority w:val="0"/>
    <w:pPr>
      <w:widowControl/>
      <w:tabs>
        <w:tab w:val="left" w:pos="284"/>
      </w:tabs>
      <w:spacing w:before="0" w:after="0" w:line="500" w:lineRule="exact"/>
      <w:ind w:hanging="431"/>
      <w:jc w:val="left"/>
    </w:pPr>
    <w:rPr>
      <w:rFonts w:ascii="宋体" w:hAnsi="宋体"/>
      <w:kern w:val="2"/>
      <w:sz w:val="24"/>
      <w:szCs w:val="44"/>
    </w:rPr>
  </w:style>
  <w:style w:type="paragraph" w:customStyle="1" w:styleId="1927">
    <w:name w:val="环评章标题"/>
    <w:basedOn w:val="1"/>
    <w:qFormat/>
    <w:uiPriority w:val="0"/>
    <w:pPr>
      <w:widowControl/>
      <w:tabs>
        <w:tab w:val="left" w:pos="0"/>
        <w:tab w:val="left" w:pos="2136"/>
      </w:tabs>
      <w:snapToGrid w:val="0"/>
      <w:spacing w:line="480" w:lineRule="auto"/>
      <w:ind w:left="2136" w:hanging="1134"/>
      <w:jc w:val="center"/>
    </w:pPr>
    <w:rPr>
      <w:rFonts w:eastAsia="黑体" w:cs="Times"/>
      <w:kern w:val="0"/>
      <w:sz w:val="30"/>
    </w:rPr>
  </w:style>
  <w:style w:type="paragraph" w:customStyle="1" w:styleId="192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9">
    <w:name w:val="页号"/>
    <w:basedOn w:val="55"/>
    <w:qFormat/>
    <w:uiPriority w:val="0"/>
    <w:pPr>
      <w:tabs>
        <w:tab w:val="center" w:pos="4320"/>
        <w:tab w:val="right" w:pos="8640"/>
        <w:tab w:val="clear" w:pos="4153"/>
        <w:tab w:val="clear" w:pos="8306"/>
      </w:tabs>
      <w:adjustRightInd w:val="0"/>
      <w:snapToGrid/>
      <w:jc w:val="center"/>
      <w:textAlignment w:val="baseline"/>
    </w:pPr>
    <w:rPr>
      <w:rFonts w:ascii="宋体" w:hAnsi="Arial"/>
      <w:spacing w:val="3"/>
      <w:kern w:val="24"/>
      <w:sz w:val="24"/>
      <w:szCs w:val="20"/>
    </w:rPr>
  </w:style>
  <w:style w:type="paragraph" w:customStyle="1" w:styleId="1930">
    <w:name w:val="正文单倍行距"/>
    <w:basedOn w:val="1"/>
    <w:semiHidden/>
    <w:qFormat/>
    <w:uiPriority w:val="0"/>
    <w:pPr>
      <w:tabs>
        <w:tab w:val="left" w:pos="8640"/>
      </w:tabs>
      <w:snapToGrid w:val="0"/>
      <w:ind w:firstLine="200" w:firstLineChars="200"/>
    </w:pPr>
    <w:rPr>
      <w:rFonts w:eastAsia="仿宋_GB2312"/>
      <w:sz w:val="24"/>
    </w:rPr>
  </w:style>
  <w:style w:type="paragraph" w:customStyle="1" w:styleId="1931">
    <w:name w:val="框图格式2"/>
    <w:basedOn w:val="1"/>
    <w:semiHidden/>
    <w:qFormat/>
    <w:uiPriority w:val="0"/>
    <w:rPr>
      <w:sz w:val="18"/>
    </w:rPr>
  </w:style>
  <w:style w:type="paragraph" w:customStyle="1" w:styleId="1932">
    <w:name w:val="样式 表内小5 + 黑体 加粗 倾斜 下划线"/>
    <w:basedOn w:val="1933"/>
    <w:qFormat/>
    <w:uiPriority w:val="0"/>
    <w:pPr>
      <w:ind w:left="0"/>
    </w:pPr>
    <w:rPr>
      <w:rFonts w:ascii="黑体" w:hAnsi="黑体" w:eastAsia="黑体"/>
      <w:b/>
      <w:bCs/>
      <w:i/>
      <w:iCs/>
      <w:u w:val="single"/>
    </w:rPr>
  </w:style>
  <w:style w:type="paragraph" w:customStyle="1" w:styleId="1933">
    <w:name w:val="表内小5"/>
    <w:basedOn w:val="1"/>
    <w:qFormat/>
    <w:uiPriority w:val="0"/>
    <w:pPr>
      <w:adjustRightInd w:val="0"/>
      <w:snapToGrid w:val="0"/>
      <w:spacing w:line="300" w:lineRule="auto"/>
      <w:ind w:left="176"/>
    </w:pPr>
    <w:rPr>
      <w:rFonts w:ascii="宋体" w:hAnsi="宋体"/>
      <w:sz w:val="18"/>
    </w:rPr>
  </w:style>
  <w:style w:type="paragraph" w:customStyle="1" w:styleId="193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935">
    <w:name w:val="正文仿宋"/>
    <w:basedOn w:val="1"/>
    <w:semiHidden/>
    <w:qFormat/>
    <w:uiPriority w:val="0"/>
    <w:pPr>
      <w:adjustRightInd w:val="0"/>
      <w:snapToGrid w:val="0"/>
      <w:spacing w:line="360" w:lineRule="auto"/>
      <w:ind w:firstLine="567"/>
    </w:pPr>
    <w:rPr>
      <w:rFonts w:eastAsia="仿宋_GB2312"/>
      <w:snapToGrid w:val="0"/>
      <w:kern w:val="0"/>
      <w:sz w:val="24"/>
      <w:szCs w:val="20"/>
    </w:rPr>
  </w:style>
  <w:style w:type="paragraph" w:customStyle="1" w:styleId="1936">
    <w:name w:val="t2"/>
    <w:basedOn w:val="1"/>
    <w:qFormat/>
    <w:uiPriority w:val="0"/>
    <w:pPr>
      <w:spacing w:line="480" w:lineRule="exact"/>
      <w:ind w:firstLine="480" w:firstLineChars="200"/>
    </w:pPr>
    <w:rPr>
      <w:sz w:val="24"/>
    </w:rPr>
  </w:style>
  <w:style w:type="paragraph" w:customStyle="1" w:styleId="1937">
    <w:name w:val="二级无标题条"/>
    <w:basedOn w:val="1"/>
    <w:qFormat/>
    <w:uiPriority w:val="0"/>
  </w:style>
  <w:style w:type="paragraph" w:customStyle="1" w:styleId="1938">
    <w:name w:val="bt3"/>
    <w:basedOn w:val="1"/>
    <w:qFormat/>
    <w:uiPriority w:val="0"/>
    <w:pPr>
      <w:adjustRightInd w:val="0"/>
      <w:spacing w:line="360" w:lineRule="auto"/>
      <w:jc w:val="left"/>
      <w:textAlignment w:val="baseline"/>
    </w:pPr>
    <w:rPr>
      <w:rFonts w:ascii="宋体" w:hAnsi="宋体"/>
      <w:b/>
      <w:color w:val="000000"/>
      <w:spacing w:val="20"/>
      <w:kern w:val="0"/>
      <w:sz w:val="24"/>
      <w:szCs w:val="20"/>
    </w:rPr>
  </w:style>
  <w:style w:type="paragraph" w:customStyle="1" w:styleId="1939">
    <w:name w:val="样式0"/>
    <w:basedOn w:val="57"/>
    <w:next w:val="57"/>
    <w:qFormat/>
    <w:uiPriority w:val="0"/>
    <w:pPr>
      <w:pBdr>
        <w:bottom w:val="thickThinSmallGap" w:color="auto" w:sz="12" w:space="1"/>
      </w:pBdr>
    </w:pPr>
    <w:rPr>
      <w:szCs w:val="20"/>
    </w:rPr>
  </w:style>
  <w:style w:type="paragraph" w:customStyle="1" w:styleId="1940">
    <w:name w:val="基准页眉样式"/>
    <w:basedOn w:val="34"/>
    <w:qFormat/>
    <w:uiPriority w:val="0"/>
    <w:pPr>
      <w:keepLines/>
      <w:widowControl/>
      <w:tabs>
        <w:tab w:val="center" w:pos="-18551"/>
        <w:tab w:val="right" w:pos="4320"/>
      </w:tabs>
      <w:spacing w:line="240" w:lineRule="atLeast"/>
      <w:jc w:val="center"/>
    </w:pPr>
    <w:rPr>
      <w:rFonts w:ascii="Garamond" w:hAnsi="Garamond" w:cs="Times"/>
      <w:smallCaps/>
      <w:spacing w:val="15"/>
      <w:kern w:val="0"/>
      <w:szCs w:val="20"/>
    </w:rPr>
  </w:style>
  <w:style w:type="paragraph" w:customStyle="1" w:styleId="1941">
    <w:name w:val="图题"/>
    <w:basedOn w:val="1"/>
    <w:qFormat/>
    <w:uiPriority w:val="0"/>
    <w:pPr>
      <w:adjustRightInd w:val="0"/>
      <w:snapToGrid w:val="0"/>
      <w:ind w:firstLine="533" w:firstLineChars="222"/>
      <w:jc w:val="center"/>
    </w:pPr>
    <w:rPr>
      <w:rFonts w:ascii="黑体" w:hAnsi="宋体" w:eastAsia="黑体"/>
      <w:snapToGrid w:val="0"/>
      <w:kern w:val="0"/>
      <w:sz w:val="24"/>
    </w:rPr>
  </w:style>
  <w:style w:type="paragraph" w:customStyle="1" w:styleId="1942">
    <w:name w:val="Bullet"/>
    <w:basedOn w:val="1"/>
    <w:next w:val="1"/>
    <w:qFormat/>
    <w:uiPriority w:val="0"/>
    <w:pPr>
      <w:widowControl/>
      <w:suppressLineNumbers/>
      <w:tabs>
        <w:tab w:val="left" w:pos="425"/>
      </w:tabs>
      <w:suppressAutoHyphens/>
      <w:spacing w:after="240"/>
      <w:ind w:left="720" w:hanging="425"/>
    </w:pPr>
    <w:rPr>
      <w:kern w:val="0"/>
      <w:sz w:val="23"/>
      <w:szCs w:val="20"/>
      <w:lang w:eastAsia="en-US"/>
    </w:rPr>
  </w:style>
  <w:style w:type="paragraph" w:customStyle="1" w:styleId="1943">
    <w:name w:val="lily's 正文"/>
    <w:basedOn w:val="1"/>
    <w:qFormat/>
    <w:uiPriority w:val="0"/>
    <w:pPr>
      <w:spacing w:line="360" w:lineRule="auto"/>
      <w:ind w:firstLine="480" w:firstLineChars="200"/>
    </w:pPr>
    <w:rPr>
      <w:rFonts w:eastAsia="楷体_GB2312"/>
      <w:sz w:val="24"/>
    </w:rPr>
  </w:style>
  <w:style w:type="paragraph" w:customStyle="1" w:styleId="1944">
    <w:name w:val="尾消息标题"/>
    <w:basedOn w:val="79"/>
    <w:next w:val="34"/>
    <w:qFormat/>
    <w:uiPriority w:val="0"/>
    <w:pPr>
      <w:keepLines/>
      <w:widowControl/>
      <w:pBdr>
        <w:top w:val="double" w:color="auto" w:sz="6" w:space="18"/>
        <w:left w:val="none" w:color="auto" w:sz="0" w:space="0"/>
        <w:bottom w:val="double" w:color="auto" w:sz="6" w:space="18"/>
        <w:right w:val="none" w:color="auto" w:sz="0" w:space="0"/>
        <w:between w:val="single" w:color="auto" w:sz="6" w:space="18"/>
      </w:pBdr>
      <w:shd w:val="clear" w:color="auto" w:fill="auto"/>
      <w:tabs>
        <w:tab w:val="left" w:pos="1279"/>
        <w:tab w:val="left" w:pos="2940"/>
        <w:tab w:val="left" w:pos="5100"/>
        <w:tab w:val="right" w:pos="8640"/>
      </w:tabs>
      <w:spacing w:before="13" w:after="40" w:line="140" w:lineRule="atLeast"/>
      <w:ind w:left="0" w:leftChars="0" w:firstLine="0" w:firstLineChars="0"/>
      <w:jc w:val="left"/>
    </w:pPr>
    <w:rPr>
      <w:rFonts w:ascii="Garamond" w:hAnsi="Garamond"/>
      <w:spacing w:val="-5"/>
      <w:kern w:val="0"/>
      <w:sz w:val="21"/>
      <w:szCs w:val="20"/>
    </w:rPr>
  </w:style>
  <w:style w:type="paragraph" w:customStyle="1" w:styleId="1945">
    <w:name w:val="正文居中"/>
    <w:basedOn w:val="86"/>
    <w:qFormat/>
    <w:uiPriority w:val="0"/>
    <w:pPr>
      <w:adjustRightInd w:val="0"/>
      <w:spacing w:before="48" w:after="0" w:line="360" w:lineRule="auto"/>
      <w:ind w:firstLine="480" w:firstLineChars="200"/>
      <w:textAlignment w:val="baseline"/>
    </w:pPr>
    <w:rPr>
      <w:kern w:val="0"/>
      <w:sz w:val="24"/>
      <w:lang w:val="zh-CN"/>
    </w:rPr>
  </w:style>
  <w:style w:type="paragraph" w:customStyle="1" w:styleId="1946">
    <w:name w:val="样式 燕山正文 + 首行缩进:  3.5 字符2"/>
    <w:basedOn w:val="1737"/>
    <w:qFormat/>
    <w:uiPriority w:val="0"/>
    <w:pPr>
      <w:ind w:firstLine="200"/>
      <w:jc w:val="both"/>
    </w:pPr>
    <w:rPr>
      <w:rFonts w:cs="宋体"/>
      <w:sz w:val="28"/>
      <w:szCs w:val="20"/>
    </w:rPr>
  </w:style>
  <w:style w:type="paragraph" w:customStyle="1" w:styleId="1947">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1948">
    <w:name w:val="正文文本 31"/>
    <w:basedOn w:val="1"/>
    <w:qFormat/>
    <w:uiPriority w:val="0"/>
    <w:pPr>
      <w:adjustRightInd w:val="0"/>
      <w:textAlignment w:val="baseline"/>
    </w:pPr>
    <w:rPr>
      <w:sz w:val="24"/>
      <w:szCs w:val="20"/>
    </w:rPr>
  </w:style>
  <w:style w:type="paragraph" w:customStyle="1" w:styleId="1949">
    <w:name w:val="样式 节 + 段前: 0.5 行 段后: 0.5 行"/>
    <w:basedOn w:val="4"/>
    <w:qFormat/>
    <w:uiPriority w:val="0"/>
    <w:pPr>
      <w:tabs>
        <w:tab w:val="left" w:pos="0"/>
      </w:tabs>
      <w:spacing w:before="360" w:beforeLines="150" w:afterLines="50" w:line="240" w:lineRule="auto"/>
      <w:ind w:left="839" w:hanging="839"/>
      <w:outlineLvl w:val="2"/>
    </w:pPr>
    <w:rPr>
      <w:rFonts w:ascii="宋体" w:hAnsi="宋体" w:eastAsia="宋体"/>
      <w:b w:val="0"/>
      <w:bCs w:val="0"/>
      <w:color w:val="auto"/>
      <w:sz w:val="28"/>
      <w:szCs w:val="20"/>
    </w:rPr>
  </w:style>
  <w:style w:type="paragraph" w:customStyle="1" w:styleId="1950">
    <w:name w:val="消息标题号"/>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0" w:firstLineChars="0"/>
      <w:jc w:val="left"/>
    </w:pPr>
    <w:rPr>
      <w:rFonts w:ascii="Garamond" w:hAnsi="Garamond" w:eastAsia="楷体_GB2312"/>
      <w:b/>
      <w:caps/>
      <w:kern w:val="0"/>
      <w:position w:val="6"/>
      <w:sz w:val="21"/>
      <w:szCs w:val="20"/>
    </w:rPr>
  </w:style>
  <w:style w:type="paragraph" w:customStyle="1" w:styleId="1951">
    <w:name w:val="样式 标题 2节标题 1.11.1标题 21.1标题2标题 2 Char1节_Heading 2b21.1标..."/>
    <w:basedOn w:val="4"/>
    <w:qFormat/>
    <w:uiPriority w:val="0"/>
    <w:pPr>
      <w:tabs>
        <w:tab w:val="left" w:pos="0"/>
        <w:tab w:val="left" w:pos="576"/>
      </w:tabs>
      <w:spacing w:before="0" w:after="0"/>
      <w:ind w:left="576" w:hanging="576"/>
    </w:pPr>
    <w:rPr>
      <w:rFonts w:ascii="黑体" w:hAnsi="宋体" w:cs="宋体"/>
      <w:b w:val="0"/>
      <w:bCs w:val="0"/>
      <w:color w:val="auto"/>
      <w:sz w:val="24"/>
      <w:szCs w:val="20"/>
    </w:rPr>
  </w:style>
  <w:style w:type="paragraph" w:customStyle="1" w:styleId="1952">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1953">
    <w:name w:val="新表"/>
    <w:basedOn w:val="1"/>
    <w:qFormat/>
    <w:uiPriority w:val="0"/>
    <w:pPr>
      <w:spacing w:line="360" w:lineRule="exact"/>
    </w:pPr>
    <w:rPr>
      <w:rFonts w:ascii="宋体" w:hAnsi="宋体" w:eastAsia="仿宋_GB2312" w:cs="宋体"/>
      <w:bCs/>
      <w:color w:val="000000"/>
      <w:kern w:val="0"/>
      <w:sz w:val="24"/>
      <w:szCs w:val="20"/>
    </w:rPr>
  </w:style>
  <w:style w:type="paragraph" w:customStyle="1" w:styleId="1954">
    <w:name w:val="图4.1"/>
    <w:basedOn w:val="1"/>
    <w:qFormat/>
    <w:uiPriority w:val="0"/>
    <w:pPr>
      <w:widowControl/>
      <w:tabs>
        <w:tab w:val="left" w:pos="1614"/>
      </w:tabs>
      <w:snapToGrid w:val="0"/>
      <w:spacing w:line="360" w:lineRule="auto"/>
      <w:ind w:left="1614" w:hanging="1134"/>
      <w:jc w:val="left"/>
    </w:pPr>
    <w:rPr>
      <w:rFonts w:eastAsia="黑体" w:cs="Times"/>
      <w:kern w:val="0"/>
      <w:sz w:val="24"/>
    </w:rPr>
  </w:style>
  <w:style w:type="paragraph" w:customStyle="1" w:styleId="1955">
    <w:name w:val="GM"/>
    <w:basedOn w:val="3"/>
    <w:semiHidden/>
    <w:qFormat/>
    <w:uiPriority w:val="0"/>
    <w:pPr>
      <w:keepLines w:val="0"/>
      <w:widowControl/>
      <w:tabs>
        <w:tab w:val="left" w:pos="2260"/>
        <w:tab w:val="left" w:pos="2820"/>
        <w:tab w:val="left" w:pos="3420"/>
      </w:tabs>
      <w:adjustRightInd w:val="0"/>
      <w:snapToGrid w:val="0"/>
      <w:spacing w:after="0" w:line="240" w:lineRule="auto"/>
      <w:ind w:left="851" w:right="-28" w:hanging="851"/>
      <w:jc w:val="both"/>
    </w:pPr>
    <w:rPr>
      <w:rFonts w:ascii="Arial" w:hAnsi="Arial" w:eastAsia="宋体"/>
      <w:bCs w:val="0"/>
      <w:kern w:val="0"/>
      <w:sz w:val="22"/>
      <w:szCs w:val="20"/>
      <w:lang w:val="en-GB"/>
    </w:rPr>
  </w:style>
  <w:style w:type="paragraph" w:customStyle="1" w:styleId="1956">
    <w:name w:val="6"/>
    <w:basedOn w:val="1"/>
    <w:next w:val="35"/>
    <w:qFormat/>
    <w:uiPriority w:val="0"/>
    <w:pPr>
      <w:spacing w:line="300" w:lineRule="auto"/>
      <w:ind w:firstLine="480" w:firstLineChars="200"/>
    </w:pPr>
    <w:rPr>
      <w:sz w:val="24"/>
    </w:rPr>
  </w:style>
  <w:style w:type="paragraph" w:customStyle="1" w:styleId="1957">
    <w:name w:val="样式11"/>
    <w:basedOn w:val="1752"/>
    <w:qFormat/>
    <w:uiPriority w:val="0"/>
    <w:pPr>
      <w:adjustRightInd/>
      <w:spacing w:line="360" w:lineRule="auto"/>
      <w:ind w:firstLine="540" w:firstLineChars="225"/>
      <w:jc w:val="center"/>
      <w:textAlignment w:val="auto"/>
    </w:pPr>
    <w:rPr>
      <w:rFonts w:ascii="黑体" w:hAnsi="宋体" w:eastAsia="黑体"/>
      <w:kern w:val="2"/>
      <w:sz w:val="24"/>
      <w:szCs w:val="24"/>
    </w:rPr>
  </w:style>
  <w:style w:type="paragraph" w:customStyle="1" w:styleId="1958">
    <w:name w:val="表格（第一行）"/>
    <w:basedOn w:val="190"/>
    <w:next w:val="190"/>
    <w:qFormat/>
    <w:uiPriority w:val="0"/>
    <w:pPr>
      <w:adjustRightInd/>
      <w:snapToGrid/>
      <w:spacing w:line="360" w:lineRule="exact"/>
      <w:textAlignment w:val="auto"/>
    </w:pPr>
    <w:rPr>
      <w:rFonts w:ascii="Arial" w:hAnsi="Arial" w:eastAsia="宋体" w:cs="Times New Roman"/>
      <w:b/>
      <w:color w:val="000000"/>
      <w:sz w:val="21"/>
      <w:szCs w:val="18"/>
    </w:rPr>
  </w:style>
  <w:style w:type="paragraph" w:customStyle="1" w:styleId="1959">
    <w:name w:val="初设正文"/>
    <w:basedOn w:val="1"/>
    <w:qFormat/>
    <w:uiPriority w:val="0"/>
    <w:pPr>
      <w:spacing w:after="120" w:line="440" w:lineRule="exact"/>
      <w:ind w:left="425" w:firstLine="425"/>
    </w:pPr>
    <w:rPr>
      <w:rFonts w:ascii="Arial" w:hAnsi="Arial" w:cs="宋体"/>
      <w:kern w:val="0"/>
      <w:sz w:val="24"/>
      <w:szCs w:val="20"/>
    </w:rPr>
  </w:style>
  <w:style w:type="paragraph" w:customStyle="1" w:styleId="1960">
    <w:name w:val="Char Char1 Char Char Char Char Char"/>
    <w:basedOn w:val="1"/>
    <w:qFormat/>
    <w:uiPriority w:val="0"/>
    <w:rPr>
      <w:sz w:val="24"/>
    </w:rPr>
  </w:style>
  <w:style w:type="paragraph" w:customStyle="1" w:styleId="1961">
    <w:name w:val="评价样式1"/>
    <w:basedOn w:val="1"/>
    <w:next w:val="34"/>
    <w:qFormat/>
    <w:uiPriority w:val="0"/>
    <w:pPr>
      <w:spacing w:line="360" w:lineRule="auto"/>
      <w:ind w:left="540"/>
      <w:jc w:val="left"/>
    </w:pPr>
    <w:rPr>
      <w:rFonts w:ascii="宋体" w:hAnsi="宋体"/>
      <w:sz w:val="18"/>
    </w:rPr>
  </w:style>
  <w:style w:type="paragraph" w:customStyle="1" w:styleId="1962">
    <w:name w:val="图文字"/>
    <w:basedOn w:val="1"/>
    <w:qFormat/>
    <w:uiPriority w:val="0"/>
    <w:pPr>
      <w:spacing w:line="280" w:lineRule="exact"/>
      <w:jc w:val="center"/>
    </w:pPr>
    <w:rPr>
      <w:rFonts w:ascii="宋体" w:hAnsi="宋体"/>
    </w:rPr>
  </w:style>
  <w:style w:type="paragraph" w:customStyle="1" w:styleId="1963">
    <w:name w:val="正文 + 采用"/>
    <w:basedOn w:val="1"/>
    <w:qFormat/>
    <w:uiPriority w:val="0"/>
    <w:pPr>
      <w:adjustRightInd w:val="0"/>
      <w:snapToGrid w:val="0"/>
      <w:spacing w:line="360" w:lineRule="auto"/>
      <w:ind w:firstLine="400" w:firstLineChars="200"/>
    </w:pPr>
    <w:rPr>
      <w:rFonts w:ascii="宋体" w:hAnsi="宋体"/>
      <w:bCs/>
      <w:color w:val="000000"/>
      <w:kern w:val="0"/>
      <w:sz w:val="24"/>
      <w:szCs w:val="30"/>
    </w:rPr>
  </w:style>
  <w:style w:type="paragraph" w:customStyle="1" w:styleId="1964">
    <w:name w:val="注释标题1"/>
    <w:basedOn w:val="21"/>
    <w:next w:val="21"/>
    <w:qFormat/>
    <w:uiPriority w:val="0"/>
    <w:pPr>
      <w:tabs>
        <w:tab w:val="left" w:pos="420"/>
      </w:tabs>
      <w:spacing w:line="360" w:lineRule="auto"/>
      <w:ind w:left="420" w:hanging="420" w:firstLineChars="200"/>
    </w:pPr>
    <w:rPr>
      <w:color w:val="000000"/>
      <w:sz w:val="24"/>
      <w:szCs w:val="18"/>
    </w:rPr>
  </w:style>
  <w:style w:type="paragraph" w:customStyle="1" w:styleId="1965">
    <w:name w:val="正文仿宋小四"/>
    <w:basedOn w:val="1"/>
    <w:semiHidden/>
    <w:qFormat/>
    <w:uiPriority w:val="0"/>
    <w:pPr>
      <w:adjustRightInd w:val="0"/>
      <w:snapToGrid w:val="0"/>
      <w:spacing w:line="360" w:lineRule="auto"/>
      <w:ind w:firstLine="480" w:firstLineChars="200"/>
    </w:pPr>
    <w:rPr>
      <w:rFonts w:eastAsia="仿宋_GB2312"/>
      <w:sz w:val="24"/>
    </w:rPr>
  </w:style>
  <w:style w:type="paragraph" w:customStyle="1" w:styleId="1966">
    <w:name w:val="表后空行"/>
    <w:basedOn w:val="1"/>
    <w:qFormat/>
    <w:uiPriority w:val="0"/>
    <w:pPr>
      <w:overflowPunct w:val="0"/>
      <w:adjustRightInd w:val="0"/>
      <w:textAlignment w:val="baseline"/>
    </w:pPr>
    <w:rPr>
      <w:kern w:val="28"/>
      <w:sz w:val="10"/>
      <w:szCs w:val="20"/>
    </w:rPr>
  </w:style>
  <w:style w:type="paragraph" w:customStyle="1" w:styleId="1967">
    <w:name w:val="小四表文居中"/>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1968">
    <w:name w:val="正文图"/>
    <w:basedOn w:val="1"/>
    <w:semiHidden/>
    <w:qFormat/>
    <w:uiPriority w:val="0"/>
    <w:pPr>
      <w:adjustRightInd w:val="0"/>
      <w:snapToGrid w:val="0"/>
      <w:spacing w:before="40"/>
      <w:jc w:val="center"/>
      <w:textAlignment w:val="baseline"/>
    </w:pPr>
    <w:rPr>
      <w:rFonts w:ascii="宋体"/>
      <w:kern w:val="0"/>
      <w:sz w:val="24"/>
      <w:szCs w:val="20"/>
    </w:rPr>
  </w:style>
  <w:style w:type="paragraph" w:customStyle="1" w:styleId="1969">
    <w:name w:val="小5"/>
    <w:basedOn w:val="1"/>
    <w:qFormat/>
    <w:uiPriority w:val="0"/>
    <w:pPr>
      <w:widowControl/>
      <w:adjustRightInd w:val="0"/>
      <w:snapToGrid w:val="0"/>
      <w:jc w:val="center"/>
    </w:pPr>
    <w:rPr>
      <w:rFonts w:ascii="宋体" w:hAnsi="宋体" w:cs="宋体"/>
      <w:kern w:val="0"/>
      <w:sz w:val="18"/>
      <w:szCs w:val="18"/>
    </w:rPr>
  </w:style>
  <w:style w:type="paragraph" w:customStyle="1" w:styleId="1970">
    <w:name w:val="样式 标题 2节 + (符号) Arial Black 小四"/>
    <w:basedOn w:val="5"/>
    <w:qFormat/>
    <w:uiPriority w:val="0"/>
    <w:pPr>
      <w:widowControl w:val="0"/>
      <w:numPr>
        <w:ilvl w:val="0"/>
        <w:numId w:val="0"/>
      </w:numPr>
      <w:tabs>
        <w:tab w:val="left" w:pos="720"/>
      </w:tabs>
      <w:spacing w:line="360" w:lineRule="auto"/>
      <w:ind w:left="720" w:hanging="720"/>
      <w:jc w:val="both"/>
    </w:pPr>
    <w:rPr>
      <w:rFonts w:ascii="Bookman Old Style" w:hAnsi="Arial Black" w:eastAsia="仿宋_GB2312" w:cs="宋体"/>
      <w:color w:val="000000"/>
      <w:kern w:val="21"/>
      <w:szCs w:val="20"/>
    </w:rPr>
  </w:style>
  <w:style w:type="paragraph" w:customStyle="1" w:styleId="1971">
    <w:name w:val="xl60"/>
    <w:basedOn w:val="1"/>
    <w:qFormat/>
    <w:uiPriority w:val="0"/>
    <w:pPr>
      <w:widowControl/>
      <w:pBdr>
        <w:left w:val="single" w:color="auto" w:sz="8" w:space="0"/>
        <w:right w:val="single" w:color="auto" w:sz="4" w:space="0"/>
      </w:pBdr>
      <w:spacing w:before="100" w:after="100"/>
      <w:jc w:val="center"/>
      <w:textAlignment w:val="top"/>
    </w:pPr>
    <w:rPr>
      <w:kern w:val="0"/>
      <w:sz w:val="24"/>
    </w:rPr>
  </w:style>
  <w:style w:type="paragraph" w:customStyle="1" w:styleId="1972">
    <w:name w:val="左五"/>
    <w:basedOn w:val="1"/>
    <w:semiHidden/>
    <w:qFormat/>
    <w:uiPriority w:val="0"/>
    <w:pPr>
      <w:adjustRightInd w:val="0"/>
      <w:snapToGrid w:val="0"/>
      <w:spacing w:line="280" w:lineRule="exact"/>
      <w:jc w:val="left"/>
    </w:pPr>
    <w:rPr>
      <w:rFonts w:ascii="宋体" w:hAnsi="Symusic"/>
      <w:color w:val="000000"/>
      <w:sz w:val="18"/>
    </w:rPr>
  </w:style>
  <w:style w:type="paragraph" w:customStyle="1" w:styleId="1973">
    <w:name w:val="xl3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仿宋_GB2312" w:hAnsi="Arial Unicode MS" w:eastAsia="仿宋_GB2312" w:cs="Arial Unicode MS"/>
      <w:kern w:val="0"/>
      <w:sz w:val="24"/>
    </w:rPr>
  </w:style>
  <w:style w:type="paragraph" w:customStyle="1" w:styleId="1974">
    <w:name w:val="公司名"/>
    <w:basedOn w:val="34"/>
    <w:qFormat/>
    <w:uiPriority w:val="0"/>
    <w:pPr>
      <w:keepLines/>
      <w:framePr w:w="8640" w:h="1440" w:wrap="notBeside" w:vAnchor="page" w:hAnchor="margin" w:xAlign="center" w:y="889" w:anchorLock="1"/>
      <w:widowControl/>
      <w:spacing w:after="80" w:line="240" w:lineRule="atLeast"/>
      <w:jc w:val="center"/>
    </w:pPr>
    <w:rPr>
      <w:rFonts w:ascii="Garamond" w:hAnsi="Garamond" w:eastAsia="隶书"/>
      <w:caps/>
      <w:spacing w:val="75"/>
      <w:kern w:val="0"/>
      <w:sz w:val="32"/>
      <w:szCs w:val="20"/>
    </w:rPr>
  </w:style>
  <w:style w:type="paragraph" w:customStyle="1" w:styleId="1975">
    <w:name w:val="表题格式"/>
    <w:basedOn w:val="1"/>
    <w:qFormat/>
    <w:uiPriority w:val="0"/>
    <w:pPr>
      <w:spacing w:line="440" w:lineRule="exact"/>
      <w:ind w:firstLine="377" w:firstLineChars="377"/>
    </w:pPr>
    <w:rPr>
      <w:rFonts w:eastAsia="黑体"/>
      <w:kern w:val="0"/>
      <w:sz w:val="24"/>
      <w:szCs w:val="20"/>
    </w:rPr>
  </w:style>
  <w:style w:type="paragraph" w:customStyle="1" w:styleId="1976">
    <w:name w:val="xl36"/>
    <w:basedOn w:val="1"/>
    <w:qFormat/>
    <w:uiPriority w:val="0"/>
    <w:pPr>
      <w:widowControl/>
      <w:pBdr>
        <w:top w:val="single" w:color="auto" w:sz="4" w:space="0"/>
        <w:bottom w:val="single" w:color="auto" w:sz="4" w:space="0"/>
      </w:pBdr>
      <w:spacing w:before="100" w:beforeAutospacing="1" w:after="100" w:afterAutospacing="1"/>
      <w:jc w:val="center"/>
    </w:pPr>
    <w:rPr>
      <w:rFonts w:hint="eastAsia" w:ascii="仿宋_GB2312" w:hAnsi="Arial Unicode MS" w:eastAsia="仿宋_GB2312" w:cs="Arial Unicode MS"/>
      <w:kern w:val="0"/>
      <w:sz w:val="24"/>
    </w:rPr>
  </w:style>
  <w:style w:type="paragraph" w:customStyle="1" w:styleId="1977">
    <w:name w:val="回信地址"/>
    <w:qFormat/>
    <w:uiPriority w:val="0"/>
    <w:pPr>
      <w:framePr w:w="8640" w:wrap="notBeside" w:vAnchor="page" w:hAnchor="page" w:x="1729" w:y="14401" w:anchorLock="1"/>
      <w:tabs>
        <w:tab w:val="left" w:pos="2160"/>
      </w:tabs>
      <w:spacing w:line="240" w:lineRule="atLeast"/>
      <w:ind w:right="-240"/>
      <w:jc w:val="center"/>
    </w:pPr>
    <w:rPr>
      <w:rFonts w:ascii="Garamond" w:hAnsi="Garamond" w:eastAsia="宋体" w:cs="Times New Roman"/>
      <w:caps/>
      <w:spacing w:val="30"/>
      <w:sz w:val="15"/>
      <w:lang w:val="en-US" w:eastAsia="zh-CN" w:bidi="ar-SA"/>
    </w:rPr>
  </w:style>
  <w:style w:type="paragraph" w:customStyle="1" w:styleId="1978">
    <w:name w:val="表、图名宋旭峰"/>
    <w:basedOn w:val="210"/>
    <w:semiHidden/>
    <w:qFormat/>
    <w:uiPriority w:val="0"/>
    <w:pPr>
      <w:adjustRightInd/>
      <w:spacing w:before="0" w:after="0" w:line="360" w:lineRule="auto"/>
    </w:pPr>
    <w:rPr>
      <w:rFonts w:ascii="黑体" w:hAnsi="宋体" w:cs="Times New Roman"/>
      <w:b w:val="0"/>
      <w:color w:val="auto"/>
      <w:kern w:val="0"/>
    </w:rPr>
  </w:style>
  <w:style w:type="paragraph" w:customStyle="1" w:styleId="1979">
    <w:name w:val="xl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仿宋_GB2312" w:hAnsi="Arial Unicode MS" w:eastAsia="仿宋_GB2312" w:cs="Arial Unicode MS"/>
      <w:kern w:val="0"/>
      <w:sz w:val="24"/>
    </w:rPr>
  </w:style>
  <w:style w:type="paragraph" w:customStyle="1" w:styleId="1980">
    <w:name w:val="环评样式"/>
    <w:basedOn w:val="1"/>
    <w:qFormat/>
    <w:uiPriority w:val="0"/>
    <w:pPr>
      <w:adjustRightInd w:val="0"/>
      <w:snapToGrid w:val="0"/>
      <w:spacing w:line="360" w:lineRule="auto"/>
      <w:outlineLvl w:val="0"/>
    </w:pPr>
    <w:rPr>
      <w:rFonts w:ascii="仿宋_GB2312" w:hAnsi="Alaska" w:eastAsia="仿宋_GB2312"/>
      <w:kern w:val="0"/>
      <w:sz w:val="30"/>
      <w:szCs w:val="20"/>
    </w:rPr>
  </w:style>
  <w:style w:type="paragraph" w:customStyle="1" w:styleId="1981">
    <w:name w:val="文档标签"/>
    <w:next w:val="1982"/>
    <w:qFormat/>
    <w:uiPriority w:val="0"/>
    <w:pPr>
      <w:pBdr>
        <w:top w:val="double" w:color="auto" w:sz="6" w:space="8"/>
        <w:bottom w:val="double" w:color="auto" w:sz="6" w:space="8"/>
      </w:pBdr>
      <w:spacing w:after="40" w:line="240" w:lineRule="atLeast"/>
      <w:jc w:val="center"/>
    </w:pPr>
    <w:rPr>
      <w:rFonts w:ascii="Garamond" w:hAnsi="Garamond" w:eastAsia="黑体" w:cs="Times New Roman"/>
      <w:b/>
      <w:caps/>
      <w:spacing w:val="20"/>
      <w:sz w:val="24"/>
      <w:lang w:val="en-US" w:eastAsia="zh-CN" w:bidi="ar-SA"/>
    </w:rPr>
  </w:style>
  <w:style w:type="paragraph" w:customStyle="1" w:styleId="1982">
    <w:name w:val="首消息标题"/>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spacing w:after="40" w:line="140" w:lineRule="atLeast"/>
      <w:ind w:left="360" w:leftChars="0" w:firstLine="0" w:firstLineChars="0"/>
      <w:jc w:val="left"/>
    </w:pPr>
    <w:rPr>
      <w:rFonts w:ascii="Garamond" w:hAnsi="Garamond"/>
      <w:spacing w:val="-5"/>
      <w:kern w:val="0"/>
      <w:sz w:val="21"/>
      <w:szCs w:val="20"/>
    </w:rPr>
  </w:style>
  <w:style w:type="paragraph" w:customStyle="1" w:styleId="1983">
    <w:name w:val="表体宋旭峰"/>
    <w:basedOn w:val="45"/>
    <w:qFormat/>
    <w:uiPriority w:val="0"/>
    <w:pPr>
      <w:overflowPunct w:val="0"/>
      <w:spacing w:line="280" w:lineRule="atLeast"/>
      <w:jc w:val="center"/>
      <w:textAlignment w:val="baseline"/>
    </w:pPr>
    <w:rPr>
      <w:rFonts w:cs="Courier New"/>
      <w:snapToGrid w:val="0"/>
      <w:kern w:val="24"/>
      <w:sz w:val="18"/>
    </w:rPr>
  </w:style>
  <w:style w:type="paragraph" w:customStyle="1" w:styleId="198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2"/>
      <w:szCs w:val="12"/>
    </w:rPr>
  </w:style>
  <w:style w:type="paragraph" w:customStyle="1" w:styleId="1985">
    <w:name w:val="项目一级编号"/>
    <w:basedOn w:val="3"/>
    <w:next w:val="1"/>
    <w:qFormat/>
    <w:uiPriority w:val="0"/>
    <w:pPr>
      <w:tabs>
        <w:tab w:val="left" w:pos="851"/>
      </w:tabs>
      <w:spacing w:before="0" w:after="0" w:line="360" w:lineRule="auto"/>
      <w:ind w:left="425" w:hanging="425"/>
      <w:jc w:val="both"/>
    </w:pPr>
    <w:rPr>
      <w:rFonts w:eastAsia="宋体"/>
      <w:bCs w:val="0"/>
      <w:sz w:val="28"/>
      <w:szCs w:val="28"/>
    </w:rPr>
  </w:style>
  <w:style w:type="paragraph" w:customStyle="1" w:styleId="1986">
    <w:name w:val="4"/>
    <w:basedOn w:val="1"/>
    <w:next w:val="1"/>
    <w:qFormat/>
    <w:uiPriority w:val="0"/>
    <w:rPr>
      <w:szCs w:val="22"/>
    </w:rPr>
  </w:style>
  <w:style w:type="paragraph" w:customStyle="1" w:styleId="1987">
    <w:name w:val="Char Char2 Char Char Char Char"/>
    <w:basedOn w:val="1"/>
    <w:qFormat/>
    <w:uiPriority w:val="0"/>
    <w:rPr>
      <w:sz w:val="30"/>
      <w:szCs w:val="30"/>
    </w:rPr>
  </w:style>
  <w:style w:type="paragraph" w:customStyle="1" w:styleId="1988">
    <w:name w:val="Texte"/>
    <w:basedOn w:val="1"/>
    <w:semiHidden/>
    <w:qFormat/>
    <w:uiPriority w:val="0"/>
    <w:pPr>
      <w:widowControl/>
      <w:spacing w:before="120" w:after="120"/>
      <w:ind w:left="851" w:firstLine="200" w:firstLineChars="200"/>
    </w:pPr>
    <w:rPr>
      <w:rFonts w:ascii="Arial" w:hAnsi="Arial"/>
      <w:kern w:val="0"/>
      <w:sz w:val="22"/>
      <w:szCs w:val="20"/>
      <w:lang w:val="en-GB"/>
    </w:rPr>
  </w:style>
  <w:style w:type="paragraph" w:customStyle="1" w:styleId="198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90">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1991">
    <w:name w:val="文章总标题"/>
    <w:basedOn w:val="1"/>
    <w:qFormat/>
    <w:uiPriority w:val="0"/>
    <w:pPr>
      <w:widowControl/>
      <w:spacing w:line="351" w:lineRule="atLeast"/>
      <w:jc w:val="center"/>
      <w:textAlignment w:val="baseline"/>
    </w:pPr>
    <w:rPr>
      <w:rFonts w:ascii="Arial Black"/>
      <w:color w:val="000000"/>
      <w:kern w:val="0"/>
      <w:sz w:val="36"/>
      <w:szCs w:val="20"/>
      <w:u w:color="000000"/>
    </w:rPr>
  </w:style>
  <w:style w:type="paragraph" w:customStyle="1" w:styleId="1992">
    <w:name w:val="安评正文"/>
    <w:basedOn w:val="1"/>
    <w:qFormat/>
    <w:uiPriority w:val="0"/>
    <w:pPr>
      <w:spacing w:line="360" w:lineRule="auto"/>
      <w:ind w:firstLine="480" w:firstLineChars="200"/>
    </w:pPr>
    <w:rPr>
      <w:rFonts w:ascii="Calibri" w:hAnsi="Calibri" w:cs="宋体"/>
      <w:color w:val="000000"/>
      <w:sz w:val="24"/>
      <w:szCs w:val="20"/>
    </w:rPr>
  </w:style>
  <w:style w:type="paragraph" w:customStyle="1" w:styleId="1993">
    <w:name w:val="ch中文正文"/>
    <w:qFormat/>
    <w:uiPriority w:val="0"/>
    <w:pPr>
      <w:spacing w:before="50" w:beforeLines="50" w:after="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994">
    <w:name w:val="目录 8 Char Char"/>
    <w:basedOn w:val="1"/>
    <w:next w:val="1"/>
    <w:qFormat/>
    <w:uiPriority w:val="0"/>
    <w:pPr>
      <w:spacing w:line="351" w:lineRule="atLeast"/>
      <w:ind w:left="1468" w:firstLine="419"/>
      <w:jc w:val="left"/>
    </w:pPr>
    <w:rPr>
      <w:szCs w:val="20"/>
    </w:rPr>
  </w:style>
  <w:style w:type="paragraph" w:customStyle="1" w:styleId="1995">
    <w:name w:val="正文文字1"/>
    <w:basedOn w:val="45"/>
    <w:qFormat/>
    <w:uiPriority w:val="0"/>
    <w:pPr>
      <w:adjustRightInd w:val="0"/>
      <w:snapToGrid w:val="0"/>
      <w:spacing w:line="360" w:lineRule="auto"/>
      <w:ind w:firstLine="480" w:firstLineChars="200"/>
      <w:textAlignment w:val="baseline"/>
    </w:pPr>
    <w:rPr>
      <w:rFonts w:ascii="Times New Roman" w:hAnsi="Times New Roman"/>
      <w:color w:val="000000"/>
      <w:kern w:val="0"/>
      <w:sz w:val="24"/>
      <w:szCs w:val="24"/>
    </w:rPr>
  </w:style>
  <w:style w:type="paragraph" w:customStyle="1" w:styleId="1996">
    <w:name w:val="文本123"/>
    <w:basedOn w:val="21"/>
    <w:semiHidden/>
    <w:qFormat/>
    <w:uiPriority w:val="0"/>
    <w:pPr>
      <w:tabs>
        <w:tab w:val="left" w:pos="958"/>
      </w:tabs>
      <w:spacing w:line="460" w:lineRule="exact"/>
      <w:ind w:left="958" w:hanging="420"/>
      <w:outlineLvl w:val="7"/>
    </w:pPr>
    <w:rPr>
      <w:sz w:val="24"/>
    </w:rPr>
  </w:style>
  <w:style w:type="paragraph" w:customStyle="1" w:styleId="1997">
    <w:name w:val="Char Char Char Char Char Char Char5"/>
    <w:basedOn w:val="26"/>
    <w:qFormat/>
    <w:uiPriority w:val="0"/>
    <w:pPr>
      <w:shd w:val="clear" w:color="auto" w:fill="000080"/>
      <w:spacing w:before="360" w:after="120" w:line="360" w:lineRule="auto"/>
    </w:pPr>
    <w:rPr>
      <w:rFonts w:ascii="Tahoma" w:hAnsi="Tahoma" w:eastAsia="黑体"/>
      <w:sz w:val="30"/>
      <w:szCs w:val="24"/>
    </w:rPr>
  </w:style>
  <w:style w:type="paragraph" w:customStyle="1" w:styleId="1998">
    <w:name w:val="样式 左侧:  -0.16 厘米"/>
    <w:basedOn w:val="1"/>
    <w:qFormat/>
    <w:uiPriority w:val="0"/>
    <w:pPr>
      <w:snapToGrid w:val="0"/>
      <w:ind w:left="-90"/>
    </w:pPr>
    <w:rPr>
      <w:rFonts w:ascii="宋体" w:hAnsi="宋体" w:cs="宋体"/>
      <w:kern w:val="0"/>
      <w:sz w:val="24"/>
    </w:rPr>
  </w:style>
  <w:style w:type="paragraph" w:customStyle="1" w:styleId="1999">
    <w:name w:val="xl50"/>
    <w:basedOn w:val="1"/>
    <w:qFormat/>
    <w:uiPriority w:val="0"/>
    <w:pPr>
      <w:widowControl/>
      <w:pBdr>
        <w:left w:val="single" w:color="auto" w:sz="8" w:space="0"/>
        <w:bottom w:val="single" w:color="auto" w:sz="8" w:space="0"/>
        <w:right w:val="single" w:color="auto" w:sz="4" w:space="0"/>
      </w:pBdr>
      <w:spacing w:before="100" w:beforeAutospacing="1" w:after="100" w:afterAutospacing="1" w:line="360" w:lineRule="auto"/>
      <w:jc w:val="center"/>
    </w:pPr>
    <w:rPr>
      <w:rFonts w:hint="eastAsia" w:ascii="宋体" w:hAnsi="宋体"/>
      <w:kern w:val="0"/>
      <w:sz w:val="24"/>
    </w:rPr>
  </w:style>
  <w:style w:type="paragraph" w:customStyle="1" w:styleId="2000">
    <w:name w:val="TY"/>
    <w:basedOn w:val="1"/>
    <w:qFormat/>
    <w:uiPriority w:val="0"/>
    <w:pPr>
      <w:adjustRightInd w:val="0"/>
      <w:snapToGrid w:val="0"/>
      <w:spacing w:before="40" w:after="40"/>
    </w:pPr>
  </w:style>
  <w:style w:type="paragraph" w:customStyle="1" w:styleId="2001">
    <w:name w:val="xl74"/>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lang w:bidi="th-TH"/>
    </w:rPr>
  </w:style>
  <w:style w:type="paragraph" w:customStyle="1" w:styleId="2002">
    <w:name w:val="项目编号文字"/>
    <w:basedOn w:val="1"/>
    <w:next w:val="1"/>
    <w:qFormat/>
    <w:uiPriority w:val="0"/>
    <w:pPr>
      <w:spacing w:before="120" w:after="120" w:line="360" w:lineRule="auto"/>
      <w:ind w:left="1077"/>
    </w:pPr>
    <w:rPr>
      <w:sz w:val="24"/>
    </w:rPr>
  </w:style>
  <w:style w:type="paragraph" w:customStyle="1" w:styleId="2003">
    <w:name w:val="font12"/>
    <w:basedOn w:val="1"/>
    <w:qFormat/>
    <w:uiPriority w:val="0"/>
    <w:pPr>
      <w:widowControl/>
      <w:spacing w:before="100" w:beforeAutospacing="1" w:after="100" w:afterAutospacing="1"/>
      <w:jc w:val="left"/>
    </w:pPr>
    <w:rPr>
      <w:kern w:val="0"/>
      <w:sz w:val="22"/>
      <w:szCs w:val="22"/>
    </w:rPr>
  </w:style>
  <w:style w:type="paragraph" w:customStyle="1" w:styleId="2004">
    <w:name w:val="样式 标题 3 + 首行缩进:  2 字符1"/>
    <w:basedOn w:val="5"/>
    <w:qFormat/>
    <w:uiPriority w:val="0"/>
    <w:pPr>
      <w:widowControl w:val="0"/>
      <w:numPr>
        <w:ilvl w:val="0"/>
        <w:numId w:val="0"/>
      </w:numPr>
      <w:spacing w:before="240" w:after="240" w:line="412" w:lineRule="auto"/>
      <w:jc w:val="both"/>
    </w:pPr>
    <w:rPr>
      <w:rFonts w:eastAsia="黑体"/>
      <w:b w:val="0"/>
      <w:szCs w:val="20"/>
    </w:rPr>
  </w:style>
  <w:style w:type="paragraph" w:customStyle="1" w:styleId="2005">
    <w:name w:val="渣油加氢项目表格小5缩"/>
    <w:basedOn w:val="1"/>
    <w:qFormat/>
    <w:uiPriority w:val="0"/>
    <w:pPr>
      <w:spacing w:line="360" w:lineRule="exact"/>
      <w:ind w:left="-57" w:right="-57"/>
      <w:jc w:val="center"/>
    </w:pPr>
    <w:rPr>
      <w:rFonts w:ascii="Arial" w:hAnsi="Arial"/>
      <w:sz w:val="18"/>
      <w:szCs w:val="20"/>
    </w:rPr>
  </w:style>
  <w:style w:type="paragraph" w:customStyle="1" w:styleId="2006">
    <w:name w:val="表格（1）"/>
    <w:basedOn w:val="1"/>
    <w:qFormat/>
    <w:uiPriority w:val="0"/>
    <w:pPr>
      <w:overflowPunct w:val="0"/>
      <w:topLinePunct/>
      <w:adjustRightInd w:val="0"/>
      <w:snapToGrid w:val="0"/>
      <w:spacing w:beforeLines="25" w:afterLines="25"/>
      <w:jc w:val="left"/>
    </w:pPr>
    <w:rPr>
      <w:rFonts w:ascii="Arial" w:hAnsi="Arial" w:cs="宋体"/>
      <w:kern w:val="0"/>
      <w:szCs w:val="20"/>
    </w:rPr>
  </w:style>
  <w:style w:type="paragraph" w:customStyle="1" w:styleId="2007">
    <w:name w:val="表名1"/>
    <w:basedOn w:val="467"/>
    <w:qFormat/>
    <w:uiPriority w:val="0"/>
    <w:pPr>
      <w:snapToGrid w:val="0"/>
      <w:spacing w:before="0"/>
    </w:pPr>
    <w:rPr>
      <w:rFonts w:ascii="Times New Roman"/>
      <w:szCs w:val="21"/>
    </w:rPr>
  </w:style>
  <w:style w:type="paragraph" w:customStyle="1" w:styleId="2008">
    <w:name w:val="C0 Plain Text"/>
    <w:basedOn w:val="1"/>
    <w:qFormat/>
    <w:uiPriority w:val="0"/>
    <w:pPr>
      <w:widowControl/>
      <w:overflowPunct w:val="0"/>
      <w:autoSpaceDE w:val="0"/>
      <w:autoSpaceDN w:val="0"/>
      <w:adjustRightInd w:val="0"/>
      <w:spacing w:before="120" w:after="120"/>
      <w:textAlignment w:val="baseline"/>
    </w:pPr>
    <w:rPr>
      <w:kern w:val="0"/>
      <w:sz w:val="24"/>
      <w:szCs w:val="20"/>
      <w:lang w:val="en-GB" w:eastAsia="en-US"/>
    </w:rPr>
  </w:style>
  <w:style w:type="paragraph" w:customStyle="1" w:styleId="2009">
    <w:name w:val="条-成果 Char"/>
    <w:basedOn w:val="5"/>
    <w:qFormat/>
    <w:uiPriority w:val="0"/>
    <w:pPr>
      <w:keepNext w:val="0"/>
      <w:keepLines w:val="0"/>
      <w:widowControl w:val="0"/>
      <w:numPr>
        <w:numId w:val="0"/>
      </w:numPr>
      <w:tabs>
        <w:tab w:val="left" w:pos="1440"/>
      </w:tabs>
      <w:spacing w:before="156" w:beforeLines="50" w:after="156" w:afterLines="50" w:line="400" w:lineRule="exact"/>
      <w:ind w:left="1440" w:hanging="720"/>
      <w:jc w:val="both"/>
      <w:outlineLvl w:val="9"/>
    </w:pPr>
    <w:rPr>
      <w:rFonts w:ascii="宋体" w:hAnsi="宋体" w:eastAsia="宋体"/>
      <w:b w:val="0"/>
      <w:sz w:val="24"/>
      <w:szCs w:val="30"/>
    </w:rPr>
  </w:style>
  <w:style w:type="paragraph" w:customStyle="1" w:styleId="2010">
    <w:name w:val="2005年10月"/>
    <w:basedOn w:val="4"/>
    <w:qFormat/>
    <w:uiPriority w:val="0"/>
    <w:pPr>
      <w:tabs>
        <w:tab w:val="left" w:pos="360"/>
      </w:tabs>
      <w:spacing w:before="0" w:after="0"/>
      <w:jc w:val="left"/>
    </w:pPr>
    <w:rPr>
      <w:rFonts w:ascii="Arial" w:hAnsi="Arial"/>
      <w:b w:val="0"/>
      <w:color w:val="auto"/>
      <w:sz w:val="28"/>
      <w:szCs w:val="32"/>
    </w:rPr>
  </w:style>
  <w:style w:type="paragraph" w:customStyle="1" w:styleId="2011">
    <w:name w:val="Char Char Char1 Char Char Char Char Char Char Char Char Char"/>
    <w:basedOn w:val="1"/>
    <w:qFormat/>
    <w:uiPriority w:val="0"/>
    <w:rPr>
      <w:szCs w:val="21"/>
    </w:rPr>
  </w:style>
  <w:style w:type="paragraph" w:customStyle="1" w:styleId="2012">
    <w:name w:val="表内5"/>
    <w:basedOn w:val="1771"/>
    <w:qFormat/>
    <w:uiPriority w:val="0"/>
    <w:pPr>
      <w:widowControl w:val="0"/>
      <w:tabs>
        <w:tab w:val="left" w:pos="4305"/>
      </w:tabs>
    </w:pPr>
    <w:rPr>
      <w:rFonts w:ascii="宋体" w:hAnsi="宋体" w:eastAsia="宋体" w:cs="Times New Roman"/>
      <w:b w:val="0"/>
      <w:bCs w:val="0"/>
      <w:color w:val="000000"/>
      <w:sz w:val="21"/>
      <w:szCs w:val="21"/>
      <w:lang w:val="en-US"/>
    </w:rPr>
  </w:style>
  <w:style w:type="paragraph" w:customStyle="1" w:styleId="2013">
    <w:name w:val="表头（1）"/>
    <w:basedOn w:val="1"/>
    <w:qFormat/>
    <w:uiPriority w:val="0"/>
    <w:pPr>
      <w:adjustRightInd w:val="0"/>
      <w:snapToGrid w:val="0"/>
      <w:spacing w:beforeLines="50" w:line="360" w:lineRule="auto"/>
      <w:jc w:val="center"/>
    </w:pPr>
    <w:rPr>
      <w:rFonts w:eastAsia="黑体" w:cs="宋体"/>
      <w:color w:val="000000"/>
      <w:kern w:val="0"/>
      <w:sz w:val="24"/>
    </w:rPr>
  </w:style>
  <w:style w:type="paragraph" w:customStyle="1" w:styleId="2014">
    <w:name w:val="样式 正文首行缩进 + 首行缩进:  0 字符"/>
    <w:basedOn w:val="86"/>
    <w:qFormat/>
    <w:uiPriority w:val="0"/>
    <w:pPr>
      <w:adjustRightInd w:val="0"/>
      <w:snapToGrid w:val="0"/>
      <w:spacing w:after="0" w:line="360" w:lineRule="auto"/>
      <w:ind w:firstLine="567" w:firstLineChars="0"/>
    </w:pPr>
    <w:rPr>
      <w:rFonts w:ascii="黑体" w:eastAsia="黑体"/>
      <w:sz w:val="24"/>
    </w:rPr>
  </w:style>
  <w:style w:type="paragraph" w:customStyle="1" w:styleId="2015">
    <w:name w:val="右五"/>
    <w:basedOn w:val="1972"/>
    <w:next w:val="1"/>
    <w:semiHidden/>
    <w:qFormat/>
    <w:uiPriority w:val="0"/>
    <w:pPr>
      <w:jc w:val="right"/>
    </w:pPr>
  </w:style>
  <w:style w:type="paragraph" w:customStyle="1" w:styleId="2016">
    <w:name w:val="样式 表内小5 + 左侧:  0 厘米 悬挂缩进: 0.98 字符"/>
    <w:basedOn w:val="1933"/>
    <w:qFormat/>
    <w:uiPriority w:val="0"/>
    <w:pPr>
      <w:ind w:left="0"/>
    </w:pPr>
    <w:rPr>
      <w:rFonts w:cs="宋体"/>
      <w:szCs w:val="20"/>
    </w:rPr>
  </w:style>
  <w:style w:type="paragraph" w:customStyle="1" w:styleId="2017">
    <w:name w:val="燕山正文 Char Char"/>
    <w:basedOn w:val="1"/>
    <w:qFormat/>
    <w:uiPriority w:val="0"/>
    <w:pPr>
      <w:adjustRightInd w:val="0"/>
      <w:snapToGrid w:val="0"/>
      <w:spacing w:line="360" w:lineRule="auto"/>
      <w:ind w:firstLine="567"/>
      <w:textAlignment w:val="baseline"/>
    </w:pPr>
    <w:rPr>
      <w:rFonts w:ascii="宋体" w:hAnsi="宋体"/>
      <w:kern w:val="0"/>
      <w:sz w:val="24"/>
    </w:rPr>
  </w:style>
  <w:style w:type="paragraph" w:customStyle="1" w:styleId="2018">
    <w:name w:val="Char Char16 Char Char Char Char"/>
    <w:basedOn w:val="1"/>
    <w:qFormat/>
    <w:uiPriority w:val="0"/>
    <w:rPr>
      <w:szCs w:val="21"/>
    </w:rPr>
  </w:style>
  <w:style w:type="paragraph" w:customStyle="1" w:styleId="2019">
    <w:name w:val="表头样式"/>
    <w:basedOn w:val="1"/>
    <w:qFormat/>
    <w:uiPriority w:val="0"/>
    <w:pPr>
      <w:spacing w:before="165" w:beforeLines="30" w:after="110" w:afterLines="20"/>
      <w:jc w:val="center"/>
    </w:pPr>
    <w:rPr>
      <w:rFonts w:eastAsia="黑体"/>
      <w:sz w:val="28"/>
    </w:rPr>
  </w:style>
  <w:style w:type="paragraph" w:customStyle="1" w:styleId="2020">
    <w:name w:val="我的样式（正文） Char"/>
    <w:basedOn w:val="1"/>
    <w:qFormat/>
    <w:uiPriority w:val="0"/>
    <w:pPr>
      <w:spacing w:line="440" w:lineRule="exact"/>
    </w:pPr>
    <w:rPr>
      <w:rFonts w:ascii="宋体" w:hAnsi="华文楷体"/>
      <w:sz w:val="28"/>
    </w:rPr>
  </w:style>
  <w:style w:type="paragraph" w:customStyle="1" w:styleId="2021">
    <w:name w:val="標準インデント　2"/>
    <w:basedOn w:val="21"/>
    <w:qFormat/>
    <w:uiPriority w:val="0"/>
    <w:pPr>
      <w:overflowPunct w:val="0"/>
      <w:autoSpaceDE w:val="0"/>
      <w:autoSpaceDN w:val="0"/>
      <w:adjustRightInd w:val="0"/>
      <w:ind w:left="2900" w:hanging="2038"/>
      <w:jc w:val="left"/>
      <w:textAlignment w:val="baseline"/>
    </w:pPr>
    <w:rPr>
      <w:rFonts w:eastAsia="MS Mincho"/>
      <w:kern w:val="0"/>
      <w:sz w:val="20"/>
      <w:lang w:eastAsia="ja-JP"/>
    </w:rPr>
  </w:style>
  <w:style w:type="paragraph" w:customStyle="1" w:styleId="2022">
    <w:name w:val="_Style 2"/>
    <w:basedOn w:val="1"/>
    <w:next w:val="70"/>
    <w:qFormat/>
    <w:uiPriority w:val="0"/>
    <w:pPr>
      <w:adjustRightInd w:val="0"/>
      <w:ind w:firstLine="576"/>
    </w:pPr>
    <w:rPr>
      <w:rFonts w:ascii="宋体" w:hAnsi="宋体"/>
      <w:sz w:val="24"/>
      <w:szCs w:val="20"/>
    </w:rPr>
  </w:style>
  <w:style w:type="paragraph" w:customStyle="1" w:styleId="2023">
    <w:name w:val="样式 样式 标题 2 + 首行缩进:  2 字符 + 首行缩进:  2 字符1"/>
    <w:basedOn w:val="1"/>
    <w:qFormat/>
    <w:uiPriority w:val="0"/>
    <w:pPr>
      <w:keepLines/>
      <w:spacing w:before="120" w:after="120" w:line="480" w:lineRule="exact"/>
      <w:ind w:firstLine="584" w:firstLineChars="200"/>
      <w:jc w:val="left"/>
      <w:outlineLvl w:val="1"/>
    </w:pPr>
    <w:rPr>
      <w:rFonts w:eastAsia="文鼎CS大宋"/>
      <w:spacing w:val="6"/>
      <w:kern w:val="0"/>
      <w:sz w:val="28"/>
      <w:szCs w:val="28"/>
    </w:rPr>
  </w:style>
  <w:style w:type="paragraph" w:customStyle="1" w:styleId="2024">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2025">
    <w:name w:val="文-5"/>
    <w:basedOn w:val="1"/>
    <w:semiHidden/>
    <w:qFormat/>
    <w:uiPriority w:val="0"/>
    <w:pPr>
      <w:tabs>
        <w:tab w:val="right" w:leader="dot" w:pos="8789"/>
      </w:tabs>
      <w:spacing w:before="120"/>
      <w:ind w:left="1276" w:firstLine="482"/>
    </w:pPr>
    <w:rPr>
      <w:sz w:val="24"/>
      <w:szCs w:val="20"/>
    </w:rPr>
  </w:style>
  <w:style w:type="paragraph" w:customStyle="1" w:styleId="2026">
    <w:name w:val="样式 标题 1 + (中文) 宋体 小三 行距: 多倍行距 1.35 字行"/>
    <w:basedOn w:val="3"/>
    <w:qFormat/>
    <w:uiPriority w:val="0"/>
    <w:pPr>
      <w:tabs>
        <w:tab w:val="left" w:pos="432"/>
      </w:tabs>
      <w:snapToGrid w:val="0"/>
      <w:spacing w:before="0" w:beforeLines="150" w:after="0" w:afterLines="150" w:line="300" w:lineRule="auto"/>
      <w:ind w:left="432" w:hanging="432"/>
      <w:jc w:val="both"/>
    </w:pPr>
    <w:rPr>
      <w:rFonts w:ascii="幼圆" w:eastAsia="幼圆"/>
      <w:color w:val="0000FF"/>
    </w:rPr>
  </w:style>
  <w:style w:type="paragraph" w:customStyle="1" w:styleId="2027">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2028">
    <w:name w:val="样式 首行缩进:  0.77 厘米 行距: 1.5 倍行距"/>
    <w:basedOn w:val="1"/>
    <w:qFormat/>
    <w:uiPriority w:val="0"/>
    <w:pPr>
      <w:snapToGrid w:val="0"/>
      <w:spacing w:line="360" w:lineRule="auto"/>
      <w:ind w:firstLine="435"/>
    </w:pPr>
    <w:rPr>
      <w:rFonts w:ascii="宋体" w:hAnsi="宋体" w:cs="宋体"/>
      <w:kern w:val="0"/>
      <w:sz w:val="24"/>
    </w:rPr>
  </w:style>
  <w:style w:type="paragraph" w:customStyle="1" w:styleId="2029">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2030">
    <w:name w:val="样式 标题 3 + (西文)粗体"/>
    <w:basedOn w:val="5"/>
    <w:qFormat/>
    <w:uiPriority w:val="0"/>
    <w:pPr>
      <w:widowControl w:val="0"/>
      <w:numPr>
        <w:ilvl w:val="0"/>
        <w:numId w:val="0"/>
      </w:numPr>
      <w:spacing w:before="260" w:after="260" w:line="415" w:lineRule="auto"/>
      <w:jc w:val="both"/>
    </w:pPr>
    <w:rPr>
      <w:rFonts w:ascii="Arial" w:hAnsi="Arial" w:eastAsia="仿宋_GB2312" w:cs="Angsana New"/>
      <w:b w:val="0"/>
      <w:bCs w:val="0"/>
      <w:lang w:bidi="th-TH"/>
    </w:rPr>
  </w:style>
  <w:style w:type="paragraph" w:customStyle="1" w:styleId="2031">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032">
    <w:name w:val="正文-1"/>
    <w:basedOn w:val="1"/>
    <w:qFormat/>
    <w:uiPriority w:val="0"/>
    <w:pPr>
      <w:adjustRightInd w:val="0"/>
      <w:spacing w:line="440" w:lineRule="exact"/>
      <w:ind w:firstLine="200" w:firstLineChars="200"/>
    </w:pPr>
    <w:rPr>
      <w:sz w:val="24"/>
      <w:szCs w:val="20"/>
    </w:rPr>
  </w:style>
  <w:style w:type="paragraph" w:customStyle="1" w:styleId="2033">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34">
    <w:name w:val="默认段落字体 Para Char Char Char Char Char Char Char Char Char Char Char Char"/>
    <w:basedOn w:val="1"/>
    <w:qFormat/>
    <w:uiPriority w:val="0"/>
    <w:rPr>
      <w:sz w:val="24"/>
    </w:rPr>
  </w:style>
  <w:style w:type="paragraph" w:customStyle="1" w:styleId="2035">
    <w:name w:val="环表"/>
    <w:basedOn w:val="693"/>
    <w:qFormat/>
    <w:uiPriority w:val="0"/>
    <w:pPr>
      <w:tabs>
        <w:tab w:val="left" w:pos="5094"/>
      </w:tabs>
      <w:suppressAutoHyphens w:val="0"/>
      <w:spacing w:line="240" w:lineRule="exact"/>
      <w:ind w:left="0" w:leftChars="0" w:firstLine="0" w:firstLineChars="0"/>
      <w:jc w:val="center"/>
    </w:pPr>
    <w:rPr>
      <w:rFonts w:ascii="Times New Roman" w:hAnsi="Times New Roman"/>
      <w:sz w:val="21"/>
    </w:rPr>
  </w:style>
  <w:style w:type="paragraph" w:customStyle="1" w:styleId="2036">
    <w:name w:val="xl58"/>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2037">
    <w:name w:val="样式 正文(首行缩进) + 8 磅 加粗 首行缩进:  2 字符"/>
    <w:basedOn w:val="1"/>
    <w:semiHidden/>
    <w:qFormat/>
    <w:uiPriority w:val="0"/>
    <w:pPr>
      <w:adjustRightInd w:val="0"/>
      <w:snapToGrid w:val="0"/>
      <w:ind w:firstLine="200" w:firstLineChars="200"/>
    </w:pPr>
    <w:rPr>
      <w:rFonts w:cs="宋体"/>
      <w:b/>
      <w:bCs/>
      <w:snapToGrid w:val="0"/>
      <w:kern w:val="0"/>
      <w:sz w:val="16"/>
      <w:szCs w:val="20"/>
    </w:rPr>
  </w:style>
  <w:style w:type="paragraph" w:customStyle="1" w:styleId="2038">
    <w:name w:val="xl59"/>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18"/>
      <w:szCs w:val="18"/>
    </w:rPr>
  </w:style>
  <w:style w:type="paragraph" w:customStyle="1" w:styleId="2039">
    <w:name w:val="xl6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40">
    <w:name w:val="xl23"/>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041">
    <w:name w:val="样式 标题 4 + 黑体 小四 非加粗"/>
    <w:basedOn w:val="6"/>
    <w:qFormat/>
    <w:uiPriority w:val="0"/>
    <w:pPr>
      <w:adjustRightInd w:val="0"/>
      <w:spacing w:before="0" w:after="0" w:line="500" w:lineRule="exact"/>
    </w:pPr>
    <w:rPr>
      <w:rFonts w:ascii="黑体" w:hAnsi="黑体" w:eastAsia="宋体" w:cs="Times New Roman"/>
      <w:spacing w:val="10"/>
      <w:kern w:val="0"/>
      <w:sz w:val="24"/>
      <w:szCs w:val="24"/>
    </w:rPr>
  </w:style>
  <w:style w:type="paragraph" w:customStyle="1" w:styleId="2042">
    <w:name w:val="样式 标题 2标题21.1H2h2第一层条2Header 2nd PageA.B.C.h2 main head..."/>
    <w:basedOn w:val="4"/>
    <w:semiHidden/>
    <w:qFormat/>
    <w:uiPriority w:val="0"/>
    <w:pPr>
      <w:snapToGrid w:val="0"/>
      <w:spacing w:before="0" w:after="0"/>
    </w:pPr>
    <w:rPr>
      <w:bCs w:val="0"/>
      <w:color w:val="auto"/>
      <w:szCs w:val="30"/>
    </w:rPr>
  </w:style>
  <w:style w:type="paragraph" w:customStyle="1" w:styleId="2043">
    <w:name w:val="font10"/>
    <w:basedOn w:val="1"/>
    <w:qFormat/>
    <w:uiPriority w:val="0"/>
    <w:pPr>
      <w:widowControl/>
      <w:spacing w:before="100" w:beforeAutospacing="1" w:after="100" w:afterAutospacing="1"/>
      <w:jc w:val="left"/>
    </w:pPr>
    <w:rPr>
      <w:kern w:val="0"/>
      <w:sz w:val="20"/>
      <w:szCs w:val="20"/>
    </w:rPr>
  </w:style>
  <w:style w:type="paragraph" w:customStyle="1" w:styleId="2044">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045">
    <w:name w:val="标题 3 + 黑色"/>
    <w:basedOn w:val="4"/>
    <w:qFormat/>
    <w:uiPriority w:val="0"/>
    <w:pPr>
      <w:spacing w:before="260" w:after="260"/>
    </w:pPr>
    <w:rPr>
      <w:rFonts w:ascii="Arial" w:hAnsi="Arial"/>
      <w:sz w:val="32"/>
      <w:szCs w:val="32"/>
    </w:rPr>
  </w:style>
  <w:style w:type="paragraph" w:customStyle="1" w:styleId="2046">
    <w:name w:val="自定义正文"/>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2047">
    <w:name w:val="样式 标题 2节标题 1.11.1标题2Majorb2标题 2 Char Char Char标题 2 Char Ch..."/>
    <w:basedOn w:val="4"/>
    <w:qFormat/>
    <w:uiPriority w:val="0"/>
    <w:pPr>
      <w:tabs>
        <w:tab w:val="left" w:pos="0"/>
      </w:tabs>
      <w:spacing w:before="240"/>
    </w:pPr>
    <w:rPr>
      <w:rFonts w:ascii="Arial" w:hAnsi="Arial" w:cs="宋体"/>
      <w:color w:val="FF0000"/>
      <w:sz w:val="32"/>
      <w:szCs w:val="32"/>
    </w:rPr>
  </w:style>
  <w:style w:type="paragraph" w:customStyle="1" w:styleId="2048">
    <w:name w:val="Char Char Char2 Char"/>
    <w:basedOn w:val="1"/>
    <w:qFormat/>
    <w:uiPriority w:val="0"/>
    <w:pPr>
      <w:spacing w:line="360" w:lineRule="auto"/>
      <w:ind w:firstLine="200" w:firstLineChars="200"/>
    </w:pPr>
    <w:rPr>
      <w:rFonts w:ascii="宋体" w:hAnsi="宋体" w:cs="宋体"/>
      <w:sz w:val="24"/>
    </w:rPr>
  </w:style>
  <w:style w:type="paragraph" w:customStyle="1" w:styleId="2049">
    <w:name w:val="正文段落"/>
    <w:basedOn w:val="1"/>
    <w:qFormat/>
    <w:uiPriority w:val="0"/>
    <w:pPr>
      <w:autoSpaceDE w:val="0"/>
      <w:autoSpaceDN w:val="0"/>
      <w:adjustRightInd w:val="0"/>
      <w:spacing w:line="500" w:lineRule="exact"/>
      <w:ind w:firstLine="200" w:firstLineChars="200"/>
    </w:pPr>
    <w:rPr>
      <w:rFonts w:ascii="宋体" w:hAnsi="Tms Rmn"/>
      <w:kern w:val="0"/>
      <w:sz w:val="28"/>
      <w:szCs w:val="20"/>
    </w:rPr>
  </w:style>
  <w:style w:type="paragraph" w:customStyle="1" w:styleId="2050">
    <w:name w:val="Char 正文"/>
    <w:basedOn w:val="3"/>
    <w:qFormat/>
    <w:uiPriority w:val="0"/>
    <w:pPr>
      <w:adjustRightInd w:val="0"/>
      <w:snapToGrid w:val="0"/>
      <w:spacing w:line="348" w:lineRule="auto"/>
      <w:jc w:val="both"/>
    </w:pPr>
    <w:rPr>
      <w:rFonts w:ascii="Tahoma" w:hAnsi="Tahoma" w:eastAsia="宋体"/>
      <w:bCs w:val="0"/>
      <w:sz w:val="24"/>
      <w:szCs w:val="20"/>
    </w:rPr>
  </w:style>
  <w:style w:type="paragraph" w:customStyle="1" w:styleId="2051">
    <w:name w:val="标题003"/>
    <w:basedOn w:val="1"/>
    <w:qFormat/>
    <w:uiPriority w:val="0"/>
    <w:pPr>
      <w:spacing w:before="120" w:line="440" w:lineRule="exact"/>
      <w:outlineLvl w:val="2"/>
    </w:pPr>
    <w:rPr>
      <w:b/>
      <w:sz w:val="27"/>
      <w:szCs w:val="20"/>
    </w:rPr>
  </w:style>
  <w:style w:type="paragraph" w:customStyle="1" w:styleId="2052">
    <w:name w:val="hb4"/>
    <w:basedOn w:val="6"/>
    <w:qFormat/>
    <w:uiPriority w:val="0"/>
    <w:pPr>
      <w:adjustRightInd w:val="0"/>
      <w:spacing w:before="120" w:after="120" w:line="500" w:lineRule="exact"/>
      <w:textAlignment w:val="baseline"/>
    </w:pPr>
    <w:rPr>
      <w:rFonts w:ascii="Arial Narrow" w:hAnsi="Arial Narrow" w:eastAsia="汉鼎简书宋" w:cs="Times New Roman"/>
      <w:bCs w:val="0"/>
      <w:color w:val="FF0000"/>
      <w:kern w:val="0"/>
      <w:sz w:val="24"/>
      <w:szCs w:val="20"/>
    </w:rPr>
  </w:style>
  <w:style w:type="paragraph" w:customStyle="1" w:styleId="2053">
    <w:name w:val="目录 9 Char Char"/>
    <w:basedOn w:val="1"/>
    <w:next w:val="1"/>
    <w:qFormat/>
    <w:uiPriority w:val="0"/>
    <w:pPr>
      <w:spacing w:line="351" w:lineRule="atLeast"/>
      <w:ind w:left="1678" w:firstLine="419"/>
      <w:jc w:val="left"/>
    </w:pPr>
    <w:rPr>
      <w:szCs w:val="20"/>
    </w:rPr>
  </w:style>
  <w:style w:type="paragraph" w:customStyle="1" w:styleId="2054">
    <w:name w:val="食疗标题2"/>
    <w:basedOn w:val="4"/>
    <w:qFormat/>
    <w:uiPriority w:val="0"/>
    <w:pPr>
      <w:overflowPunct w:val="0"/>
      <w:spacing w:before="360" w:after="0" w:line="312" w:lineRule="atLeast"/>
    </w:pPr>
    <w:rPr>
      <w:rFonts w:ascii="宋体" w:hAnsi="宋体"/>
      <w:b w:val="0"/>
      <w:color w:val="008000"/>
      <w:kern w:val="0"/>
      <w:szCs w:val="24"/>
    </w:rPr>
  </w:style>
  <w:style w:type="paragraph" w:customStyle="1" w:styleId="2055">
    <w:name w:val="正文王"/>
    <w:basedOn w:val="45"/>
    <w:qFormat/>
    <w:uiPriority w:val="0"/>
    <w:pPr>
      <w:spacing w:line="440" w:lineRule="exact"/>
    </w:pPr>
    <w:rPr>
      <w:rFonts w:ascii="Arial" w:hAnsi="Arial"/>
      <w:snapToGrid w:val="0"/>
      <w:kern w:val="0"/>
      <w:sz w:val="24"/>
    </w:rPr>
  </w:style>
  <w:style w:type="paragraph" w:customStyle="1" w:styleId="2056">
    <w:name w:val="标题002"/>
    <w:basedOn w:val="1"/>
    <w:qFormat/>
    <w:uiPriority w:val="0"/>
    <w:pPr>
      <w:spacing w:before="160" w:line="480" w:lineRule="exact"/>
      <w:outlineLvl w:val="1"/>
    </w:pPr>
    <w:rPr>
      <w:b/>
      <w:sz w:val="28"/>
      <w:szCs w:val="20"/>
    </w:rPr>
  </w:style>
  <w:style w:type="paragraph" w:customStyle="1" w:styleId="2057">
    <w:name w:val="默认段落字体 Para Char Char Char1 Char Char Char Char"/>
    <w:basedOn w:val="1"/>
    <w:qFormat/>
    <w:uiPriority w:val="0"/>
    <w:rPr>
      <w:sz w:val="24"/>
    </w:rPr>
  </w:style>
  <w:style w:type="paragraph" w:customStyle="1" w:styleId="2058">
    <w:name w:val="样式 样式 报告书表格 + 字距调整二号 +"/>
    <w:basedOn w:val="1287"/>
    <w:qFormat/>
    <w:uiPriority w:val="0"/>
  </w:style>
  <w:style w:type="paragraph" w:customStyle="1" w:styleId="2059">
    <w:name w:val="表号"/>
    <w:qFormat/>
    <w:uiPriority w:val="0"/>
    <w:pPr>
      <w:adjustRightInd w:val="0"/>
      <w:snapToGrid w:val="0"/>
      <w:spacing w:line="240" w:lineRule="exact"/>
      <w:jc w:val="both"/>
      <w:outlineLvl w:val="4"/>
    </w:pPr>
    <w:rPr>
      <w:rFonts w:ascii="Times New Roman" w:hAnsi="Times New Roman" w:eastAsia="宋体" w:cs="宋体"/>
      <w:kern w:val="2"/>
      <w:sz w:val="24"/>
      <w:szCs w:val="24"/>
      <w:lang w:val="en-US" w:eastAsia="zh-CN" w:bidi="ar-SA"/>
    </w:rPr>
  </w:style>
  <w:style w:type="paragraph" w:customStyle="1" w:styleId="2060">
    <w:name w:val="a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2061">
    <w:name w:val="正文（缩进）"/>
    <w:basedOn w:val="1"/>
    <w:semiHidden/>
    <w:qFormat/>
    <w:uiPriority w:val="0"/>
    <w:pPr>
      <w:adjustRightInd w:val="0"/>
      <w:snapToGrid w:val="0"/>
      <w:spacing w:line="360" w:lineRule="auto"/>
      <w:ind w:firstLine="200" w:firstLineChars="200"/>
    </w:pPr>
    <w:rPr>
      <w:snapToGrid w:val="0"/>
      <w:kern w:val="0"/>
      <w:sz w:val="24"/>
    </w:rPr>
  </w:style>
  <w:style w:type="paragraph" w:customStyle="1" w:styleId="2062">
    <w:name w:val="样式 报告书表格 + 小五 底端: (单实线 自动设置  0.75 磅 行宽)"/>
    <w:basedOn w:val="1"/>
    <w:qFormat/>
    <w:uiPriority w:val="0"/>
    <w:pPr>
      <w:adjustRightInd w:val="0"/>
      <w:spacing w:line="400" w:lineRule="exact"/>
      <w:jc w:val="center"/>
    </w:pPr>
    <w:rPr>
      <w:rFonts w:eastAsia="仿宋_GB2312" w:cs="宋体"/>
      <w:kern w:val="0"/>
      <w:sz w:val="18"/>
      <w:szCs w:val="18"/>
    </w:rPr>
  </w:style>
  <w:style w:type="paragraph" w:customStyle="1" w:styleId="2063">
    <w:name w:val="表文字 Char"/>
    <w:qFormat/>
    <w:uiPriority w:val="0"/>
    <w:pPr>
      <w:adjustRightInd w:val="0"/>
      <w:spacing w:line="300" w:lineRule="exact"/>
      <w:jc w:val="center"/>
    </w:pPr>
    <w:rPr>
      <w:rFonts w:ascii="Times New Roman" w:hAnsi="Times New Roman" w:eastAsia="宋体" w:cs="Times New Roman"/>
      <w:snapToGrid w:val="0"/>
      <w:kern w:val="2"/>
      <w:sz w:val="21"/>
      <w:szCs w:val="21"/>
      <w:lang w:val="en-US" w:eastAsia="zh-CN" w:bidi="ar-SA"/>
    </w:rPr>
  </w:style>
  <w:style w:type="paragraph" w:customStyle="1" w:styleId="2064">
    <w:name w:val="hb3"/>
    <w:basedOn w:val="5"/>
    <w:qFormat/>
    <w:uiPriority w:val="0"/>
    <w:pPr>
      <w:widowControl w:val="0"/>
      <w:numPr>
        <w:numId w:val="0"/>
      </w:numPr>
      <w:adjustRightInd w:val="0"/>
      <w:spacing w:before="240" w:after="240" w:line="240" w:lineRule="auto"/>
      <w:textAlignment w:val="baseline"/>
    </w:pPr>
    <w:rPr>
      <w:rFonts w:eastAsia="宋体" w:cs="宋体"/>
      <w:sz w:val="24"/>
      <w:szCs w:val="24"/>
    </w:rPr>
  </w:style>
  <w:style w:type="paragraph" w:customStyle="1" w:styleId="2065">
    <w:name w:val="表后"/>
    <w:basedOn w:val="1"/>
    <w:next w:val="1"/>
    <w:qFormat/>
    <w:uiPriority w:val="0"/>
    <w:pPr>
      <w:adjustRightInd w:val="0"/>
      <w:spacing w:before="120" w:line="360" w:lineRule="auto"/>
      <w:ind w:firstLine="493"/>
      <w:textAlignment w:val="baseline"/>
    </w:pPr>
    <w:rPr>
      <w:rFonts w:ascii="宋体" w:hAnsi="宋体"/>
      <w:spacing w:val="-2"/>
      <w:kern w:val="0"/>
      <w:sz w:val="24"/>
    </w:rPr>
  </w:style>
  <w:style w:type="paragraph" w:customStyle="1" w:styleId="2066">
    <w:name w:val="条文"/>
    <w:basedOn w:val="7"/>
    <w:next w:val="1"/>
    <w:semiHidden/>
    <w:qFormat/>
    <w:uiPriority w:val="0"/>
    <w:pPr>
      <w:keepNext w:val="0"/>
      <w:tabs>
        <w:tab w:val="left" w:pos="2638"/>
      </w:tabs>
      <w:spacing w:before="120" w:line="240" w:lineRule="auto"/>
      <w:ind w:left="2638" w:hanging="420"/>
      <w:jc w:val="both"/>
    </w:pPr>
    <w:rPr>
      <w:rFonts w:eastAsia="宋体"/>
      <w:b w:val="0"/>
      <w:bCs w:val="0"/>
      <w:szCs w:val="20"/>
    </w:rPr>
  </w:style>
  <w:style w:type="paragraph" w:customStyle="1" w:styleId="2067">
    <w:name w:val="表文字"/>
    <w:qFormat/>
    <w:uiPriority w:val="0"/>
    <w:pPr>
      <w:adjustRightInd w:val="0"/>
      <w:spacing w:line="300" w:lineRule="exact"/>
      <w:jc w:val="center"/>
    </w:pPr>
    <w:rPr>
      <w:rFonts w:ascii="Times New Roman" w:hAnsi="Times New Roman" w:eastAsia="宋体" w:cs="Times New Roman"/>
      <w:snapToGrid w:val="0"/>
      <w:sz w:val="21"/>
      <w:szCs w:val="21"/>
      <w:lang w:val="en-US" w:eastAsia="zh-CN" w:bidi="ar-SA"/>
    </w:rPr>
  </w:style>
  <w:style w:type="paragraph" w:customStyle="1" w:styleId="2068">
    <w:name w:val="标题5"/>
    <w:basedOn w:val="4"/>
    <w:qFormat/>
    <w:uiPriority w:val="0"/>
    <w:pPr>
      <w:adjustRightInd w:val="0"/>
      <w:snapToGrid w:val="0"/>
      <w:spacing w:after="0" w:line="300" w:lineRule="auto"/>
    </w:pPr>
    <w:rPr>
      <w:rFonts w:eastAsia="宋体"/>
      <w:color w:val="auto"/>
      <w:sz w:val="32"/>
      <w:szCs w:val="20"/>
    </w:rPr>
  </w:style>
  <w:style w:type="paragraph" w:customStyle="1" w:styleId="2069">
    <w:name w:val="验方正文"/>
    <w:basedOn w:val="1"/>
    <w:qFormat/>
    <w:uiPriority w:val="0"/>
    <w:pPr>
      <w:adjustRightInd w:val="0"/>
      <w:spacing w:line="312" w:lineRule="atLeast"/>
      <w:ind w:firstLine="686"/>
      <w:textAlignment w:val="baseline"/>
    </w:pPr>
    <w:rPr>
      <w:rFonts w:ascii="仿宋_GB2312" w:hAnsi="Courier New" w:eastAsia="仿宋_GB2312"/>
      <w:kern w:val="0"/>
      <w:sz w:val="28"/>
      <w:szCs w:val="20"/>
    </w:rPr>
  </w:style>
  <w:style w:type="paragraph" w:customStyle="1" w:styleId="2070">
    <w:name w:val="样式 标题 3条标题1.1.1条标题1.1.11条标题1.1.12条标题1.1.13条标题1.1.111条标题1.1...2"/>
    <w:basedOn w:val="5"/>
    <w:qFormat/>
    <w:uiPriority w:val="0"/>
    <w:pPr>
      <w:widowControl w:val="0"/>
      <w:numPr>
        <w:ilvl w:val="0"/>
        <w:numId w:val="0"/>
      </w:numPr>
      <w:spacing w:before="120" w:after="120" w:line="360" w:lineRule="auto"/>
      <w:jc w:val="both"/>
    </w:pPr>
    <w:rPr>
      <w:rFonts w:ascii="Bookman Old Style" w:hAnsi="Bookman Old Style" w:eastAsia="黑体" w:cs="宋体"/>
      <w:b w:val="0"/>
      <w:bCs w:val="0"/>
      <w:szCs w:val="20"/>
    </w:rPr>
  </w:style>
  <w:style w:type="paragraph" w:customStyle="1" w:styleId="2071">
    <w:name w:val="5"/>
    <w:basedOn w:val="1"/>
    <w:next w:val="51"/>
    <w:qFormat/>
    <w:uiPriority w:val="0"/>
    <w:pPr>
      <w:ind w:firstLine="577" w:firstLineChars="200"/>
    </w:pPr>
    <w:rPr>
      <w:rFonts w:ascii="宋体" w:hAnsi="宋体"/>
      <w:sz w:val="28"/>
      <w:szCs w:val="20"/>
    </w:rPr>
  </w:style>
  <w:style w:type="paragraph" w:customStyle="1" w:styleId="2072">
    <w:name w:val="F正文"/>
    <w:qFormat/>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073">
    <w:name w:val="样式 表格 + 左  25 字符1"/>
    <w:basedOn w:val="190"/>
    <w:semiHidden/>
    <w:qFormat/>
    <w:uiPriority w:val="0"/>
    <w:pPr>
      <w:widowControl/>
      <w:adjustRightInd/>
      <w:snapToGrid/>
      <w:spacing w:line="240" w:lineRule="auto"/>
      <w:textAlignment w:val="auto"/>
    </w:pPr>
    <w:rPr>
      <w:rFonts w:hAnsi="宋体" w:eastAsia="宋体" w:cs="宋体"/>
      <w:kern w:val="0"/>
      <w:sz w:val="18"/>
      <w:szCs w:val="20"/>
    </w:rPr>
  </w:style>
  <w:style w:type="paragraph" w:customStyle="1" w:styleId="2074">
    <w:name w:val="样式 表头样式1 + 首行缩进:  2 字符 段前: 0.5 行"/>
    <w:basedOn w:val="992"/>
    <w:qFormat/>
    <w:uiPriority w:val="0"/>
    <w:pPr>
      <w:autoSpaceDE w:val="0"/>
      <w:autoSpaceDN w:val="0"/>
      <w:adjustRightInd w:val="0"/>
      <w:spacing w:beforeLines="20" w:after="100" w:afterAutospacing="1"/>
      <w:ind w:firstLine="480" w:firstLineChars="200"/>
    </w:pPr>
    <w:rPr>
      <w:rFonts w:eastAsia="黑体" w:cs="宋体"/>
      <w:b w:val="0"/>
      <w:bCs/>
      <w:color w:val="000000"/>
      <w:kern w:val="0"/>
      <w:lang w:eastAsia="zh-TW"/>
    </w:rPr>
  </w:style>
  <w:style w:type="paragraph" w:customStyle="1" w:styleId="2075">
    <w:name w:val="xl18"/>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color w:val="FF0000"/>
      <w:kern w:val="0"/>
      <w:sz w:val="32"/>
      <w:szCs w:val="32"/>
    </w:rPr>
  </w:style>
  <w:style w:type="paragraph" w:customStyle="1" w:styleId="2076">
    <w:name w:val="xl19"/>
    <w:basedOn w:val="1"/>
    <w:qFormat/>
    <w:uiPriority w:val="0"/>
    <w:pPr>
      <w:widowControl/>
      <w:spacing w:before="100" w:beforeAutospacing="1" w:after="100" w:afterAutospacing="1"/>
      <w:jc w:val="left"/>
    </w:pPr>
    <w:rPr>
      <w:rFonts w:ascii="Arial Unicode MS" w:hAnsi="Arial Unicode MS" w:eastAsia="Arial Unicode MS"/>
      <w:color w:val="FF0000"/>
      <w:kern w:val="0"/>
      <w:sz w:val="18"/>
      <w:szCs w:val="18"/>
    </w:rPr>
  </w:style>
  <w:style w:type="paragraph" w:customStyle="1" w:styleId="2077">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18"/>
      <w:szCs w:val="18"/>
    </w:rPr>
  </w:style>
  <w:style w:type="paragraph" w:customStyle="1" w:styleId="2078">
    <w:name w:val="2 Char Char Char Char Char Char Char Char Char Char"/>
    <w:basedOn w:val="1"/>
    <w:semiHidden/>
    <w:qFormat/>
    <w:uiPriority w:val="0"/>
  </w:style>
  <w:style w:type="paragraph" w:customStyle="1" w:styleId="2079">
    <w:name w:val="正文编号"/>
    <w:basedOn w:val="1"/>
    <w:qFormat/>
    <w:uiPriority w:val="0"/>
    <w:pPr>
      <w:tabs>
        <w:tab w:val="left" w:pos="360"/>
      </w:tabs>
      <w:adjustRightInd w:val="0"/>
      <w:spacing w:line="360" w:lineRule="auto"/>
      <w:textAlignment w:val="baseline"/>
    </w:pPr>
    <w:rPr>
      <w:kern w:val="0"/>
      <w:sz w:val="24"/>
      <w:szCs w:val="20"/>
    </w:rPr>
  </w:style>
  <w:style w:type="paragraph" w:customStyle="1" w:styleId="2080">
    <w:name w:val="图、表头文字"/>
    <w:basedOn w:val="1"/>
    <w:qFormat/>
    <w:uiPriority w:val="0"/>
    <w:pPr>
      <w:autoSpaceDE w:val="0"/>
      <w:autoSpaceDN w:val="0"/>
      <w:adjustRightInd w:val="0"/>
      <w:spacing w:before="80" w:after="80"/>
      <w:jc w:val="center"/>
      <w:textAlignment w:val="baseline"/>
    </w:pPr>
    <w:rPr>
      <w:rFonts w:ascii="黑体" w:eastAsia="黑体"/>
      <w:kern w:val="0"/>
      <w:szCs w:val="20"/>
    </w:rPr>
  </w:style>
  <w:style w:type="paragraph" w:customStyle="1" w:styleId="2081">
    <w:name w:val="样式 标题 1标题 1 Char章节标题 + 黑体"/>
    <w:basedOn w:val="3"/>
    <w:qFormat/>
    <w:uiPriority w:val="0"/>
    <w:pPr>
      <w:tabs>
        <w:tab w:val="left" w:pos="284"/>
      </w:tabs>
      <w:spacing w:before="340" w:line="360" w:lineRule="auto"/>
      <w:ind w:hanging="431"/>
      <w:jc w:val="both"/>
    </w:pPr>
    <w:rPr>
      <w:rFonts w:ascii="黑体" w:hAnsi="黑体"/>
      <w:kern w:val="2"/>
      <w:sz w:val="36"/>
      <w:szCs w:val="52"/>
    </w:rPr>
  </w:style>
  <w:style w:type="paragraph" w:customStyle="1" w:styleId="2082">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083">
    <w:name w:val="样式 标题 2二级标题标题 lxb2标题21.1H2h2第一层条二级标题 Char单位名4.1SeHea..."/>
    <w:basedOn w:val="531"/>
    <w:next w:val="531"/>
    <w:semiHidden/>
    <w:qFormat/>
    <w:uiPriority w:val="0"/>
    <w:pPr>
      <w:adjustRightInd/>
      <w:snapToGrid/>
      <w:ind w:firstLine="0"/>
      <w:textAlignment w:val="auto"/>
    </w:pPr>
    <w:rPr>
      <w:rFonts w:ascii="Times New Roman" w:hAnsi="Times New Roman" w:eastAsia="黑体" w:cs="宋体"/>
      <w:b/>
    </w:rPr>
  </w:style>
  <w:style w:type="paragraph" w:customStyle="1" w:styleId="2084">
    <w:name w:val="Definition Term"/>
    <w:basedOn w:val="1"/>
    <w:next w:val="1"/>
    <w:qFormat/>
    <w:uiPriority w:val="0"/>
    <w:pPr>
      <w:autoSpaceDE w:val="0"/>
      <w:autoSpaceDN w:val="0"/>
      <w:adjustRightInd w:val="0"/>
      <w:jc w:val="left"/>
    </w:pPr>
    <w:rPr>
      <w:rFonts w:ascii="宋体"/>
      <w:kern w:val="0"/>
      <w:sz w:val="24"/>
      <w:szCs w:val="20"/>
    </w:rPr>
  </w:style>
  <w:style w:type="paragraph" w:customStyle="1" w:styleId="2085">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86">
    <w:name w:val="_正文格式"/>
    <w:basedOn w:val="1"/>
    <w:qFormat/>
    <w:uiPriority w:val="0"/>
    <w:pPr>
      <w:spacing w:line="480" w:lineRule="exact"/>
      <w:ind w:firstLine="567"/>
    </w:pPr>
    <w:rPr>
      <w:rFonts w:eastAsia="仿宋_GB2312"/>
      <w:sz w:val="28"/>
    </w:rPr>
  </w:style>
  <w:style w:type="paragraph" w:customStyle="1" w:styleId="2087">
    <w:name w:val="标题 51"/>
    <w:basedOn w:val="1"/>
    <w:next w:val="1"/>
    <w:qFormat/>
    <w:uiPriority w:val="0"/>
    <w:pPr>
      <w:keepNext/>
      <w:keepLines/>
      <w:spacing w:line="374" w:lineRule="auto"/>
      <w:ind w:left="1179" w:hanging="1008"/>
      <w:jc w:val="left"/>
      <w:outlineLvl w:val="4"/>
    </w:pPr>
    <w:rPr>
      <w:rFonts w:ascii="Calibri" w:hAnsi="Calibri"/>
      <w:b/>
      <w:sz w:val="28"/>
    </w:rPr>
  </w:style>
  <w:style w:type="paragraph" w:customStyle="1" w:styleId="2088">
    <w:name w:val="文章附标题"/>
    <w:basedOn w:val="1"/>
    <w:next w:val="1633"/>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2089">
    <w:name w:val="目录标题"/>
    <w:basedOn w:val="1"/>
    <w:next w:val="1"/>
    <w:qFormat/>
    <w:uiPriority w:val="0"/>
    <w:pPr>
      <w:widowControl/>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2090">
    <w:name w:val="目录4"/>
    <w:basedOn w:val="1"/>
    <w:next w:val="1"/>
    <w:qFormat/>
    <w:uiPriority w:val="0"/>
    <w:pPr>
      <w:widowControl/>
      <w:tabs>
        <w:tab w:val="left" w:leader="dot" w:pos="8503"/>
      </w:tabs>
      <w:spacing w:line="317" w:lineRule="atLeast"/>
      <w:ind w:left="419" w:firstLine="629"/>
      <w:textAlignment w:val="baseline"/>
    </w:pPr>
    <w:rPr>
      <w:color w:val="000000"/>
      <w:kern w:val="0"/>
      <w:szCs w:val="20"/>
      <w:u w:color="000000"/>
    </w:rPr>
  </w:style>
  <w:style w:type="paragraph" w:customStyle="1" w:styleId="2091">
    <w:name w:val="tt1"/>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2092">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2093">
    <w:name w:val="123"/>
    <w:basedOn w:val="1"/>
    <w:qFormat/>
    <w:uiPriority w:val="0"/>
    <w:pPr>
      <w:spacing w:line="360" w:lineRule="auto"/>
      <w:ind w:firstLine="454"/>
    </w:pPr>
    <w:rPr>
      <w:sz w:val="24"/>
      <w:szCs w:val="20"/>
    </w:rPr>
  </w:style>
  <w:style w:type="paragraph" w:customStyle="1" w:styleId="2094">
    <w:name w:val="正文文字缩进2字符"/>
    <w:basedOn w:val="1"/>
    <w:next w:val="35"/>
    <w:qFormat/>
    <w:uiPriority w:val="0"/>
    <w:pPr>
      <w:tabs>
        <w:tab w:val="left" w:pos="360"/>
        <w:tab w:val="center" w:pos="630"/>
      </w:tabs>
      <w:spacing w:line="480" w:lineRule="exact"/>
      <w:ind w:firstLine="567"/>
    </w:pPr>
    <w:rPr>
      <w:rFonts w:ascii="宋体"/>
      <w:spacing w:val="6"/>
      <w:sz w:val="28"/>
      <w:szCs w:val="20"/>
    </w:rPr>
  </w:style>
  <w:style w:type="paragraph" w:customStyle="1" w:styleId="2095">
    <w:name w:val="p9"/>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096">
    <w:name w:val="1."/>
    <w:basedOn w:val="1"/>
    <w:qFormat/>
    <w:uiPriority w:val="0"/>
    <w:pPr>
      <w:tabs>
        <w:tab w:val="left" w:pos="1152"/>
      </w:tabs>
      <w:spacing w:line="264" w:lineRule="auto"/>
      <w:ind w:left="1152" w:hanging="1152"/>
    </w:pPr>
    <w:rPr>
      <w:sz w:val="24"/>
    </w:rPr>
  </w:style>
  <w:style w:type="paragraph" w:customStyle="1" w:styleId="2097">
    <w:name w:val="文件编号"/>
    <w:basedOn w:val="1"/>
    <w:next w:val="1"/>
    <w:qFormat/>
    <w:uiPriority w:val="0"/>
    <w:pPr>
      <w:spacing w:line="500" w:lineRule="atLeast"/>
      <w:jc w:val="center"/>
    </w:pPr>
    <w:rPr>
      <w:rFonts w:ascii="黑体" w:eastAsia="黑体"/>
      <w:sz w:val="44"/>
      <w:szCs w:val="44"/>
    </w:rPr>
  </w:style>
  <w:style w:type="paragraph" w:customStyle="1" w:styleId="2098">
    <w:name w:val="表2.2-1 + 左"/>
    <w:basedOn w:val="1"/>
    <w:qFormat/>
    <w:uiPriority w:val="0"/>
    <w:pPr>
      <w:tabs>
        <w:tab w:val="left" w:pos="900"/>
      </w:tabs>
      <w:adjustRightInd w:val="0"/>
      <w:spacing w:line="360" w:lineRule="auto"/>
      <w:ind w:left="900" w:hanging="420"/>
      <w:jc w:val="center"/>
      <w:textAlignment w:val="baseline"/>
    </w:pPr>
    <w:rPr>
      <w:rFonts w:ascii="Arial" w:hAnsi="Arial" w:eastAsia="黑体" w:cs="宋体"/>
      <w:kern w:val="0"/>
      <w:sz w:val="24"/>
      <w:szCs w:val="20"/>
    </w:rPr>
  </w:style>
  <w:style w:type="paragraph" w:customStyle="1" w:styleId="2099">
    <w:name w:val="自定义正文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2100">
    <w:name w:val="td_01"/>
    <w:basedOn w:val="1"/>
    <w:qFormat/>
    <w:uiPriority w:val="0"/>
    <w:pPr>
      <w:widowControl/>
      <w:spacing w:before="100" w:beforeAutospacing="1" w:after="100" w:afterAutospacing="1" w:line="335" w:lineRule="atLeast"/>
      <w:jc w:val="left"/>
    </w:pPr>
    <w:rPr>
      <w:rFonts w:ascii="宋体" w:hAnsi="宋体" w:cs="宋体"/>
      <w:color w:val="000000"/>
      <w:kern w:val="0"/>
      <w:sz w:val="20"/>
      <w:szCs w:val="20"/>
    </w:rPr>
  </w:style>
  <w:style w:type="paragraph" w:customStyle="1" w:styleId="2101">
    <w:name w:val="样式 标题 3条标题1.1.1BSH-3 + (中文) 黑体 玫瑰红 首行缩进:  2 字符 段前: 6 磅 段后:..."/>
    <w:basedOn w:val="5"/>
    <w:qFormat/>
    <w:uiPriority w:val="0"/>
    <w:pPr>
      <w:widowControl w:val="0"/>
      <w:numPr>
        <w:numId w:val="0"/>
      </w:numPr>
      <w:spacing w:line="560" w:lineRule="exact"/>
      <w:jc w:val="both"/>
    </w:pPr>
    <w:rPr>
      <w:rFonts w:eastAsia="黑体" w:cs="宋体"/>
      <w:b w:val="0"/>
      <w:bCs w:val="0"/>
      <w:color w:val="FF99CC"/>
      <w:sz w:val="30"/>
      <w:szCs w:val="30"/>
    </w:rPr>
  </w:style>
  <w:style w:type="paragraph" w:customStyle="1" w:styleId="2102">
    <w:name w:val="样式 标题 1 + 黑色"/>
    <w:basedOn w:val="3"/>
    <w:qFormat/>
    <w:uiPriority w:val="0"/>
    <w:pPr>
      <w:keepNext w:val="0"/>
      <w:keepLines w:val="0"/>
      <w:tabs>
        <w:tab w:val="left" w:pos="840"/>
      </w:tabs>
      <w:autoSpaceDE w:val="0"/>
      <w:autoSpaceDN w:val="0"/>
      <w:adjustRightInd w:val="0"/>
      <w:snapToGrid w:val="0"/>
      <w:spacing w:before="0" w:after="0" w:line="300" w:lineRule="auto"/>
      <w:ind w:left="840" w:hanging="360"/>
      <w:textAlignment w:val="baseline"/>
    </w:pPr>
    <w:rPr>
      <w:rFonts w:ascii="宋体" w:eastAsia="宋体"/>
      <w:snapToGrid w:val="0"/>
      <w:color w:val="000000"/>
      <w:kern w:val="0"/>
    </w:rPr>
  </w:style>
  <w:style w:type="paragraph" w:customStyle="1" w:styleId="2103">
    <w:name w:val="xl6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w:hAnsi="Arial" w:cs="宋体"/>
      <w:kern w:val="0"/>
      <w:sz w:val="18"/>
      <w:szCs w:val="18"/>
      <w:lang w:bidi="th-TH"/>
    </w:rPr>
  </w:style>
  <w:style w:type="paragraph" w:customStyle="1" w:styleId="2104">
    <w:name w:val="Char Char1 Char Char Char Char"/>
    <w:basedOn w:val="1"/>
    <w:qFormat/>
    <w:uiPriority w:val="0"/>
    <w:rPr>
      <w:sz w:val="24"/>
    </w:rPr>
  </w:style>
  <w:style w:type="paragraph" w:customStyle="1" w:styleId="2105">
    <w:name w:val="默认段落字体 Para Char Char Char Char Char Char Char Char Char Char"/>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2106">
    <w:name w:val="Char26"/>
    <w:basedOn w:val="1"/>
    <w:qFormat/>
    <w:uiPriority w:val="0"/>
    <w:rPr>
      <w:rFonts w:ascii="宋体" w:hAnsi="宋体" w:cs="宋体"/>
      <w:sz w:val="32"/>
      <w:szCs w:val="32"/>
    </w:rPr>
  </w:style>
  <w:style w:type="paragraph" w:customStyle="1" w:styleId="2107">
    <w:name w:val="正文4"/>
    <w:basedOn w:val="34"/>
    <w:qFormat/>
    <w:uiPriority w:val="0"/>
    <w:pPr>
      <w:spacing w:line="240" w:lineRule="auto"/>
    </w:pPr>
    <w:rPr>
      <w:rFonts w:ascii="Times New Roman" w:hAnsi="Times New Roman"/>
    </w:rPr>
  </w:style>
  <w:style w:type="paragraph" w:customStyle="1" w:styleId="2108">
    <w:name w:val="附录标识"/>
    <w:basedOn w:val="1829"/>
    <w:qFormat/>
    <w:uiPriority w:val="0"/>
    <w:pPr>
      <w:tabs>
        <w:tab w:val="left" w:pos="6405"/>
        <w:tab w:val="clear" w:pos="720"/>
        <w:tab w:val="clear" w:pos="903"/>
      </w:tabs>
      <w:spacing w:after="200"/>
      <w:ind w:left="0" w:firstLine="0"/>
    </w:pPr>
    <w:rPr>
      <w:sz w:val="21"/>
    </w:rPr>
  </w:style>
  <w:style w:type="paragraph" w:customStyle="1" w:styleId="2109">
    <w:name w:val="附录五级条标题"/>
    <w:basedOn w:val="1871"/>
    <w:next w:val="6"/>
    <w:qFormat/>
    <w:uiPriority w:val="0"/>
    <w:pPr>
      <w:tabs>
        <w:tab w:val="left" w:pos="435"/>
        <w:tab w:val="clear" w:pos="960"/>
      </w:tabs>
      <w:ind w:left="435" w:hanging="165"/>
      <w:outlineLvl w:val="6"/>
    </w:pPr>
  </w:style>
  <w:style w:type="paragraph" w:customStyle="1" w:styleId="2110">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111">
    <w:name w:val="三级无标题条"/>
    <w:basedOn w:val="1"/>
    <w:qFormat/>
    <w:uiPriority w:val="0"/>
  </w:style>
  <w:style w:type="paragraph" w:customStyle="1" w:styleId="2112">
    <w:name w:val="Char Char2 Char Char Char Char Char Char"/>
    <w:basedOn w:val="1"/>
    <w:qFormat/>
    <w:uiPriority w:val="0"/>
    <w:pPr>
      <w:spacing w:line="480" w:lineRule="exact"/>
    </w:pPr>
    <w:rPr>
      <w:sz w:val="22"/>
    </w:rPr>
  </w:style>
  <w:style w:type="paragraph" w:customStyle="1" w:styleId="2113">
    <w:name w:val="示例"/>
    <w:next w:val="6"/>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114">
    <w:name w:val="样式 标题 3 + 段前: 6 磅 段后: 6 磅 行距: 多倍行距 1.73 字行"/>
    <w:basedOn w:val="5"/>
    <w:qFormat/>
    <w:uiPriority w:val="0"/>
    <w:pPr>
      <w:widowControl w:val="0"/>
      <w:numPr>
        <w:ilvl w:val="0"/>
        <w:numId w:val="0"/>
      </w:numPr>
      <w:spacing w:before="120" w:after="120" w:line="415" w:lineRule="auto"/>
      <w:jc w:val="both"/>
    </w:pPr>
    <w:rPr>
      <w:rFonts w:eastAsia="宋体" w:cs="宋体"/>
      <w:sz w:val="32"/>
      <w:szCs w:val="20"/>
    </w:rPr>
  </w:style>
  <w:style w:type="paragraph" w:customStyle="1" w:styleId="2115">
    <w:name w:val="四级无标题条"/>
    <w:basedOn w:val="1"/>
    <w:qFormat/>
    <w:uiPriority w:val="0"/>
  </w:style>
  <w:style w:type="paragraph" w:customStyle="1" w:styleId="2116">
    <w:name w:val="正文文本缩进2"/>
    <w:basedOn w:val="1"/>
    <w:qFormat/>
    <w:uiPriority w:val="0"/>
    <w:pPr>
      <w:spacing w:after="120" w:line="360" w:lineRule="auto"/>
      <w:ind w:left="420" w:leftChars="200" w:firstLine="200" w:firstLineChars="200"/>
    </w:pPr>
    <w:rPr>
      <w:sz w:val="24"/>
    </w:rPr>
  </w:style>
  <w:style w:type="paragraph" w:customStyle="1" w:styleId="2117">
    <w:name w:val="五级无标题条"/>
    <w:basedOn w:val="1"/>
    <w:qFormat/>
    <w:uiPriority w:val="0"/>
  </w:style>
  <w:style w:type="paragraph" w:customStyle="1" w:styleId="2118">
    <w:name w:val="Char Char Char Char Char Char Char Char Char1 Char Char Char Char5"/>
    <w:basedOn w:val="1"/>
    <w:qFormat/>
    <w:uiPriority w:val="0"/>
    <w:rPr>
      <w:rFonts w:eastAsia="黑体"/>
      <w:b/>
      <w:szCs w:val="20"/>
    </w:rPr>
  </w:style>
  <w:style w:type="paragraph" w:customStyle="1" w:styleId="2119">
    <w:name w:val="一级无标题条"/>
    <w:basedOn w:val="1"/>
    <w:qFormat/>
    <w:uiPriority w:val="0"/>
  </w:style>
  <w:style w:type="paragraph" w:customStyle="1" w:styleId="2120">
    <w:name w:val="正文图标题"/>
    <w:next w:val="6"/>
    <w:qFormat/>
    <w:uiPriority w:val="0"/>
    <w:pPr>
      <w:jc w:val="center"/>
    </w:pPr>
    <w:rPr>
      <w:rFonts w:ascii="黑体" w:hAnsi="Times New Roman" w:eastAsia="黑体" w:cs="Times New Roman"/>
      <w:sz w:val="21"/>
      <w:lang w:val="en-US" w:eastAsia="zh-CN" w:bidi="ar-SA"/>
    </w:rPr>
  </w:style>
  <w:style w:type="paragraph" w:customStyle="1" w:styleId="2121">
    <w:name w:val="注："/>
    <w:next w:val="6"/>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2122">
    <w:name w:val="样2"/>
    <w:basedOn w:val="1"/>
    <w:next w:val="1"/>
    <w:qFormat/>
    <w:uiPriority w:val="0"/>
    <w:pPr>
      <w:adjustRightInd w:val="0"/>
      <w:snapToGrid w:val="0"/>
      <w:jc w:val="center"/>
      <w:textAlignment w:val="baseline"/>
    </w:pPr>
    <w:rPr>
      <w:kern w:val="0"/>
      <w:sz w:val="24"/>
      <w:szCs w:val="20"/>
    </w:rPr>
  </w:style>
  <w:style w:type="paragraph" w:customStyle="1" w:styleId="2123">
    <w:name w:val="表格内容."/>
    <w:basedOn w:val="1"/>
    <w:next w:val="1"/>
    <w:qFormat/>
    <w:uiPriority w:val="0"/>
    <w:pPr>
      <w:autoSpaceDE w:val="0"/>
      <w:autoSpaceDN w:val="0"/>
      <w:adjustRightInd w:val="0"/>
      <w:spacing w:before="20" w:after="40"/>
      <w:jc w:val="left"/>
    </w:pPr>
    <w:rPr>
      <w:rFonts w:ascii="Times New Roman;Symbol;Arial;婼" w:eastAsia="Times New Roman;Symbol;Arial;婼"/>
      <w:kern w:val="0"/>
      <w:sz w:val="24"/>
    </w:rPr>
  </w:style>
  <w:style w:type="paragraph" w:customStyle="1" w:styleId="2124">
    <w:name w:val="xl8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125">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26">
    <w:name w:val="日期."/>
    <w:basedOn w:val="2125"/>
    <w:next w:val="2125"/>
    <w:qFormat/>
    <w:uiPriority w:val="0"/>
    <w:pPr>
      <w:ind w:left="100"/>
      <w:jc w:val="left"/>
    </w:pPr>
    <w:rPr>
      <w:sz w:val="24"/>
      <w:szCs w:val="24"/>
    </w:rPr>
  </w:style>
  <w:style w:type="paragraph" w:customStyle="1" w:styleId="2127">
    <w:name w:val="正文（首行缩进两字）."/>
    <w:basedOn w:val="2125"/>
    <w:qFormat/>
    <w:uiPriority w:val="0"/>
    <w:pPr>
      <w:ind w:left="1260" w:firstLine="420"/>
      <w:jc w:val="left"/>
    </w:pPr>
    <w:rPr>
      <w:sz w:val="28"/>
      <w:szCs w:val="28"/>
    </w:rPr>
  </w:style>
  <w:style w:type="paragraph" w:customStyle="1" w:styleId="2128">
    <w:name w:val="主要负责人"/>
    <w:basedOn w:val="1"/>
    <w:next w:val="1"/>
    <w:qFormat/>
    <w:uiPriority w:val="0"/>
    <w:pPr>
      <w:spacing w:line="500" w:lineRule="atLeast"/>
      <w:jc w:val="center"/>
    </w:pPr>
    <w:rPr>
      <w:sz w:val="36"/>
      <w:szCs w:val="36"/>
    </w:rPr>
  </w:style>
  <w:style w:type="paragraph" w:customStyle="1" w:styleId="2129">
    <w:name w:val="1 总论"/>
    <w:basedOn w:val="3"/>
    <w:qFormat/>
    <w:uiPriority w:val="0"/>
    <w:pPr>
      <w:adjustRightInd w:val="0"/>
      <w:spacing w:before="120" w:after="120" w:line="360" w:lineRule="auto"/>
      <w:textAlignment w:val="baseline"/>
    </w:pPr>
    <w:rPr>
      <w:rFonts w:eastAsia="宋体"/>
      <w:bCs w:val="0"/>
    </w:rPr>
  </w:style>
  <w:style w:type="paragraph" w:customStyle="1" w:styleId="2130">
    <w:name w:val="样式 样式 标题 3标题 3 Char Char Char标题 3 Char Charh3H3level_3PIM 3L...1..."/>
    <w:basedOn w:val="1"/>
    <w:qFormat/>
    <w:uiPriority w:val="0"/>
    <w:pPr>
      <w:keepNext/>
      <w:keepLines/>
      <w:spacing w:line="500" w:lineRule="exact"/>
      <w:ind w:firstLine="562" w:firstLineChars="200"/>
      <w:outlineLvl w:val="2"/>
    </w:pPr>
    <w:rPr>
      <w:rFonts w:ascii="宋体" w:hAnsi="宋体" w:eastAsia="黑体" w:cs="宋体"/>
      <w:b/>
      <w:bCs/>
      <w:color w:val="000000"/>
      <w:sz w:val="28"/>
      <w:szCs w:val="20"/>
    </w:rPr>
  </w:style>
  <w:style w:type="paragraph" w:customStyle="1" w:styleId="2131">
    <w:name w:val="表序号"/>
    <w:basedOn w:val="7"/>
    <w:qFormat/>
    <w:uiPriority w:val="0"/>
    <w:pPr>
      <w:tabs>
        <w:tab w:val="left" w:pos="1008"/>
      </w:tabs>
      <w:spacing w:line="360" w:lineRule="auto"/>
      <w:jc w:val="center"/>
    </w:pPr>
    <w:rPr>
      <w:rFonts w:ascii="仿宋_GB2312" w:hAnsi="Arial" w:eastAsia="宋体"/>
      <w:bCs w:val="0"/>
      <w:kern w:val="44"/>
      <w:szCs w:val="20"/>
    </w:rPr>
  </w:style>
  <w:style w:type="paragraph" w:customStyle="1" w:styleId="2132">
    <w:name w:val="档案号"/>
    <w:basedOn w:val="57"/>
    <w:qFormat/>
    <w:uiPriority w:val="0"/>
    <w:pPr>
      <w:pBdr>
        <w:top w:val="none" w:color="auto" w:sz="0" w:space="1"/>
        <w:left w:val="none" w:color="auto" w:sz="0" w:space="4"/>
        <w:bottom w:val="none" w:color="auto" w:sz="0" w:space="0"/>
        <w:right w:val="none" w:color="auto" w:sz="0" w:space="4"/>
      </w:pBdr>
      <w:tabs>
        <w:tab w:val="center" w:pos="4320"/>
        <w:tab w:val="right" w:pos="8640"/>
      </w:tabs>
      <w:adjustRightInd w:val="0"/>
      <w:snapToGrid/>
      <w:spacing w:line="460" w:lineRule="exact"/>
      <w:ind w:firstLine="560" w:firstLineChars="200"/>
      <w:jc w:val="right"/>
      <w:textAlignment w:val="baseline"/>
    </w:pPr>
    <w:rPr>
      <w:rFonts w:ascii="宋体" w:hAnsi="Arial" w:eastAsia="仿宋_GB2312"/>
      <w:spacing w:val="3"/>
      <w:kern w:val="24"/>
      <w:sz w:val="24"/>
      <w:szCs w:val="20"/>
    </w:rPr>
  </w:style>
  <w:style w:type="paragraph" w:customStyle="1" w:styleId="2133">
    <w:name w:val="文档一级标题"/>
    <w:basedOn w:val="1"/>
    <w:qFormat/>
    <w:uiPriority w:val="0"/>
    <w:rPr>
      <w:rFonts w:ascii="黑体" w:hAnsi="华文仿宋" w:eastAsia="黑体"/>
      <w:sz w:val="28"/>
      <w:szCs w:val="20"/>
    </w:rPr>
  </w:style>
  <w:style w:type="paragraph" w:customStyle="1" w:styleId="2134">
    <w:name w:val="样式 宋体 首行缩进:  0.85 厘米 右侧:  0.99 厘米"/>
    <w:basedOn w:val="1"/>
    <w:qFormat/>
    <w:uiPriority w:val="0"/>
    <w:pPr>
      <w:ind w:right="561"/>
    </w:pPr>
    <w:rPr>
      <w:rFonts w:ascii="宋体" w:hAnsi="宋体"/>
      <w:szCs w:val="20"/>
    </w:rPr>
  </w:style>
  <w:style w:type="paragraph" w:customStyle="1" w:styleId="2135">
    <w:name w:val="bt2"/>
    <w:basedOn w:val="1"/>
    <w:qFormat/>
    <w:uiPriority w:val="0"/>
    <w:pPr>
      <w:spacing w:line="500" w:lineRule="exact"/>
      <w:ind w:firstLine="567"/>
    </w:pPr>
    <w:rPr>
      <w:b/>
      <w:sz w:val="30"/>
      <w:szCs w:val="20"/>
    </w:rPr>
  </w:style>
  <w:style w:type="paragraph" w:customStyle="1" w:styleId="2136">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2137">
    <w:name w:val="1表格"/>
    <w:basedOn w:val="1"/>
    <w:qFormat/>
    <w:uiPriority w:val="0"/>
    <w:pPr>
      <w:spacing w:line="160" w:lineRule="atLeast"/>
      <w:jc w:val="center"/>
    </w:pPr>
    <w:rPr>
      <w:rFonts w:ascii="仿宋_GB2312" w:eastAsia="仿宋_GB2312"/>
      <w:kern w:val="0"/>
      <w:szCs w:val="20"/>
    </w:rPr>
  </w:style>
  <w:style w:type="paragraph" w:customStyle="1" w:styleId="2138">
    <w:name w:val="表前文字"/>
    <w:basedOn w:val="1"/>
    <w:qFormat/>
    <w:uiPriority w:val="0"/>
    <w:pPr>
      <w:adjustRightInd w:val="0"/>
      <w:snapToGrid w:val="0"/>
      <w:spacing w:line="360" w:lineRule="auto"/>
      <w:ind w:firstLine="560" w:firstLineChars="200"/>
      <w:jc w:val="center"/>
    </w:pPr>
    <w:rPr>
      <w:rFonts w:ascii="仿宋_GB2312" w:hAnsi="仿宋_GB2312" w:eastAsia="仿宋_GB2312"/>
      <w:color w:val="FF0000"/>
      <w:sz w:val="28"/>
      <w:szCs w:val="20"/>
    </w:rPr>
  </w:style>
  <w:style w:type="paragraph" w:customStyle="1" w:styleId="2139">
    <w:name w:val="_Style 11"/>
    <w:basedOn w:val="1"/>
    <w:next w:val="8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2140">
    <w:name w:val="文头"/>
    <w:basedOn w:val="1"/>
    <w:qFormat/>
    <w:uiPriority w:val="0"/>
    <w:pPr>
      <w:tabs>
        <w:tab w:val="left" w:pos="6663"/>
      </w:tabs>
      <w:autoSpaceDE w:val="0"/>
      <w:autoSpaceDN w:val="0"/>
      <w:snapToGrid w:val="0"/>
      <w:spacing w:before="40" w:after="800" w:line="1640" w:lineRule="atLeast"/>
      <w:ind w:left="511" w:right="227" w:hanging="284"/>
      <w:jc w:val="distribute"/>
    </w:pPr>
    <w:rPr>
      <w:rFonts w:ascii="汉鼎简大宋" w:eastAsia="汉鼎简大宋"/>
      <w:b/>
      <w:snapToGrid w:val="0"/>
      <w:color w:val="FF0000"/>
      <w:w w:val="50"/>
      <w:kern w:val="0"/>
      <w:sz w:val="136"/>
      <w:szCs w:val="20"/>
    </w:rPr>
  </w:style>
  <w:style w:type="paragraph" w:customStyle="1" w:styleId="2141">
    <w:name w:val="特殊标题３"/>
    <w:basedOn w:val="1"/>
    <w:qFormat/>
    <w:uiPriority w:val="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2142">
    <w:name w:val="项目编号"/>
    <w:basedOn w:val="1"/>
    <w:next w:val="1"/>
    <w:qFormat/>
    <w:uiPriority w:val="0"/>
    <w:pPr>
      <w:spacing w:before="120" w:after="120" w:line="360" w:lineRule="auto"/>
    </w:pPr>
    <w:rPr>
      <w:sz w:val="24"/>
      <w:szCs w:val="20"/>
    </w:rPr>
  </w:style>
  <w:style w:type="paragraph" w:customStyle="1" w:styleId="2143">
    <w:name w:val="默认段落字体 Para Char Char Char1 Char Char Char Char Char Char Char Char Char Char"/>
    <w:basedOn w:val="1"/>
    <w:qFormat/>
    <w:uiPriority w:val="0"/>
    <w:rPr>
      <w:sz w:val="24"/>
    </w:rPr>
  </w:style>
  <w:style w:type="paragraph" w:customStyle="1" w:styleId="2144">
    <w:name w:val="正文一级列表"/>
    <w:basedOn w:val="1992"/>
    <w:next w:val="1992"/>
    <w:qFormat/>
    <w:uiPriority w:val="0"/>
    <w:pPr>
      <w:tabs>
        <w:tab w:val="left" w:pos="284"/>
        <w:tab w:val="left" w:pos="432"/>
        <w:tab w:val="left" w:pos="900"/>
      </w:tabs>
      <w:ind w:left="431" w:hanging="431" w:firstLineChars="0"/>
    </w:pPr>
  </w:style>
  <w:style w:type="paragraph" w:customStyle="1" w:styleId="2145">
    <w:name w:val="样式4正文"/>
    <w:basedOn w:val="1"/>
    <w:qFormat/>
    <w:uiPriority w:val="0"/>
    <w:pPr>
      <w:ind w:firstLine="560" w:firstLineChars="200"/>
    </w:pPr>
    <w:rPr>
      <w:rFonts w:ascii="楷体_GB2312" w:hAnsi="宋体" w:eastAsia="楷体_GB2312"/>
      <w:sz w:val="28"/>
      <w:szCs w:val="20"/>
    </w:rPr>
  </w:style>
  <w:style w:type="paragraph" w:customStyle="1" w:styleId="2146">
    <w:name w:val="列出段落2"/>
    <w:basedOn w:val="1"/>
    <w:qFormat/>
    <w:uiPriority w:val="34"/>
    <w:pPr>
      <w:adjustRightInd w:val="0"/>
      <w:snapToGrid w:val="0"/>
      <w:spacing w:line="360" w:lineRule="auto"/>
      <w:ind w:firstLine="420" w:firstLineChars="200"/>
    </w:pPr>
    <w:rPr>
      <w:rFonts w:ascii="仿宋_GB2312" w:hAnsi="仿宋_GB2312" w:eastAsia="仿宋_GB2312"/>
      <w:sz w:val="28"/>
      <w:szCs w:val="20"/>
    </w:rPr>
  </w:style>
  <w:style w:type="paragraph" w:customStyle="1" w:styleId="2147">
    <w:name w:val="涪陵表格"/>
    <w:basedOn w:val="66"/>
    <w:qFormat/>
    <w:uiPriority w:val="0"/>
    <w:pPr>
      <w:spacing w:line="360" w:lineRule="auto"/>
      <w:ind w:left="0" w:firstLine="0" w:firstLineChars="0"/>
      <w:jc w:val="center"/>
    </w:pPr>
    <w:rPr>
      <w:rFonts w:ascii="宋体"/>
      <w:position w:val="-3"/>
      <w:sz w:val="24"/>
      <w:szCs w:val="20"/>
    </w:rPr>
  </w:style>
  <w:style w:type="paragraph" w:customStyle="1" w:styleId="2148">
    <w:name w:val="pt9"/>
    <w:basedOn w:val="1"/>
    <w:qFormat/>
    <w:uiPriority w:val="0"/>
    <w:pPr>
      <w:widowControl/>
      <w:spacing w:before="100" w:beforeAutospacing="1" w:after="100" w:afterAutospacing="1" w:line="270" w:lineRule="atLeast"/>
      <w:jc w:val="left"/>
    </w:pPr>
    <w:rPr>
      <w:rFonts w:ascii="宋体" w:hAnsi="宋体" w:cs="宋体"/>
      <w:kern w:val="0"/>
      <w:sz w:val="18"/>
      <w:szCs w:val="18"/>
    </w:rPr>
  </w:style>
  <w:style w:type="paragraph" w:customStyle="1" w:styleId="2149">
    <w:name w:val="font"/>
    <w:basedOn w:val="1"/>
    <w:qFormat/>
    <w:uiPriority w:val="0"/>
    <w:pPr>
      <w:widowControl/>
      <w:spacing w:before="100" w:beforeAutospacing="1" w:after="100" w:afterAutospacing="1"/>
      <w:jc w:val="left"/>
    </w:pPr>
    <w:rPr>
      <w:rFonts w:ascii="宋体" w:hAnsi="宋体"/>
      <w:kern w:val="0"/>
      <w:sz w:val="24"/>
    </w:rPr>
  </w:style>
  <w:style w:type="paragraph" w:customStyle="1" w:styleId="2150">
    <w:name w:val="样式 表格内容 + 居中"/>
    <w:basedOn w:val="536"/>
    <w:qFormat/>
    <w:uiPriority w:val="0"/>
    <w:pPr>
      <w:widowControl/>
      <w:adjustRightInd/>
      <w:snapToGrid/>
      <w:spacing w:line="300" w:lineRule="exact"/>
    </w:pPr>
    <w:rPr>
      <w:rFonts w:eastAsia="楷体_GB2312" w:cs="宋体"/>
      <w:color w:val="000000"/>
      <w:sz w:val="21"/>
    </w:rPr>
  </w:style>
  <w:style w:type="paragraph" w:customStyle="1" w:styleId="2151">
    <w:name w:val="表格小五（1）"/>
    <w:basedOn w:val="1"/>
    <w:qFormat/>
    <w:uiPriority w:val="0"/>
    <w:pPr>
      <w:adjustRightInd w:val="0"/>
      <w:snapToGrid w:val="0"/>
      <w:spacing w:line="320" w:lineRule="exact"/>
      <w:jc w:val="center"/>
    </w:pPr>
    <w:rPr>
      <w:rFonts w:ascii="宋体" w:hAnsi="宋体"/>
      <w:szCs w:val="21"/>
    </w:rPr>
  </w:style>
  <w:style w:type="paragraph" w:customStyle="1" w:styleId="2152">
    <w:name w:val="表字"/>
    <w:basedOn w:val="1"/>
    <w:next w:val="1"/>
    <w:qFormat/>
    <w:uiPriority w:val="0"/>
    <w:pPr>
      <w:keepNext/>
      <w:spacing w:line="360" w:lineRule="auto"/>
      <w:jc w:val="center"/>
    </w:pPr>
    <w:rPr>
      <w:rFonts w:ascii="Arial" w:hAnsi="Arial"/>
      <w:szCs w:val="20"/>
    </w:rPr>
  </w:style>
  <w:style w:type="paragraph" w:customStyle="1" w:styleId="2153">
    <w:name w:val="标题 2+ 行距: 固定值 24 磅"/>
    <w:basedOn w:val="4"/>
    <w:qFormat/>
    <w:uiPriority w:val="0"/>
    <w:pPr>
      <w:spacing w:before="260" w:after="260" w:line="480" w:lineRule="exact"/>
    </w:pPr>
    <w:rPr>
      <w:rFonts w:ascii="Arial" w:hAnsi="Arial"/>
      <w:color w:val="auto"/>
      <w:sz w:val="32"/>
      <w:szCs w:val="32"/>
    </w:rPr>
  </w:style>
  <w:style w:type="paragraph" w:customStyle="1" w:styleId="2154">
    <w:name w:val="样式 四号 首行缩进:  2 字符"/>
    <w:basedOn w:val="1"/>
    <w:qFormat/>
    <w:uiPriority w:val="0"/>
    <w:pPr>
      <w:spacing w:line="480" w:lineRule="atLeast"/>
      <w:ind w:firstLine="200" w:firstLineChars="200"/>
    </w:pPr>
    <w:rPr>
      <w:sz w:val="24"/>
    </w:rPr>
  </w:style>
  <w:style w:type="paragraph" w:customStyle="1" w:styleId="2155">
    <w:name w:val="bt1"/>
    <w:basedOn w:val="1"/>
    <w:qFormat/>
    <w:uiPriority w:val="0"/>
    <w:pPr>
      <w:adjustRightInd w:val="0"/>
      <w:spacing w:line="360" w:lineRule="auto"/>
      <w:ind w:firstLine="624"/>
      <w:textAlignment w:val="baseline"/>
    </w:pPr>
    <w:rPr>
      <w:rFonts w:ascii="宋体"/>
      <w:b/>
      <w:kern w:val="0"/>
      <w:sz w:val="32"/>
      <w:szCs w:val="20"/>
    </w:rPr>
  </w:style>
  <w:style w:type="paragraph" w:customStyle="1" w:styleId="2156">
    <w:name w:val="news"/>
    <w:basedOn w:val="1"/>
    <w:qFormat/>
    <w:uiPriority w:val="0"/>
    <w:pPr>
      <w:widowControl/>
      <w:spacing w:before="100" w:beforeAutospacing="1" w:after="100" w:afterAutospacing="1"/>
      <w:jc w:val="left"/>
    </w:pPr>
    <w:rPr>
      <w:rFonts w:ascii="宋体" w:hAnsi="宋体"/>
      <w:kern w:val="0"/>
      <w:sz w:val="24"/>
    </w:rPr>
  </w:style>
  <w:style w:type="paragraph" w:customStyle="1" w:styleId="2157">
    <w:name w:val="我的悬挂"/>
    <w:basedOn w:val="1"/>
    <w:qFormat/>
    <w:uiPriority w:val="0"/>
    <w:pPr>
      <w:tabs>
        <w:tab w:val="left" w:pos="840"/>
      </w:tabs>
      <w:adjustRightInd w:val="0"/>
      <w:spacing w:line="360" w:lineRule="auto"/>
      <w:ind w:left="840" w:hanging="360"/>
      <w:jc w:val="left"/>
      <w:textAlignment w:val="baseline"/>
    </w:pPr>
    <w:rPr>
      <w:spacing w:val="20"/>
      <w:kern w:val="0"/>
      <w:sz w:val="24"/>
      <w:szCs w:val="32"/>
    </w:rPr>
  </w:style>
  <w:style w:type="paragraph" w:customStyle="1" w:styleId="2158">
    <w:name w:val="105v"/>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159">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160">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161">
    <w:name w:val="表1"/>
    <w:basedOn w:val="1"/>
    <w:qFormat/>
    <w:uiPriority w:val="0"/>
    <w:pPr>
      <w:spacing w:line="360" w:lineRule="auto"/>
      <w:ind w:firstLine="420"/>
      <w:jc w:val="center"/>
    </w:pPr>
    <w:rPr>
      <w:rFonts w:ascii="宋体" w:hAnsi="宋体"/>
      <w:szCs w:val="20"/>
    </w:rPr>
  </w:style>
  <w:style w:type="paragraph" w:customStyle="1" w:styleId="2162">
    <w:name w:val="reader-word-layer reader-word-s1-24"/>
    <w:basedOn w:val="1"/>
    <w:qFormat/>
    <w:uiPriority w:val="0"/>
    <w:pPr>
      <w:widowControl/>
      <w:spacing w:before="100" w:beforeAutospacing="1" w:after="100" w:afterAutospacing="1"/>
      <w:jc w:val="left"/>
    </w:pPr>
    <w:rPr>
      <w:rFonts w:ascii="宋体" w:hAnsi="宋体" w:cs="宋体"/>
      <w:kern w:val="0"/>
      <w:sz w:val="24"/>
    </w:rPr>
  </w:style>
  <w:style w:type="paragraph" w:customStyle="1" w:styleId="2163">
    <w:name w:val="样式 正文1 + Times New Roman 蓝色 + 首行缩进:  2 字符"/>
    <w:basedOn w:val="1"/>
    <w:qFormat/>
    <w:uiPriority w:val="0"/>
    <w:pPr>
      <w:adjustRightInd w:val="0"/>
      <w:spacing w:line="620" w:lineRule="exact"/>
      <w:ind w:firstLine="566" w:firstLineChars="202"/>
      <w:jc w:val="left"/>
      <w:textAlignment w:val="baseline"/>
    </w:pPr>
    <w:rPr>
      <w:rFonts w:ascii="黑体" w:hAnsi="黑体" w:cs="宋体"/>
      <w:sz w:val="28"/>
      <w:szCs w:val="28"/>
    </w:rPr>
  </w:style>
  <w:style w:type="paragraph" w:customStyle="1" w:styleId="2164">
    <w:name w:val="条(三级)"/>
    <w:basedOn w:val="2165"/>
    <w:next w:val="2166"/>
    <w:qFormat/>
    <w:uiPriority w:val="0"/>
    <w:rPr>
      <w:b w:val="0"/>
    </w:rPr>
  </w:style>
  <w:style w:type="paragraph" w:customStyle="1" w:styleId="2165">
    <w:name w:val="条(二级)"/>
    <w:basedOn w:val="4"/>
    <w:next w:val="2164"/>
    <w:qFormat/>
    <w:uiPriority w:val="0"/>
    <w:pPr>
      <w:adjustRightInd w:val="0"/>
      <w:spacing w:before="0" w:after="0" w:line="460" w:lineRule="exact"/>
      <w:jc w:val="left"/>
      <w:textAlignment w:val="baseline"/>
      <w:outlineLvl w:val="9"/>
    </w:pPr>
    <w:rPr>
      <w:rFonts w:ascii="宋体" w:hAnsi="Arial" w:eastAsia="宋体"/>
      <w:bCs w:val="0"/>
      <w:color w:val="auto"/>
      <w:spacing w:val="3"/>
      <w:kern w:val="24"/>
      <w:sz w:val="24"/>
      <w:szCs w:val="20"/>
    </w:rPr>
  </w:style>
  <w:style w:type="paragraph" w:customStyle="1" w:styleId="2166">
    <w:name w:val="条(四级)"/>
    <w:basedOn w:val="2164"/>
    <w:next w:val="540"/>
    <w:qFormat/>
    <w:uiPriority w:val="0"/>
  </w:style>
  <w:style w:type="paragraph" w:customStyle="1" w:styleId="2167">
    <w:name w:val="xl115"/>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168">
    <w:name w:val="字母编号列项（一级）"/>
    <w:qFormat/>
    <w:uiPriority w:val="0"/>
    <w:pPr>
      <w:tabs>
        <w:tab w:val="left" w:pos="567"/>
      </w:tabs>
      <w:ind w:left="839" w:hanging="419"/>
      <w:jc w:val="both"/>
    </w:pPr>
    <w:rPr>
      <w:rFonts w:ascii="宋体" w:hAnsi="Times New Roman" w:eastAsia="宋体" w:cs="Times New Roman"/>
      <w:sz w:val="21"/>
      <w:lang w:val="en-US" w:eastAsia="zh-CN" w:bidi="ar-SA"/>
    </w:rPr>
  </w:style>
  <w:style w:type="paragraph" w:customStyle="1" w:styleId="2169">
    <w:name w:val="xl121"/>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rFonts w:ascii="宋体" w:hAnsi="宋体" w:cs="宋体"/>
      <w:kern w:val="0"/>
      <w:sz w:val="24"/>
    </w:rPr>
  </w:style>
  <w:style w:type="paragraph" w:customStyle="1" w:styleId="2170">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rPr>
  </w:style>
  <w:style w:type="paragraph" w:customStyle="1" w:styleId="2171">
    <w:name w:val="Char Char2 Char Char Char Char Char Char5"/>
    <w:basedOn w:val="1"/>
    <w:qFormat/>
    <w:uiPriority w:val="0"/>
    <w:pPr>
      <w:spacing w:line="360" w:lineRule="auto"/>
    </w:pPr>
    <w:rPr>
      <w:rFonts w:ascii="宋体" w:hAnsi="宋体"/>
      <w:sz w:val="22"/>
    </w:rPr>
  </w:style>
  <w:style w:type="paragraph" w:customStyle="1" w:styleId="2172">
    <w:name w:val="样式 样式 首行缩进:  2 字符 + 首行缩进:  2 字符2"/>
    <w:basedOn w:val="1"/>
    <w:qFormat/>
    <w:uiPriority w:val="0"/>
    <w:pPr>
      <w:spacing w:line="440" w:lineRule="exact"/>
      <w:ind w:firstLine="584" w:firstLineChars="200"/>
    </w:pPr>
    <w:rPr>
      <w:rFonts w:eastAsia="楷体_GB2312" w:cs="宋体"/>
      <w:spacing w:val="6"/>
      <w:kern w:val="0"/>
      <w:sz w:val="28"/>
      <w:szCs w:val="20"/>
    </w:rPr>
  </w:style>
  <w:style w:type="paragraph" w:customStyle="1" w:styleId="2173">
    <w:name w:val="xl6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cs="宋体"/>
      <w:kern w:val="0"/>
      <w:sz w:val="18"/>
      <w:szCs w:val="18"/>
      <w:lang w:bidi="th-TH"/>
    </w:rPr>
  </w:style>
  <w:style w:type="paragraph" w:customStyle="1" w:styleId="2174">
    <w:name w:val="样式 Arial 四号 行距: 1.5 倍行距"/>
    <w:basedOn w:val="1"/>
    <w:qFormat/>
    <w:uiPriority w:val="0"/>
    <w:pPr>
      <w:ind w:left="420" w:hanging="420"/>
    </w:pPr>
  </w:style>
  <w:style w:type="paragraph" w:customStyle="1" w:styleId="2175">
    <w:name w:val="Char1 Char Char Char Char Char1 Char1"/>
    <w:basedOn w:val="1"/>
    <w:qFormat/>
    <w:uiPriority w:val="0"/>
    <w:rPr>
      <w:szCs w:val="21"/>
    </w:rPr>
  </w:style>
  <w:style w:type="paragraph" w:customStyle="1" w:styleId="2176">
    <w:name w:val="xl6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cs="宋体"/>
      <w:kern w:val="0"/>
      <w:sz w:val="18"/>
      <w:szCs w:val="18"/>
      <w:lang w:bidi="th-TH"/>
    </w:rPr>
  </w:style>
  <w:style w:type="paragraph" w:customStyle="1" w:styleId="2177">
    <w:name w:val="Char Char20 Char Char Char Char Char Char Char Char"/>
    <w:basedOn w:val="1"/>
    <w:qFormat/>
    <w:uiPriority w:val="0"/>
    <w:pPr>
      <w:widowControl/>
      <w:jc w:val="left"/>
    </w:pPr>
    <w:rPr>
      <w:rFonts w:ascii="宋体"/>
      <w:kern w:val="0"/>
      <w:sz w:val="24"/>
    </w:rPr>
  </w:style>
  <w:style w:type="paragraph" w:customStyle="1" w:styleId="2178">
    <w:name w:val="xl6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bottom"/>
    </w:pPr>
    <w:rPr>
      <w:rFonts w:ascii="宋体" w:hAnsi="宋体" w:cs="宋体"/>
      <w:kern w:val="0"/>
      <w:sz w:val="18"/>
      <w:szCs w:val="18"/>
      <w:lang w:bidi="th-TH"/>
    </w:rPr>
  </w:style>
  <w:style w:type="paragraph" w:customStyle="1" w:styleId="2179">
    <w:name w:val="xl119"/>
    <w:basedOn w:val="1"/>
    <w:qFormat/>
    <w:uiPriority w:val="0"/>
    <w:pPr>
      <w:widowControl/>
      <w:pBdr>
        <w:top w:val="single" w:color="auto" w:sz="8" w:space="0"/>
        <w:left w:val="single" w:color="auto" w:sz="8" w:space="0"/>
        <w:right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2180">
    <w:name w:val="【表格文字】"/>
    <w:qFormat/>
    <w:uiPriority w:val="0"/>
    <w:pPr>
      <w:jc w:val="center"/>
    </w:pPr>
    <w:rPr>
      <w:rFonts w:ascii="Times New Roman" w:hAnsi="Times New Roman" w:eastAsia="宋体" w:cs="宋体"/>
      <w:sz w:val="21"/>
      <w:lang w:val="en-US" w:eastAsia="zh-CN" w:bidi="ar-SA"/>
    </w:rPr>
  </w:style>
  <w:style w:type="paragraph" w:customStyle="1" w:styleId="2181">
    <w:name w:val="样式 标题 2 + 首行缩进:  2 字符1"/>
    <w:basedOn w:val="4"/>
    <w:qFormat/>
    <w:uiPriority w:val="0"/>
    <w:pPr>
      <w:keepLines w:val="0"/>
      <w:spacing w:before="312" w:beforeLines="100" w:after="0" w:line="440" w:lineRule="exact"/>
      <w:ind w:firstLine="440" w:firstLineChars="200"/>
      <w:jc w:val="left"/>
    </w:pPr>
    <w:rPr>
      <w:rFonts w:eastAsia="汉鼎简特宋"/>
      <w:b w:val="0"/>
      <w:bCs w:val="0"/>
      <w:color w:val="auto"/>
      <w:spacing w:val="-2"/>
      <w:sz w:val="28"/>
      <w:szCs w:val="20"/>
    </w:rPr>
  </w:style>
  <w:style w:type="paragraph" w:customStyle="1" w:styleId="2182">
    <w:name w:val="xl6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2183">
    <w:name w:val="xl122"/>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kern w:val="0"/>
      <w:szCs w:val="21"/>
    </w:rPr>
  </w:style>
  <w:style w:type="paragraph" w:customStyle="1" w:styleId="2184">
    <w:name w:val="样式 小四 加粗 行距: 1.5 倍行距"/>
    <w:basedOn w:val="1"/>
    <w:semiHidden/>
    <w:qFormat/>
    <w:uiPriority w:val="0"/>
    <w:pPr>
      <w:spacing w:line="360" w:lineRule="auto"/>
    </w:pPr>
    <w:rPr>
      <w:rFonts w:cs="宋体"/>
      <w:b/>
      <w:bCs/>
      <w:sz w:val="24"/>
      <w:szCs w:val="20"/>
    </w:rPr>
  </w:style>
  <w:style w:type="paragraph" w:customStyle="1" w:styleId="2185">
    <w:name w:val="xl134"/>
    <w:basedOn w:val="1"/>
    <w:qFormat/>
    <w:uiPriority w:val="0"/>
    <w:pPr>
      <w:widowControl/>
      <w:shd w:val="clear" w:color="000000" w:fill="FFFF00"/>
      <w:spacing w:before="100" w:beforeAutospacing="1" w:after="100" w:afterAutospacing="1"/>
      <w:jc w:val="left"/>
    </w:pPr>
    <w:rPr>
      <w:rFonts w:ascii="宋体" w:hAnsi="宋体" w:cs="宋体"/>
      <w:kern w:val="0"/>
      <w:sz w:val="24"/>
    </w:rPr>
  </w:style>
  <w:style w:type="paragraph" w:customStyle="1" w:styleId="2186">
    <w:name w:val="原料"/>
    <w:basedOn w:val="1"/>
    <w:qFormat/>
    <w:uiPriority w:val="0"/>
    <w:pPr>
      <w:adjustRightInd w:val="0"/>
      <w:spacing w:line="315" w:lineRule="atLeast"/>
      <w:jc w:val="left"/>
      <w:textAlignment w:val="baseline"/>
    </w:pPr>
    <w:rPr>
      <w:rFonts w:ascii="宋体" w:hAnsi="宋体"/>
      <w:spacing w:val="-2"/>
      <w:kern w:val="0"/>
      <w:sz w:val="28"/>
      <w:szCs w:val="20"/>
    </w:rPr>
  </w:style>
  <w:style w:type="paragraph" w:customStyle="1" w:styleId="2187">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2188">
    <w:name w:val="xl123"/>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189">
    <w:name w:val="样式-1-"/>
    <w:basedOn w:val="55"/>
    <w:qFormat/>
    <w:uiPriority w:val="0"/>
    <w:pPr>
      <w:framePr w:wrap="around" w:vAnchor="text" w:hAnchor="margin" w:xAlign="center" w:y="1"/>
    </w:pPr>
    <w:rPr>
      <w:rFonts w:ascii="仿宋_GB2312" w:hAnsi="Courier New"/>
      <w:sz w:val="24"/>
      <w:szCs w:val="20"/>
    </w:rPr>
  </w:style>
  <w:style w:type="paragraph" w:customStyle="1" w:styleId="2190">
    <w:name w:val="xl7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lang w:bidi="th-TH"/>
    </w:rPr>
  </w:style>
  <w:style w:type="paragraph" w:customStyle="1" w:styleId="2191">
    <w:name w:val="unnamed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192">
    <w:name w:val="xl7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lang w:bidi="th-TH"/>
    </w:rPr>
  </w:style>
  <w:style w:type="paragraph" w:customStyle="1" w:styleId="2193">
    <w:name w:val="xl114"/>
    <w:basedOn w:val="1"/>
    <w:qFormat/>
    <w:uiPriority w:val="0"/>
    <w:pPr>
      <w:widowControl/>
      <w:pBdr>
        <w:top w:val="single" w:color="auto" w:sz="8" w:space="0"/>
        <w:left w:val="single" w:color="auto" w:sz="12" w:space="0"/>
        <w:right w:val="single" w:color="auto" w:sz="8" w:space="0"/>
      </w:pBdr>
      <w:shd w:val="clear" w:color="000000" w:fill="FFFF00"/>
      <w:spacing w:before="100" w:beforeAutospacing="1" w:after="100" w:afterAutospacing="1"/>
      <w:jc w:val="center"/>
    </w:pPr>
    <w:rPr>
      <w:kern w:val="0"/>
      <w:sz w:val="24"/>
    </w:rPr>
  </w:style>
  <w:style w:type="paragraph" w:customStyle="1" w:styleId="2194">
    <w:name w:val="样式 正文文字 + 楷体_GB2312 四号 首行缩进:  0.93 厘米"/>
    <w:basedOn w:val="34"/>
    <w:qFormat/>
    <w:uiPriority w:val="0"/>
    <w:pPr>
      <w:widowControl/>
      <w:tabs>
        <w:tab w:val="left" w:pos="3360"/>
      </w:tabs>
      <w:spacing w:line="600" w:lineRule="exact"/>
      <w:ind w:firstLine="570"/>
    </w:pPr>
    <w:rPr>
      <w:color w:val="000000"/>
      <w:spacing w:val="-2"/>
      <w:kern w:val="0"/>
      <w:sz w:val="28"/>
      <w:szCs w:val="20"/>
    </w:rPr>
  </w:style>
  <w:style w:type="paragraph" w:customStyle="1" w:styleId="2195">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2196">
    <w:name w:val="xl7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2197">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lang w:bidi="th-TH"/>
    </w:rPr>
  </w:style>
  <w:style w:type="paragraph" w:customStyle="1" w:styleId="2198">
    <w:name w:val="xl126"/>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199">
    <w:name w:val="wtext"/>
    <w:basedOn w:val="1"/>
    <w:qFormat/>
    <w:uiPriority w:val="0"/>
    <w:pPr>
      <w:widowControl/>
      <w:spacing w:before="100" w:beforeAutospacing="1" w:after="100" w:afterAutospacing="1"/>
      <w:ind w:firstLine="480"/>
      <w:jc w:val="left"/>
    </w:pPr>
    <w:rPr>
      <w:color w:val="000000"/>
      <w:kern w:val="0"/>
      <w:sz w:val="22"/>
      <w:szCs w:val="22"/>
    </w:rPr>
  </w:style>
  <w:style w:type="paragraph" w:customStyle="1" w:styleId="2200">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201">
    <w:name w:val="Char Char Char Char Char Char Char Char Char3"/>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202">
    <w:name w:val="xl133"/>
    <w:basedOn w:val="1"/>
    <w:qFormat/>
    <w:uiPriority w:val="0"/>
    <w:pPr>
      <w:widowControl/>
      <w:pBdr>
        <w:bottom w:val="single" w:color="auto" w:sz="8" w:space="0"/>
        <w:right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2203">
    <w:name w:val="正文 1"/>
    <w:basedOn w:val="51"/>
    <w:qFormat/>
    <w:uiPriority w:val="0"/>
    <w:pPr>
      <w:adjustRightInd w:val="0"/>
      <w:snapToGrid w:val="0"/>
      <w:spacing w:line="240" w:lineRule="atLeast"/>
      <w:ind w:firstLine="0" w:firstLineChars="0"/>
      <w:jc w:val="center"/>
    </w:pPr>
    <w:rPr>
      <w:rFonts w:eastAsia="幼圆"/>
      <w:sz w:val="21"/>
    </w:rPr>
  </w:style>
  <w:style w:type="paragraph" w:customStyle="1" w:styleId="2204">
    <w:name w:val="xl131"/>
    <w:basedOn w:val="1"/>
    <w:qFormat/>
    <w:uiPriority w:val="0"/>
    <w:pPr>
      <w:widowControl/>
      <w:pBdr>
        <w:bottom w:val="single" w:color="auto" w:sz="8" w:space="0"/>
        <w:right w:val="single" w:color="auto" w:sz="8" w:space="0"/>
      </w:pBdr>
      <w:shd w:val="clear" w:color="000000" w:fill="FFFF00"/>
      <w:spacing w:before="100" w:beforeAutospacing="1" w:after="100" w:afterAutospacing="1"/>
      <w:jc w:val="center"/>
    </w:pPr>
    <w:rPr>
      <w:kern w:val="0"/>
      <w:szCs w:val="21"/>
    </w:rPr>
  </w:style>
  <w:style w:type="paragraph" w:customStyle="1" w:styleId="2205">
    <w:name w:val="red14"/>
    <w:basedOn w:val="1"/>
    <w:qFormat/>
    <w:uiPriority w:val="0"/>
    <w:pPr>
      <w:widowControl/>
      <w:spacing w:before="100" w:beforeAutospacing="1" w:after="100" w:afterAutospacing="1"/>
      <w:jc w:val="left"/>
    </w:pPr>
    <w:rPr>
      <w:rFonts w:ascii="宋体" w:hAnsi="宋体" w:cs="宋体"/>
      <w:b/>
      <w:bCs/>
      <w:color w:val="FF0000"/>
      <w:kern w:val="0"/>
      <w:szCs w:val="21"/>
    </w:rPr>
  </w:style>
  <w:style w:type="paragraph" w:customStyle="1" w:styleId="2206">
    <w:name w:val="样式3一级"/>
    <w:basedOn w:val="1"/>
    <w:qFormat/>
    <w:uiPriority w:val="0"/>
    <w:pPr>
      <w:spacing w:line="420" w:lineRule="exact"/>
      <w:jc w:val="center"/>
    </w:pPr>
    <w:rPr>
      <w:rFonts w:ascii="黑体" w:eastAsia="黑体"/>
      <w:sz w:val="36"/>
    </w:rPr>
  </w:style>
  <w:style w:type="paragraph" w:customStyle="1" w:styleId="2207">
    <w:name w:val="xl125"/>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208">
    <w:name w:val="样式 表格 + 居中"/>
    <w:basedOn w:val="1"/>
    <w:semiHidden/>
    <w:qFormat/>
    <w:uiPriority w:val="0"/>
    <w:pPr>
      <w:kinsoku w:val="0"/>
      <w:overflowPunct w:val="0"/>
      <w:adjustRightInd w:val="0"/>
      <w:snapToGrid w:val="0"/>
      <w:jc w:val="center"/>
    </w:pPr>
    <w:rPr>
      <w:snapToGrid w:val="0"/>
      <w:color w:val="000000"/>
      <w:kern w:val="0"/>
      <w:sz w:val="24"/>
    </w:rPr>
  </w:style>
  <w:style w:type="paragraph" w:customStyle="1" w:styleId="2209">
    <w:name w:val="xl136"/>
    <w:basedOn w:val="1"/>
    <w:qFormat/>
    <w:uiPriority w:val="0"/>
    <w:pPr>
      <w:widowControl/>
      <w:pBdr>
        <w:top w:val="single" w:color="auto" w:sz="8" w:space="0"/>
        <w:bottom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210">
    <w:name w:val="07环评括号"/>
    <w:basedOn w:val="1"/>
    <w:qFormat/>
    <w:uiPriority w:val="0"/>
    <w:pPr>
      <w:tabs>
        <w:tab w:val="left" w:pos="1322"/>
      </w:tabs>
      <w:spacing w:line="360" w:lineRule="auto"/>
      <w:ind w:left="1322" w:hanging="420"/>
      <w:jc w:val="left"/>
    </w:pPr>
    <w:rPr>
      <w:rFonts w:eastAsia="黑体"/>
      <w:sz w:val="24"/>
    </w:rPr>
  </w:style>
  <w:style w:type="paragraph" w:customStyle="1" w:styleId="2211">
    <w:name w:val="正文图小四"/>
    <w:basedOn w:val="1"/>
    <w:semiHidden/>
    <w:qFormat/>
    <w:uiPriority w:val="0"/>
    <w:pPr>
      <w:adjustRightInd w:val="0"/>
      <w:snapToGrid w:val="0"/>
      <w:jc w:val="center"/>
      <w:textAlignment w:val="baseline"/>
    </w:pPr>
    <w:rPr>
      <w:rFonts w:ascii="宋体"/>
      <w:kern w:val="0"/>
      <w:sz w:val="24"/>
    </w:rPr>
  </w:style>
  <w:style w:type="paragraph" w:customStyle="1" w:styleId="2212">
    <w:name w:val="xl127"/>
    <w:basedOn w:val="1"/>
    <w:qFormat/>
    <w:uiPriority w:val="0"/>
    <w:pPr>
      <w:widowControl/>
      <w:pBdr>
        <w:left w:val="single" w:color="auto" w:sz="12" w:space="0"/>
        <w:bottom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213">
    <w:name w:val="神华环评标题三级"/>
    <w:basedOn w:val="1"/>
    <w:qFormat/>
    <w:uiPriority w:val="0"/>
    <w:pPr>
      <w:tabs>
        <w:tab w:val="left" w:pos="4260"/>
      </w:tabs>
      <w:spacing w:line="360" w:lineRule="auto"/>
      <w:outlineLvl w:val="2"/>
    </w:pPr>
    <w:rPr>
      <w:rFonts w:ascii="Arial" w:hAnsi="Arial" w:cs="宋体"/>
      <w:b/>
      <w:bCs/>
      <w:kern w:val="0"/>
      <w:sz w:val="24"/>
      <w:szCs w:val="21"/>
    </w:rPr>
  </w:style>
  <w:style w:type="paragraph" w:customStyle="1" w:styleId="2214">
    <w:name w:val="表2.2-1"/>
    <w:basedOn w:val="1"/>
    <w:qFormat/>
    <w:uiPriority w:val="0"/>
    <w:pPr>
      <w:tabs>
        <w:tab w:val="left" w:pos="900"/>
      </w:tabs>
      <w:adjustRightInd w:val="0"/>
      <w:spacing w:line="360" w:lineRule="auto"/>
      <w:ind w:left="900" w:hanging="420"/>
      <w:jc w:val="center"/>
      <w:textAlignment w:val="baseline"/>
    </w:pPr>
    <w:rPr>
      <w:rFonts w:ascii="Arial" w:hAnsi="Arial" w:cs="宋体"/>
      <w:kern w:val="0"/>
      <w:sz w:val="24"/>
    </w:rPr>
  </w:style>
  <w:style w:type="paragraph" w:customStyle="1" w:styleId="2215">
    <w:name w:val="参加人员"/>
    <w:basedOn w:val="1"/>
    <w:qFormat/>
    <w:uiPriority w:val="0"/>
    <w:pPr>
      <w:spacing w:line="360" w:lineRule="auto"/>
    </w:pPr>
    <w:rPr>
      <w:sz w:val="24"/>
    </w:rPr>
  </w:style>
  <w:style w:type="paragraph" w:customStyle="1" w:styleId="2216">
    <w:name w:val="CM34"/>
    <w:basedOn w:val="1"/>
    <w:next w:val="1"/>
    <w:qFormat/>
    <w:uiPriority w:val="0"/>
    <w:pPr>
      <w:autoSpaceDE w:val="0"/>
      <w:autoSpaceDN w:val="0"/>
      <w:adjustRightInd w:val="0"/>
      <w:spacing w:after="123"/>
      <w:jc w:val="left"/>
    </w:pPr>
    <w:rPr>
      <w:rFonts w:ascii="Arial Unicode MS" w:hAnsi="Arial Unicode MS"/>
      <w:kern w:val="0"/>
      <w:sz w:val="24"/>
    </w:rPr>
  </w:style>
  <w:style w:type="paragraph" w:customStyle="1" w:styleId="2217">
    <w:name w:val="xl132"/>
    <w:basedOn w:val="1"/>
    <w:qFormat/>
    <w:uiPriority w:val="0"/>
    <w:pPr>
      <w:widowControl/>
      <w:pBdr>
        <w:bottom w:val="single" w:color="auto" w:sz="8"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218">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2219">
    <w:name w:val="表格小五（窄）"/>
    <w:basedOn w:val="193"/>
    <w:qFormat/>
    <w:uiPriority w:val="0"/>
    <w:pPr>
      <w:spacing w:line="280" w:lineRule="exact"/>
      <w:ind w:firstLine="0" w:firstLineChars="0"/>
    </w:pPr>
    <w:rPr>
      <w:color w:val="auto"/>
      <w:sz w:val="18"/>
    </w:rPr>
  </w:style>
  <w:style w:type="paragraph" w:customStyle="1" w:styleId="2220">
    <w:name w:val="xl140"/>
    <w:basedOn w:val="1"/>
    <w:qFormat/>
    <w:uiPriority w:val="0"/>
    <w:pPr>
      <w:widowControl/>
      <w:pBdr>
        <w:top w:val="single" w:color="auto" w:sz="8" w:space="0"/>
        <w:bottom w:val="single" w:color="auto" w:sz="12"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221">
    <w:name w:val="表格字体"/>
    <w:basedOn w:val="1"/>
    <w:qFormat/>
    <w:uiPriority w:val="0"/>
    <w:pPr>
      <w:spacing w:line="360" w:lineRule="auto"/>
      <w:jc w:val="center"/>
    </w:pPr>
    <w:rPr>
      <w:sz w:val="24"/>
      <w:szCs w:val="20"/>
    </w:rPr>
  </w:style>
  <w:style w:type="paragraph" w:customStyle="1" w:styleId="2222">
    <w:name w:val="第五章"/>
    <w:basedOn w:val="1633"/>
    <w:qFormat/>
    <w:uiPriority w:val="0"/>
    <w:pPr>
      <w:widowControl w:val="0"/>
      <w:tabs>
        <w:tab w:val="left" w:pos="780"/>
      </w:tabs>
      <w:adjustRightInd w:val="0"/>
      <w:snapToGrid w:val="0"/>
      <w:spacing w:before="0" w:after="0" w:line="360" w:lineRule="auto"/>
      <w:ind w:left="780" w:leftChars="200" w:hanging="360" w:hangingChars="200"/>
      <w:jc w:val="center"/>
      <w:outlineLvl w:val="9"/>
    </w:pPr>
    <w:rPr>
      <w:kern w:val="2"/>
      <w:sz w:val="28"/>
    </w:rPr>
  </w:style>
  <w:style w:type="paragraph" w:customStyle="1" w:styleId="2223">
    <w:name w:val="图5.4"/>
    <w:basedOn w:val="1"/>
    <w:qFormat/>
    <w:uiPriority w:val="0"/>
    <w:pPr>
      <w:tabs>
        <w:tab w:val="left" w:pos="840"/>
      </w:tabs>
      <w:spacing w:line="360" w:lineRule="auto"/>
      <w:ind w:left="840" w:hanging="840"/>
    </w:pPr>
    <w:rPr>
      <w:rFonts w:ascii="宋体" w:hAnsi="宋体" w:cs="宋体"/>
      <w:sz w:val="24"/>
      <w:szCs w:val="20"/>
    </w:rPr>
  </w:style>
  <w:style w:type="paragraph" w:customStyle="1" w:styleId="2224">
    <w:name w:val="xl139"/>
    <w:basedOn w:val="1"/>
    <w:qFormat/>
    <w:uiPriority w:val="0"/>
    <w:pPr>
      <w:widowControl/>
      <w:pBdr>
        <w:top w:val="single" w:color="auto" w:sz="8" w:space="0"/>
        <w:bottom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2225">
    <w:name w:val="图"/>
    <w:basedOn w:val="21"/>
    <w:next w:val="1"/>
    <w:qFormat/>
    <w:uiPriority w:val="0"/>
    <w:pPr>
      <w:spacing w:line="240" w:lineRule="exact"/>
      <w:ind w:firstLine="0"/>
      <w:jc w:val="center"/>
    </w:pPr>
    <w:rPr>
      <w:rFonts w:ascii="宋体" w:hAnsi="宋体"/>
      <w:sz w:val="21"/>
      <w:szCs w:val="21"/>
    </w:rPr>
  </w:style>
  <w:style w:type="paragraph" w:customStyle="1" w:styleId="2226">
    <w:name w:val="图5.6"/>
    <w:basedOn w:val="45"/>
    <w:qFormat/>
    <w:uiPriority w:val="0"/>
    <w:pPr>
      <w:spacing w:line="440" w:lineRule="exact"/>
      <w:jc w:val="center"/>
    </w:pPr>
    <w:rPr>
      <w:rFonts w:ascii="黑体" w:hAnsi="宋体" w:eastAsia="黑体"/>
      <w:sz w:val="24"/>
      <w:szCs w:val="24"/>
    </w:rPr>
  </w:style>
  <w:style w:type="paragraph" w:customStyle="1" w:styleId="2227">
    <w:name w:val="菲薄1"/>
    <w:basedOn w:val="1"/>
    <w:qFormat/>
    <w:uiPriority w:val="0"/>
    <w:pPr>
      <w:spacing w:line="720" w:lineRule="exact"/>
      <w:ind w:firstLine="570"/>
    </w:pPr>
    <w:rPr>
      <w:sz w:val="28"/>
      <w:szCs w:val="28"/>
    </w:rPr>
  </w:style>
  <w:style w:type="paragraph" w:customStyle="1" w:styleId="2228">
    <w:name w:val="Achievement"/>
    <w:basedOn w:val="34"/>
    <w:qFormat/>
    <w:uiPriority w:val="0"/>
    <w:pPr>
      <w:widowControl/>
      <w:tabs>
        <w:tab w:val="left" w:pos="1260"/>
      </w:tabs>
      <w:autoSpaceDE w:val="0"/>
      <w:autoSpaceDN w:val="0"/>
      <w:spacing w:after="60" w:line="220" w:lineRule="atLeast"/>
      <w:ind w:left="1260" w:right="-360" w:hanging="720"/>
    </w:pPr>
    <w:rPr>
      <w:color w:val="000000"/>
      <w:spacing w:val="20"/>
      <w:kern w:val="0"/>
      <w:position w:val="-4"/>
      <w:sz w:val="24"/>
      <w:szCs w:val="20"/>
    </w:rPr>
  </w:style>
  <w:style w:type="paragraph" w:customStyle="1" w:styleId="2229">
    <w:name w:val="列表编号 31"/>
    <w:basedOn w:val="1"/>
    <w:qFormat/>
    <w:uiPriority w:val="0"/>
    <w:pPr>
      <w:tabs>
        <w:tab w:val="left" w:pos="780"/>
        <w:tab w:val="left" w:pos="1200"/>
      </w:tabs>
      <w:ind w:left="780" w:hanging="360"/>
    </w:pPr>
  </w:style>
  <w:style w:type="paragraph" w:customStyle="1" w:styleId="2230">
    <w:name w:val="Bullet 1"/>
    <w:basedOn w:val="1"/>
    <w:next w:val="1"/>
    <w:qFormat/>
    <w:uiPriority w:val="0"/>
    <w:pPr>
      <w:keepNext/>
      <w:keepLines/>
      <w:widowControl/>
      <w:tabs>
        <w:tab w:val="left" w:pos="1080"/>
        <w:tab w:val="left" w:pos="1440"/>
      </w:tabs>
      <w:autoSpaceDE w:val="0"/>
      <w:autoSpaceDN w:val="0"/>
      <w:ind w:left="2160" w:right="212" w:hanging="600"/>
      <w:jc w:val="center"/>
    </w:pPr>
    <w:rPr>
      <w:rFonts w:ascii="黑体" w:hAnsi="Arial" w:eastAsia="黑体"/>
      <w:color w:val="000000"/>
      <w:kern w:val="0"/>
      <w:position w:val="-4"/>
      <w:sz w:val="20"/>
      <w:szCs w:val="20"/>
    </w:rPr>
  </w:style>
  <w:style w:type="paragraph" w:customStyle="1" w:styleId="2231">
    <w:name w:val="批注框文本 Char Char"/>
    <w:basedOn w:val="1"/>
    <w:qFormat/>
    <w:uiPriority w:val="0"/>
    <w:rPr>
      <w:sz w:val="18"/>
      <w:szCs w:val="20"/>
    </w:rPr>
  </w:style>
  <w:style w:type="paragraph" w:customStyle="1" w:styleId="2232">
    <w:name w:val="Bullet level 3"/>
    <w:basedOn w:val="2233"/>
    <w:qFormat/>
    <w:uiPriority w:val="0"/>
    <w:pPr>
      <w:keepNext/>
      <w:keepLines/>
      <w:tabs>
        <w:tab w:val="left" w:pos="1368"/>
      </w:tabs>
      <w:ind w:left="1368" w:hanging="432"/>
    </w:pPr>
    <w:rPr>
      <w:rFonts w:ascii="黑体"/>
      <w:b w:val="0"/>
      <w:sz w:val="28"/>
    </w:rPr>
  </w:style>
  <w:style w:type="paragraph" w:customStyle="1" w:styleId="2233">
    <w:name w:val="Doc Number"/>
    <w:basedOn w:val="1"/>
    <w:qFormat/>
    <w:uiPriority w:val="0"/>
    <w:pPr>
      <w:wordWrap w:val="0"/>
      <w:autoSpaceDE w:val="0"/>
      <w:autoSpaceDN w:val="0"/>
      <w:spacing w:before="120"/>
      <w:ind w:left="-96" w:right="212" w:firstLine="96"/>
      <w:jc w:val="center"/>
    </w:pPr>
    <w:rPr>
      <w:rFonts w:ascii="Arial" w:hAnsi="Arial" w:eastAsia="黑体"/>
      <w:b/>
      <w:color w:val="000000"/>
      <w:position w:val="-4"/>
      <w:sz w:val="30"/>
      <w:szCs w:val="20"/>
    </w:rPr>
  </w:style>
  <w:style w:type="paragraph" w:customStyle="1" w:styleId="2234">
    <w:name w:val="结束语12"/>
    <w:basedOn w:val="1"/>
    <w:qFormat/>
    <w:uiPriority w:val="0"/>
    <w:pPr>
      <w:ind w:left="100" w:leftChars="2100"/>
    </w:pPr>
    <w:rPr>
      <w:rFonts w:ascii="Calibri" w:hAnsi="Calibri"/>
      <w:color w:val="000000"/>
      <w:kern w:val="0"/>
      <w:sz w:val="24"/>
      <w:szCs w:val="15"/>
    </w:rPr>
  </w:style>
  <w:style w:type="paragraph" w:customStyle="1" w:styleId="2235">
    <w:name w:val="宋体 行距: 固定值 12 磅"/>
    <w:basedOn w:val="57"/>
    <w:qFormat/>
    <w:uiPriority w:val="0"/>
    <w:pPr>
      <w:pBdr>
        <w:bottom w:val="none" w:color="auto" w:sz="0" w:space="0"/>
      </w:pBdr>
      <w:tabs>
        <w:tab w:val="clear" w:pos="4153"/>
        <w:tab w:val="clear" w:pos="8306"/>
      </w:tabs>
      <w:snapToGrid/>
      <w:spacing w:line="240" w:lineRule="exact"/>
    </w:pPr>
    <w:rPr>
      <w:rFonts w:ascii="宋体" w:hAnsi="宋体"/>
      <w:spacing w:val="-20"/>
    </w:rPr>
  </w:style>
  <w:style w:type="paragraph" w:customStyle="1" w:styleId="2236">
    <w:name w:val="Char Char Char Char Char Char Char Char Char Char3"/>
    <w:basedOn w:val="1"/>
    <w:qFormat/>
    <w:uiPriority w:val="0"/>
    <w:pPr>
      <w:spacing w:line="360" w:lineRule="auto"/>
      <w:ind w:firstLine="200" w:firstLineChars="200"/>
    </w:pPr>
  </w:style>
  <w:style w:type="paragraph" w:customStyle="1" w:styleId="2237">
    <w:name w:val="Bullet level 1"/>
    <w:basedOn w:val="2233"/>
    <w:qFormat/>
    <w:uiPriority w:val="0"/>
    <w:pPr>
      <w:keepNext/>
      <w:keepLines/>
      <w:tabs>
        <w:tab w:val="left" w:pos="1320"/>
      </w:tabs>
      <w:ind w:left="1320" w:hanging="780"/>
    </w:pPr>
    <w:rPr>
      <w:rFonts w:ascii="黑体"/>
      <w:b w:val="0"/>
      <w:sz w:val="28"/>
    </w:rPr>
  </w:style>
  <w:style w:type="paragraph" w:customStyle="1" w:styleId="2238">
    <w:name w:val="列表编号 21"/>
    <w:basedOn w:val="1"/>
    <w:qFormat/>
    <w:uiPriority w:val="0"/>
    <w:pPr>
      <w:tabs>
        <w:tab w:val="left" w:pos="780"/>
        <w:tab w:val="left" w:pos="1200"/>
      </w:tabs>
      <w:ind w:left="1200" w:hanging="360"/>
    </w:pPr>
  </w:style>
  <w:style w:type="paragraph" w:customStyle="1" w:styleId="2239">
    <w:name w:val="Bullet level 2"/>
    <w:basedOn w:val="1"/>
    <w:qFormat/>
    <w:uiPriority w:val="0"/>
    <w:pPr>
      <w:keepNext/>
      <w:keepLines/>
      <w:widowControl/>
      <w:tabs>
        <w:tab w:val="left" w:pos="432"/>
      </w:tabs>
      <w:autoSpaceDE w:val="0"/>
      <w:autoSpaceDN w:val="0"/>
      <w:ind w:left="432" w:right="212" w:hanging="432"/>
      <w:jc w:val="center"/>
    </w:pPr>
    <w:rPr>
      <w:rFonts w:ascii="黑体" w:hAnsi="Arial" w:eastAsia="黑体"/>
      <w:color w:val="000000"/>
      <w:kern w:val="0"/>
      <w:position w:val="-4"/>
      <w:sz w:val="28"/>
      <w:szCs w:val="20"/>
    </w:rPr>
  </w:style>
  <w:style w:type="paragraph" w:customStyle="1" w:styleId="2240">
    <w:name w:val="aa"/>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2241">
    <w:name w:val="Bullet 2"/>
    <w:basedOn w:val="1"/>
    <w:next w:val="1"/>
    <w:qFormat/>
    <w:uiPriority w:val="0"/>
    <w:pPr>
      <w:keepNext/>
      <w:keepLines/>
      <w:widowControl/>
      <w:tabs>
        <w:tab w:val="left" w:pos="425"/>
        <w:tab w:val="left" w:pos="1440"/>
      </w:tabs>
      <w:autoSpaceDE w:val="0"/>
      <w:autoSpaceDN w:val="0"/>
      <w:ind w:left="425" w:right="212" w:hanging="425"/>
      <w:jc w:val="center"/>
    </w:pPr>
    <w:rPr>
      <w:rFonts w:ascii="黑体" w:hAnsi="Arial" w:eastAsia="黑体"/>
      <w:color w:val="000000"/>
      <w:kern w:val="0"/>
      <w:position w:val="-4"/>
      <w:sz w:val="20"/>
      <w:szCs w:val="20"/>
    </w:rPr>
  </w:style>
  <w:style w:type="paragraph" w:customStyle="1" w:styleId="2242">
    <w:name w:val="Bullet 3"/>
    <w:basedOn w:val="1"/>
    <w:next w:val="1"/>
    <w:qFormat/>
    <w:uiPriority w:val="0"/>
    <w:pPr>
      <w:keepNext/>
      <w:keepLines/>
      <w:widowControl/>
      <w:tabs>
        <w:tab w:val="left" w:pos="432"/>
        <w:tab w:val="left" w:pos="1440"/>
      </w:tabs>
      <w:autoSpaceDE w:val="0"/>
      <w:autoSpaceDN w:val="0"/>
      <w:ind w:left="3600" w:right="212" w:hanging="432"/>
      <w:jc w:val="center"/>
    </w:pPr>
    <w:rPr>
      <w:rFonts w:ascii="黑体" w:hAnsi="Arial" w:eastAsia="黑体"/>
      <w:color w:val="000000"/>
      <w:kern w:val="0"/>
      <w:position w:val="-4"/>
      <w:sz w:val="20"/>
      <w:szCs w:val="20"/>
    </w:rPr>
  </w:style>
  <w:style w:type="paragraph" w:customStyle="1" w:styleId="2243">
    <w:name w:val="Char Char Char Char Char Char1 Char 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44">
    <w:name w:val="Bullet 4"/>
    <w:basedOn w:val="1"/>
    <w:next w:val="1"/>
    <w:qFormat/>
    <w:uiPriority w:val="0"/>
    <w:pPr>
      <w:keepNext/>
      <w:keepLines/>
      <w:widowControl/>
      <w:tabs>
        <w:tab w:val="left" w:pos="1200"/>
        <w:tab w:val="left" w:pos="1440"/>
      </w:tabs>
      <w:autoSpaceDE w:val="0"/>
      <w:autoSpaceDN w:val="0"/>
      <w:ind w:left="4320" w:right="212" w:hanging="720"/>
      <w:jc w:val="center"/>
    </w:pPr>
    <w:rPr>
      <w:rFonts w:ascii="黑体" w:hAnsi="Arial" w:eastAsia="黑体"/>
      <w:color w:val="000000"/>
      <w:kern w:val="0"/>
      <w:position w:val="-4"/>
      <w:sz w:val="20"/>
      <w:szCs w:val="20"/>
    </w:rPr>
  </w:style>
  <w:style w:type="paragraph" w:customStyle="1" w:styleId="2245">
    <w:name w:val="b"/>
    <w:basedOn w:val="1"/>
    <w:qFormat/>
    <w:uiPriority w:val="0"/>
    <w:pPr>
      <w:widowControl/>
      <w:spacing w:before="100" w:beforeAutospacing="1" w:after="100" w:afterAutospacing="1"/>
      <w:jc w:val="left"/>
    </w:pPr>
    <w:rPr>
      <w:rFonts w:ascii="宋体" w:hAnsi="宋体"/>
      <w:b/>
      <w:bCs/>
      <w:kern w:val="0"/>
      <w:sz w:val="27"/>
      <w:szCs w:val="27"/>
    </w:rPr>
  </w:style>
  <w:style w:type="paragraph" w:customStyle="1" w:styleId="2246">
    <w:name w:val="Bullet 5"/>
    <w:basedOn w:val="1"/>
    <w:next w:val="1"/>
    <w:qFormat/>
    <w:uiPriority w:val="0"/>
    <w:pPr>
      <w:keepNext/>
      <w:keepLines/>
      <w:widowControl/>
      <w:tabs>
        <w:tab w:val="left" w:pos="1440"/>
      </w:tabs>
      <w:autoSpaceDE w:val="0"/>
      <w:autoSpaceDN w:val="0"/>
      <w:ind w:left="5041" w:right="212" w:hanging="720"/>
      <w:jc w:val="center"/>
    </w:pPr>
    <w:rPr>
      <w:rFonts w:ascii="黑体" w:hAnsi="Arial" w:eastAsia="黑体"/>
      <w:color w:val="000000"/>
      <w:kern w:val="0"/>
      <w:position w:val="-4"/>
      <w:sz w:val="20"/>
      <w:szCs w:val="20"/>
    </w:rPr>
  </w:style>
  <w:style w:type="paragraph" w:customStyle="1" w:styleId="2247">
    <w:name w:val="Bullet1"/>
    <w:basedOn w:val="1"/>
    <w:next w:val="1"/>
    <w:qFormat/>
    <w:uiPriority w:val="0"/>
    <w:pPr>
      <w:keepNext/>
      <w:keepLines/>
      <w:widowControl/>
      <w:tabs>
        <w:tab w:val="left" w:pos="567"/>
        <w:tab w:val="left" w:pos="900"/>
      </w:tabs>
      <w:autoSpaceDE w:val="0"/>
      <w:autoSpaceDN w:val="0"/>
      <w:ind w:left="567" w:right="212" w:hanging="567"/>
    </w:pPr>
    <w:rPr>
      <w:rFonts w:ascii="Univers" w:hAnsi="Univers" w:eastAsia="黑体"/>
      <w:color w:val="000000"/>
      <w:kern w:val="0"/>
      <w:position w:val="-4"/>
      <w:sz w:val="28"/>
      <w:szCs w:val="20"/>
    </w:rPr>
  </w:style>
  <w:style w:type="paragraph" w:customStyle="1" w:styleId="2248">
    <w:name w:val="xl142"/>
    <w:basedOn w:val="1"/>
    <w:qFormat/>
    <w:uiPriority w:val="0"/>
    <w:pPr>
      <w:widowControl/>
      <w:pBdr>
        <w:bottom w:val="single" w:color="auto" w:sz="12"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249">
    <w:name w:val="表内序号"/>
    <w:basedOn w:val="1"/>
    <w:qFormat/>
    <w:uiPriority w:val="0"/>
    <w:pPr>
      <w:tabs>
        <w:tab w:val="left" w:pos="360"/>
      </w:tabs>
      <w:autoSpaceDE w:val="0"/>
      <w:autoSpaceDN w:val="0"/>
      <w:adjustRightInd w:val="0"/>
      <w:spacing w:before="60" w:after="60"/>
      <w:ind w:left="6" w:right="6" w:hanging="6"/>
      <w:jc w:val="center"/>
      <w:textAlignment w:val="baseline"/>
    </w:pPr>
    <w:rPr>
      <w:rFonts w:ascii="宋体"/>
      <w:kern w:val="0"/>
      <w:sz w:val="24"/>
      <w:szCs w:val="20"/>
    </w:rPr>
  </w:style>
  <w:style w:type="paragraph" w:customStyle="1" w:styleId="2250">
    <w:name w:val="日期12"/>
    <w:basedOn w:val="1"/>
    <w:next w:val="1"/>
    <w:qFormat/>
    <w:uiPriority w:val="0"/>
    <w:pPr>
      <w:ind w:left="100" w:leftChars="2500"/>
    </w:pPr>
    <w:rPr>
      <w:kern w:val="0"/>
      <w:sz w:val="22"/>
      <w:lang w:val="en-GB"/>
    </w:rPr>
  </w:style>
  <w:style w:type="paragraph" w:customStyle="1" w:styleId="2251">
    <w:name w:val="样式 标题 3 + 黑色 行距: 最小值 25 磅"/>
    <w:basedOn w:val="5"/>
    <w:qFormat/>
    <w:uiPriority w:val="0"/>
    <w:pPr>
      <w:keepLines w:val="0"/>
      <w:widowControl w:val="0"/>
      <w:numPr>
        <w:ilvl w:val="0"/>
        <w:numId w:val="0"/>
      </w:numPr>
      <w:spacing w:line="500" w:lineRule="atLeast"/>
    </w:pPr>
    <w:rPr>
      <w:rFonts w:eastAsia="宋体"/>
      <w:b w:val="0"/>
      <w:bCs w:val="0"/>
      <w:color w:val="000000"/>
      <w:szCs w:val="28"/>
    </w:rPr>
  </w:style>
  <w:style w:type="paragraph" w:customStyle="1" w:styleId="2252">
    <w:name w:val="Objective"/>
    <w:basedOn w:val="1"/>
    <w:next w:val="34"/>
    <w:qFormat/>
    <w:uiPriority w:val="0"/>
    <w:pPr>
      <w:widowControl/>
      <w:tabs>
        <w:tab w:val="left" w:pos="360"/>
      </w:tabs>
      <w:autoSpaceDE w:val="0"/>
      <w:autoSpaceDN w:val="0"/>
      <w:spacing w:before="220" w:after="220" w:line="220" w:lineRule="atLeast"/>
      <w:ind w:left="-96" w:right="-170" w:firstLine="96"/>
    </w:pPr>
    <w:rPr>
      <w:rFonts w:ascii="宋体" w:hAnsi="宋体"/>
      <w:color w:val="000000"/>
      <w:spacing w:val="20"/>
      <w:kern w:val="0"/>
      <w:position w:val="-4"/>
      <w:sz w:val="24"/>
      <w:szCs w:val="20"/>
    </w:rPr>
  </w:style>
  <w:style w:type="paragraph" w:customStyle="1" w:styleId="2253">
    <w:name w:val="索引 41"/>
    <w:basedOn w:val="1"/>
    <w:next w:val="1"/>
    <w:qFormat/>
    <w:uiPriority w:val="0"/>
    <w:pPr>
      <w:ind w:left="600" w:leftChars="600"/>
    </w:pPr>
  </w:style>
  <w:style w:type="paragraph" w:customStyle="1" w:styleId="2254">
    <w:name w:val="a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255">
    <w:name w:val="表标16.6"/>
    <w:next w:val="1"/>
    <w:qFormat/>
    <w:uiPriority w:val="0"/>
    <w:pPr>
      <w:tabs>
        <w:tab w:val="left" w:pos="1560"/>
        <w:tab w:val="left" w:pos="2160"/>
      </w:tabs>
      <w:adjustRightInd w:val="0"/>
      <w:snapToGrid w:val="0"/>
      <w:spacing w:line="0" w:lineRule="atLeast"/>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2256">
    <w:name w:val="索引 11"/>
    <w:basedOn w:val="1"/>
    <w:next w:val="1"/>
    <w:qFormat/>
    <w:uiPriority w:val="0"/>
    <w:pPr>
      <w:ind w:left="210" w:hanging="210"/>
      <w:jc w:val="left"/>
    </w:pPr>
  </w:style>
  <w:style w:type="paragraph" w:customStyle="1" w:styleId="2257">
    <w:name w:val="标题ab"/>
    <w:basedOn w:val="1"/>
    <w:next w:val="84"/>
    <w:qFormat/>
    <w:uiPriority w:val="0"/>
    <w:pPr>
      <w:spacing w:line="1500" w:lineRule="exact"/>
      <w:jc w:val="center"/>
    </w:pPr>
    <w:rPr>
      <w:rFonts w:ascii="宋体" w:hAnsi="宋体"/>
      <w:b/>
      <w:color w:val="000000"/>
      <w:sz w:val="44"/>
    </w:rPr>
  </w:style>
  <w:style w:type="paragraph" w:customStyle="1" w:styleId="2258">
    <w:name w:val="表标题16.9"/>
    <w:basedOn w:val="1"/>
    <w:qFormat/>
    <w:uiPriority w:val="0"/>
    <w:pPr>
      <w:tabs>
        <w:tab w:val="left" w:pos="360"/>
        <w:tab w:val="center" w:pos="4060"/>
        <w:tab w:val="right" w:pos="8261"/>
      </w:tabs>
      <w:suppressAutoHyphens/>
      <w:adjustRightInd w:val="0"/>
      <w:spacing w:before="240" w:line="0" w:lineRule="atLeast"/>
      <w:ind w:left="360" w:hanging="360"/>
    </w:pPr>
    <w:rPr>
      <w:rFonts w:ascii="黑体" w:eastAsia="黑体"/>
      <w:b/>
      <w:spacing w:val="6"/>
      <w:kern w:val="0"/>
      <w:sz w:val="26"/>
      <w:szCs w:val="26"/>
    </w:rPr>
  </w:style>
  <w:style w:type="paragraph" w:customStyle="1" w:styleId="2259">
    <w:name w:val="小节标题"/>
    <w:basedOn w:val="1"/>
    <w:next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2260">
    <w:name w:val="正文-使用"/>
    <w:basedOn w:val="1"/>
    <w:qFormat/>
    <w:uiPriority w:val="0"/>
    <w:pPr>
      <w:adjustRightInd w:val="0"/>
      <w:snapToGrid w:val="0"/>
      <w:spacing w:line="360" w:lineRule="auto"/>
      <w:ind w:firstLine="482"/>
    </w:pPr>
    <w:rPr>
      <w:sz w:val="24"/>
      <w:szCs w:val="20"/>
    </w:rPr>
  </w:style>
  <w:style w:type="paragraph" w:customStyle="1" w:styleId="2261">
    <w:name w:val="表格文字样式"/>
    <w:basedOn w:val="1"/>
    <w:qFormat/>
    <w:uiPriority w:val="0"/>
    <w:pPr>
      <w:tabs>
        <w:tab w:val="left" w:pos="567"/>
      </w:tabs>
      <w:jc w:val="center"/>
    </w:pPr>
    <w:rPr>
      <w:spacing w:val="20"/>
      <w:sz w:val="24"/>
      <w:szCs w:val="20"/>
    </w:rPr>
  </w:style>
  <w:style w:type="paragraph" w:customStyle="1" w:styleId="2262">
    <w:name w:val="索引 81"/>
    <w:basedOn w:val="1"/>
    <w:next w:val="1"/>
    <w:qFormat/>
    <w:uiPriority w:val="0"/>
    <w:pPr>
      <w:ind w:left="1400" w:leftChars="1400"/>
    </w:pPr>
  </w:style>
  <w:style w:type="paragraph" w:customStyle="1" w:styleId="2263">
    <w:name w:val="三级"/>
    <w:basedOn w:val="5"/>
    <w:next w:val="1"/>
    <w:qFormat/>
    <w:uiPriority w:val="0"/>
    <w:pPr>
      <w:widowControl w:val="0"/>
      <w:numPr>
        <w:ilvl w:val="0"/>
        <w:numId w:val="0"/>
      </w:numPr>
      <w:spacing w:line="560" w:lineRule="exact"/>
      <w:jc w:val="both"/>
    </w:pPr>
    <w:rPr>
      <w:rFonts w:eastAsia="仿宋_GB2312"/>
      <w:b w:val="0"/>
      <w:spacing w:val="12"/>
    </w:rPr>
  </w:style>
  <w:style w:type="paragraph" w:customStyle="1" w:styleId="2264">
    <w:name w:val="Char Char Char Char Char Char Char Char Char Char Char Char1 Char Char Char Char Char Char Char Char Char Char Char Char Char Char Char Char Char Char1 Char 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265">
    <w:name w:val="表格文字居左"/>
    <w:basedOn w:val="86"/>
    <w:qFormat/>
    <w:uiPriority w:val="0"/>
    <w:pPr>
      <w:tabs>
        <w:tab w:val="left" w:pos="628"/>
        <w:tab w:val="left" w:pos="1727"/>
        <w:tab w:val="left" w:pos="1884"/>
      </w:tabs>
      <w:snapToGrid w:val="0"/>
      <w:spacing w:before="50" w:after="100" w:afterAutospacing="1"/>
      <w:ind w:left="26" w:firstLine="0" w:firstLineChars="0"/>
      <w:jc w:val="left"/>
      <w:outlineLvl w:val="0"/>
    </w:pPr>
    <w:rPr>
      <w:kern w:val="0"/>
      <w:sz w:val="24"/>
      <w:szCs w:val="28"/>
    </w:rPr>
  </w:style>
  <w:style w:type="paragraph" w:customStyle="1" w:styleId="2266">
    <w:name w:val="Z正文"/>
    <w:basedOn w:val="34"/>
    <w:qFormat/>
    <w:uiPriority w:val="0"/>
    <w:pPr>
      <w:spacing w:after="120" w:line="240" w:lineRule="auto"/>
      <w:ind w:firstLine="600" w:firstLineChars="200"/>
    </w:pPr>
    <w:rPr>
      <w:rFonts w:ascii="Times New Roman" w:hAnsi="Times New Roman" w:eastAsia="仿宋_GB2312"/>
      <w:sz w:val="30"/>
      <w:szCs w:val="20"/>
    </w:rPr>
  </w:style>
  <w:style w:type="paragraph" w:customStyle="1" w:styleId="2267">
    <w:name w:val="列表1"/>
    <w:basedOn w:val="66"/>
    <w:qFormat/>
    <w:uiPriority w:val="0"/>
    <w:pPr>
      <w:tabs>
        <w:tab w:val="left" w:pos="1727"/>
        <w:tab w:val="left" w:pos="1884"/>
      </w:tabs>
      <w:snapToGrid w:val="0"/>
      <w:spacing w:line="360" w:lineRule="auto"/>
      <w:ind w:left="0" w:firstLine="0" w:firstLineChars="0"/>
      <w:outlineLvl w:val="0"/>
    </w:pPr>
    <w:rPr>
      <w:rFonts w:ascii="宋体" w:hAnsi="宋体"/>
      <w:sz w:val="32"/>
      <w:szCs w:val="20"/>
    </w:rPr>
  </w:style>
  <w:style w:type="paragraph" w:customStyle="1" w:styleId="2268">
    <w:name w:val="Char43"/>
    <w:basedOn w:val="1"/>
    <w:qFormat/>
    <w:uiPriority w:val="0"/>
    <w:pPr>
      <w:spacing w:line="360" w:lineRule="auto"/>
      <w:ind w:firstLine="200" w:firstLineChars="200"/>
    </w:pPr>
    <w:rPr>
      <w:rFonts w:ascii="宋体" w:hAnsi="宋体" w:cs="宋体"/>
      <w:sz w:val="24"/>
    </w:rPr>
  </w:style>
  <w:style w:type="paragraph" w:customStyle="1" w:styleId="2269">
    <w:name w:val="列表接续1"/>
    <w:basedOn w:val="1"/>
    <w:qFormat/>
    <w:uiPriority w:val="0"/>
    <w:pPr>
      <w:spacing w:after="120"/>
      <w:ind w:left="420" w:leftChars="200"/>
    </w:pPr>
  </w:style>
  <w:style w:type="paragraph" w:customStyle="1" w:styleId="2270">
    <w:name w:val="图头"/>
    <w:basedOn w:val="1"/>
    <w:qFormat/>
    <w:uiPriority w:val="0"/>
    <w:pPr>
      <w:tabs>
        <w:tab w:val="left" w:pos="7245"/>
      </w:tabs>
      <w:adjustRightInd w:val="0"/>
      <w:spacing w:line="400" w:lineRule="exact"/>
      <w:jc w:val="center"/>
    </w:pPr>
    <w:rPr>
      <w:rFonts w:ascii="Arial" w:hAnsi="Arial" w:eastAsia="黑体" w:cs="Arial"/>
      <w:color w:val="000000"/>
      <w:kern w:val="0"/>
      <w:sz w:val="24"/>
      <w:szCs w:val="21"/>
    </w:rPr>
  </w:style>
  <w:style w:type="paragraph" w:customStyle="1" w:styleId="2271">
    <w:name w:val="正文样式11"/>
    <w:basedOn w:val="1"/>
    <w:qFormat/>
    <w:uiPriority w:val="0"/>
    <w:pPr>
      <w:ind w:firstLine="548" w:firstLineChars="200"/>
      <w:jc w:val="left"/>
    </w:pPr>
    <w:rPr>
      <w:rFonts w:ascii="宋体" w:hAnsi="宋体" w:cs="Arial"/>
      <w:bCs/>
      <w:color w:val="000000"/>
      <w:sz w:val="24"/>
    </w:rPr>
  </w:style>
  <w:style w:type="paragraph" w:customStyle="1" w:styleId="2272">
    <w:name w:val="文本框"/>
    <w:basedOn w:val="1"/>
    <w:qFormat/>
    <w:uiPriority w:val="0"/>
    <w:pPr>
      <w:adjustRightInd w:val="0"/>
      <w:snapToGrid w:val="0"/>
      <w:spacing w:line="300" w:lineRule="exact"/>
      <w:jc w:val="center"/>
    </w:pPr>
    <w:rPr>
      <w:sz w:val="24"/>
    </w:rPr>
  </w:style>
  <w:style w:type="paragraph" w:customStyle="1" w:styleId="2273">
    <w:name w:val="信息标题1"/>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2274">
    <w:name w:val="表格(另)"/>
    <w:basedOn w:val="190"/>
    <w:next w:val="1"/>
    <w:semiHidden/>
    <w:qFormat/>
    <w:uiPriority w:val="0"/>
    <w:pPr>
      <w:adjustRightInd/>
      <w:snapToGrid/>
      <w:spacing w:line="320" w:lineRule="exact"/>
      <w:ind w:left="-42" w:leftChars="-20" w:right="-42" w:rightChars="-20"/>
      <w:textAlignment w:val="auto"/>
    </w:pPr>
    <w:rPr>
      <w:rFonts w:ascii="Arial" w:hAnsi="Arial" w:eastAsia="Arial" w:cs="Times New Roman"/>
      <w:sz w:val="21"/>
      <w:szCs w:val="21"/>
    </w:rPr>
  </w:style>
  <w:style w:type="paragraph" w:customStyle="1" w:styleId="2275">
    <w:name w:val="报告名"/>
    <w:basedOn w:val="1"/>
    <w:qFormat/>
    <w:uiPriority w:val="0"/>
    <w:pPr>
      <w:tabs>
        <w:tab w:val="left" w:pos="1727"/>
        <w:tab w:val="left" w:pos="1884"/>
      </w:tabs>
      <w:adjustRightInd w:val="0"/>
      <w:snapToGrid w:val="0"/>
      <w:spacing w:line="360" w:lineRule="auto"/>
      <w:ind w:left="26"/>
      <w:jc w:val="center"/>
      <w:outlineLvl w:val="0"/>
    </w:pPr>
    <w:rPr>
      <w:rFonts w:ascii="文鼎大标宋简" w:hAnsi="宋体" w:eastAsia="文鼎大标宋简"/>
      <w:sz w:val="56"/>
      <w:szCs w:val="20"/>
    </w:rPr>
  </w:style>
  <w:style w:type="paragraph" w:customStyle="1" w:styleId="2276">
    <w:name w:val="申报单位样式1"/>
    <w:basedOn w:val="1"/>
    <w:qFormat/>
    <w:uiPriority w:val="0"/>
    <w:pPr>
      <w:widowControl/>
      <w:jc w:val="center"/>
    </w:pPr>
    <w:rPr>
      <w:rFonts w:eastAsia="黑体"/>
      <w:b/>
      <w:snapToGrid w:val="0"/>
      <w:color w:val="000000"/>
      <w:w w:val="90"/>
      <w:kern w:val="32"/>
      <w:sz w:val="36"/>
      <w:szCs w:val="20"/>
    </w:rPr>
  </w:style>
  <w:style w:type="paragraph" w:customStyle="1" w:styleId="2277">
    <w:name w:val="索引标题1"/>
    <w:basedOn w:val="1"/>
    <w:next w:val="2256"/>
    <w:qFormat/>
    <w:uiPriority w:val="0"/>
    <w:rPr>
      <w:rFonts w:ascii="Arial" w:hAnsi="Arial" w:cs="Arial"/>
      <w:b/>
      <w:bCs/>
    </w:rPr>
  </w:style>
  <w:style w:type="paragraph" w:customStyle="1" w:styleId="2278">
    <w:name w:val="普通 (Web)17"/>
    <w:basedOn w:val="1"/>
    <w:qFormat/>
    <w:uiPriority w:val="0"/>
    <w:pPr>
      <w:widowControl/>
      <w:spacing w:before="100" w:beforeAutospacing="1" w:after="100" w:afterAutospacing="1"/>
      <w:jc w:val="left"/>
    </w:pPr>
    <w:rPr>
      <w:rFonts w:ascii="Arial Unicode MS" w:hAnsi="Arial Unicode MS" w:eastAsia="Times New Roman"/>
      <w:kern w:val="0"/>
      <w:sz w:val="18"/>
      <w:szCs w:val="18"/>
    </w:rPr>
  </w:style>
  <w:style w:type="paragraph" w:customStyle="1" w:styleId="2279">
    <w:name w:val="Char Char2 Char"/>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2280">
    <w:name w:val="索引 21"/>
    <w:basedOn w:val="1"/>
    <w:next w:val="1"/>
    <w:qFormat/>
    <w:uiPriority w:val="0"/>
    <w:pPr>
      <w:ind w:left="200" w:leftChars="200"/>
    </w:pPr>
  </w:style>
  <w:style w:type="paragraph" w:customStyle="1" w:styleId="2281">
    <w:name w:val="表字1"/>
    <w:basedOn w:val="1"/>
    <w:qFormat/>
    <w:uiPriority w:val="0"/>
    <w:pPr>
      <w:adjustRightInd w:val="0"/>
      <w:spacing w:line="360" w:lineRule="auto"/>
      <w:jc w:val="center"/>
      <w:textAlignment w:val="baseline"/>
    </w:pPr>
    <w:rPr>
      <w:rFonts w:ascii="宋体"/>
      <w:kern w:val="0"/>
      <w:szCs w:val="20"/>
    </w:rPr>
  </w:style>
  <w:style w:type="paragraph" w:customStyle="1" w:styleId="2282">
    <w:name w:val="表中正文"/>
    <w:basedOn w:val="1"/>
    <w:qFormat/>
    <w:uiPriority w:val="0"/>
    <w:pPr>
      <w:autoSpaceDE w:val="0"/>
      <w:autoSpaceDN w:val="0"/>
      <w:adjustRightInd w:val="0"/>
      <w:spacing w:before="60" w:after="60" w:line="240" w:lineRule="atLeast"/>
      <w:ind w:firstLine="527"/>
      <w:jc w:val="center"/>
      <w:textAlignment w:val="baseline"/>
    </w:pPr>
    <w:rPr>
      <w:rFonts w:ascii="宋体"/>
      <w:kern w:val="0"/>
      <w:sz w:val="24"/>
      <w:szCs w:val="20"/>
    </w:rPr>
  </w:style>
  <w:style w:type="paragraph" w:customStyle="1" w:styleId="2283">
    <w:name w:val="列表接续 21"/>
    <w:basedOn w:val="1"/>
    <w:qFormat/>
    <w:uiPriority w:val="0"/>
    <w:pPr>
      <w:spacing w:after="120"/>
      <w:ind w:left="840" w:leftChars="400"/>
    </w:pPr>
  </w:style>
  <w:style w:type="paragraph" w:customStyle="1" w:styleId="2284">
    <w:name w:val="表格文字/16"/>
    <w:basedOn w:val="1"/>
    <w:qFormat/>
    <w:uiPriority w:val="0"/>
    <w:pPr>
      <w:adjustRightInd w:val="0"/>
      <w:snapToGrid w:val="0"/>
      <w:spacing w:line="320" w:lineRule="exact"/>
      <w:jc w:val="center"/>
    </w:pPr>
    <w:rPr>
      <w:color w:val="000000"/>
      <w:kern w:val="32"/>
      <w:szCs w:val="20"/>
    </w:rPr>
  </w:style>
  <w:style w:type="paragraph" w:customStyle="1" w:styleId="2285">
    <w:name w:val="收信人地址1"/>
    <w:basedOn w:val="1"/>
    <w:qFormat/>
    <w:uiPriority w:val="0"/>
    <w:pPr>
      <w:snapToGrid w:val="0"/>
      <w:ind w:left="100" w:leftChars="1400"/>
    </w:pPr>
    <w:rPr>
      <w:rFonts w:ascii="Arial" w:hAnsi="Arial" w:cs="Arial"/>
      <w:sz w:val="24"/>
    </w:rPr>
  </w:style>
  <w:style w:type="paragraph" w:customStyle="1" w:styleId="2286">
    <w:name w:val="宏福正文-2"/>
    <w:basedOn w:val="86"/>
    <w:qFormat/>
    <w:uiPriority w:val="0"/>
    <w:pPr>
      <w:snapToGrid w:val="0"/>
      <w:spacing w:before="240" w:after="0" w:line="400" w:lineRule="atLeast"/>
      <w:ind w:firstLine="567" w:firstLineChars="0"/>
    </w:pPr>
    <w:rPr>
      <w:sz w:val="28"/>
      <w:szCs w:val="20"/>
    </w:rPr>
  </w:style>
  <w:style w:type="paragraph" w:customStyle="1" w:styleId="2287">
    <w:name w:val="索引 31"/>
    <w:basedOn w:val="1"/>
    <w:next w:val="1"/>
    <w:qFormat/>
    <w:uiPriority w:val="0"/>
    <w:pPr>
      <w:ind w:left="400" w:leftChars="400"/>
    </w:pPr>
  </w:style>
  <w:style w:type="paragraph" w:customStyle="1" w:styleId="2288">
    <w:name w:val="表格内"/>
    <w:basedOn w:val="1"/>
    <w:qFormat/>
    <w:uiPriority w:val="0"/>
    <w:pPr>
      <w:adjustRightInd w:val="0"/>
      <w:spacing w:line="240" w:lineRule="atLeast"/>
      <w:jc w:val="center"/>
      <w:textAlignment w:val="baseline"/>
    </w:pPr>
    <w:rPr>
      <w:rFonts w:ascii="宋体"/>
      <w:kern w:val="0"/>
      <w:sz w:val="28"/>
      <w:szCs w:val="28"/>
    </w:rPr>
  </w:style>
  <w:style w:type="paragraph" w:customStyle="1" w:styleId="2289">
    <w:name w:val="样式1，备注"/>
    <w:basedOn w:val="1"/>
    <w:qFormat/>
    <w:uiPriority w:val="0"/>
    <w:pPr>
      <w:adjustRightInd w:val="0"/>
      <w:snapToGrid w:val="0"/>
    </w:pPr>
    <w:rPr>
      <w:snapToGrid w:val="0"/>
      <w:kern w:val="0"/>
      <w:szCs w:val="21"/>
    </w:rPr>
  </w:style>
  <w:style w:type="paragraph" w:customStyle="1" w:styleId="2290">
    <w:name w:val="列表 51"/>
    <w:basedOn w:val="1"/>
    <w:qFormat/>
    <w:uiPriority w:val="0"/>
    <w:pPr>
      <w:ind w:left="100" w:leftChars="800" w:hanging="200" w:hangingChars="200"/>
    </w:pPr>
  </w:style>
  <w:style w:type="paragraph" w:customStyle="1" w:styleId="2291">
    <w:name w:val="表里"/>
    <w:basedOn w:val="1"/>
    <w:qFormat/>
    <w:uiPriority w:val="0"/>
    <w:pPr>
      <w:jc w:val="center"/>
      <w:outlineLvl w:val="8"/>
    </w:pPr>
    <w:rPr>
      <w:sz w:val="24"/>
    </w:rPr>
  </w:style>
  <w:style w:type="paragraph" w:customStyle="1" w:styleId="2292">
    <w:name w:val="8--"/>
    <w:basedOn w:val="1"/>
    <w:qFormat/>
    <w:uiPriority w:val="0"/>
    <w:pPr>
      <w:adjustRightInd w:val="0"/>
      <w:spacing w:line="360" w:lineRule="atLeast"/>
      <w:jc w:val="left"/>
      <w:textAlignment w:val="baseline"/>
    </w:pPr>
    <w:rPr>
      <w:kern w:val="0"/>
      <w:sz w:val="24"/>
      <w:szCs w:val="20"/>
    </w:rPr>
  </w:style>
  <w:style w:type="paragraph" w:customStyle="1" w:styleId="2293">
    <w:name w:val="称呼12"/>
    <w:basedOn w:val="1"/>
    <w:next w:val="1"/>
    <w:qFormat/>
    <w:uiPriority w:val="99"/>
    <w:rPr>
      <w:rFonts w:ascii="Calibri" w:hAnsi="Calibri"/>
      <w:kern w:val="0"/>
      <w:sz w:val="20"/>
    </w:rPr>
  </w:style>
  <w:style w:type="paragraph" w:customStyle="1" w:styleId="2294">
    <w:name w:val="正文文字缩进 2"/>
    <w:basedOn w:val="1"/>
    <w:qFormat/>
    <w:uiPriority w:val="0"/>
    <w:pPr>
      <w:widowControl/>
      <w:spacing w:line="351" w:lineRule="atLeast"/>
      <w:ind w:firstLine="822"/>
      <w:textAlignment w:val="baseline"/>
    </w:pPr>
    <w:rPr>
      <w:color w:val="000000"/>
      <w:kern w:val="0"/>
      <w:sz w:val="31"/>
      <w:szCs w:val="20"/>
      <w:u w:color="000000"/>
    </w:rPr>
  </w:style>
  <w:style w:type="paragraph" w:customStyle="1" w:styleId="2295">
    <w:name w:val="表中"/>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2296">
    <w:name w:val="索引 71"/>
    <w:basedOn w:val="1"/>
    <w:next w:val="1"/>
    <w:qFormat/>
    <w:uiPriority w:val="0"/>
    <w:pPr>
      <w:ind w:left="1200" w:leftChars="1200"/>
    </w:pPr>
  </w:style>
  <w:style w:type="paragraph" w:customStyle="1" w:styleId="2297">
    <w:name w:val="样式 标题 4 + 行距: 最小值 25 磅"/>
    <w:basedOn w:val="6"/>
    <w:qFormat/>
    <w:uiPriority w:val="0"/>
    <w:pPr>
      <w:keepNext w:val="0"/>
      <w:keepLines w:val="0"/>
      <w:tabs>
        <w:tab w:val="left" w:pos="864"/>
      </w:tabs>
      <w:adjustRightInd w:val="0"/>
      <w:spacing w:before="0" w:after="0" w:line="500" w:lineRule="atLeast"/>
    </w:pPr>
    <w:rPr>
      <w:rFonts w:ascii="Times New Roman" w:hAnsi="Times New Roman" w:eastAsia="宋体" w:cs="宋体"/>
      <w:b w:val="0"/>
      <w:bCs w:val="0"/>
      <w:kern w:val="0"/>
      <w:szCs w:val="20"/>
    </w:rPr>
  </w:style>
  <w:style w:type="paragraph" w:customStyle="1" w:styleId="2298">
    <w:name w:val="正文999"/>
    <w:basedOn w:val="1"/>
    <w:semiHidden/>
    <w:qFormat/>
    <w:uiPriority w:val="0"/>
    <w:pPr>
      <w:spacing w:line="360" w:lineRule="auto"/>
      <w:ind w:firstLine="480" w:firstLineChars="200"/>
    </w:pPr>
    <w:rPr>
      <w:rFonts w:ascii="宋体" w:hAnsi="宋体"/>
      <w:sz w:val="24"/>
    </w:rPr>
  </w:style>
  <w:style w:type="paragraph" w:customStyle="1" w:styleId="2299">
    <w:name w:val="列表编号 41"/>
    <w:basedOn w:val="1"/>
    <w:qFormat/>
    <w:uiPriority w:val="0"/>
    <w:pPr>
      <w:tabs>
        <w:tab w:val="left" w:pos="360"/>
        <w:tab w:val="left" w:pos="1620"/>
      </w:tabs>
      <w:ind w:left="360" w:hanging="360"/>
    </w:pPr>
  </w:style>
  <w:style w:type="paragraph" w:customStyle="1" w:styleId="2300">
    <w:name w:val="表格中"/>
    <w:basedOn w:val="1"/>
    <w:qFormat/>
    <w:uiPriority w:val="0"/>
    <w:pPr>
      <w:spacing w:line="280" w:lineRule="exact"/>
      <w:jc w:val="center"/>
    </w:pPr>
    <w:rPr>
      <w:rFonts w:ascii="宋体"/>
      <w:sz w:val="18"/>
    </w:rPr>
  </w:style>
  <w:style w:type="paragraph" w:customStyle="1" w:styleId="2301">
    <w:name w:val="Char Char Char1 Char Char Char 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2302">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2303">
    <w:name w:val="寄信人地址1"/>
    <w:basedOn w:val="1"/>
    <w:qFormat/>
    <w:uiPriority w:val="0"/>
    <w:pPr>
      <w:snapToGrid w:val="0"/>
    </w:pPr>
    <w:rPr>
      <w:rFonts w:ascii="Arial" w:hAnsi="Arial" w:cs="Arial"/>
    </w:rPr>
  </w:style>
  <w:style w:type="paragraph" w:customStyle="1" w:styleId="2304">
    <w:name w:val="文本框5号两端齐"/>
    <w:basedOn w:val="1"/>
    <w:semiHidden/>
    <w:qFormat/>
    <w:uiPriority w:val="0"/>
    <w:pPr>
      <w:widowControl/>
    </w:pPr>
    <w:rPr>
      <w:rFonts w:eastAsia="仿宋_GB2312"/>
      <w:szCs w:val="21"/>
    </w:rPr>
  </w:style>
  <w:style w:type="paragraph" w:customStyle="1" w:styleId="2305">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306">
    <w:name w:val="样式 仿宋_GB2312 小四1"/>
    <w:basedOn w:val="1"/>
    <w:semiHidden/>
    <w:qFormat/>
    <w:uiPriority w:val="0"/>
    <w:pPr>
      <w:adjustRightInd w:val="0"/>
      <w:spacing w:line="360" w:lineRule="auto"/>
      <w:ind w:firstLine="480" w:firstLineChars="200"/>
      <w:textAlignment w:val="baseline"/>
    </w:pPr>
    <w:rPr>
      <w:rFonts w:eastAsia="仿宋_GB2312"/>
      <w:kern w:val="0"/>
      <w:sz w:val="24"/>
    </w:rPr>
  </w:style>
  <w:style w:type="paragraph" w:customStyle="1" w:styleId="2307">
    <w:name w:val="列表编号 51"/>
    <w:basedOn w:val="1"/>
    <w:qFormat/>
    <w:uiPriority w:val="0"/>
    <w:pPr>
      <w:tabs>
        <w:tab w:val="left" w:pos="2040"/>
      </w:tabs>
      <w:ind w:left="2040" w:hanging="360"/>
    </w:pPr>
  </w:style>
  <w:style w:type="paragraph" w:customStyle="1" w:styleId="2308">
    <w:name w:val="样式 正文缩进正文（首行缩进两字）正文（首行缩进两字） Char Char Char Char Char Char Char..."/>
    <w:basedOn w:val="21"/>
    <w:qFormat/>
    <w:uiPriority w:val="0"/>
    <w:pPr>
      <w:tabs>
        <w:tab w:val="left" w:pos="3360"/>
      </w:tabs>
      <w:adjustRightInd w:val="0"/>
      <w:snapToGrid w:val="0"/>
      <w:spacing w:line="360" w:lineRule="auto"/>
      <w:ind w:firstLine="480" w:firstLineChars="200"/>
      <w:textAlignment w:val="baseline"/>
    </w:pPr>
    <w:rPr>
      <w:rFonts w:ascii="楷体_GB2312" w:eastAsia="楷体_GB2312"/>
      <w:snapToGrid w:val="0"/>
      <w:kern w:val="0"/>
      <w:sz w:val="24"/>
      <w:szCs w:val="24"/>
    </w:rPr>
  </w:style>
  <w:style w:type="paragraph" w:customStyle="1" w:styleId="2309">
    <w:name w:val="电子邮件签名2"/>
    <w:basedOn w:val="1"/>
    <w:qFormat/>
    <w:uiPriority w:val="0"/>
    <w:rPr>
      <w:rFonts w:ascii="Calibri" w:hAnsi="Calibri"/>
      <w:kern w:val="0"/>
      <w:sz w:val="20"/>
    </w:rPr>
  </w:style>
  <w:style w:type="paragraph" w:customStyle="1" w:styleId="2310">
    <w:name w:val="样式 标题 3 + 左侧:  0 毫米 首行缩进:  0 毫米 行距: 最小值 25 磅1"/>
    <w:basedOn w:val="5"/>
    <w:qFormat/>
    <w:uiPriority w:val="0"/>
    <w:pPr>
      <w:keepLines w:val="0"/>
      <w:widowControl w:val="0"/>
      <w:numPr>
        <w:numId w:val="0"/>
      </w:numPr>
      <w:spacing w:line="500" w:lineRule="atLeast"/>
      <w:jc w:val="both"/>
    </w:pPr>
    <w:rPr>
      <w:rFonts w:eastAsia="宋体" w:cs="宋体"/>
      <w:b w:val="0"/>
      <w:bCs w:val="0"/>
      <w:szCs w:val="20"/>
    </w:rPr>
  </w:style>
  <w:style w:type="paragraph" w:customStyle="1" w:styleId="2311">
    <w:name w:val="样式19"/>
    <w:basedOn w:val="4"/>
    <w:semiHidden/>
    <w:qFormat/>
    <w:uiPriority w:val="0"/>
    <w:pPr>
      <w:keepNext w:val="0"/>
      <w:keepLines w:val="0"/>
      <w:tabs>
        <w:tab w:val="left" w:pos="630"/>
        <w:tab w:val="left" w:pos="840"/>
        <w:tab w:val="left" w:pos="1287"/>
        <w:tab w:val="left" w:pos="3920"/>
        <w:tab w:val="left" w:pos="5670"/>
      </w:tabs>
      <w:snapToGrid w:val="0"/>
      <w:spacing w:before="60" w:after="60" w:line="520" w:lineRule="exact"/>
      <w:ind w:firstLine="567"/>
    </w:pPr>
    <w:rPr>
      <w:rFonts w:eastAsia="华文行楷"/>
      <w:kern w:val="0"/>
      <w:szCs w:val="30"/>
    </w:rPr>
  </w:style>
  <w:style w:type="paragraph" w:customStyle="1" w:styleId="2312">
    <w:name w:val="样式 行距: 最小值 25 磅"/>
    <w:basedOn w:val="1"/>
    <w:qFormat/>
    <w:uiPriority w:val="0"/>
    <w:pPr>
      <w:tabs>
        <w:tab w:val="left" w:pos="425"/>
      </w:tabs>
      <w:spacing w:line="500" w:lineRule="atLeast"/>
      <w:ind w:left="425" w:hanging="425"/>
    </w:pPr>
    <w:rPr>
      <w:rFonts w:cs="宋体"/>
      <w:sz w:val="28"/>
      <w:szCs w:val="20"/>
    </w:rPr>
  </w:style>
  <w:style w:type="paragraph" w:customStyle="1" w:styleId="2313">
    <w:name w:val="依据文字"/>
    <w:basedOn w:val="87"/>
    <w:qFormat/>
    <w:uiPriority w:val="0"/>
    <w:pPr>
      <w:tabs>
        <w:tab w:val="left" w:pos="420"/>
        <w:tab w:val="left" w:pos="870"/>
        <w:tab w:val="left" w:pos="3150"/>
      </w:tabs>
      <w:autoSpaceDE w:val="0"/>
      <w:autoSpaceDN w:val="0"/>
      <w:adjustRightInd w:val="0"/>
      <w:snapToGrid w:val="0"/>
      <w:spacing w:before="60" w:after="0" w:line="336" w:lineRule="auto"/>
      <w:ind w:firstLine="527"/>
      <w:textAlignment w:val="baseline"/>
    </w:pPr>
    <w:rPr>
      <w:rFonts w:ascii="宋体"/>
    </w:rPr>
  </w:style>
  <w:style w:type="paragraph" w:customStyle="1" w:styleId="2314">
    <w:name w:val="索引 61"/>
    <w:basedOn w:val="1"/>
    <w:next w:val="1"/>
    <w:qFormat/>
    <w:uiPriority w:val="0"/>
    <w:pPr>
      <w:ind w:left="1000" w:leftChars="1000"/>
    </w:pPr>
  </w:style>
  <w:style w:type="paragraph" w:customStyle="1" w:styleId="2315">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316">
    <w:name w:val="HTML 地址2"/>
    <w:basedOn w:val="1"/>
    <w:qFormat/>
    <w:uiPriority w:val="0"/>
    <w:rPr>
      <w:rFonts w:ascii="Calibri" w:hAnsi="Calibri"/>
      <w:i/>
      <w:iCs/>
      <w:kern w:val="0"/>
      <w:sz w:val="20"/>
    </w:rPr>
  </w:style>
  <w:style w:type="paragraph" w:customStyle="1" w:styleId="2317">
    <w:name w:val="正文图竖五"/>
    <w:basedOn w:val="1"/>
    <w:semiHidden/>
    <w:qFormat/>
    <w:uiPriority w:val="0"/>
    <w:pPr>
      <w:jc w:val="center"/>
    </w:pPr>
    <w:rPr>
      <w:rFonts w:eastAsia="仿宋_GB2312"/>
      <w:color w:val="000000"/>
      <w:kern w:val="0"/>
      <w:szCs w:val="21"/>
    </w:rPr>
  </w:style>
  <w:style w:type="paragraph" w:customStyle="1" w:styleId="2318">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319">
    <w:name w:val="样式 标题 3 + 左侧:  0 毫米 首行缩进:  0 毫米 行距: 最小值 25 磅2"/>
    <w:basedOn w:val="5"/>
    <w:qFormat/>
    <w:uiPriority w:val="0"/>
    <w:pPr>
      <w:keepLines w:val="0"/>
      <w:widowControl w:val="0"/>
      <w:numPr>
        <w:numId w:val="0"/>
      </w:numPr>
      <w:spacing w:line="500" w:lineRule="atLeast"/>
      <w:jc w:val="both"/>
    </w:pPr>
    <w:rPr>
      <w:rFonts w:eastAsia="宋体" w:cs="宋体"/>
      <w:b w:val="0"/>
      <w:bCs w:val="0"/>
      <w:kern w:val="0"/>
      <w:szCs w:val="20"/>
    </w:rPr>
  </w:style>
  <w:style w:type="paragraph" w:customStyle="1" w:styleId="2320">
    <w:name w:val="——"/>
    <w:basedOn w:val="1988"/>
    <w:semiHidden/>
    <w:qFormat/>
    <w:uiPriority w:val="0"/>
    <w:pPr>
      <w:ind w:left="0" w:firstLine="660" w:firstLineChars="300"/>
    </w:pPr>
  </w:style>
  <w:style w:type="paragraph" w:customStyle="1" w:styleId="2321">
    <w:name w:val="标题 31"/>
    <w:basedOn w:val="1"/>
    <w:next w:val="1"/>
    <w:qFormat/>
    <w:uiPriority w:val="0"/>
    <w:pPr>
      <w:keepNext/>
      <w:keepLines/>
      <w:spacing w:before="120" w:after="120" w:line="360" w:lineRule="auto"/>
      <w:ind w:left="720" w:hanging="720"/>
      <w:outlineLvl w:val="2"/>
    </w:pPr>
    <w:rPr>
      <w:b/>
      <w:bCs/>
      <w:sz w:val="32"/>
      <w:szCs w:val="32"/>
    </w:rPr>
  </w:style>
  <w:style w:type="paragraph" w:customStyle="1" w:styleId="2322">
    <w:name w:val="样式 正文(首行缩进) + 8 磅 加粗 首行缩进:  2 字符1"/>
    <w:basedOn w:val="1"/>
    <w:semiHidden/>
    <w:qFormat/>
    <w:uiPriority w:val="0"/>
    <w:pPr>
      <w:adjustRightInd w:val="0"/>
      <w:snapToGrid w:val="0"/>
      <w:ind w:firstLine="200" w:firstLineChars="200"/>
    </w:pPr>
    <w:rPr>
      <w:rFonts w:cs="宋体"/>
      <w:b/>
      <w:bCs/>
      <w:snapToGrid w:val="0"/>
      <w:kern w:val="0"/>
      <w:sz w:val="16"/>
      <w:szCs w:val="20"/>
    </w:rPr>
  </w:style>
  <w:style w:type="paragraph" w:customStyle="1" w:styleId="2323">
    <w:name w:val="一级无"/>
    <w:basedOn w:val="205"/>
    <w:qFormat/>
    <w:uiPriority w:val="0"/>
    <w:pPr>
      <w:tabs>
        <w:tab w:val="clear" w:pos="0"/>
        <w:tab w:val="clear" w:pos="360"/>
      </w:tabs>
      <w:jc w:val="left"/>
    </w:pPr>
    <w:rPr>
      <w:rFonts w:ascii="宋体" w:eastAsia="宋体"/>
      <w:szCs w:val="21"/>
    </w:rPr>
  </w:style>
  <w:style w:type="paragraph" w:customStyle="1" w:styleId="2324">
    <w:name w:val="表格内文字"/>
    <w:qFormat/>
    <w:uiPriority w:val="0"/>
    <w:pPr>
      <w:keepNext/>
      <w:widowControl w:val="0"/>
      <w:spacing w:line="240" w:lineRule="atLeast"/>
      <w:jc w:val="center"/>
    </w:pPr>
    <w:rPr>
      <w:rFonts w:ascii="宋体" w:hAnsi="宋体" w:eastAsia="宋体" w:cs="Times New Roman"/>
      <w:w w:val="90"/>
      <w:lang w:val="en-US" w:eastAsia="zh-CN" w:bidi="ar-SA"/>
    </w:rPr>
  </w:style>
  <w:style w:type="paragraph" w:customStyle="1" w:styleId="2325">
    <w:name w:val="font20"/>
    <w:basedOn w:val="1"/>
    <w:qFormat/>
    <w:uiPriority w:val="0"/>
    <w:pPr>
      <w:widowControl/>
      <w:spacing w:before="100" w:beforeAutospacing="1" w:after="100" w:afterAutospacing="1"/>
      <w:jc w:val="left"/>
    </w:pPr>
    <w:rPr>
      <w:rFonts w:ascii="楷体_GB2312" w:hAnsi="宋体" w:eastAsia="楷体_GB2312" w:cs="楷体_GB2312"/>
      <w:color w:val="FF0000"/>
      <w:kern w:val="0"/>
      <w:sz w:val="24"/>
    </w:rPr>
  </w:style>
  <w:style w:type="paragraph" w:customStyle="1" w:styleId="2326">
    <w:name w:val="图表名"/>
    <w:basedOn w:val="1"/>
    <w:qFormat/>
    <w:uiPriority w:val="0"/>
    <w:pPr>
      <w:adjustRightInd w:val="0"/>
      <w:snapToGrid w:val="0"/>
      <w:spacing w:line="360" w:lineRule="auto"/>
      <w:jc w:val="center"/>
    </w:pPr>
    <w:rPr>
      <w:rFonts w:eastAsia="黑体"/>
      <w:snapToGrid w:val="0"/>
      <w:color w:val="000000"/>
      <w:kern w:val="0"/>
      <w:sz w:val="28"/>
      <w:szCs w:val="28"/>
    </w:rPr>
  </w:style>
  <w:style w:type="paragraph" w:customStyle="1" w:styleId="2327">
    <w:name w:val="中气正文"/>
    <w:basedOn w:val="1"/>
    <w:qFormat/>
    <w:uiPriority w:val="0"/>
    <w:pPr>
      <w:spacing w:line="360" w:lineRule="auto"/>
      <w:ind w:firstLine="480" w:firstLineChars="200"/>
    </w:pPr>
    <w:rPr>
      <w:sz w:val="24"/>
    </w:rPr>
  </w:style>
  <w:style w:type="paragraph" w:customStyle="1" w:styleId="2328">
    <w:name w:val="中船二级标题"/>
    <w:basedOn w:val="4"/>
    <w:qFormat/>
    <w:uiPriority w:val="0"/>
    <w:pPr>
      <w:keepNext w:val="0"/>
      <w:keepLines w:val="0"/>
      <w:snapToGrid w:val="0"/>
      <w:spacing w:before="100" w:beforeLines="100" w:after="100" w:afterLines="100"/>
    </w:pPr>
    <w:rPr>
      <w:rFonts w:eastAsia="宋体" w:cs="宋体"/>
      <w:color w:val="auto"/>
      <w:spacing w:val="-10"/>
      <w:kern w:val="0"/>
      <w:szCs w:val="20"/>
    </w:rPr>
  </w:style>
  <w:style w:type="paragraph" w:customStyle="1" w:styleId="2329">
    <w:name w:val="样式 目录 1 + 段前: 0.5 行 段后: 0.5 行"/>
    <w:basedOn w:val="59"/>
    <w:qFormat/>
    <w:uiPriority w:val="0"/>
    <w:pPr>
      <w:tabs>
        <w:tab w:val="right" w:leader="dot" w:pos="8302"/>
      </w:tabs>
      <w:spacing w:before="156" w:beforeLines="50" w:after="156" w:afterLines="50" w:line="360" w:lineRule="auto"/>
      <w:jc w:val="left"/>
    </w:pPr>
    <w:rPr>
      <w:rFonts w:ascii="Calibri" w:hAnsi="Calibri" w:eastAsia="黑体" w:cs="宋体"/>
      <w:caps/>
      <w:sz w:val="24"/>
      <w:szCs w:val="20"/>
    </w:rPr>
  </w:style>
  <w:style w:type="paragraph" w:customStyle="1" w:styleId="2330">
    <w:name w:val="font19"/>
    <w:basedOn w:val="1"/>
    <w:qFormat/>
    <w:uiPriority w:val="0"/>
    <w:pPr>
      <w:widowControl/>
      <w:spacing w:before="100" w:beforeAutospacing="1" w:after="100" w:afterAutospacing="1"/>
      <w:jc w:val="left"/>
    </w:pPr>
    <w:rPr>
      <w:color w:val="FF0000"/>
      <w:kern w:val="0"/>
      <w:sz w:val="24"/>
    </w:rPr>
  </w:style>
  <w:style w:type="paragraph" w:customStyle="1" w:styleId="2331">
    <w:name w:val="lily 正文"/>
    <w:basedOn w:val="1"/>
    <w:qFormat/>
    <w:uiPriority w:val="0"/>
    <w:pPr>
      <w:spacing w:line="440" w:lineRule="atLeast"/>
      <w:ind w:firstLine="480" w:firstLineChars="200"/>
    </w:pPr>
    <w:rPr>
      <w:sz w:val="24"/>
    </w:rPr>
  </w:style>
  <w:style w:type="paragraph" w:customStyle="1" w:styleId="2332">
    <w:name w:val="样式 标题 2标题21.1 + (西文) 宋体 黑色"/>
    <w:basedOn w:val="4"/>
    <w:qFormat/>
    <w:uiPriority w:val="0"/>
    <w:pPr>
      <w:tabs>
        <w:tab w:val="left" w:pos="1320"/>
      </w:tabs>
      <w:adjustRightInd w:val="0"/>
      <w:snapToGrid w:val="0"/>
      <w:spacing w:before="0" w:after="0"/>
      <w:ind w:left="1320" w:hanging="420"/>
    </w:pPr>
    <w:rPr>
      <w:rFonts w:ascii="宋体" w:hAnsi="宋体"/>
      <w:b w:val="0"/>
      <w:bCs w:val="0"/>
      <w:kern w:val="24"/>
      <w:sz w:val="24"/>
      <w:szCs w:val="20"/>
    </w:rPr>
  </w:style>
  <w:style w:type="paragraph" w:customStyle="1" w:styleId="2333">
    <w:name w:val="宏福4"/>
    <w:basedOn w:val="1"/>
    <w:qFormat/>
    <w:uiPriority w:val="0"/>
    <w:pPr>
      <w:snapToGrid w:val="0"/>
      <w:spacing w:line="400" w:lineRule="atLeast"/>
      <w:ind w:firstLine="567"/>
    </w:pPr>
    <w:rPr>
      <w:sz w:val="28"/>
      <w:szCs w:val="20"/>
    </w:rPr>
  </w:style>
  <w:style w:type="paragraph" w:customStyle="1" w:styleId="2334">
    <w:name w:val="Char21"/>
    <w:basedOn w:val="1"/>
    <w:qFormat/>
    <w:uiPriority w:val="0"/>
    <w:pPr>
      <w:widowControl/>
      <w:spacing w:after="160" w:line="240" w:lineRule="exact"/>
      <w:jc w:val="left"/>
    </w:pPr>
    <w:rPr>
      <w:szCs w:val="21"/>
    </w:rPr>
  </w:style>
  <w:style w:type="paragraph" w:customStyle="1" w:styleId="2335">
    <w:name w:val="正文首行缩进1"/>
    <w:basedOn w:val="34"/>
    <w:qFormat/>
    <w:uiPriority w:val="0"/>
    <w:pPr>
      <w:adjustRightInd w:val="0"/>
      <w:spacing w:after="120" w:line="240" w:lineRule="auto"/>
      <w:ind w:firstLine="420"/>
      <w:textAlignment w:val="baseline"/>
    </w:pPr>
    <w:rPr>
      <w:rFonts w:ascii="Times New Roman" w:hAnsi="Times New Roman" w:cs="宋体"/>
      <w:szCs w:val="20"/>
    </w:rPr>
  </w:style>
  <w:style w:type="paragraph" w:customStyle="1" w:styleId="2336">
    <w:name w:val="font15"/>
    <w:basedOn w:val="1"/>
    <w:qFormat/>
    <w:uiPriority w:val="0"/>
    <w:pPr>
      <w:widowControl/>
      <w:spacing w:before="100" w:beforeAutospacing="1" w:after="100" w:afterAutospacing="1"/>
      <w:jc w:val="left"/>
    </w:pPr>
    <w:rPr>
      <w:rFonts w:ascii="宋体" w:hAnsi="宋体" w:cs="宋体"/>
      <w:color w:val="FF6600"/>
      <w:kern w:val="0"/>
      <w:sz w:val="24"/>
    </w:rPr>
  </w:style>
  <w:style w:type="paragraph" w:customStyle="1" w:styleId="2337">
    <w:name w:val="表头11"/>
    <w:basedOn w:val="210"/>
    <w:qFormat/>
    <w:uiPriority w:val="0"/>
    <w:pPr>
      <w:snapToGrid w:val="0"/>
      <w:spacing w:before="0" w:after="0" w:line="440" w:lineRule="exact"/>
      <w:ind w:firstLine="198"/>
    </w:pPr>
    <w:rPr>
      <w:rFonts w:ascii="黑体" w:hAnsi="Arial"/>
      <w:color w:val="auto"/>
      <w:spacing w:val="2"/>
      <w:sz w:val="24"/>
      <w:szCs w:val="24"/>
    </w:rPr>
  </w:style>
  <w:style w:type="paragraph" w:customStyle="1" w:styleId="2338">
    <w:name w:val="Char Char Char Char Char Char1 Char Char Char1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339">
    <w:name w:val="1.1.1 标题"/>
    <w:basedOn w:val="1"/>
    <w:qFormat/>
    <w:uiPriority w:val="0"/>
    <w:pPr>
      <w:keepNext/>
      <w:keepLines/>
      <w:adjustRightInd w:val="0"/>
      <w:snapToGrid w:val="0"/>
      <w:spacing w:line="440" w:lineRule="exact"/>
      <w:ind w:firstLine="482" w:firstLineChars="200"/>
      <w:outlineLvl w:val="2"/>
    </w:pPr>
    <w:rPr>
      <w:rFonts w:ascii="黑体" w:hAnsi="宋体" w:eastAsia="黑体"/>
      <w:b/>
      <w:bCs/>
      <w:sz w:val="24"/>
    </w:rPr>
  </w:style>
  <w:style w:type="paragraph" w:customStyle="1" w:styleId="2340">
    <w:name w:val="p16"/>
    <w:basedOn w:val="1"/>
    <w:qFormat/>
    <w:uiPriority w:val="0"/>
    <w:pPr>
      <w:widowControl/>
      <w:spacing w:before="62" w:after="62" w:line="500" w:lineRule="atLeast"/>
      <w:ind w:firstLine="420"/>
      <w:jc w:val="left"/>
    </w:pPr>
    <w:rPr>
      <w:rFonts w:ascii="Arial" w:hAnsi="Arial" w:cs="Arial"/>
      <w:b/>
      <w:bCs/>
      <w:kern w:val="0"/>
      <w:sz w:val="24"/>
    </w:rPr>
  </w:style>
  <w:style w:type="paragraph" w:customStyle="1" w:styleId="2341">
    <w:name w:val="条题"/>
    <w:basedOn w:val="1"/>
    <w:qFormat/>
    <w:uiPriority w:val="0"/>
    <w:pPr>
      <w:adjustRightInd w:val="0"/>
      <w:snapToGrid w:val="0"/>
      <w:spacing w:line="360" w:lineRule="auto"/>
    </w:pPr>
    <w:rPr>
      <w:rFonts w:ascii="宋体" w:hAnsi="宋体"/>
      <w:b/>
      <w:sz w:val="24"/>
    </w:rPr>
  </w:style>
  <w:style w:type="paragraph" w:customStyle="1" w:styleId="2342">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2343">
    <w:name w:val="首行缩进 Char Char"/>
    <w:basedOn w:val="1"/>
    <w:qFormat/>
    <w:uiPriority w:val="0"/>
    <w:pPr>
      <w:snapToGrid w:val="0"/>
      <w:spacing w:line="360" w:lineRule="auto"/>
      <w:ind w:firstLine="499"/>
    </w:pPr>
    <w:rPr>
      <w:sz w:val="24"/>
      <w:szCs w:val="20"/>
    </w:rPr>
  </w:style>
  <w:style w:type="paragraph" w:customStyle="1" w:styleId="2344">
    <w:name w:val="正文缩进3"/>
    <w:basedOn w:val="1"/>
    <w:qFormat/>
    <w:uiPriority w:val="0"/>
    <w:pPr>
      <w:ind w:firstLine="420"/>
    </w:pPr>
    <w:rPr>
      <w:color w:val="000000"/>
      <w:sz w:val="24"/>
      <w:szCs w:val="15"/>
    </w:rPr>
  </w:style>
  <w:style w:type="paragraph" w:customStyle="1" w:styleId="2345">
    <w:name w:val="电子邮件签名12"/>
    <w:basedOn w:val="1"/>
    <w:qFormat/>
    <w:uiPriority w:val="99"/>
    <w:rPr>
      <w:rFonts w:hint="eastAsia"/>
      <w:color w:val="000000"/>
      <w:sz w:val="24"/>
      <w:szCs w:val="15"/>
    </w:rPr>
  </w:style>
  <w:style w:type="paragraph" w:customStyle="1" w:styleId="2346">
    <w:name w:val="Char11"/>
    <w:basedOn w:val="1"/>
    <w:qFormat/>
    <w:uiPriority w:val="0"/>
    <w:rPr>
      <w:szCs w:val="21"/>
    </w:rPr>
  </w:style>
  <w:style w:type="paragraph" w:customStyle="1" w:styleId="2347">
    <w:name w:val="索引 91"/>
    <w:basedOn w:val="1"/>
    <w:next w:val="1"/>
    <w:qFormat/>
    <w:uiPriority w:val="0"/>
    <w:pPr>
      <w:ind w:left="1600" w:leftChars="1600"/>
    </w:pPr>
  </w:style>
  <w:style w:type="paragraph" w:customStyle="1" w:styleId="2348">
    <w:name w:val="列表 21"/>
    <w:basedOn w:val="1"/>
    <w:qFormat/>
    <w:uiPriority w:val="0"/>
    <w:pPr>
      <w:ind w:left="100" w:leftChars="200" w:hanging="200" w:hangingChars="200"/>
    </w:pPr>
  </w:style>
  <w:style w:type="paragraph" w:customStyle="1" w:styleId="2349">
    <w:name w:val="列出段落3"/>
    <w:basedOn w:val="1"/>
    <w:qFormat/>
    <w:uiPriority w:val="99"/>
    <w:pPr>
      <w:ind w:firstLine="420" w:firstLineChars="200"/>
    </w:pPr>
    <w:rPr>
      <w:szCs w:val="21"/>
    </w:rPr>
  </w:style>
  <w:style w:type="paragraph" w:customStyle="1" w:styleId="2350">
    <w:name w:val="索引 51"/>
    <w:basedOn w:val="1"/>
    <w:next w:val="1"/>
    <w:qFormat/>
    <w:uiPriority w:val="0"/>
    <w:pPr>
      <w:ind w:left="800" w:leftChars="800"/>
    </w:pPr>
  </w:style>
  <w:style w:type="paragraph" w:customStyle="1" w:styleId="2351">
    <w:name w:val="索引 12"/>
    <w:basedOn w:val="1"/>
    <w:next w:val="1"/>
    <w:qFormat/>
    <w:uiPriority w:val="0"/>
    <w:pPr>
      <w:ind w:left="210" w:hanging="210"/>
      <w:jc w:val="left"/>
    </w:pPr>
  </w:style>
  <w:style w:type="paragraph" w:customStyle="1" w:styleId="2352">
    <w:name w:val="Char Char Char Char Char Char1 Char Char Char Char Char Char1 Char1"/>
    <w:basedOn w:val="1"/>
    <w:qFormat/>
    <w:uiPriority w:val="0"/>
    <w:pPr>
      <w:spacing w:after="156" w:afterLines="50" w:line="560" w:lineRule="exact"/>
    </w:pPr>
    <w:rPr>
      <w:rFonts w:eastAsia="黑体"/>
      <w:sz w:val="30"/>
      <w:szCs w:val="30"/>
    </w:rPr>
  </w:style>
  <w:style w:type="paragraph" w:customStyle="1" w:styleId="2353">
    <w:name w:val="标准页脚"/>
    <w:basedOn w:val="1"/>
    <w:qFormat/>
    <w:uiPriority w:val="0"/>
    <w:pPr>
      <w:pBdr>
        <w:top w:val="thickThinSmallGap" w:color="auto" w:sz="12" w:space="1"/>
        <w:left w:val="none" w:color="auto" w:sz="0" w:space="4"/>
        <w:bottom w:val="none" w:color="auto" w:sz="0" w:space="1"/>
        <w:right w:val="none" w:color="auto" w:sz="0" w:space="4"/>
      </w:pBdr>
    </w:pPr>
    <w:rPr>
      <w:color w:val="000000"/>
      <w:sz w:val="18"/>
      <w:szCs w:val="15"/>
    </w:rPr>
  </w:style>
  <w:style w:type="paragraph" w:customStyle="1" w:styleId="2354">
    <w:name w:val="列表接续2"/>
    <w:basedOn w:val="1"/>
    <w:qFormat/>
    <w:uiPriority w:val="0"/>
    <w:pPr>
      <w:spacing w:after="120"/>
      <w:ind w:left="420" w:leftChars="200"/>
    </w:pPr>
  </w:style>
  <w:style w:type="paragraph" w:customStyle="1" w:styleId="2355">
    <w:name w:val="Char3"/>
    <w:basedOn w:val="1"/>
    <w:qFormat/>
    <w:uiPriority w:val="0"/>
    <w:rPr>
      <w:szCs w:val="21"/>
    </w:rPr>
  </w:style>
  <w:style w:type="paragraph" w:customStyle="1" w:styleId="2356">
    <w:name w:val="索引 42"/>
    <w:basedOn w:val="1"/>
    <w:next w:val="1"/>
    <w:qFormat/>
    <w:uiPriority w:val="0"/>
    <w:pPr>
      <w:ind w:left="600" w:leftChars="600"/>
    </w:pPr>
  </w:style>
  <w:style w:type="paragraph" w:customStyle="1" w:styleId="2357">
    <w:name w:val="列表编号 32"/>
    <w:basedOn w:val="1"/>
    <w:qFormat/>
    <w:uiPriority w:val="0"/>
    <w:pPr>
      <w:tabs>
        <w:tab w:val="left" w:pos="780"/>
        <w:tab w:val="left" w:pos="1200"/>
      </w:tabs>
      <w:ind w:left="780" w:hanging="360"/>
    </w:pPr>
  </w:style>
  <w:style w:type="paragraph" w:customStyle="1" w:styleId="2358">
    <w:name w:val="Char2 Char Char Char2"/>
    <w:basedOn w:val="1"/>
    <w:qFormat/>
    <w:uiPriority w:val="0"/>
    <w:rPr>
      <w:szCs w:val="21"/>
    </w:rPr>
  </w:style>
  <w:style w:type="paragraph" w:customStyle="1" w:styleId="2359">
    <w:name w:val="宏文本1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hint="eastAsia" w:ascii="Courier New" w:hAnsi="Courier New" w:eastAsia="宋体" w:cs="Times New Roman"/>
      <w:kern w:val="2"/>
      <w:sz w:val="24"/>
      <w:lang w:val="en-US" w:eastAsia="zh-CN" w:bidi="ar-SA"/>
    </w:rPr>
  </w:style>
  <w:style w:type="paragraph" w:customStyle="1" w:styleId="2360">
    <w:name w:val="p17"/>
    <w:basedOn w:val="1"/>
    <w:qFormat/>
    <w:uiPriority w:val="0"/>
    <w:pPr>
      <w:widowControl/>
      <w:spacing w:line="440" w:lineRule="atLeast"/>
      <w:ind w:firstLine="420"/>
    </w:pPr>
    <w:rPr>
      <w:b/>
      <w:bCs/>
      <w:color w:val="000000"/>
      <w:kern w:val="0"/>
      <w:sz w:val="24"/>
    </w:rPr>
  </w:style>
  <w:style w:type="paragraph" w:customStyle="1" w:styleId="2361">
    <w:name w:val="索引 82"/>
    <w:basedOn w:val="1"/>
    <w:next w:val="1"/>
    <w:qFormat/>
    <w:uiPriority w:val="0"/>
    <w:pPr>
      <w:ind w:left="1400" w:leftChars="1400"/>
    </w:pPr>
  </w:style>
  <w:style w:type="paragraph" w:customStyle="1" w:styleId="2362">
    <w:name w:val="标准页眉"/>
    <w:basedOn w:val="1"/>
    <w:qFormat/>
    <w:uiPriority w:val="0"/>
    <w:pPr>
      <w:pBdr>
        <w:top w:val="none" w:color="auto" w:sz="0" w:space="1"/>
        <w:left w:val="none" w:color="auto" w:sz="0" w:space="4"/>
        <w:bottom w:val="thickThinSmallGap" w:color="auto" w:sz="12" w:space="1"/>
        <w:right w:val="none" w:color="auto" w:sz="0" w:space="4"/>
      </w:pBdr>
    </w:pPr>
    <w:rPr>
      <w:color w:val="000000"/>
      <w:sz w:val="18"/>
      <w:szCs w:val="15"/>
    </w:rPr>
  </w:style>
  <w:style w:type="paragraph" w:customStyle="1" w:styleId="2363">
    <w:name w:val="列表编号 22"/>
    <w:basedOn w:val="1"/>
    <w:qFormat/>
    <w:uiPriority w:val="0"/>
    <w:pPr>
      <w:tabs>
        <w:tab w:val="left" w:pos="780"/>
        <w:tab w:val="left" w:pos="1200"/>
      </w:tabs>
      <w:ind w:left="1200" w:hanging="360"/>
    </w:pPr>
  </w:style>
  <w:style w:type="paragraph" w:customStyle="1" w:styleId="2364">
    <w:name w:val="HTML 预设格式12"/>
    <w:basedOn w:val="1"/>
    <w:qFormat/>
    <w:uiPriority w:val="0"/>
    <w:rPr>
      <w:rFonts w:hint="eastAsia" w:ascii="Courier New" w:hAnsi="Courier New"/>
      <w:color w:val="000000"/>
      <w:sz w:val="20"/>
      <w:szCs w:val="15"/>
    </w:rPr>
  </w:style>
  <w:style w:type="paragraph" w:customStyle="1" w:styleId="2365">
    <w:name w:val="HTML 地址12"/>
    <w:basedOn w:val="1"/>
    <w:qFormat/>
    <w:uiPriority w:val="99"/>
    <w:rPr>
      <w:rFonts w:hint="eastAsia"/>
      <w:i/>
      <w:color w:val="000000"/>
      <w:sz w:val="20"/>
      <w:szCs w:val="15"/>
    </w:rPr>
  </w:style>
  <w:style w:type="paragraph" w:customStyle="1" w:styleId="2366">
    <w:name w:val="索引 22"/>
    <w:basedOn w:val="1"/>
    <w:next w:val="1"/>
    <w:qFormat/>
    <w:uiPriority w:val="0"/>
    <w:pPr>
      <w:ind w:left="200" w:leftChars="200"/>
    </w:pPr>
  </w:style>
  <w:style w:type="paragraph" w:customStyle="1" w:styleId="2367">
    <w:name w:val="样式 样式 首行缩进:  2 字符1 + 首行缩进:  2 字符"/>
    <w:basedOn w:val="1"/>
    <w:qFormat/>
    <w:uiPriority w:val="0"/>
    <w:pPr>
      <w:spacing w:line="480" w:lineRule="exact"/>
      <w:ind w:firstLine="200" w:firstLineChars="200"/>
    </w:pPr>
    <w:rPr>
      <w:rFonts w:eastAsia="楷体_GB2312" w:cs="宋体"/>
      <w:sz w:val="24"/>
      <w:szCs w:val="20"/>
    </w:rPr>
  </w:style>
  <w:style w:type="paragraph" w:customStyle="1" w:styleId="2368">
    <w:name w:val="列表接续 22"/>
    <w:basedOn w:val="1"/>
    <w:qFormat/>
    <w:uiPriority w:val="0"/>
    <w:pPr>
      <w:spacing w:after="120"/>
      <w:ind w:left="840" w:leftChars="400"/>
    </w:pPr>
  </w:style>
  <w:style w:type="paragraph" w:customStyle="1" w:styleId="2369">
    <w:name w:val="Char Char Char Char Char Char1 Char Char Char Char Char Char1 Char"/>
    <w:basedOn w:val="1"/>
    <w:qFormat/>
    <w:uiPriority w:val="0"/>
    <w:pPr>
      <w:spacing w:after="156" w:afterLines="50" w:line="560" w:lineRule="exact"/>
    </w:pPr>
    <w:rPr>
      <w:rFonts w:eastAsia="黑体"/>
      <w:sz w:val="30"/>
      <w:szCs w:val="30"/>
    </w:rPr>
  </w:style>
  <w:style w:type="paragraph" w:customStyle="1" w:styleId="2370">
    <w:name w:val="收信人地址2"/>
    <w:basedOn w:val="1"/>
    <w:qFormat/>
    <w:uiPriority w:val="0"/>
    <w:pPr>
      <w:snapToGrid w:val="0"/>
      <w:ind w:left="100" w:leftChars="1400"/>
    </w:pPr>
    <w:rPr>
      <w:rFonts w:ascii="Arial" w:hAnsi="Arial" w:cs="Arial"/>
      <w:sz w:val="24"/>
    </w:rPr>
  </w:style>
  <w:style w:type="paragraph" w:customStyle="1" w:styleId="2371">
    <w:name w:val="索引 32"/>
    <w:basedOn w:val="1"/>
    <w:next w:val="1"/>
    <w:qFormat/>
    <w:uiPriority w:val="0"/>
    <w:pPr>
      <w:ind w:left="400" w:leftChars="400"/>
    </w:pPr>
  </w:style>
  <w:style w:type="paragraph" w:customStyle="1" w:styleId="2372">
    <w:name w:val="列表 52"/>
    <w:basedOn w:val="1"/>
    <w:qFormat/>
    <w:uiPriority w:val="0"/>
    <w:pPr>
      <w:ind w:left="100" w:leftChars="800" w:hanging="200" w:hangingChars="200"/>
    </w:pPr>
  </w:style>
  <w:style w:type="paragraph" w:customStyle="1" w:styleId="2373">
    <w:name w:val="Char Char1 Char3"/>
    <w:basedOn w:val="1"/>
    <w:qFormat/>
    <w:uiPriority w:val="0"/>
    <w:pPr>
      <w:spacing w:line="360" w:lineRule="auto"/>
      <w:ind w:firstLine="200" w:firstLineChars="200"/>
    </w:pPr>
    <w:rPr>
      <w:rFonts w:ascii="宋体" w:hAnsi="宋体" w:cs="宋体"/>
      <w:sz w:val="24"/>
    </w:rPr>
  </w:style>
  <w:style w:type="paragraph" w:customStyle="1" w:styleId="2374">
    <w:name w:val="索引 62"/>
    <w:basedOn w:val="1"/>
    <w:next w:val="1"/>
    <w:qFormat/>
    <w:uiPriority w:val="0"/>
    <w:pPr>
      <w:ind w:left="1000" w:leftChars="1000"/>
    </w:pPr>
  </w:style>
  <w:style w:type="paragraph" w:customStyle="1" w:styleId="2375">
    <w:name w:val="列表接续 41"/>
    <w:basedOn w:val="1"/>
    <w:qFormat/>
    <w:uiPriority w:val="0"/>
    <w:pPr>
      <w:spacing w:after="120"/>
      <w:ind w:left="1680" w:leftChars="800"/>
    </w:pPr>
  </w:style>
  <w:style w:type="paragraph" w:customStyle="1" w:styleId="2376">
    <w:name w:val="Char Char20 Char Char Char Char Char Char Char Char3"/>
    <w:basedOn w:val="1"/>
    <w:qFormat/>
    <w:uiPriority w:val="0"/>
    <w:pPr>
      <w:widowControl/>
      <w:jc w:val="left"/>
    </w:pPr>
    <w:rPr>
      <w:rFonts w:ascii="宋体"/>
      <w:kern w:val="0"/>
      <w:sz w:val="24"/>
    </w:rPr>
  </w:style>
  <w:style w:type="paragraph" w:customStyle="1" w:styleId="2377">
    <w:name w:val="引文目录1"/>
    <w:basedOn w:val="1"/>
    <w:next w:val="1"/>
    <w:qFormat/>
    <w:uiPriority w:val="0"/>
    <w:pPr>
      <w:ind w:left="420" w:leftChars="200"/>
    </w:pPr>
  </w:style>
  <w:style w:type="paragraph" w:customStyle="1" w:styleId="2378">
    <w:name w:val="Char Char Char Char Char Char Char Char Char Char Char Char Char Char Char Char Char Char Char Char Char Char Char Char Char Char Char Char Char Char Char Char Char Char Char Char Char Char Char Char Char Char3"/>
    <w:basedOn w:val="1"/>
    <w:semiHidden/>
    <w:qFormat/>
    <w:uiPriority w:val="0"/>
  </w:style>
  <w:style w:type="paragraph" w:customStyle="1" w:styleId="2379">
    <w:name w:val="列表接续 31"/>
    <w:basedOn w:val="1"/>
    <w:qFormat/>
    <w:uiPriority w:val="0"/>
    <w:pPr>
      <w:spacing w:after="120"/>
      <w:ind w:left="1260" w:leftChars="600"/>
    </w:pPr>
  </w:style>
  <w:style w:type="paragraph" w:customStyle="1" w:styleId="2380">
    <w:name w:val="索引标题2"/>
    <w:basedOn w:val="1"/>
    <w:next w:val="2351"/>
    <w:qFormat/>
    <w:uiPriority w:val="0"/>
    <w:rPr>
      <w:rFonts w:ascii="Arial" w:hAnsi="Arial" w:cs="Arial"/>
      <w:b/>
      <w:bCs/>
    </w:rPr>
  </w:style>
  <w:style w:type="paragraph" w:customStyle="1" w:styleId="2381">
    <w:name w:val="列表接续 51"/>
    <w:basedOn w:val="1"/>
    <w:qFormat/>
    <w:uiPriority w:val="0"/>
    <w:pPr>
      <w:spacing w:after="120"/>
      <w:ind w:left="2100" w:leftChars="1000"/>
    </w:pPr>
  </w:style>
  <w:style w:type="paragraph" w:customStyle="1" w:styleId="2382">
    <w:name w:val="列表 41"/>
    <w:basedOn w:val="1"/>
    <w:qFormat/>
    <w:uiPriority w:val="0"/>
    <w:pPr>
      <w:ind w:left="100" w:leftChars="600" w:hanging="200" w:hangingChars="200"/>
    </w:pPr>
  </w:style>
  <w:style w:type="paragraph" w:customStyle="1" w:styleId="2383">
    <w:name w:val="列表编号 42"/>
    <w:basedOn w:val="1"/>
    <w:qFormat/>
    <w:uiPriority w:val="0"/>
    <w:pPr>
      <w:tabs>
        <w:tab w:val="left" w:pos="360"/>
        <w:tab w:val="left" w:pos="1620"/>
      </w:tabs>
      <w:ind w:left="360" w:hanging="360"/>
    </w:pPr>
  </w:style>
  <w:style w:type="paragraph" w:customStyle="1" w:styleId="2384">
    <w:name w:val="寄信人地址2"/>
    <w:basedOn w:val="1"/>
    <w:qFormat/>
    <w:uiPriority w:val="0"/>
    <w:pPr>
      <w:snapToGrid w:val="0"/>
    </w:pPr>
    <w:rPr>
      <w:rFonts w:ascii="Arial" w:hAnsi="Arial" w:cs="Arial"/>
    </w:rPr>
  </w:style>
  <w:style w:type="paragraph" w:customStyle="1" w:styleId="2385">
    <w:name w:val="Char3 Char Char Char Char Char Char"/>
    <w:basedOn w:val="1"/>
    <w:qFormat/>
    <w:uiPriority w:val="0"/>
    <w:rPr>
      <w:szCs w:val="21"/>
    </w:rPr>
  </w:style>
  <w:style w:type="paragraph" w:customStyle="1" w:styleId="2386">
    <w:name w:val="列表编号 52"/>
    <w:basedOn w:val="1"/>
    <w:qFormat/>
    <w:uiPriority w:val="0"/>
    <w:pPr>
      <w:tabs>
        <w:tab w:val="left" w:pos="2040"/>
      </w:tabs>
      <w:ind w:left="2040" w:hanging="360"/>
    </w:pPr>
  </w:style>
  <w:style w:type="paragraph" w:customStyle="1" w:styleId="2387">
    <w:name w:val="Char Char Char Char Char Char Char Char Char Char Char Char1 Char Char Char Char Char Char Char Char Char Char Char Char Char Char Char Char Char Char1 Char Char Char1 Char Char Char Char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388">
    <w:name w:val="Char Char Char Char Char Char Char Char Char Char Char Char Char3"/>
    <w:basedOn w:val="1"/>
    <w:qFormat/>
    <w:uiPriority w:val="0"/>
    <w:pPr>
      <w:widowControl/>
      <w:spacing w:before="80"/>
    </w:pPr>
    <w:rPr>
      <w:rFonts w:ascii="宋体" w:hAnsi="宋体" w:cs="Courier New"/>
      <w:b/>
      <w:color w:val="000000"/>
      <w:spacing w:val="-10"/>
      <w:kern w:val="16"/>
      <w:sz w:val="24"/>
      <w:szCs w:val="32"/>
    </w:rPr>
  </w:style>
  <w:style w:type="paragraph" w:customStyle="1" w:styleId="2389">
    <w:name w:val="Char Char Char Char21"/>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2390">
    <w:name w:val="索引 72"/>
    <w:basedOn w:val="1"/>
    <w:next w:val="1"/>
    <w:qFormat/>
    <w:uiPriority w:val="0"/>
    <w:pPr>
      <w:ind w:left="1200" w:leftChars="1200"/>
    </w:pPr>
  </w:style>
  <w:style w:type="paragraph" w:customStyle="1" w:styleId="2391">
    <w:name w:val="Char Char2 Char3"/>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z w:val="24"/>
      <w:szCs w:val="24"/>
    </w:rPr>
  </w:style>
  <w:style w:type="paragraph" w:customStyle="1" w:styleId="2392">
    <w:name w:val="批注框文本12"/>
    <w:basedOn w:val="1"/>
    <w:qFormat/>
    <w:uiPriority w:val="0"/>
    <w:pPr>
      <w:ind w:firstLine="480" w:firstLineChars="200"/>
    </w:pPr>
    <w:rPr>
      <w:rFonts w:hint="eastAsia"/>
      <w:color w:val="000000"/>
      <w:sz w:val="18"/>
      <w:szCs w:val="15"/>
    </w:rPr>
  </w:style>
  <w:style w:type="paragraph" w:customStyle="1" w:styleId="2393">
    <w:name w:val="Char Char2 Char Char Char Char3"/>
    <w:basedOn w:val="1"/>
    <w:qFormat/>
    <w:uiPriority w:val="0"/>
    <w:rPr>
      <w:sz w:val="30"/>
      <w:szCs w:val="30"/>
    </w:rPr>
  </w:style>
  <w:style w:type="paragraph" w:customStyle="1" w:styleId="2394">
    <w:name w:val="p19"/>
    <w:basedOn w:val="1"/>
    <w:qFormat/>
    <w:uiPriority w:val="0"/>
    <w:pPr>
      <w:widowControl/>
      <w:spacing w:line="440" w:lineRule="atLeast"/>
      <w:ind w:firstLine="420"/>
    </w:pPr>
    <w:rPr>
      <w:b/>
      <w:bCs/>
      <w:color w:val="000000"/>
      <w:kern w:val="0"/>
      <w:sz w:val="24"/>
    </w:rPr>
  </w:style>
  <w:style w:type="paragraph" w:customStyle="1" w:styleId="2395">
    <w:name w:val="图表目录1"/>
    <w:basedOn w:val="1"/>
    <w:next w:val="1"/>
    <w:qFormat/>
    <w:uiPriority w:val="0"/>
    <w:pPr>
      <w:ind w:left="200" w:leftChars="200" w:hanging="200" w:hangingChars="200"/>
    </w:pPr>
  </w:style>
  <w:style w:type="paragraph" w:customStyle="1" w:styleId="2396">
    <w:name w:val="xl92"/>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397">
    <w:name w:val="引文目录标题2"/>
    <w:basedOn w:val="1"/>
    <w:next w:val="1"/>
    <w:qFormat/>
    <w:uiPriority w:val="0"/>
    <w:pPr>
      <w:spacing w:before="120"/>
    </w:pPr>
    <w:rPr>
      <w:rFonts w:ascii="Arial" w:hAnsi="Arial" w:cs="Arial"/>
      <w:sz w:val="24"/>
    </w:rPr>
  </w:style>
  <w:style w:type="paragraph" w:customStyle="1" w:styleId="2398">
    <w:name w:val="列表 31"/>
    <w:basedOn w:val="1"/>
    <w:qFormat/>
    <w:uiPriority w:val="0"/>
    <w:pPr>
      <w:ind w:left="100" w:leftChars="400" w:hanging="200" w:hangingChars="200"/>
    </w:pPr>
  </w:style>
  <w:style w:type="paragraph" w:customStyle="1" w:styleId="2399">
    <w:name w:val="样式 四号 行距: 1.5 倍行距"/>
    <w:basedOn w:val="1"/>
    <w:qFormat/>
    <w:uiPriority w:val="0"/>
    <w:pPr>
      <w:spacing w:line="360" w:lineRule="auto"/>
      <w:ind w:firstLine="200" w:firstLineChars="200"/>
    </w:pPr>
    <w:rPr>
      <w:rFonts w:cs="宋体"/>
      <w:sz w:val="28"/>
      <w:szCs w:val="20"/>
    </w:rPr>
  </w:style>
  <w:style w:type="paragraph" w:customStyle="1" w:styleId="2400">
    <w:name w:val="样式 宋体 黑色"/>
    <w:basedOn w:val="1"/>
    <w:qFormat/>
    <w:uiPriority w:val="0"/>
    <w:rPr>
      <w:rFonts w:ascii="宋体" w:hAnsi="宋体" w:cs="宋体"/>
      <w:color w:val="000000"/>
      <w:szCs w:val="20"/>
    </w:rPr>
  </w:style>
  <w:style w:type="paragraph" w:customStyle="1" w:styleId="2401">
    <w:name w:val="reader-word-layer reader-word-s4-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2">
    <w:name w:val="Char Char Char Char Char Char1 Char1"/>
    <w:basedOn w:val="1"/>
    <w:qFormat/>
    <w:uiPriority w:val="0"/>
    <w:pPr>
      <w:spacing w:line="360" w:lineRule="auto"/>
    </w:pPr>
    <w:rPr>
      <w:sz w:val="24"/>
    </w:rPr>
  </w:style>
  <w:style w:type="paragraph" w:customStyle="1" w:styleId="2403">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4">
    <w:name w:val="Char Char Char Char Char Char3"/>
    <w:basedOn w:val="1"/>
    <w:qFormat/>
    <w:uiPriority w:val="0"/>
  </w:style>
  <w:style w:type="paragraph" w:customStyle="1" w:styleId="2405">
    <w:name w:val="正文　2"/>
    <w:basedOn w:val="2400"/>
    <w:qFormat/>
    <w:uiPriority w:val="0"/>
    <w:pPr>
      <w:ind w:firstLine="420" w:firstLineChars="200"/>
    </w:pPr>
  </w:style>
  <w:style w:type="paragraph" w:customStyle="1" w:styleId="2406">
    <w:name w:val="reader-word-layer reader-word-s4-3"/>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7">
    <w:name w:val="Char Char Char Char Char Char1 Char Char Char1 Char Char Char1 Char Char Char Char Char Char Char Char Char Char1"/>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2408">
    <w:name w:val="19号令"/>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9">
    <w:name w:val="Char Char Char Char Char Char Char Char Char Char1"/>
    <w:basedOn w:val="1"/>
    <w:qFormat/>
    <w:uiPriority w:val="0"/>
    <w:pPr>
      <w:spacing w:line="360" w:lineRule="auto"/>
      <w:ind w:firstLine="200" w:firstLineChars="200"/>
    </w:pPr>
  </w:style>
  <w:style w:type="paragraph" w:customStyle="1" w:styleId="2410">
    <w:name w:val="xl100"/>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2411">
    <w:name w:val="表格无缩"/>
    <w:basedOn w:val="1"/>
    <w:qFormat/>
    <w:uiPriority w:val="0"/>
    <w:pPr>
      <w:spacing w:line="360" w:lineRule="exact"/>
      <w:jc w:val="center"/>
    </w:pPr>
    <w:rPr>
      <w:rFonts w:ascii="Arial" w:hAnsi="Arial"/>
      <w:szCs w:val="21"/>
    </w:rPr>
  </w:style>
  <w:style w:type="paragraph" w:customStyle="1" w:styleId="2412">
    <w:name w:val="Char41"/>
    <w:basedOn w:val="1"/>
    <w:qFormat/>
    <w:uiPriority w:val="0"/>
    <w:pPr>
      <w:spacing w:line="360" w:lineRule="auto"/>
      <w:ind w:firstLine="200" w:firstLineChars="200"/>
    </w:pPr>
    <w:rPr>
      <w:rFonts w:ascii="宋体" w:hAnsi="宋体" w:cs="宋体"/>
      <w:sz w:val="24"/>
    </w:rPr>
  </w:style>
  <w:style w:type="paragraph" w:customStyle="1" w:styleId="2413">
    <w:name w:val="页眉右"/>
    <w:basedOn w:val="1"/>
    <w:qFormat/>
    <w:uiPriority w:val="0"/>
    <w:pPr>
      <w:tabs>
        <w:tab w:val="center" w:pos="4153"/>
        <w:tab w:val="right" w:pos="8306"/>
      </w:tabs>
      <w:adjustRightInd w:val="0"/>
      <w:jc w:val="right"/>
      <w:textAlignment w:val="baseline"/>
    </w:pPr>
    <w:rPr>
      <w:rFonts w:ascii="Calibri" w:hAnsi="Calibri"/>
      <w:kern w:val="0"/>
      <w:sz w:val="18"/>
      <w:szCs w:val="20"/>
      <w:lang w:val="en-GB"/>
    </w:rPr>
  </w:style>
  <w:style w:type="paragraph" w:customStyle="1" w:styleId="2414">
    <w:name w:val="表格5号"/>
    <w:basedOn w:val="1"/>
    <w:qFormat/>
    <w:uiPriority w:val="0"/>
    <w:pPr>
      <w:spacing w:line="360" w:lineRule="exact"/>
      <w:ind w:left="-57" w:right="-57"/>
      <w:jc w:val="center"/>
    </w:pPr>
    <w:rPr>
      <w:rFonts w:ascii="Arial" w:hAnsi="Arial"/>
      <w:szCs w:val="21"/>
    </w:rPr>
  </w:style>
  <w:style w:type="paragraph" w:customStyle="1" w:styleId="2415">
    <w:name w:val="Char Char Char Char Char Char Char Char Char Char Char Char Char1"/>
    <w:basedOn w:val="1"/>
    <w:qFormat/>
    <w:uiPriority w:val="0"/>
    <w:pPr>
      <w:widowControl/>
      <w:spacing w:before="80"/>
    </w:pPr>
    <w:rPr>
      <w:rFonts w:ascii="宋体" w:hAnsi="宋体" w:cs="Courier New"/>
      <w:b/>
      <w:color w:val="000000"/>
      <w:spacing w:val="-10"/>
      <w:kern w:val="16"/>
      <w:sz w:val="24"/>
      <w:szCs w:val="32"/>
    </w:rPr>
  </w:style>
  <w:style w:type="paragraph" w:customStyle="1" w:styleId="2416">
    <w:name w:val="表格小5缩"/>
    <w:basedOn w:val="2417"/>
    <w:qFormat/>
    <w:uiPriority w:val="0"/>
    <w:rPr>
      <w:sz w:val="18"/>
      <w:szCs w:val="18"/>
    </w:rPr>
  </w:style>
  <w:style w:type="paragraph" w:customStyle="1" w:styleId="2417">
    <w:name w:val="表格5号缩"/>
    <w:basedOn w:val="2418"/>
    <w:qFormat/>
    <w:uiPriority w:val="0"/>
    <w:pPr>
      <w:ind w:left="-57" w:right="-57"/>
    </w:pPr>
  </w:style>
  <w:style w:type="paragraph" w:customStyle="1" w:styleId="2418">
    <w:name w:val="表格5号无缩"/>
    <w:basedOn w:val="1"/>
    <w:qFormat/>
    <w:uiPriority w:val="0"/>
    <w:pPr>
      <w:spacing w:line="360" w:lineRule="exact"/>
      <w:jc w:val="center"/>
    </w:pPr>
    <w:rPr>
      <w:rFonts w:ascii="Arial" w:hAnsi="Arial"/>
      <w:color w:val="000000"/>
      <w:szCs w:val="21"/>
    </w:rPr>
  </w:style>
  <w:style w:type="paragraph" w:customStyle="1" w:styleId="2419">
    <w:name w:val="Char Char Char2 Char1"/>
    <w:basedOn w:val="1"/>
    <w:qFormat/>
    <w:uiPriority w:val="0"/>
    <w:pPr>
      <w:spacing w:line="360" w:lineRule="auto"/>
      <w:ind w:firstLine="200" w:firstLineChars="200"/>
    </w:pPr>
    <w:rPr>
      <w:rFonts w:ascii="宋体" w:hAnsi="宋体" w:cs="宋体"/>
      <w:sz w:val="24"/>
    </w:rPr>
  </w:style>
  <w:style w:type="paragraph" w:customStyle="1" w:styleId="2420">
    <w:name w:val="yva9721"/>
    <w:basedOn w:val="1"/>
    <w:qFormat/>
    <w:uiPriority w:val="0"/>
    <w:pPr>
      <w:widowControl/>
      <w:spacing w:before="100" w:beforeAutospacing="1" w:after="100" w:afterAutospacing="1"/>
      <w:jc w:val="left"/>
    </w:pPr>
    <w:rPr>
      <w:rFonts w:ascii="宋体" w:hAnsi="宋体"/>
      <w:kern w:val="0"/>
      <w:sz w:val="24"/>
    </w:rPr>
  </w:style>
  <w:style w:type="paragraph" w:customStyle="1" w:styleId="2421">
    <w:name w:val="Char Char20 Char Char Char Char Char Char Char Char1"/>
    <w:basedOn w:val="1"/>
    <w:qFormat/>
    <w:uiPriority w:val="0"/>
    <w:pPr>
      <w:widowControl/>
      <w:jc w:val="left"/>
    </w:pPr>
    <w:rPr>
      <w:rFonts w:ascii="宋体"/>
      <w:kern w:val="0"/>
      <w:sz w:val="24"/>
    </w:rPr>
  </w:style>
  <w:style w:type="paragraph" w:customStyle="1" w:styleId="2422">
    <w:name w:val="纯文本3"/>
    <w:basedOn w:val="1"/>
    <w:qFormat/>
    <w:uiPriority w:val="0"/>
    <w:pPr>
      <w:adjustRightInd w:val="0"/>
      <w:textAlignment w:val="baseline"/>
    </w:pPr>
    <w:rPr>
      <w:rFonts w:ascii="宋体" w:hAnsi="Courier New"/>
      <w:szCs w:val="20"/>
    </w:rPr>
  </w:style>
  <w:style w:type="paragraph" w:customStyle="1" w:styleId="2423">
    <w:name w:val="表格2222"/>
    <w:basedOn w:val="1"/>
    <w:qFormat/>
    <w:uiPriority w:val="0"/>
    <w:pPr>
      <w:spacing w:line="360" w:lineRule="auto"/>
      <w:jc w:val="center"/>
    </w:pPr>
    <w:rPr>
      <w:rFonts w:ascii="Calibri" w:hAnsi="Calibri"/>
    </w:rPr>
  </w:style>
  <w:style w:type="paragraph" w:customStyle="1" w:styleId="2424">
    <w:name w:val="Char Char Char Char Char Char Char Char Char1 Char Char Char Char1"/>
    <w:basedOn w:val="1"/>
    <w:qFormat/>
    <w:uiPriority w:val="0"/>
    <w:rPr>
      <w:rFonts w:eastAsia="黑体"/>
      <w:b/>
      <w:szCs w:val="20"/>
    </w:rPr>
  </w:style>
  <w:style w:type="paragraph" w:customStyle="1" w:styleId="2425">
    <w:name w:val="pd表格小5"/>
    <w:basedOn w:val="2414"/>
    <w:qFormat/>
    <w:uiPriority w:val="0"/>
    <w:pPr>
      <w:spacing w:line="320" w:lineRule="exact"/>
    </w:pPr>
    <w:rPr>
      <w:sz w:val="18"/>
    </w:rPr>
  </w:style>
  <w:style w:type="paragraph" w:customStyle="1" w:styleId="2426">
    <w:name w:val="Char Char1 Char Char Char Char1"/>
    <w:basedOn w:val="1"/>
    <w:qFormat/>
    <w:uiPriority w:val="0"/>
    <w:rPr>
      <w:sz w:val="24"/>
    </w:rPr>
  </w:style>
  <w:style w:type="paragraph" w:customStyle="1" w:styleId="2427">
    <w:name w:val="表格小5无缩"/>
    <w:basedOn w:val="2417"/>
    <w:qFormat/>
    <w:uiPriority w:val="0"/>
    <w:pPr>
      <w:ind w:left="0" w:right="0"/>
    </w:pPr>
    <w:rPr>
      <w:sz w:val="18"/>
      <w:szCs w:val="18"/>
    </w:rPr>
  </w:style>
  <w:style w:type="paragraph" w:customStyle="1" w:styleId="2428">
    <w:name w:val="正文文本 22"/>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2429">
    <w:name w:val="正文文本缩进12"/>
    <w:basedOn w:val="1"/>
    <w:qFormat/>
    <w:uiPriority w:val="0"/>
    <w:pPr>
      <w:spacing w:line="400" w:lineRule="exact"/>
      <w:ind w:firstLine="420" w:firstLineChars="200"/>
    </w:pPr>
    <w:rPr>
      <w:rFonts w:eastAsia="Times New Roman"/>
      <w:color w:val="000000"/>
      <w:kern w:val="0"/>
      <w:sz w:val="24"/>
      <w:szCs w:val="15"/>
    </w:rPr>
  </w:style>
  <w:style w:type="paragraph" w:customStyle="1" w:styleId="2430">
    <w:name w:val="表内-文字"/>
    <w:basedOn w:val="1"/>
    <w:qFormat/>
    <w:uiPriority w:val="0"/>
    <w:pPr>
      <w:spacing w:line="320" w:lineRule="exact"/>
      <w:jc w:val="center"/>
    </w:pPr>
    <w:rPr>
      <w:rFonts w:eastAsia="楷体_GB2312" w:cs="宋体"/>
      <w:bCs/>
      <w:color w:val="000000"/>
      <w:szCs w:val="21"/>
    </w:rPr>
  </w:style>
  <w:style w:type="paragraph" w:customStyle="1" w:styleId="2431">
    <w:name w:val="字元1"/>
    <w:basedOn w:val="1"/>
    <w:qFormat/>
    <w:uiPriority w:val="0"/>
    <w:rPr>
      <w:sz w:val="24"/>
    </w:rPr>
  </w:style>
  <w:style w:type="paragraph" w:customStyle="1" w:styleId="2432">
    <w:name w:val="正文文本缩进3"/>
    <w:basedOn w:val="1"/>
    <w:qFormat/>
    <w:uiPriority w:val="0"/>
    <w:pPr>
      <w:spacing w:after="120" w:line="360" w:lineRule="auto"/>
      <w:ind w:left="420" w:leftChars="200" w:firstLine="200" w:firstLineChars="200"/>
    </w:pPr>
    <w:rPr>
      <w:sz w:val="24"/>
    </w:rPr>
  </w:style>
  <w:style w:type="paragraph" w:customStyle="1" w:styleId="2433">
    <w:name w:val="Char Char1 Char1"/>
    <w:basedOn w:val="1"/>
    <w:qFormat/>
    <w:uiPriority w:val="0"/>
    <w:pPr>
      <w:spacing w:line="360" w:lineRule="auto"/>
      <w:ind w:firstLine="200" w:firstLineChars="200"/>
    </w:pPr>
    <w:rPr>
      <w:rFonts w:ascii="宋体" w:hAnsi="宋体" w:cs="宋体"/>
      <w:sz w:val="24"/>
    </w:rPr>
  </w:style>
  <w:style w:type="paragraph" w:customStyle="1" w:styleId="2434">
    <w:name w:val="xl94"/>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2435">
    <w:name w:val="1 Char"/>
    <w:basedOn w:val="1"/>
    <w:qFormat/>
    <w:uiPriority w:val="0"/>
    <w:pPr>
      <w:spacing w:line="360" w:lineRule="auto"/>
      <w:ind w:firstLine="200" w:firstLineChars="200"/>
    </w:pPr>
    <w:rPr>
      <w:rFonts w:ascii="宋体" w:hAnsi="宋体" w:cs="宋体"/>
      <w:sz w:val="24"/>
    </w:rPr>
  </w:style>
  <w:style w:type="paragraph" w:customStyle="1" w:styleId="2436">
    <w:name w:val="Char Char Char Char Char Char Char Char Char1 Char Char Char Char Char Char1 Char1"/>
    <w:basedOn w:val="1"/>
    <w:qFormat/>
    <w:uiPriority w:val="0"/>
    <w:rPr>
      <w:szCs w:val="21"/>
    </w:rPr>
  </w:style>
  <w:style w:type="paragraph" w:customStyle="1" w:styleId="2437">
    <w:name w:val="Char Char16 Char Char1"/>
    <w:basedOn w:val="1"/>
    <w:qFormat/>
    <w:uiPriority w:val="0"/>
    <w:rPr>
      <w:szCs w:val="21"/>
    </w:rPr>
  </w:style>
  <w:style w:type="paragraph" w:customStyle="1" w:styleId="2438">
    <w:name w:val="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439">
    <w:name w:val="p22"/>
    <w:basedOn w:val="1"/>
    <w:qFormat/>
    <w:uiPriority w:val="0"/>
    <w:pPr>
      <w:widowControl/>
      <w:spacing w:before="60" w:after="60" w:line="500" w:lineRule="atLeast"/>
      <w:ind w:firstLine="420"/>
    </w:pPr>
    <w:rPr>
      <w:rFonts w:ascii="Arial" w:hAnsi="Arial" w:cs="Arial"/>
      <w:b/>
      <w:bCs/>
      <w:kern w:val="0"/>
      <w:sz w:val="24"/>
    </w:rPr>
  </w:style>
  <w:style w:type="paragraph" w:customStyle="1" w:styleId="2440">
    <w:name w:val="正文21"/>
    <w:basedOn w:val="1"/>
    <w:qFormat/>
    <w:uiPriority w:val="0"/>
    <w:pPr>
      <w:spacing w:line="220" w:lineRule="exact"/>
    </w:pPr>
    <w:rPr>
      <w:rFonts w:hAnsi="宋体" w:eastAsia="仿宋_GB2312"/>
    </w:rPr>
  </w:style>
  <w:style w:type="paragraph" w:customStyle="1" w:styleId="2441">
    <w:name w:val="CM72"/>
    <w:basedOn w:val="1"/>
    <w:next w:val="1"/>
    <w:qFormat/>
    <w:uiPriority w:val="0"/>
    <w:pPr>
      <w:autoSpaceDE w:val="0"/>
      <w:autoSpaceDN w:val="0"/>
      <w:adjustRightInd w:val="0"/>
      <w:spacing w:after="460"/>
      <w:jc w:val="left"/>
    </w:pPr>
    <w:rPr>
      <w:rFonts w:ascii="黑体" w:hAnsi="Calibri" w:eastAsia="黑体"/>
      <w:kern w:val="0"/>
      <w:sz w:val="24"/>
      <w:szCs w:val="20"/>
    </w:rPr>
  </w:style>
  <w:style w:type="paragraph" w:customStyle="1" w:styleId="2442">
    <w:name w:val="xl95"/>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eastAsia="仿宋_GB2312" w:cs="宋体"/>
      <w:kern w:val="0"/>
      <w:sz w:val="18"/>
      <w:szCs w:val="18"/>
    </w:rPr>
  </w:style>
  <w:style w:type="paragraph" w:customStyle="1" w:styleId="2443">
    <w:name w:val="样式5三级"/>
    <w:basedOn w:val="1"/>
    <w:qFormat/>
    <w:uiPriority w:val="0"/>
    <w:pPr>
      <w:spacing w:line="360" w:lineRule="auto"/>
    </w:pPr>
    <w:rPr>
      <w:rFonts w:eastAsia="楷体_GB2312"/>
      <w:b/>
      <w:bCs/>
      <w:sz w:val="28"/>
    </w:rPr>
  </w:style>
  <w:style w:type="paragraph" w:customStyle="1" w:styleId="2444">
    <w:name w:val="xl101"/>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445">
    <w:name w:val="文本a"/>
    <w:basedOn w:val="1"/>
    <w:next w:val="1"/>
    <w:qFormat/>
    <w:uiPriority w:val="0"/>
    <w:pPr>
      <w:widowControl/>
      <w:snapToGrid w:val="0"/>
      <w:spacing w:line="360" w:lineRule="auto"/>
      <w:ind w:firstLine="482" w:firstLineChars="200"/>
      <w:outlineLvl w:val="2"/>
    </w:pPr>
    <w:rPr>
      <w:rFonts w:ascii="Arial" w:hAnsi="Arial"/>
      <w:sz w:val="24"/>
    </w:rPr>
  </w:style>
  <w:style w:type="paragraph" w:customStyle="1" w:styleId="2446">
    <w:name w:val="Char Char1 Char Char Char Char Char Char Char1"/>
    <w:basedOn w:val="1"/>
    <w:qFormat/>
    <w:uiPriority w:val="0"/>
    <w:rPr>
      <w:szCs w:val="20"/>
    </w:rPr>
  </w:style>
  <w:style w:type="paragraph" w:customStyle="1" w:styleId="2447">
    <w:name w:val="xl10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448">
    <w:name w:val="样式 样式 宋体 小四 黑色 行距: 固定值 25 磅2 + 首行缩进:  2 字符"/>
    <w:basedOn w:val="1"/>
    <w:qFormat/>
    <w:uiPriority w:val="0"/>
    <w:pPr>
      <w:spacing w:line="360" w:lineRule="auto"/>
      <w:ind w:firstLine="200" w:firstLineChars="200"/>
    </w:pPr>
    <w:rPr>
      <w:rFonts w:ascii="宋体" w:hAnsi="宋体"/>
      <w:color w:val="000000"/>
      <w:sz w:val="24"/>
      <w:szCs w:val="20"/>
    </w:rPr>
  </w:style>
  <w:style w:type="paragraph" w:customStyle="1" w:styleId="2449">
    <w:name w:val="样式 样式 首行缩进:  2 字符 + 首行缩进:  2 字符"/>
    <w:basedOn w:val="1"/>
    <w:qFormat/>
    <w:uiPriority w:val="0"/>
    <w:pPr>
      <w:adjustRightInd w:val="0"/>
      <w:snapToGrid w:val="0"/>
      <w:spacing w:line="300" w:lineRule="auto"/>
      <w:ind w:firstLine="480" w:firstLineChars="200"/>
    </w:pPr>
    <w:rPr>
      <w:rFonts w:ascii="宋体"/>
      <w:kern w:val="0"/>
      <w:sz w:val="24"/>
      <w:szCs w:val="20"/>
    </w:rPr>
  </w:style>
  <w:style w:type="paragraph" w:customStyle="1" w:styleId="2450">
    <w:name w:val="Char Char Char Char1"/>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2451">
    <w:name w:val="style17"/>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2452">
    <w:name w:val="正文中对齐"/>
    <w:basedOn w:val="1"/>
    <w:qFormat/>
    <w:uiPriority w:val="0"/>
    <w:pPr>
      <w:adjustRightInd w:val="0"/>
      <w:snapToGrid w:val="0"/>
      <w:spacing w:before="60" w:after="60" w:line="60" w:lineRule="atLeast"/>
      <w:jc w:val="center"/>
    </w:pPr>
    <w:rPr>
      <w:rFonts w:ascii="宋体" w:hAnsi="宋体"/>
      <w:sz w:val="24"/>
      <w:szCs w:val="20"/>
    </w:rPr>
  </w:style>
  <w:style w:type="paragraph" w:customStyle="1" w:styleId="2453">
    <w:name w:val="Char Char Char Char23"/>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2454">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55">
    <w:name w:val="_Style 1059"/>
    <w:basedOn w:val="1"/>
    <w:qFormat/>
    <w:uiPriority w:val="0"/>
    <w:pPr>
      <w:widowControl/>
      <w:jc w:val="left"/>
    </w:pPr>
    <w:rPr>
      <w:rFonts w:ascii="宋体"/>
      <w:kern w:val="0"/>
      <w:sz w:val="24"/>
    </w:rPr>
  </w:style>
  <w:style w:type="paragraph" w:customStyle="1" w:styleId="2456">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character" w:customStyle="1" w:styleId="2457">
    <w:name w:val="引用 Char3"/>
    <w:basedOn w:val="133"/>
    <w:qFormat/>
    <w:uiPriority w:val="9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paragraph" w:customStyle="1" w:styleId="2458">
    <w:name w:val="内容样式1"/>
    <w:basedOn w:val="1"/>
    <w:qFormat/>
    <w:uiPriority w:val="0"/>
    <w:pPr>
      <w:ind w:firstLine="560" w:firstLineChars="200"/>
    </w:pPr>
    <w:rPr>
      <w:rFonts w:ascii="宋体" w:hAnsi="宋体"/>
      <w:sz w:val="28"/>
      <w:szCs w:val="20"/>
    </w:rPr>
  </w:style>
  <w:style w:type="paragraph" w:customStyle="1" w:styleId="2459">
    <w:name w:val="reader-word-layer reader-word-s2-5"/>
    <w:basedOn w:val="1"/>
    <w:qFormat/>
    <w:uiPriority w:val="0"/>
    <w:pPr>
      <w:widowControl/>
      <w:spacing w:before="100" w:beforeAutospacing="1" w:after="100" w:afterAutospacing="1"/>
      <w:jc w:val="left"/>
    </w:pPr>
    <w:rPr>
      <w:rFonts w:ascii="宋体" w:hAnsi="宋体" w:cs="宋体"/>
      <w:kern w:val="0"/>
      <w:sz w:val="24"/>
    </w:rPr>
  </w:style>
  <w:style w:type="paragraph" w:customStyle="1" w:styleId="2460">
    <w:name w:val="Char Char2 Char Char Char Char1"/>
    <w:basedOn w:val="1"/>
    <w:qFormat/>
    <w:uiPriority w:val="0"/>
    <w:rPr>
      <w:sz w:val="30"/>
      <w:szCs w:val="30"/>
    </w:rPr>
  </w:style>
  <w:style w:type="paragraph" w:customStyle="1" w:styleId="2461">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2462">
    <w:name w:val="涪陵正文"/>
    <w:basedOn w:val="34"/>
    <w:qFormat/>
    <w:uiPriority w:val="0"/>
    <w:pPr>
      <w:adjustRightInd w:val="0"/>
      <w:snapToGrid w:val="0"/>
      <w:spacing w:line="420" w:lineRule="auto"/>
      <w:ind w:firstLine="425"/>
    </w:pPr>
    <w:rPr>
      <w:spacing w:val="2"/>
      <w:kern w:val="24"/>
      <w:sz w:val="24"/>
      <w:szCs w:val="20"/>
    </w:rPr>
  </w:style>
  <w:style w:type="paragraph" w:customStyle="1" w:styleId="2463">
    <w:name w:val="Char Char1 Char Char Char Char3"/>
    <w:basedOn w:val="1"/>
    <w:qFormat/>
    <w:uiPriority w:val="0"/>
    <w:rPr>
      <w:sz w:val="24"/>
    </w:rPr>
  </w:style>
  <w:style w:type="paragraph" w:customStyle="1" w:styleId="2464">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465">
    <w:name w:val="Char Char2 Char1"/>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z w:val="24"/>
      <w:szCs w:val="24"/>
    </w:rPr>
  </w:style>
  <w:style w:type="paragraph" w:customStyle="1" w:styleId="2466">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467">
    <w:name w:val="xl103"/>
    <w:basedOn w:val="1"/>
    <w:qFormat/>
    <w:uiPriority w:val="0"/>
    <w:pPr>
      <w:widowControl/>
      <w:pBdr>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468">
    <w:name w:val="style28"/>
    <w:basedOn w:val="1"/>
    <w:qFormat/>
    <w:uiPriority w:val="0"/>
    <w:pPr>
      <w:widowControl/>
      <w:spacing w:before="100" w:beforeAutospacing="1" w:after="100" w:afterAutospacing="1"/>
      <w:jc w:val="left"/>
    </w:pPr>
    <w:rPr>
      <w:rFonts w:ascii="宋体" w:hAnsi="宋体"/>
      <w:kern w:val="0"/>
      <w:sz w:val="14"/>
      <w:szCs w:val="20"/>
    </w:rPr>
  </w:style>
  <w:style w:type="paragraph" w:customStyle="1" w:styleId="2469">
    <w:name w:val="reader-word-layer reader-word-s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0">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1">
    <w:name w:val="xl108"/>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472">
    <w:name w:val="文件名称"/>
    <w:basedOn w:val="1"/>
    <w:next w:val="1"/>
    <w:qFormat/>
    <w:uiPriority w:val="0"/>
    <w:pPr>
      <w:spacing w:before="312" w:beforeLines="100"/>
      <w:jc w:val="center"/>
    </w:pPr>
    <w:rPr>
      <w:rFonts w:ascii="黑体" w:eastAsia="黑体"/>
      <w:sz w:val="84"/>
      <w:szCs w:val="20"/>
    </w:rPr>
  </w:style>
  <w:style w:type="paragraph" w:customStyle="1" w:styleId="2473">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4">
    <w:name w:val="样式 正文（首行缩进两字） + 宋体"/>
    <w:basedOn w:val="21"/>
    <w:qFormat/>
    <w:uiPriority w:val="0"/>
    <w:pPr>
      <w:adjustRightInd w:val="0"/>
      <w:ind w:firstLine="0"/>
    </w:pPr>
  </w:style>
  <w:style w:type="paragraph" w:customStyle="1" w:styleId="2475">
    <w:name w:val="表頭"/>
    <w:basedOn w:val="1500"/>
    <w:qFormat/>
    <w:uiPriority w:val="0"/>
    <w:pPr>
      <w:tabs>
        <w:tab w:val="clear" w:pos="1021"/>
      </w:tabs>
      <w:snapToGrid w:val="0"/>
      <w:spacing w:after="46" w:afterLines="15" w:line="300" w:lineRule="exact"/>
      <w:ind w:left="23" w:leftChars="10"/>
    </w:pPr>
    <w:rPr>
      <w:rFonts w:ascii="Arial" w:hAnsi="Arial" w:eastAsia="華康中黑體"/>
      <w:spacing w:val="4"/>
      <w:kern w:val="2"/>
      <w:position w:val="0"/>
      <w:sz w:val="18"/>
      <w:szCs w:val="20"/>
      <w:lang w:eastAsia="zh-TW"/>
    </w:rPr>
  </w:style>
  <w:style w:type="paragraph" w:customStyle="1" w:styleId="247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477">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8">
    <w:name w:val="Char Char Char Char Char Char Char Char Char1 Char Char Char Char Char Char1 Char"/>
    <w:basedOn w:val="1"/>
    <w:qFormat/>
    <w:uiPriority w:val="0"/>
    <w:rPr>
      <w:szCs w:val="21"/>
    </w:rPr>
  </w:style>
  <w:style w:type="paragraph" w:customStyle="1" w:styleId="2479">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0">
    <w:name w:val="样式 标题 2标题 2节第一章 标题 2Heading 2 HiddenHeading 2 CCBSheading 2...1"/>
    <w:basedOn w:val="4"/>
    <w:qFormat/>
    <w:uiPriority w:val="0"/>
    <w:pPr>
      <w:jc w:val="center"/>
    </w:pPr>
    <w:rPr>
      <w:rFonts w:ascii="楷体_GB2312" w:hAnsi="楷体_GB2312" w:eastAsia="楷体_GB2312"/>
      <w:color w:val="auto"/>
      <w:sz w:val="32"/>
      <w:szCs w:val="32"/>
    </w:rPr>
  </w:style>
  <w:style w:type="paragraph" w:customStyle="1" w:styleId="2481">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2">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3">
    <w:name w:val="条目"/>
    <w:basedOn w:val="45"/>
    <w:next w:val="34"/>
    <w:qFormat/>
    <w:uiPriority w:val="0"/>
    <w:pPr>
      <w:ind w:firstLine="567"/>
      <w:outlineLvl w:val="4"/>
    </w:pPr>
    <w:rPr>
      <w:sz w:val="24"/>
    </w:rPr>
  </w:style>
  <w:style w:type="paragraph" w:customStyle="1" w:styleId="2484">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5">
    <w:name w:val="样式 标题 3条标题1.1.13h33rd levelH3l3CT标题 3 Char Char头level_...1"/>
    <w:basedOn w:val="5"/>
    <w:qFormat/>
    <w:uiPriority w:val="0"/>
    <w:pPr>
      <w:widowControl w:val="0"/>
      <w:numPr>
        <w:ilvl w:val="0"/>
        <w:numId w:val="0"/>
      </w:numPr>
      <w:tabs>
        <w:tab w:val="left" w:pos="1323"/>
      </w:tabs>
      <w:adjustRightInd w:val="0"/>
      <w:snapToGrid w:val="0"/>
      <w:spacing w:before="156" w:beforeLines="50" w:after="156" w:afterLines="50" w:line="360" w:lineRule="auto"/>
      <w:ind w:left="603"/>
      <w:jc w:val="both"/>
    </w:pPr>
    <w:rPr>
      <w:rFonts w:ascii="宋体" w:hAnsi="宋体" w:eastAsia="宋体"/>
      <w:b w:val="0"/>
      <w:bCs w:val="0"/>
      <w:color w:val="000000"/>
      <w:sz w:val="24"/>
      <w:szCs w:val="20"/>
    </w:rPr>
  </w:style>
  <w:style w:type="paragraph" w:customStyle="1" w:styleId="2486">
    <w:name w:val="小表格"/>
    <w:basedOn w:val="1"/>
    <w:qFormat/>
    <w:uiPriority w:val="0"/>
    <w:pPr>
      <w:autoSpaceDE w:val="0"/>
      <w:autoSpaceDN w:val="0"/>
      <w:adjustRightInd w:val="0"/>
      <w:snapToGrid w:val="0"/>
      <w:spacing w:line="500" w:lineRule="exact"/>
      <w:ind w:firstLine="200" w:firstLineChars="200"/>
      <w:jc w:val="center"/>
    </w:pPr>
    <w:rPr>
      <w:rFonts w:ascii="仿宋_GB2312" w:eastAsia="仿宋_GB2312"/>
      <w:kern w:val="0"/>
      <w:szCs w:val="20"/>
    </w:rPr>
  </w:style>
  <w:style w:type="paragraph" w:customStyle="1" w:styleId="2487">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8">
    <w:name w:val="文档正文"/>
    <w:basedOn w:val="1"/>
    <w:qFormat/>
    <w:uiPriority w:val="0"/>
    <w:pPr>
      <w:adjustRightInd w:val="0"/>
      <w:spacing w:line="480" w:lineRule="atLeast"/>
      <w:ind w:firstLine="567"/>
    </w:pPr>
    <w:rPr>
      <w:rFonts w:ascii="宋体"/>
      <w:kern w:val="0"/>
      <w:sz w:val="24"/>
      <w:szCs w:val="20"/>
    </w:rPr>
  </w:style>
  <w:style w:type="paragraph" w:customStyle="1" w:styleId="2489">
    <w:name w:val="階層2"/>
    <w:basedOn w:val="1"/>
    <w:qFormat/>
    <w:uiPriority w:val="0"/>
    <w:pPr>
      <w:widowControl/>
      <w:tabs>
        <w:tab w:val="left" w:pos="1080"/>
        <w:tab w:val="left" w:pos="1800"/>
      </w:tabs>
      <w:adjustRightInd w:val="0"/>
      <w:snapToGrid w:val="0"/>
      <w:spacing w:before="78" w:beforeLines="25" w:after="78" w:afterLines="25" w:line="400" w:lineRule="exact"/>
      <w:ind w:left="840" w:hanging="420"/>
      <w:jc w:val="left"/>
      <w:outlineLvl w:val="1"/>
    </w:pPr>
    <w:rPr>
      <w:rFonts w:eastAsia="DFKai-SB"/>
      <w:kern w:val="0"/>
      <w:sz w:val="28"/>
      <w:szCs w:val="20"/>
      <w:lang w:eastAsia="zh-TW"/>
    </w:rPr>
  </w:style>
  <w:style w:type="paragraph" w:customStyle="1" w:styleId="2490">
    <w:name w:val="reader-word-layer reader-word-s1-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491">
    <w:name w:val="style27"/>
    <w:basedOn w:val="1"/>
    <w:qFormat/>
    <w:uiPriority w:val="0"/>
    <w:pPr>
      <w:widowControl/>
      <w:spacing w:before="100" w:beforeAutospacing="1" w:after="100" w:afterAutospacing="1"/>
      <w:jc w:val="left"/>
    </w:pPr>
    <w:rPr>
      <w:rFonts w:ascii="宋体" w:hAnsi="宋体"/>
      <w:kern w:val="0"/>
      <w:sz w:val="16"/>
      <w:szCs w:val="20"/>
    </w:rPr>
  </w:style>
  <w:style w:type="paragraph" w:customStyle="1" w:styleId="2492">
    <w:name w:val="样式 标题 2标题 2 Char标2h2H2标题21.1标题 2 + Times New Roman"/>
    <w:basedOn w:val="4"/>
    <w:qFormat/>
    <w:uiPriority w:val="0"/>
    <w:pPr>
      <w:autoSpaceDE w:val="0"/>
      <w:autoSpaceDN w:val="0"/>
      <w:adjustRightInd w:val="0"/>
      <w:spacing w:before="200" w:after="163"/>
      <w:jc w:val="center"/>
    </w:pPr>
    <w:rPr>
      <w:rFonts w:eastAsia="仿宋_GB2312"/>
      <w:b w:val="0"/>
      <w:bCs w:val="0"/>
      <w:color w:val="auto"/>
      <w:kern w:val="0"/>
      <w:sz w:val="24"/>
      <w:szCs w:val="20"/>
    </w:rPr>
  </w:style>
  <w:style w:type="paragraph" w:customStyle="1" w:styleId="2493">
    <w:name w:val="1"/>
    <w:basedOn w:val="1"/>
    <w:next w:val="45"/>
    <w:qFormat/>
    <w:uiPriority w:val="0"/>
    <w:rPr>
      <w:rFonts w:ascii="宋体" w:hAnsi="Courier New"/>
      <w:szCs w:val="20"/>
    </w:rPr>
  </w:style>
  <w:style w:type="paragraph" w:customStyle="1" w:styleId="2494">
    <w:name w:val="newstyle"/>
    <w:basedOn w:val="3"/>
    <w:qFormat/>
    <w:uiPriority w:val="0"/>
    <w:pPr>
      <w:tabs>
        <w:tab w:val="left" w:pos="920"/>
      </w:tabs>
      <w:spacing w:before="340" w:after="330" w:line="578" w:lineRule="auto"/>
      <w:ind w:left="920" w:hanging="360"/>
      <w:jc w:val="both"/>
    </w:pPr>
    <w:rPr>
      <w:b w:val="0"/>
      <w:sz w:val="30"/>
      <w:szCs w:val="44"/>
    </w:rPr>
  </w:style>
  <w:style w:type="paragraph" w:customStyle="1" w:styleId="2495">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496">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497">
    <w:name w:val="样式 标题 3 + 黑色 Char Char Char Char"/>
    <w:basedOn w:val="5"/>
    <w:qFormat/>
    <w:uiPriority w:val="0"/>
    <w:pPr>
      <w:keepNext w:val="0"/>
      <w:keepLines w:val="0"/>
      <w:widowControl w:val="0"/>
      <w:numPr>
        <w:ilvl w:val="0"/>
        <w:numId w:val="0"/>
      </w:numPr>
      <w:tabs>
        <w:tab w:val="left" w:pos="993"/>
        <w:tab w:val="left" w:pos="1260"/>
      </w:tabs>
      <w:adjustRightInd w:val="0"/>
      <w:snapToGrid w:val="0"/>
      <w:spacing w:line="360" w:lineRule="auto"/>
      <w:jc w:val="both"/>
      <w:outlineLvl w:val="9"/>
    </w:pPr>
    <w:rPr>
      <w:rFonts w:eastAsia="黑体"/>
      <w:bCs w:val="0"/>
      <w:color w:val="000000"/>
    </w:rPr>
  </w:style>
  <w:style w:type="paragraph" w:customStyle="1" w:styleId="2498">
    <w:name w:val="样式 标题 2标题 2节第一章 标题 2Heading 2 HiddenHeading 2 CCBSheading 2..."/>
    <w:basedOn w:val="4"/>
    <w:qFormat/>
    <w:uiPriority w:val="0"/>
    <w:pPr>
      <w:spacing w:line="240" w:lineRule="auto"/>
      <w:jc w:val="center"/>
    </w:pPr>
    <w:rPr>
      <w:rFonts w:ascii="楷体_GB2312" w:hAnsi="楷体_GB2312" w:eastAsia="楷体_GB2312"/>
      <w:color w:val="auto"/>
      <w:sz w:val="32"/>
      <w:szCs w:val="32"/>
    </w:rPr>
  </w:style>
  <w:style w:type="paragraph" w:customStyle="1" w:styleId="2499">
    <w:name w:val="数字编号列项（二级）"/>
    <w:qFormat/>
    <w:uiPriority w:val="0"/>
    <w:pPr>
      <w:tabs>
        <w:tab w:val="left" w:pos="851"/>
      </w:tabs>
      <w:ind w:left="1134" w:hanging="294"/>
      <w:jc w:val="both"/>
    </w:pPr>
    <w:rPr>
      <w:rFonts w:ascii="宋体" w:hAnsi="Times New Roman" w:eastAsia="宋体" w:cs="Times New Roman"/>
      <w:sz w:val="21"/>
      <w:lang w:val="en-US" w:eastAsia="zh-CN" w:bidi="ar-SA"/>
    </w:rPr>
  </w:style>
  <w:style w:type="paragraph" w:customStyle="1" w:styleId="2500">
    <w:name w:val="new 1"/>
    <w:basedOn w:val="3"/>
    <w:qFormat/>
    <w:uiPriority w:val="0"/>
    <w:pPr>
      <w:tabs>
        <w:tab w:val="left" w:pos="495"/>
      </w:tabs>
      <w:spacing w:after="330" w:line="578" w:lineRule="auto"/>
      <w:ind w:left="495" w:hanging="315"/>
    </w:pPr>
    <w:rPr>
      <w:b w:val="0"/>
      <w:sz w:val="36"/>
      <w:szCs w:val="44"/>
    </w:rPr>
  </w:style>
  <w:style w:type="paragraph" w:customStyle="1" w:styleId="2501">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2">
    <w:name w:val="样式 标题 2标题 2节第一章 标题 2Heading 2 HiddenHeading 2 CCBSheading 2...3"/>
    <w:basedOn w:val="4"/>
    <w:qFormat/>
    <w:uiPriority w:val="0"/>
    <w:pPr>
      <w:jc w:val="center"/>
    </w:pPr>
    <w:rPr>
      <w:rFonts w:ascii="楷体_GB2312" w:hAnsi="楷体_GB2312" w:eastAsia="楷体_GB2312"/>
      <w:color w:val="auto"/>
      <w:sz w:val="32"/>
      <w:szCs w:val="32"/>
    </w:rPr>
  </w:style>
  <w:style w:type="paragraph" w:customStyle="1" w:styleId="2503">
    <w:name w:val="样式 正文"/>
    <w:basedOn w:val="1"/>
    <w:qFormat/>
    <w:uiPriority w:val="0"/>
    <w:pPr>
      <w:spacing w:line="360" w:lineRule="auto"/>
      <w:ind w:firstLine="200" w:firstLineChars="200"/>
    </w:pPr>
    <w:rPr>
      <w:rFonts w:ascii="宋体" w:hAnsi="宋体" w:cs="宋体"/>
      <w:color w:val="000000"/>
      <w:sz w:val="28"/>
      <w:szCs w:val="28"/>
    </w:rPr>
  </w:style>
  <w:style w:type="paragraph" w:customStyle="1" w:styleId="2504">
    <w:name w:val="明显引用11"/>
    <w:basedOn w:val="1"/>
    <w:next w:val="1"/>
    <w:qFormat/>
    <w:uiPriority w:val="0"/>
    <w:pPr>
      <w:widowControl/>
      <w:pBdr>
        <w:top w:val="dotted" w:color="632423" w:sz="2" w:space="10"/>
        <w:bottom w:val="dotted" w:color="632423" w:sz="2" w:space="4"/>
      </w:pBdr>
      <w:spacing w:before="160" w:after="200" w:line="300" w:lineRule="auto"/>
      <w:ind w:left="1440" w:right="1440"/>
      <w:jc w:val="left"/>
    </w:pPr>
    <w:rPr>
      <w:rFonts w:ascii="Cambria" w:hAnsi="Cambria"/>
      <w:caps/>
      <w:color w:val="622423"/>
      <w:spacing w:val="5"/>
      <w:kern w:val="0"/>
      <w:sz w:val="20"/>
      <w:szCs w:val="20"/>
      <w:lang w:eastAsia="en-US" w:bidi="en-US"/>
    </w:rPr>
  </w:style>
  <w:style w:type="paragraph" w:customStyle="1" w:styleId="2505">
    <w:name w:val="表第一列"/>
    <w:basedOn w:val="86"/>
    <w:qFormat/>
    <w:uiPriority w:val="0"/>
    <w:pPr>
      <w:keepNext/>
      <w:keepLines/>
      <w:tabs>
        <w:tab w:val="left" w:pos="1727"/>
        <w:tab w:val="left" w:pos="1884"/>
        <w:tab w:val="left" w:pos="2940"/>
      </w:tabs>
      <w:adjustRightInd w:val="0"/>
      <w:snapToGrid w:val="0"/>
      <w:spacing w:after="0" w:line="0" w:lineRule="atLeast"/>
      <w:ind w:firstLine="0" w:firstLineChars="0"/>
      <w:jc w:val="center"/>
    </w:pPr>
    <w:rPr>
      <w:color w:val="000000"/>
      <w:spacing w:val="-4"/>
      <w:szCs w:val="20"/>
    </w:rPr>
  </w:style>
  <w:style w:type="paragraph" w:customStyle="1" w:styleId="2506">
    <w:name w:val="正文XYF"/>
    <w:basedOn w:val="1"/>
    <w:qFormat/>
    <w:uiPriority w:val="0"/>
    <w:pPr>
      <w:spacing w:line="520" w:lineRule="exact"/>
      <w:ind w:firstLine="200" w:firstLineChars="200"/>
    </w:pPr>
    <w:rPr>
      <w:sz w:val="28"/>
      <w:szCs w:val="28"/>
    </w:rPr>
  </w:style>
  <w:style w:type="paragraph" w:customStyle="1" w:styleId="2507">
    <w:name w:val="样式 四号 黑色 行距: 1.5 倍行距 首行缩进:  2 字符"/>
    <w:basedOn w:val="1"/>
    <w:qFormat/>
    <w:uiPriority w:val="0"/>
    <w:pPr>
      <w:spacing w:line="360" w:lineRule="auto"/>
      <w:ind w:firstLine="560" w:firstLineChars="200"/>
    </w:pPr>
    <w:rPr>
      <w:rFonts w:eastAsia="仿宋_GB2312" w:cs="宋体"/>
      <w:color w:val="000000"/>
      <w:sz w:val="28"/>
      <w:szCs w:val="20"/>
    </w:rPr>
  </w:style>
  <w:style w:type="paragraph" w:customStyle="1" w:styleId="2508">
    <w:name w:val="样式1.....表格"/>
    <w:basedOn w:val="1"/>
    <w:next w:val="1"/>
    <w:qFormat/>
    <w:uiPriority w:val="0"/>
    <w:pPr>
      <w:jc w:val="center"/>
    </w:pPr>
    <w:rPr>
      <w:sz w:val="24"/>
      <w:szCs w:val="20"/>
    </w:rPr>
  </w:style>
  <w:style w:type="paragraph" w:customStyle="1" w:styleId="2509">
    <w:name w:val="样式 样式 标题 2标题 2节第一章 标题 2Heading 2 HiddenHeading 2 CCBSheading 2....."/>
    <w:basedOn w:val="1"/>
    <w:qFormat/>
    <w:uiPriority w:val="0"/>
    <w:pPr>
      <w:keepNext/>
      <w:keepLines/>
      <w:spacing w:before="240" w:beforeLines="100" w:after="240" w:afterLines="100"/>
      <w:jc w:val="center"/>
      <w:outlineLvl w:val="1"/>
    </w:pPr>
    <w:rPr>
      <w:rFonts w:ascii="宋体" w:hAnsi="宋体" w:eastAsia="楷体_GB2312" w:cs="宋体"/>
      <w:b/>
      <w:bCs/>
      <w:color w:val="000000"/>
      <w:sz w:val="32"/>
      <w:szCs w:val="20"/>
    </w:rPr>
  </w:style>
  <w:style w:type="paragraph" w:customStyle="1" w:styleId="2510">
    <w:name w:val="样式 样式 标题 2 + 首行缩进:  0.62 字符 段前: 0 磅 段后: 0 磅 + 首行缩进:  4 字符2"/>
    <w:basedOn w:val="1"/>
    <w:qFormat/>
    <w:uiPriority w:val="0"/>
    <w:pPr>
      <w:keepLines/>
      <w:spacing w:line="480" w:lineRule="exact"/>
      <w:ind w:firstLine="200" w:firstLineChars="200"/>
      <w:jc w:val="left"/>
      <w:outlineLvl w:val="1"/>
    </w:pPr>
    <w:rPr>
      <w:rFonts w:eastAsia="文鼎CS大宋" w:cs="宋体"/>
      <w:color w:val="000000"/>
      <w:sz w:val="28"/>
      <w:szCs w:val="20"/>
    </w:rPr>
  </w:style>
  <w:style w:type="paragraph" w:customStyle="1" w:styleId="2511">
    <w:name w:val="Tblhead"/>
    <w:basedOn w:val="1"/>
    <w:next w:val="1"/>
    <w:qFormat/>
    <w:uiPriority w:val="0"/>
    <w:pPr>
      <w:pageBreakBefore/>
      <w:suppressAutoHyphens/>
      <w:autoSpaceDE w:val="0"/>
      <w:autoSpaceDN w:val="0"/>
      <w:adjustRightInd w:val="0"/>
      <w:jc w:val="center"/>
      <w:textAlignment w:val="baseline"/>
    </w:pPr>
    <w:rPr>
      <w:rFonts w:ascii="宋体" w:hAnsi="Calibri"/>
      <w:spacing w:val="-3"/>
      <w:kern w:val="0"/>
      <w:sz w:val="24"/>
      <w:szCs w:val="20"/>
    </w:rPr>
  </w:style>
  <w:style w:type="paragraph" w:customStyle="1" w:styleId="2512">
    <w:name w:val="目录 2 Char Char"/>
    <w:basedOn w:val="1"/>
    <w:next w:val="1"/>
    <w:qFormat/>
    <w:uiPriority w:val="0"/>
    <w:pPr>
      <w:spacing w:line="351" w:lineRule="atLeast"/>
      <w:ind w:left="209" w:firstLine="419"/>
      <w:jc w:val="left"/>
    </w:pPr>
    <w:rPr>
      <w:szCs w:val="20"/>
    </w:rPr>
  </w:style>
  <w:style w:type="paragraph" w:customStyle="1" w:styleId="2513">
    <w:name w:val="7"/>
    <w:basedOn w:val="1"/>
    <w:next w:val="45"/>
    <w:qFormat/>
    <w:uiPriority w:val="0"/>
    <w:rPr>
      <w:rFonts w:ascii="宋体" w:hAnsi="Courier New"/>
      <w:szCs w:val="20"/>
    </w:rPr>
  </w:style>
  <w:style w:type="paragraph" w:customStyle="1" w:styleId="2514">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2515">
    <w:name w:val="样式 内容样式1 + 居中"/>
    <w:basedOn w:val="1"/>
    <w:qFormat/>
    <w:uiPriority w:val="0"/>
    <w:pPr>
      <w:ind w:firstLine="560" w:firstLineChars="200"/>
      <w:jc w:val="center"/>
    </w:pPr>
    <w:rPr>
      <w:rFonts w:ascii="宋体" w:hAnsi="宋体" w:cs="宋体"/>
      <w:sz w:val="28"/>
      <w:szCs w:val="20"/>
    </w:rPr>
  </w:style>
  <w:style w:type="paragraph" w:customStyle="1" w:styleId="2516">
    <w:name w:val="1名"/>
    <w:basedOn w:val="1"/>
    <w:qFormat/>
    <w:uiPriority w:val="0"/>
    <w:pPr>
      <w:spacing w:before="120"/>
    </w:pPr>
    <w:rPr>
      <w:rFonts w:ascii="宋体" w:hAnsi="Calibri"/>
      <w:sz w:val="28"/>
      <w:szCs w:val="20"/>
    </w:rPr>
  </w:style>
  <w:style w:type="paragraph" w:customStyle="1" w:styleId="2517">
    <w:name w:val="文1"/>
    <w:basedOn w:val="1"/>
    <w:qFormat/>
    <w:uiPriority w:val="0"/>
    <w:pPr>
      <w:snapToGrid w:val="0"/>
      <w:spacing w:line="360" w:lineRule="auto"/>
      <w:ind w:firstLine="567"/>
    </w:pPr>
    <w:rPr>
      <w:rFonts w:ascii="Arial" w:hAnsi="Arial" w:eastAsia="幼圆"/>
      <w:sz w:val="24"/>
      <w:szCs w:val="20"/>
    </w:rPr>
  </w:style>
  <w:style w:type="paragraph" w:customStyle="1" w:styleId="2518">
    <w:name w:val="BIG BOLD"/>
    <w:basedOn w:val="1"/>
    <w:qFormat/>
    <w:uiPriority w:val="0"/>
    <w:pPr>
      <w:tabs>
        <w:tab w:val="left" w:leader="underscore" w:pos="1134"/>
      </w:tabs>
    </w:pPr>
    <w:rPr>
      <w:rFonts w:ascii="Calibri" w:hAnsi="Calibri"/>
      <w:szCs w:val="20"/>
    </w:rPr>
  </w:style>
  <w:style w:type="paragraph" w:customStyle="1" w:styleId="2519">
    <w:name w:val="样式12"/>
    <w:basedOn w:val="1"/>
    <w:qFormat/>
    <w:uiPriority w:val="0"/>
    <w:pPr>
      <w:ind w:firstLine="573"/>
    </w:pPr>
    <w:rPr>
      <w:rFonts w:ascii="宋体" w:hAnsi="宋体"/>
      <w:spacing w:val="-4"/>
      <w:sz w:val="28"/>
      <w:szCs w:val="28"/>
    </w:rPr>
  </w:style>
  <w:style w:type="paragraph" w:customStyle="1" w:styleId="2520">
    <w:name w:val="11 Char Char Char Char"/>
    <w:basedOn w:val="1"/>
    <w:qFormat/>
    <w:uiPriority w:val="0"/>
    <w:pPr>
      <w:snapToGrid w:val="0"/>
      <w:spacing w:line="360" w:lineRule="auto"/>
      <w:ind w:firstLine="200" w:firstLineChars="200"/>
    </w:pPr>
    <w:rPr>
      <w:rFonts w:eastAsia="仿宋_GB2312"/>
      <w:sz w:val="24"/>
    </w:rPr>
  </w:style>
  <w:style w:type="paragraph" w:customStyle="1" w:styleId="2521">
    <w:name w:val="正文二级列表"/>
    <w:basedOn w:val="1992"/>
    <w:next w:val="1992"/>
    <w:qFormat/>
    <w:uiPriority w:val="0"/>
    <w:pPr>
      <w:tabs>
        <w:tab w:val="left" w:pos="333"/>
        <w:tab w:val="left" w:pos="576"/>
      </w:tabs>
      <w:ind w:firstLine="0" w:firstLineChars="0"/>
    </w:pPr>
  </w:style>
  <w:style w:type="paragraph" w:customStyle="1" w:styleId="2522">
    <w:name w:val="zg1"/>
    <w:basedOn w:val="35"/>
    <w:qFormat/>
    <w:uiPriority w:val="0"/>
    <w:pPr>
      <w:spacing w:after="0" w:line="360" w:lineRule="auto"/>
      <w:ind w:left="0" w:leftChars="0" w:firstLine="425"/>
    </w:pPr>
    <w:rPr>
      <w:sz w:val="24"/>
      <w:szCs w:val="20"/>
    </w:rPr>
  </w:style>
  <w:style w:type="paragraph" w:customStyle="1" w:styleId="2523">
    <w:name w:val="11 Char Char Char Char Char Char Char Char Char Char Char Char Char Char Char1 Char Char Char1 Char"/>
    <w:basedOn w:val="1"/>
    <w:qFormat/>
    <w:uiPriority w:val="0"/>
    <w:pPr>
      <w:snapToGrid w:val="0"/>
      <w:spacing w:line="360" w:lineRule="auto"/>
      <w:ind w:firstLine="200" w:firstLineChars="200"/>
    </w:pPr>
    <w:rPr>
      <w:rFonts w:eastAsia="仿宋_GB2312"/>
      <w:sz w:val="24"/>
    </w:rPr>
  </w:style>
  <w:style w:type="paragraph" w:customStyle="1" w:styleId="2524">
    <w:name w:val="xl128"/>
    <w:basedOn w:val="1"/>
    <w:qFormat/>
    <w:uiPriority w:val="0"/>
    <w:pPr>
      <w:widowControl/>
      <w:pBdr>
        <w:top w:val="single" w:color="auto" w:sz="8" w:space="0"/>
        <w:left w:val="single" w:color="auto" w:sz="8" w:space="0"/>
        <w:bottom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525">
    <w:name w:val="环标3"/>
    <w:basedOn w:val="5"/>
    <w:qFormat/>
    <w:uiPriority w:val="0"/>
    <w:pPr>
      <w:keepNext w:val="0"/>
      <w:keepLines w:val="0"/>
      <w:widowControl w:val="0"/>
      <w:numPr>
        <w:ilvl w:val="0"/>
        <w:numId w:val="0"/>
      </w:numPr>
      <w:adjustRightInd w:val="0"/>
      <w:spacing w:line="312" w:lineRule="atLeast"/>
      <w:textAlignment w:val="baseline"/>
    </w:pPr>
    <w:rPr>
      <w:rFonts w:ascii="宋体" w:hAnsi="宋体" w:eastAsia="宋体"/>
      <w:b w:val="0"/>
      <w:bCs w:val="0"/>
      <w:kern w:val="0"/>
      <w:sz w:val="24"/>
      <w:szCs w:val="20"/>
    </w:rPr>
  </w:style>
  <w:style w:type="paragraph" w:customStyle="1" w:styleId="2526">
    <w:name w:val="xl129"/>
    <w:basedOn w:val="1"/>
    <w:qFormat/>
    <w:uiPriority w:val="0"/>
    <w:pPr>
      <w:widowControl/>
      <w:pBdr>
        <w:top w:val="single" w:color="auto" w:sz="8" w:space="0"/>
        <w:bottom w:val="single" w:color="auto" w:sz="8"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527">
    <w:name w:val="环评表样式1"/>
    <w:basedOn w:val="84"/>
    <w:qFormat/>
    <w:uiPriority w:val="0"/>
    <w:pPr>
      <w:adjustRightInd w:val="0"/>
      <w:spacing w:before="360" w:after="360" w:line="160" w:lineRule="atLeast"/>
      <w:textAlignment w:val="baseline"/>
    </w:pPr>
    <w:rPr>
      <w:rFonts w:ascii="黑体" w:hAnsi="Arial" w:eastAsia="黑体"/>
      <w:bCs w:val="0"/>
      <w:kern w:val="0"/>
      <w:sz w:val="48"/>
      <w:szCs w:val="20"/>
    </w:rPr>
  </w:style>
  <w:style w:type="paragraph" w:customStyle="1" w:styleId="2528">
    <w:name w:val="药标2"/>
    <w:basedOn w:val="4"/>
    <w:qFormat/>
    <w:uiPriority w:val="0"/>
    <w:pPr>
      <w:adjustRightInd w:val="0"/>
      <w:spacing w:before="480" w:after="480" w:line="312" w:lineRule="atLeast"/>
      <w:jc w:val="left"/>
      <w:textAlignment w:val="baseline"/>
    </w:pPr>
    <w:rPr>
      <w:rFonts w:ascii="黑体" w:hAnsi="Arial"/>
      <w:b w:val="0"/>
      <w:bCs w:val="0"/>
      <w:color w:val="auto"/>
      <w:kern w:val="0"/>
      <w:sz w:val="32"/>
      <w:szCs w:val="20"/>
    </w:rPr>
  </w:style>
  <w:style w:type="paragraph" w:customStyle="1" w:styleId="2529">
    <w:name w:val="表后文"/>
    <w:basedOn w:val="1"/>
    <w:qFormat/>
    <w:uiPriority w:val="0"/>
    <w:pPr>
      <w:adjustRightInd w:val="0"/>
      <w:spacing w:before="120" w:line="360" w:lineRule="auto"/>
      <w:ind w:firstLine="493"/>
      <w:textAlignment w:val="baseline"/>
    </w:pPr>
    <w:rPr>
      <w:rFonts w:ascii="宋体" w:hAnsi="宋体"/>
      <w:spacing w:val="-2"/>
      <w:kern w:val="0"/>
      <w:sz w:val="24"/>
      <w:szCs w:val="20"/>
    </w:rPr>
  </w:style>
  <w:style w:type="paragraph" w:customStyle="1" w:styleId="2530">
    <w:name w:val="xl117"/>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kern w:val="0"/>
      <w:szCs w:val="21"/>
    </w:rPr>
  </w:style>
  <w:style w:type="paragraph" w:customStyle="1" w:styleId="2531">
    <w:name w:val="字元"/>
    <w:basedOn w:val="1"/>
    <w:qFormat/>
    <w:uiPriority w:val="0"/>
    <w:rPr>
      <w:sz w:val="24"/>
    </w:rPr>
  </w:style>
  <w:style w:type="paragraph" w:customStyle="1" w:styleId="2532">
    <w:name w:val="表前文"/>
    <w:basedOn w:val="1"/>
    <w:qFormat/>
    <w:uiPriority w:val="0"/>
    <w:pPr>
      <w:adjustRightInd w:val="0"/>
      <w:spacing w:after="120" w:line="360" w:lineRule="auto"/>
      <w:ind w:firstLine="493"/>
      <w:textAlignment w:val="baseline"/>
    </w:pPr>
    <w:rPr>
      <w:kern w:val="0"/>
      <w:sz w:val="24"/>
    </w:rPr>
  </w:style>
  <w:style w:type="paragraph" w:customStyle="1" w:styleId="2533">
    <w:name w:val="a9"/>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534">
    <w:name w:val="222"/>
    <w:basedOn w:val="1"/>
    <w:qFormat/>
    <w:uiPriority w:val="0"/>
    <w:pPr>
      <w:spacing w:beforeLines="50" w:after="160"/>
      <w:jc w:val="center"/>
    </w:pPr>
    <w:rPr>
      <w:rFonts w:hint="eastAsia" w:ascii="宋体" w:hAnsi="宋体"/>
      <w:b/>
      <w:bCs/>
      <w:sz w:val="44"/>
      <w:szCs w:val="36"/>
    </w:rPr>
  </w:style>
  <w:style w:type="paragraph" w:customStyle="1" w:styleId="2535">
    <w:name w:val="xl138"/>
    <w:basedOn w:val="1"/>
    <w:qFormat/>
    <w:uiPriority w:val="0"/>
    <w:pPr>
      <w:widowControl/>
      <w:pBdr>
        <w:top w:val="single" w:color="auto" w:sz="8" w:space="0"/>
        <w:left w:val="single" w:color="auto" w:sz="12" w:space="0"/>
        <w:bottom w:val="single" w:color="auto" w:sz="12" w:space="0"/>
      </w:pBdr>
      <w:shd w:val="clear" w:color="000000" w:fill="FFFF00"/>
      <w:spacing w:before="100" w:beforeAutospacing="1" w:after="100" w:afterAutospacing="1"/>
      <w:jc w:val="left"/>
    </w:pPr>
    <w:rPr>
      <w:kern w:val="0"/>
      <w:szCs w:val="21"/>
    </w:rPr>
  </w:style>
  <w:style w:type="paragraph" w:customStyle="1" w:styleId="2536">
    <w:name w:val="样式 宋体 小四 行距: 固定值 25 磅"/>
    <w:basedOn w:val="1"/>
    <w:qFormat/>
    <w:uiPriority w:val="0"/>
    <w:pPr>
      <w:spacing w:line="500" w:lineRule="exact"/>
      <w:ind w:firstLine="480" w:firstLineChars="200"/>
    </w:pPr>
    <w:rPr>
      <w:rFonts w:ascii="宋体" w:hAnsi="宋体" w:eastAsia="仿宋_GB2312"/>
      <w:sz w:val="24"/>
      <w:szCs w:val="20"/>
    </w:rPr>
  </w:style>
  <w:style w:type="paragraph" w:customStyle="1" w:styleId="2537">
    <w:name w:val="11ft"/>
    <w:basedOn w:val="1"/>
    <w:qFormat/>
    <w:uiPriority w:val="0"/>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2538">
    <w:name w:val="标题zl"/>
    <w:basedOn w:val="9"/>
    <w:qFormat/>
    <w:uiPriority w:val="0"/>
    <w:pPr>
      <w:tabs>
        <w:tab w:val="clear" w:pos="425"/>
      </w:tabs>
      <w:adjustRightInd/>
      <w:spacing w:line="320" w:lineRule="auto"/>
      <w:ind w:left="0"/>
      <w:textAlignment w:val="auto"/>
    </w:pPr>
    <w:rPr>
      <w:rFonts w:ascii="宋体" w:hAnsi="宋体"/>
      <w:b w:val="0"/>
      <w:kern w:val="2"/>
      <w:sz w:val="28"/>
      <w:szCs w:val="24"/>
    </w:rPr>
  </w:style>
  <w:style w:type="paragraph" w:customStyle="1" w:styleId="2539">
    <w:name w:val="9css2"/>
    <w:basedOn w:val="1"/>
    <w:qFormat/>
    <w:uiPriority w:val="0"/>
    <w:pPr>
      <w:widowControl/>
      <w:spacing w:before="100" w:beforeAutospacing="1" w:after="100" w:afterAutospacing="1" w:line="240" w:lineRule="atLeast"/>
      <w:jc w:val="left"/>
    </w:pPr>
    <w:rPr>
      <w:rFonts w:ascii="宋体" w:hAnsi="宋体"/>
      <w:color w:val="000000"/>
      <w:kern w:val="0"/>
      <w:sz w:val="18"/>
      <w:szCs w:val="18"/>
    </w:rPr>
  </w:style>
  <w:style w:type="paragraph" w:customStyle="1" w:styleId="2540">
    <w:name w:val="5 Char"/>
    <w:basedOn w:val="1"/>
    <w:qFormat/>
    <w:uiPriority w:val="0"/>
    <w:rPr>
      <w:sz w:val="24"/>
    </w:rPr>
  </w:style>
  <w:style w:type="paragraph" w:customStyle="1" w:styleId="2541">
    <w:name w:val="xl143"/>
    <w:basedOn w:val="1"/>
    <w:qFormat/>
    <w:uiPriority w:val="0"/>
    <w:pPr>
      <w:widowControl/>
      <w:pBdr>
        <w:bottom w:val="single" w:color="auto" w:sz="12" w:space="0"/>
        <w:right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2542">
    <w:name w:val="样式 标题 3 + 行距: 最小值 25 磅"/>
    <w:basedOn w:val="5"/>
    <w:qFormat/>
    <w:uiPriority w:val="0"/>
    <w:pPr>
      <w:keepLines w:val="0"/>
      <w:widowControl w:val="0"/>
      <w:numPr>
        <w:numId w:val="0"/>
      </w:numPr>
      <w:adjustRightInd w:val="0"/>
      <w:snapToGrid w:val="0"/>
      <w:spacing w:line="490" w:lineRule="atLeast"/>
    </w:pPr>
    <w:rPr>
      <w:rFonts w:eastAsia="宋体"/>
      <w:b w:val="0"/>
      <w:bCs w:val="0"/>
      <w:szCs w:val="28"/>
    </w:rPr>
  </w:style>
  <w:style w:type="paragraph" w:customStyle="1" w:styleId="2543">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2544">
    <w:name w:val="单位名称"/>
    <w:basedOn w:val="1"/>
    <w:next w:val="1"/>
    <w:qFormat/>
    <w:uiPriority w:val="0"/>
    <w:pPr>
      <w:spacing w:line="360" w:lineRule="auto"/>
      <w:jc w:val="center"/>
    </w:pPr>
    <w:rPr>
      <w:sz w:val="44"/>
      <w:szCs w:val="44"/>
    </w:rPr>
  </w:style>
  <w:style w:type="paragraph" w:customStyle="1" w:styleId="2545">
    <w:name w:val="InstÀÀll5"/>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546">
    <w:name w:val="TOC 标题13"/>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2547">
    <w:name w:val="宋体"/>
    <w:basedOn w:val="1"/>
    <w:qFormat/>
    <w:uiPriority w:val="0"/>
    <w:rPr>
      <w:rFonts w:ascii="宋体" w:hAnsi="宋体"/>
      <w:szCs w:val="21"/>
    </w:rPr>
  </w:style>
  <w:style w:type="paragraph" w:customStyle="1" w:styleId="2548">
    <w:name w:val="样式 样式 标题 4 + 加粗 + 黑色"/>
    <w:basedOn w:val="1"/>
    <w:qFormat/>
    <w:uiPriority w:val="0"/>
    <w:pPr>
      <w:keepNext/>
      <w:keepLines/>
      <w:spacing w:line="360" w:lineRule="auto"/>
      <w:ind w:left="709" w:hanging="709"/>
      <w:outlineLvl w:val="3"/>
    </w:pPr>
    <w:rPr>
      <w:color w:val="000000"/>
      <w:sz w:val="24"/>
      <w:szCs w:val="28"/>
    </w:rPr>
  </w:style>
  <w:style w:type="paragraph" w:customStyle="1" w:styleId="2549">
    <w:name w:val="样式 标题 11.标题 1章标题 1H1Section HeadHeader1h11st levell1Hea..."/>
    <w:basedOn w:val="3"/>
    <w:qFormat/>
    <w:uiPriority w:val="0"/>
    <w:pPr>
      <w:tabs>
        <w:tab w:val="left" w:pos="360"/>
      </w:tabs>
      <w:spacing w:before="0" w:after="0" w:line="360" w:lineRule="auto"/>
      <w:ind w:left="360" w:hanging="360"/>
      <w:jc w:val="both"/>
    </w:pPr>
    <w:rPr>
      <w:rFonts w:eastAsia="宋体" w:cs="宋体"/>
      <w:b w:val="0"/>
      <w:bCs w:val="0"/>
      <w:sz w:val="30"/>
      <w:szCs w:val="20"/>
    </w:rPr>
  </w:style>
  <w:style w:type="paragraph" w:customStyle="1" w:styleId="2550">
    <w:name w:val="样式 标题 3标题 3 Char标题 3 Char Char Char Char Char Char Char Char C...5 Char"/>
    <w:basedOn w:val="5"/>
    <w:qFormat/>
    <w:uiPriority w:val="0"/>
    <w:pPr>
      <w:widowControl w:val="0"/>
      <w:numPr>
        <w:numId w:val="0"/>
      </w:numPr>
      <w:tabs>
        <w:tab w:val="left" w:pos="720"/>
        <w:tab w:val="left" w:pos="1080"/>
      </w:tabs>
      <w:spacing w:line="360" w:lineRule="auto"/>
      <w:ind w:left="720" w:hanging="720"/>
      <w:jc w:val="both"/>
    </w:pPr>
    <w:rPr>
      <w:rFonts w:eastAsia="宋体"/>
      <w:b w:val="0"/>
      <w:bCs w:val="0"/>
      <w:sz w:val="24"/>
    </w:rPr>
  </w:style>
  <w:style w:type="paragraph" w:customStyle="1" w:styleId="2551">
    <w:name w:val="正文首行缩进 212"/>
    <w:basedOn w:val="1"/>
    <w:qFormat/>
    <w:uiPriority w:val="0"/>
    <w:pPr>
      <w:spacing w:after="120"/>
      <w:ind w:left="420" w:leftChars="200" w:firstLine="420" w:firstLineChars="200"/>
    </w:pPr>
    <w:rPr>
      <w:color w:val="000000"/>
      <w:sz w:val="24"/>
    </w:rPr>
  </w:style>
  <w:style w:type="paragraph" w:customStyle="1" w:styleId="2552">
    <w:name w:val="內文1階"/>
    <w:basedOn w:val="1"/>
    <w:qFormat/>
    <w:uiPriority w:val="0"/>
    <w:pPr>
      <w:tabs>
        <w:tab w:val="left" w:pos="1080"/>
      </w:tabs>
      <w:ind w:left="1080" w:hanging="1080"/>
      <w:jc w:val="left"/>
    </w:pPr>
    <w:rPr>
      <w:rFonts w:eastAsia="PMingLiU"/>
      <w:sz w:val="24"/>
      <w:szCs w:val="20"/>
      <w:lang w:eastAsia="zh-TW"/>
    </w:rPr>
  </w:style>
  <w:style w:type="paragraph" w:customStyle="1" w:styleId="2553">
    <w:name w:val="样式 标题 1 + 加粗"/>
    <w:basedOn w:val="3"/>
    <w:qFormat/>
    <w:uiPriority w:val="0"/>
    <w:pPr>
      <w:tabs>
        <w:tab w:val="left" w:pos="1353"/>
      </w:tabs>
      <w:spacing w:before="0" w:after="0" w:line="360" w:lineRule="auto"/>
      <w:ind w:left="1353" w:hanging="420"/>
      <w:jc w:val="both"/>
    </w:pPr>
    <w:rPr>
      <w:rFonts w:ascii="黑体" w:hAnsi="Arial Black"/>
      <w:b w:val="0"/>
      <w:szCs w:val="20"/>
    </w:rPr>
  </w:style>
  <w:style w:type="paragraph" w:customStyle="1" w:styleId="2554">
    <w:name w:val="图章"/>
    <w:basedOn w:val="1"/>
    <w:qFormat/>
    <w:uiPriority w:val="0"/>
    <w:pPr>
      <w:tabs>
        <w:tab w:val="left" w:pos="1727"/>
        <w:tab w:val="left" w:pos="1884"/>
      </w:tabs>
      <w:adjustRightInd w:val="0"/>
      <w:snapToGrid w:val="0"/>
      <w:ind w:left="26"/>
      <w:jc w:val="left"/>
      <w:outlineLvl w:val="0"/>
    </w:pPr>
    <w:rPr>
      <w:rFonts w:ascii="宋体" w:hAnsi="宋体"/>
      <w:snapToGrid w:val="0"/>
      <w:kern w:val="0"/>
      <w:sz w:val="18"/>
      <w:szCs w:val="20"/>
    </w:rPr>
  </w:style>
  <w:style w:type="paragraph" w:customStyle="1" w:styleId="2555">
    <w:name w:val="jcss"/>
    <w:basedOn w:val="1"/>
    <w:qFormat/>
    <w:uiPriority w:val="0"/>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2556">
    <w:name w:val="节标"/>
    <w:basedOn w:val="1"/>
    <w:qFormat/>
    <w:uiPriority w:val="0"/>
    <w:pPr>
      <w:widowControl/>
      <w:autoSpaceDE w:val="0"/>
      <w:autoSpaceDN w:val="0"/>
      <w:adjustRightInd w:val="0"/>
      <w:spacing w:line="480" w:lineRule="exact"/>
      <w:ind w:firstLine="567"/>
      <w:jc w:val="center"/>
      <w:textAlignment w:val="bottom"/>
    </w:pPr>
    <w:rPr>
      <w:b/>
      <w:kern w:val="0"/>
      <w:sz w:val="30"/>
      <w:szCs w:val="28"/>
    </w:rPr>
  </w:style>
  <w:style w:type="paragraph" w:customStyle="1" w:styleId="2557">
    <w:name w:val="索引 512"/>
    <w:basedOn w:val="1"/>
    <w:next w:val="1"/>
    <w:qFormat/>
    <w:uiPriority w:val="0"/>
    <w:pPr>
      <w:ind w:left="800" w:leftChars="800"/>
    </w:pPr>
  </w:style>
  <w:style w:type="paragraph" w:customStyle="1" w:styleId="2558">
    <w:name w:val="ST20_5"/>
    <w:basedOn w:val="1"/>
    <w:qFormat/>
    <w:uiPriority w:val="0"/>
    <w:pPr>
      <w:keepLines/>
      <w:autoSpaceDE w:val="0"/>
      <w:autoSpaceDN w:val="0"/>
      <w:adjustRightInd w:val="0"/>
      <w:spacing w:after="160" w:line="360" w:lineRule="atLeast"/>
      <w:ind w:left="720" w:right="720"/>
      <w:jc w:val="left"/>
      <w:textAlignment w:val="baseline"/>
    </w:pPr>
    <w:rPr>
      <w:rFonts w:ascii="宋体" w:hAnsi="Tms Rmn"/>
      <w:i/>
      <w:kern w:val="0"/>
      <w:sz w:val="28"/>
      <w:szCs w:val="20"/>
    </w:rPr>
  </w:style>
  <w:style w:type="paragraph" w:customStyle="1" w:styleId="2559">
    <w:name w:val="样式 小四 行距: 1.5 倍行距"/>
    <w:basedOn w:val="1"/>
    <w:qFormat/>
    <w:uiPriority w:val="0"/>
    <w:pPr>
      <w:spacing w:line="360" w:lineRule="auto"/>
      <w:ind w:firstLine="200" w:firstLineChars="200"/>
    </w:pPr>
    <w:rPr>
      <w:rFonts w:cs="宋体"/>
      <w:kern w:val="0"/>
      <w:sz w:val="24"/>
      <w:szCs w:val="20"/>
    </w:rPr>
  </w:style>
  <w:style w:type="paragraph" w:customStyle="1" w:styleId="2560">
    <w:name w:val="ST20_55"/>
    <w:basedOn w:val="1"/>
    <w:qFormat/>
    <w:uiPriority w:val="0"/>
    <w:pPr>
      <w:tabs>
        <w:tab w:val="left" w:pos="2160"/>
      </w:tabs>
      <w:autoSpaceDE w:val="0"/>
      <w:autoSpaceDN w:val="0"/>
      <w:adjustRightInd w:val="0"/>
      <w:spacing w:after="80" w:line="360" w:lineRule="atLeast"/>
      <w:ind w:left="2160" w:hanging="360"/>
      <w:jc w:val="left"/>
      <w:textAlignment w:val="baseline"/>
    </w:pPr>
    <w:rPr>
      <w:rFonts w:ascii="宋体" w:hAnsi="Tms Rmn"/>
      <w:kern w:val="0"/>
      <w:sz w:val="28"/>
      <w:szCs w:val="20"/>
    </w:rPr>
  </w:style>
  <w:style w:type="paragraph" w:customStyle="1" w:styleId="2561">
    <w:name w:val="样式 宋体 小四 左 段前: 6 磅 段后: 6 磅 行距: 1.5 倍行距2"/>
    <w:basedOn w:val="1"/>
    <w:qFormat/>
    <w:uiPriority w:val="0"/>
    <w:pPr>
      <w:spacing w:line="300" w:lineRule="exact"/>
      <w:jc w:val="center"/>
    </w:pPr>
    <w:rPr>
      <w:szCs w:val="21"/>
    </w:rPr>
  </w:style>
  <w:style w:type="paragraph" w:customStyle="1" w:styleId="2562">
    <w:name w:val="列表接续 312"/>
    <w:basedOn w:val="1"/>
    <w:qFormat/>
    <w:uiPriority w:val="0"/>
    <w:pPr>
      <w:spacing w:after="120"/>
      <w:ind w:left="1260" w:leftChars="600"/>
    </w:pPr>
  </w:style>
  <w:style w:type="paragraph" w:customStyle="1" w:styleId="2563">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4">
    <w:name w:val="列表接续 512"/>
    <w:basedOn w:val="1"/>
    <w:qFormat/>
    <w:uiPriority w:val="0"/>
    <w:pPr>
      <w:spacing w:after="120"/>
      <w:ind w:left="2100" w:leftChars="1000"/>
    </w:pPr>
  </w:style>
  <w:style w:type="paragraph" w:customStyle="1" w:styleId="2565">
    <w:name w:val="正文文字缩进 3"/>
    <w:basedOn w:val="1"/>
    <w:qFormat/>
    <w:uiPriority w:val="0"/>
    <w:pPr>
      <w:widowControl/>
      <w:spacing w:line="351" w:lineRule="atLeast"/>
      <w:ind w:firstLine="1026"/>
      <w:textAlignment w:val="baseline"/>
    </w:pPr>
    <w:rPr>
      <w:color w:val="000000"/>
      <w:spacing w:val="17"/>
      <w:kern w:val="0"/>
      <w:sz w:val="31"/>
      <w:szCs w:val="20"/>
      <w:u w:color="000000"/>
    </w:rPr>
  </w:style>
  <w:style w:type="paragraph" w:customStyle="1" w:styleId="2566">
    <w:name w:val="文件册号"/>
    <w:basedOn w:val="1"/>
    <w:next w:val="1"/>
    <w:qFormat/>
    <w:uiPriority w:val="0"/>
    <w:pPr>
      <w:spacing w:line="800" w:lineRule="atLeast"/>
      <w:jc w:val="center"/>
    </w:pPr>
    <w:rPr>
      <w:sz w:val="52"/>
      <w:szCs w:val="52"/>
    </w:rPr>
  </w:style>
  <w:style w:type="paragraph" w:customStyle="1" w:styleId="2567">
    <w:name w:val="样式 标题 3 + 字距调整二号 行距: 最小值 25 磅"/>
    <w:basedOn w:val="5"/>
    <w:qFormat/>
    <w:uiPriority w:val="0"/>
    <w:pPr>
      <w:keepLines w:val="0"/>
      <w:widowControl w:val="0"/>
      <w:numPr>
        <w:numId w:val="0"/>
      </w:numPr>
      <w:tabs>
        <w:tab w:val="left" w:leader="dot" w:pos="0"/>
      </w:tabs>
      <w:spacing w:line="500" w:lineRule="atLeast"/>
      <w:jc w:val="both"/>
    </w:pPr>
    <w:rPr>
      <w:rFonts w:eastAsia="宋体" w:cs="宋体"/>
      <w:b w:val="0"/>
      <w:bCs w:val="0"/>
      <w:kern w:val="44"/>
      <w:szCs w:val="20"/>
    </w:rPr>
  </w:style>
  <w:style w:type="paragraph" w:customStyle="1" w:styleId="2568">
    <w:name w:val="样式 标题 3 + 左侧:  0 毫米 首行缩进:  0 毫米 行距: 最小值 25 磅"/>
    <w:basedOn w:val="5"/>
    <w:qFormat/>
    <w:uiPriority w:val="0"/>
    <w:pPr>
      <w:keepLines w:val="0"/>
      <w:widowControl w:val="0"/>
      <w:numPr>
        <w:numId w:val="0"/>
      </w:numPr>
      <w:spacing w:line="500" w:lineRule="atLeast"/>
      <w:jc w:val="both"/>
    </w:pPr>
    <w:rPr>
      <w:rFonts w:eastAsia="宋体" w:cs="宋体"/>
      <w:b w:val="0"/>
      <w:bCs w:val="0"/>
      <w:kern w:val="0"/>
      <w:szCs w:val="20"/>
    </w:rPr>
  </w:style>
  <w:style w:type="paragraph" w:customStyle="1" w:styleId="2569">
    <w:name w:val="样式 标题 3 + 左侧:  0 毫米 悬挂缩进: 7.09 字符 行距: 最小值 25 磅"/>
    <w:basedOn w:val="5"/>
    <w:qFormat/>
    <w:uiPriority w:val="0"/>
    <w:pPr>
      <w:keepLines w:val="0"/>
      <w:widowControl w:val="0"/>
      <w:numPr>
        <w:numId w:val="0"/>
      </w:numPr>
      <w:spacing w:line="500" w:lineRule="atLeast"/>
      <w:ind w:left="709" w:hanging="709"/>
      <w:jc w:val="both"/>
    </w:pPr>
    <w:rPr>
      <w:rFonts w:eastAsia="宋体" w:cs="宋体"/>
      <w:b w:val="0"/>
      <w:bCs w:val="0"/>
      <w:kern w:val="0"/>
      <w:szCs w:val="20"/>
    </w:rPr>
  </w:style>
  <w:style w:type="paragraph" w:customStyle="1" w:styleId="2570">
    <w:name w:val="参加人员名单"/>
    <w:basedOn w:val="1"/>
    <w:next w:val="1"/>
    <w:qFormat/>
    <w:uiPriority w:val="0"/>
    <w:pPr>
      <w:spacing w:line="500" w:lineRule="atLeast"/>
      <w:jc w:val="center"/>
      <w:outlineLvl w:val="0"/>
    </w:pPr>
    <w:rPr>
      <w:sz w:val="32"/>
      <w:szCs w:val="32"/>
    </w:rPr>
  </w:style>
  <w:style w:type="paragraph" w:customStyle="1" w:styleId="2571">
    <w:name w:val="Char Char Char Char Char Char Char Char Char1 Char Char Char Char Char Char1 Char3"/>
    <w:basedOn w:val="1"/>
    <w:qFormat/>
    <w:uiPriority w:val="0"/>
    <w:rPr>
      <w:szCs w:val="21"/>
    </w:rPr>
  </w:style>
  <w:style w:type="paragraph" w:customStyle="1" w:styleId="2572">
    <w:name w:val="cg1"/>
    <w:basedOn w:val="1"/>
    <w:qFormat/>
    <w:uiPriority w:val="0"/>
    <w:pPr>
      <w:widowControl/>
      <w:spacing w:before="100" w:beforeAutospacing="1" w:after="100" w:afterAutospacing="1" w:line="330" w:lineRule="atLeast"/>
      <w:ind w:firstLine="360"/>
      <w:jc w:val="left"/>
    </w:pPr>
    <w:rPr>
      <w:rFonts w:ascii="ˎ̥" w:hAnsi="ˎ̥"/>
      <w:color w:val="000099"/>
      <w:kern w:val="0"/>
      <w:sz w:val="18"/>
      <w:szCs w:val="18"/>
    </w:rPr>
  </w:style>
  <w:style w:type="paragraph" w:customStyle="1" w:styleId="2573">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574">
    <w:name w:val="正文文本 21"/>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2575">
    <w:name w:val="纯文本2"/>
    <w:basedOn w:val="1"/>
    <w:qFormat/>
    <w:uiPriority w:val="0"/>
    <w:pPr>
      <w:adjustRightInd w:val="0"/>
      <w:textAlignment w:val="baseline"/>
    </w:pPr>
    <w:rPr>
      <w:rFonts w:ascii="宋体" w:hAnsi="Courier New"/>
      <w:szCs w:val="20"/>
    </w:rPr>
  </w:style>
  <w:style w:type="paragraph" w:customStyle="1" w:styleId="2576">
    <w:name w:val="xl8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77">
    <w:name w:val="xl8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78">
    <w:name w:val="xl8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579">
    <w:name w:val="xl89"/>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580">
    <w:name w:val="xl91"/>
    <w:basedOn w:val="1"/>
    <w:qFormat/>
    <w:uiPriority w:val="0"/>
    <w:pPr>
      <w:widowControl/>
      <w:pBdr>
        <w:bottom w:val="single" w:color="auto" w:sz="8" w:space="0"/>
        <w:right w:val="single" w:color="auto" w:sz="8" w:space="0"/>
      </w:pBdr>
      <w:spacing w:before="100" w:beforeAutospacing="1" w:after="100" w:afterAutospacing="1"/>
      <w:jc w:val="left"/>
    </w:pPr>
    <w:rPr>
      <w:kern w:val="0"/>
      <w:sz w:val="20"/>
      <w:szCs w:val="20"/>
    </w:rPr>
  </w:style>
  <w:style w:type="paragraph" w:customStyle="1" w:styleId="2581">
    <w:name w:val="xl96"/>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eastAsia="仿宋_GB2312" w:cs="宋体"/>
      <w:color w:val="00B050"/>
      <w:kern w:val="0"/>
      <w:sz w:val="18"/>
      <w:szCs w:val="18"/>
    </w:rPr>
  </w:style>
  <w:style w:type="paragraph" w:customStyle="1" w:styleId="2582">
    <w:name w:val="Char Char Char Char Char Char1 Char Char Char1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583">
    <w:name w:val="xl9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84">
    <w:name w:val="xl98"/>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85">
    <w:name w:val="Char Char Char1 Char Char Char Char1"/>
    <w:basedOn w:val="1"/>
    <w:qFormat/>
    <w:uiPriority w:val="0"/>
  </w:style>
  <w:style w:type="paragraph" w:customStyle="1" w:styleId="2586">
    <w:name w:val="xl9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color w:val="00B050"/>
      <w:kern w:val="0"/>
      <w:sz w:val="18"/>
      <w:szCs w:val="18"/>
    </w:rPr>
  </w:style>
  <w:style w:type="paragraph" w:customStyle="1" w:styleId="2587">
    <w:name w:val="Char1 Char Char Char Char Char Char"/>
    <w:basedOn w:val="1"/>
    <w:qFormat/>
    <w:uiPriority w:val="0"/>
    <w:rPr>
      <w:sz w:val="24"/>
    </w:rPr>
  </w:style>
  <w:style w:type="paragraph" w:customStyle="1" w:styleId="2588">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589">
    <w:name w:val="Char Char2 Char Char Char Char Char Char1"/>
    <w:basedOn w:val="1"/>
    <w:qFormat/>
    <w:uiPriority w:val="0"/>
    <w:pPr>
      <w:spacing w:line="480" w:lineRule="exact"/>
    </w:pPr>
    <w:rPr>
      <w:sz w:val="22"/>
    </w:rPr>
  </w:style>
  <w:style w:type="paragraph" w:customStyle="1" w:styleId="2590">
    <w:name w:val="Char Char1 Char Char Char Char Char1"/>
    <w:basedOn w:val="1"/>
    <w:qFormat/>
    <w:uiPriority w:val="0"/>
    <w:rPr>
      <w:sz w:val="24"/>
    </w:rPr>
  </w:style>
  <w:style w:type="paragraph" w:customStyle="1" w:styleId="2591">
    <w:name w:val="正文4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592">
    <w:name w:val="Char1 Char Char Char Char Char Char1"/>
    <w:basedOn w:val="1"/>
    <w:qFormat/>
    <w:uiPriority w:val="0"/>
    <w:rPr>
      <w:sz w:val="24"/>
    </w:rPr>
  </w:style>
  <w:style w:type="paragraph" w:customStyle="1" w:styleId="2593">
    <w:name w:val="Char2 Char Char Char Char Char Char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2594">
    <w:name w:val="xl102"/>
    <w:basedOn w:val="1"/>
    <w:qFormat/>
    <w:uiPriority w:val="0"/>
    <w:pPr>
      <w:widowControl/>
      <w:pBdr>
        <w:top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595">
    <w:name w:val="xl104"/>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596">
    <w:name w:val="Char1 Char Char Char Char Char1 Char11"/>
    <w:basedOn w:val="1"/>
    <w:qFormat/>
    <w:uiPriority w:val="0"/>
    <w:rPr>
      <w:szCs w:val="21"/>
    </w:rPr>
  </w:style>
  <w:style w:type="paragraph" w:customStyle="1" w:styleId="2597">
    <w:name w:val="xl106"/>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598">
    <w:name w:val="xl10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Cs w:val="21"/>
    </w:rPr>
  </w:style>
  <w:style w:type="paragraph" w:customStyle="1" w:styleId="2599">
    <w:name w:val="Char3 Char Char Char Char Char Char1"/>
    <w:basedOn w:val="1"/>
    <w:qFormat/>
    <w:uiPriority w:val="0"/>
    <w:rPr>
      <w:szCs w:val="21"/>
    </w:rPr>
  </w:style>
  <w:style w:type="paragraph" w:customStyle="1" w:styleId="2600">
    <w:name w:val="xl109"/>
    <w:basedOn w:val="1"/>
    <w:qFormat/>
    <w:uiPriority w:val="0"/>
    <w:pPr>
      <w:widowControl/>
      <w:pBdr>
        <w:top w:val="single" w:color="auto" w:sz="8" w:space="0"/>
        <w:bottom w:val="single" w:color="auto" w:sz="8" w:space="0"/>
      </w:pBdr>
      <w:spacing w:before="100" w:beforeAutospacing="1" w:after="100" w:afterAutospacing="1"/>
      <w:jc w:val="center"/>
    </w:pPr>
    <w:rPr>
      <w:rFonts w:ascii="仿宋_GB2312" w:hAnsi="宋体" w:eastAsia="仿宋_GB2312" w:cs="宋体"/>
      <w:kern w:val="0"/>
      <w:sz w:val="18"/>
      <w:szCs w:val="18"/>
    </w:rPr>
  </w:style>
  <w:style w:type="character" w:customStyle="1" w:styleId="2601">
    <w:name w:val="明显引用 Char3"/>
    <w:basedOn w:val="133"/>
    <w:qFormat/>
    <w:uiPriority w:val="99"/>
    <w:rPr>
      <w:rFonts w:ascii="Times New Roman" w:hAnsi="Times New Roman" w:eastAsia="宋体" w:cs="Times New Roman"/>
      <w:i/>
      <w:iCs/>
      <w:color w:val="5B9BD5" w:themeColor="accent1"/>
      <w:szCs w:val="24"/>
      <w14:textFill>
        <w14:solidFill>
          <w14:schemeClr w14:val="accent1"/>
        </w14:solidFill>
      </w14:textFill>
    </w:rPr>
  </w:style>
  <w:style w:type="paragraph" w:customStyle="1" w:styleId="2602">
    <w:name w:val="xl11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603">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604">
    <w:name w:val="xl112"/>
    <w:basedOn w:val="1"/>
    <w:qFormat/>
    <w:uiPriority w:val="0"/>
    <w:pPr>
      <w:widowControl/>
      <w:pBdr>
        <w:left w:val="single" w:color="auto" w:sz="8" w:space="0"/>
        <w:right w:val="single" w:color="auto" w:sz="8" w:space="0"/>
      </w:pBdr>
      <w:spacing w:before="100" w:beforeAutospacing="1" w:after="100" w:afterAutospacing="1"/>
      <w:jc w:val="center"/>
    </w:pPr>
    <w:rPr>
      <w:rFonts w:ascii="仿宋_GB2312" w:hAnsi="宋体" w:eastAsia="仿宋_GB2312" w:cs="宋体"/>
      <w:kern w:val="0"/>
      <w:sz w:val="18"/>
      <w:szCs w:val="18"/>
    </w:rPr>
  </w:style>
  <w:style w:type="paragraph" w:customStyle="1" w:styleId="2605">
    <w:name w:val="InstÀÀll3"/>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606">
    <w:name w:val="样式 表格文字 + (西文) 宋体 (中文) 华文仿宋 小四 黑色1"/>
    <w:basedOn w:val="528"/>
    <w:qFormat/>
    <w:uiPriority w:val="0"/>
    <w:pPr>
      <w:widowControl w:val="0"/>
      <w:tabs>
        <w:tab w:val="left" w:pos="560"/>
      </w:tabs>
      <w:overflowPunct w:val="0"/>
      <w:adjustRightInd w:val="0"/>
      <w:spacing w:line="400" w:lineRule="exact"/>
      <w:jc w:val="center"/>
    </w:pPr>
    <w:rPr>
      <w:rFonts w:hint="eastAsia" w:ascii="Times New Roman" w:eastAsia="宋体" w:cs="宋体"/>
      <w:color w:val="000000"/>
      <w:szCs w:val="21"/>
    </w:rPr>
  </w:style>
  <w:style w:type="paragraph" w:customStyle="1" w:styleId="2607">
    <w:name w:val="正文文本缩进4"/>
    <w:basedOn w:val="1"/>
    <w:qFormat/>
    <w:uiPriority w:val="0"/>
    <w:pPr>
      <w:spacing w:after="120" w:line="360" w:lineRule="auto"/>
      <w:ind w:left="420" w:leftChars="200" w:firstLine="200" w:firstLineChars="200"/>
    </w:pPr>
    <w:rPr>
      <w:sz w:val="24"/>
    </w:rPr>
  </w:style>
  <w:style w:type="paragraph" w:customStyle="1" w:styleId="2608">
    <w:name w:val="广西炼油"/>
    <w:basedOn w:val="1"/>
    <w:qFormat/>
    <w:uiPriority w:val="0"/>
    <w:pPr>
      <w:spacing w:beforeLines="5" w:line="360" w:lineRule="auto"/>
      <w:ind w:firstLine="480"/>
    </w:pPr>
    <w:rPr>
      <w:rFonts w:ascii="宋体" w:hAnsi="宋体"/>
      <w:sz w:val="24"/>
      <w:szCs w:val="20"/>
    </w:rPr>
  </w:style>
  <w:style w:type="paragraph" w:customStyle="1" w:styleId="2609">
    <w:name w:val="Char Char Char Char Char Char Char Char Char1 Char Char Char Char2"/>
    <w:basedOn w:val="1"/>
    <w:qFormat/>
    <w:uiPriority w:val="0"/>
    <w:rPr>
      <w:rFonts w:eastAsia="黑体"/>
      <w:b/>
      <w:szCs w:val="20"/>
    </w:rPr>
  </w:style>
  <w:style w:type="paragraph" w:customStyle="1" w:styleId="2610">
    <w:name w:val="标题 33"/>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2611">
    <w:name w:val="正文文本 23"/>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2612">
    <w:name w:val="纯文本4"/>
    <w:basedOn w:val="1"/>
    <w:qFormat/>
    <w:uiPriority w:val="0"/>
    <w:pPr>
      <w:adjustRightInd w:val="0"/>
      <w:textAlignment w:val="baseline"/>
    </w:pPr>
    <w:rPr>
      <w:rFonts w:ascii="宋体" w:hAnsi="Courier New"/>
      <w:szCs w:val="20"/>
    </w:rPr>
  </w:style>
  <w:style w:type="paragraph" w:customStyle="1" w:styleId="2613">
    <w:name w:val="Char Char Char Char Char Char Char Char Char Char Char Char Char Char Char Char"/>
    <w:basedOn w:val="1"/>
    <w:qFormat/>
    <w:uiPriority w:val="0"/>
    <w:rPr>
      <w:szCs w:val="20"/>
    </w:rPr>
  </w:style>
  <w:style w:type="paragraph" w:customStyle="1" w:styleId="2614">
    <w:name w:val="字元3"/>
    <w:basedOn w:val="1"/>
    <w:qFormat/>
    <w:uiPriority w:val="0"/>
    <w:rPr>
      <w:sz w:val="24"/>
    </w:rPr>
  </w:style>
  <w:style w:type="paragraph" w:customStyle="1" w:styleId="2615">
    <w:name w:val="Char Char Char1 Char Char Char Char3"/>
    <w:basedOn w:val="1"/>
    <w:qFormat/>
    <w:uiPriority w:val="0"/>
  </w:style>
  <w:style w:type="paragraph" w:customStyle="1" w:styleId="2616">
    <w:name w:val="表格（大）"/>
    <w:basedOn w:val="1"/>
    <w:qFormat/>
    <w:uiPriority w:val="0"/>
    <w:pPr>
      <w:jc w:val="center"/>
    </w:pPr>
    <w:rPr>
      <w:rFonts w:ascii="仿宋_GB2312" w:eastAsia="仿宋_GB2312"/>
      <w:color w:val="000000"/>
      <w:sz w:val="24"/>
      <w:szCs w:val="20"/>
    </w:rPr>
  </w:style>
  <w:style w:type="paragraph" w:customStyle="1" w:styleId="2617">
    <w:name w:val="Chapter"/>
    <w:basedOn w:val="3"/>
    <w:qFormat/>
    <w:uiPriority w:val="0"/>
    <w:pPr>
      <w:tabs>
        <w:tab w:val="left" w:pos="926"/>
        <w:tab w:val="left" w:pos="1350"/>
      </w:tabs>
      <w:spacing w:before="340" w:after="330" w:line="578" w:lineRule="auto"/>
      <w:ind w:left="-16" w:hanging="720"/>
    </w:pPr>
    <w:rPr>
      <w:rFonts w:eastAsia="宋体"/>
      <w:sz w:val="36"/>
      <w:szCs w:val="36"/>
    </w:rPr>
  </w:style>
  <w:style w:type="paragraph" w:customStyle="1" w:styleId="2618">
    <w:name w:val="图表五号"/>
    <w:basedOn w:val="1"/>
    <w:qFormat/>
    <w:uiPriority w:val="0"/>
    <w:pPr>
      <w:autoSpaceDE w:val="0"/>
      <w:autoSpaceDN w:val="0"/>
      <w:adjustRightInd w:val="0"/>
      <w:snapToGrid w:val="0"/>
      <w:spacing w:line="20" w:lineRule="atLeast"/>
      <w:jc w:val="center"/>
    </w:pPr>
    <w:rPr>
      <w:szCs w:val="20"/>
    </w:rPr>
  </w:style>
  <w:style w:type="paragraph" w:customStyle="1" w:styleId="2619">
    <w:name w:val="样式 标题 1章标题 1h11st levelSection Headl1b1-*+标题 1章ChH1PI..."/>
    <w:basedOn w:val="3"/>
    <w:qFormat/>
    <w:uiPriority w:val="0"/>
    <w:pPr>
      <w:spacing w:before="0" w:after="0" w:line="360" w:lineRule="auto"/>
    </w:pPr>
    <w:rPr>
      <w:rFonts w:ascii="黑体" w:hAnsi="黑体"/>
      <w:szCs w:val="44"/>
    </w:rPr>
  </w:style>
  <w:style w:type="paragraph" w:customStyle="1" w:styleId="2620">
    <w:name w:val="样式 标题 1章标题 1h11st levelSection Headl1b1-*+标题 1章ChH1PI...1"/>
    <w:basedOn w:val="3"/>
    <w:qFormat/>
    <w:uiPriority w:val="0"/>
    <w:pPr>
      <w:spacing w:before="120" w:after="120" w:line="360" w:lineRule="auto"/>
    </w:pPr>
    <w:rPr>
      <w:rFonts w:ascii="黑体" w:hAnsi="黑体"/>
      <w:b w:val="0"/>
      <w:bCs w:val="0"/>
      <w:kern w:val="0"/>
      <w:szCs w:val="44"/>
    </w:rPr>
  </w:style>
  <w:style w:type="paragraph" w:customStyle="1" w:styleId="2621">
    <w:name w:val="book1_1"/>
    <w:basedOn w:val="4"/>
    <w:qFormat/>
    <w:uiPriority w:val="0"/>
    <w:pPr>
      <w:keepNext w:val="0"/>
      <w:tabs>
        <w:tab w:val="left" w:pos="622"/>
        <w:tab w:val="left" w:pos="1470"/>
      </w:tabs>
      <w:spacing w:before="156" w:beforeLines="50" w:after="156" w:afterLines="50" w:line="240" w:lineRule="auto"/>
      <w:ind w:left="1470" w:hanging="420"/>
    </w:pPr>
    <w:rPr>
      <w:rFonts w:ascii="Arial" w:hAnsi="Arial"/>
      <w:b w:val="0"/>
      <w:color w:val="auto"/>
      <w:sz w:val="24"/>
      <w:szCs w:val="32"/>
      <w:shd w:val="pct10" w:color="auto" w:fill="FFFFFF"/>
    </w:rPr>
  </w:style>
  <w:style w:type="paragraph" w:customStyle="1" w:styleId="2622">
    <w:name w:val="book1_1_1"/>
    <w:basedOn w:val="5"/>
    <w:qFormat/>
    <w:uiPriority w:val="0"/>
    <w:pPr>
      <w:keepNext w:val="0"/>
      <w:widowControl w:val="0"/>
      <w:numPr>
        <w:ilvl w:val="0"/>
        <w:numId w:val="0"/>
      </w:numPr>
      <w:tabs>
        <w:tab w:val="left" w:pos="1050"/>
        <w:tab w:val="left" w:pos="1890"/>
      </w:tabs>
      <w:spacing w:before="50" w:beforeLines="50" w:after="50" w:afterLines="50" w:line="400" w:lineRule="exact"/>
      <w:ind w:left="1890" w:hanging="420"/>
      <w:jc w:val="both"/>
    </w:pPr>
    <w:rPr>
      <w:rFonts w:ascii="宋体" w:hAnsi="宋体" w:eastAsia="宋体"/>
      <w:b w:val="0"/>
      <w:sz w:val="24"/>
    </w:rPr>
  </w:style>
  <w:style w:type="paragraph" w:customStyle="1" w:styleId="2623">
    <w:name w:val="样式 标题 2 + 仿宋_GB2312"/>
    <w:basedOn w:val="4"/>
    <w:qFormat/>
    <w:uiPriority w:val="0"/>
    <w:pPr>
      <w:spacing w:before="160" w:after="160"/>
      <w:jc w:val="left"/>
    </w:pPr>
    <w:rPr>
      <w:rFonts w:ascii="仿宋_GB2312" w:hAnsi="仿宋_GB2312" w:eastAsia="仿宋_GB2312"/>
      <w:b w:val="0"/>
      <w:color w:val="auto"/>
      <w:sz w:val="32"/>
    </w:rPr>
  </w:style>
  <w:style w:type="paragraph" w:customStyle="1" w:styleId="2624">
    <w:name w:val="1 Char Char Char Char Char Char Char Char Char Char Char Char Char Char Char Char Char Char Char"/>
    <w:basedOn w:val="1"/>
    <w:qFormat/>
    <w:uiPriority w:val="0"/>
    <w:pPr>
      <w:adjustRightInd w:val="0"/>
      <w:spacing w:line="360" w:lineRule="auto"/>
    </w:pPr>
    <w:rPr>
      <w:kern w:val="0"/>
      <w:sz w:val="24"/>
      <w:szCs w:val="20"/>
    </w:rPr>
  </w:style>
  <w:style w:type="paragraph" w:customStyle="1" w:styleId="2625">
    <w:name w:val="Char3 Char Char Char Char Char Char3"/>
    <w:basedOn w:val="1"/>
    <w:qFormat/>
    <w:uiPriority w:val="0"/>
    <w:rPr>
      <w:szCs w:val="21"/>
    </w:rPr>
  </w:style>
  <w:style w:type="paragraph" w:customStyle="1" w:styleId="2626">
    <w:name w:val="xl116"/>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rFonts w:ascii="宋体" w:hAnsi="宋体" w:cs="宋体"/>
      <w:kern w:val="0"/>
      <w:sz w:val="24"/>
    </w:rPr>
  </w:style>
  <w:style w:type="paragraph" w:customStyle="1" w:styleId="2627">
    <w:name w:val="xl118"/>
    <w:basedOn w:val="1"/>
    <w:qFormat/>
    <w:uiPriority w:val="0"/>
    <w:pPr>
      <w:widowControl/>
      <w:pBdr>
        <w:top w:val="single" w:color="auto" w:sz="8" w:space="0"/>
        <w:left w:val="single" w:color="auto" w:sz="8" w:space="0"/>
        <w:right w:val="single" w:color="auto" w:sz="8" w:space="0"/>
      </w:pBdr>
      <w:shd w:val="clear" w:color="000000" w:fill="FFFF00"/>
      <w:spacing w:before="100" w:beforeAutospacing="1" w:after="100" w:afterAutospacing="1"/>
      <w:jc w:val="center"/>
    </w:pPr>
    <w:rPr>
      <w:rFonts w:ascii="宋体" w:hAnsi="宋体" w:cs="宋体"/>
      <w:kern w:val="0"/>
      <w:szCs w:val="21"/>
    </w:rPr>
  </w:style>
  <w:style w:type="paragraph" w:customStyle="1" w:styleId="2628">
    <w:name w:val="xl120"/>
    <w:basedOn w:val="1"/>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629">
    <w:name w:val="xl124"/>
    <w:basedOn w:val="1"/>
    <w:qFormat/>
    <w:uiPriority w:val="0"/>
    <w:pPr>
      <w:widowControl/>
      <w:pBdr>
        <w:left w:val="single" w:color="auto" w:sz="8" w:space="0"/>
        <w:bottom w:val="single" w:color="auto" w:sz="8" w:space="0"/>
        <w:right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2630">
    <w:name w:val="xl130"/>
    <w:basedOn w:val="1"/>
    <w:qFormat/>
    <w:uiPriority w:val="0"/>
    <w:pPr>
      <w:widowControl/>
      <w:pBdr>
        <w:bottom w:val="single" w:color="auto" w:sz="8" w:space="0"/>
        <w:right w:val="single" w:color="auto" w:sz="8" w:space="0"/>
      </w:pBdr>
      <w:shd w:val="clear" w:color="000000" w:fill="FFFF00"/>
      <w:spacing w:before="100" w:beforeAutospacing="1" w:after="100" w:afterAutospacing="1"/>
      <w:jc w:val="center"/>
    </w:pPr>
    <w:rPr>
      <w:kern w:val="0"/>
      <w:sz w:val="24"/>
    </w:rPr>
  </w:style>
  <w:style w:type="paragraph" w:customStyle="1" w:styleId="2631">
    <w:name w:val="xl135"/>
    <w:basedOn w:val="1"/>
    <w:qFormat/>
    <w:uiPriority w:val="0"/>
    <w:pPr>
      <w:widowControl/>
      <w:pBdr>
        <w:top w:val="single" w:color="auto" w:sz="8" w:space="0"/>
        <w:left w:val="single" w:color="auto" w:sz="12" w:space="0"/>
        <w:bottom w:val="single" w:color="auto" w:sz="8" w:space="0"/>
      </w:pBdr>
      <w:shd w:val="clear" w:color="000000" w:fill="FFFF00"/>
      <w:spacing w:before="100" w:beforeAutospacing="1" w:after="100" w:afterAutospacing="1"/>
      <w:jc w:val="left"/>
    </w:pPr>
    <w:rPr>
      <w:kern w:val="0"/>
      <w:szCs w:val="21"/>
    </w:rPr>
  </w:style>
  <w:style w:type="paragraph" w:customStyle="1" w:styleId="2632">
    <w:name w:val="xl137"/>
    <w:basedOn w:val="1"/>
    <w:qFormat/>
    <w:uiPriority w:val="0"/>
    <w:pPr>
      <w:widowControl/>
      <w:pBdr>
        <w:top w:val="single" w:color="auto" w:sz="8" w:space="0"/>
        <w:bottom w:val="single" w:color="auto" w:sz="8" w:space="0"/>
      </w:pBdr>
      <w:shd w:val="clear" w:color="000000" w:fill="FFFF00"/>
      <w:spacing w:before="100" w:beforeAutospacing="1" w:after="100" w:afterAutospacing="1"/>
      <w:jc w:val="center"/>
    </w:pPr>
    <w:rPr>
      <w:kern w:val="0"/>
      <w:szCs w:val="21"/>
    </w:rPr>
  </w:style>
  <w:style w:type="paragraph" w:customStyle="1" w:styleId="2633">
    <w:name w:val="xl141"/>
    <w:basedOn w:val="1"/>
    <w:qFormat/>
    <w:uiPriority w:val="0"/>
    <w:pPr>
      <w:widowControl/>
      <w:pBdr>
        <w:bottom w:val="single" w:color="auto" w:sz="12" w:space="0"/>
        <w:right w:val="single" w:color="auto" w:sz="8" w:space="0"/>
      </w:pBdr>
      <w:shd w:val="clear" w:color="000000" w:fill="FFFF00"/>
      <w:spacing w:before="100" w:beforeAutospacing="1" w:after="100" w:afterAutospacing="1"/>
      <w:jc w:val="center"/>
    </w:pPr>
    <w:rPr>
      <w:kern w:val="0"/>
      <w:szCs w:val="21"/>
    </w:rPr>
  </w:style>
  <w:style w:type="paragraph" w:customStyle="1" w:styleId="2634">
    <w:name w:val="样式 (符号) 宋体 首行缩进:  0.93 厘米 段前: 6 磅 段后: 6 磅 行距: 固定值 18 磅1"/>
    <w:basedOn w:val="1"/>
    <w:qFormat/>
    <w:uiPriority w:val="0"/>
    <w:pPr>
      <w:spacing w:before="160" w:after="160" w:line="320" w:lineRule="exact"/>
      <w:ind w:firstLine="527"/>
    </w:pPr>
    <w:rPr>
      <w:rFonts w:hAnsi="宋体"/>
      <w:sz w:val="24"/>
      <w:szCs w:val="20"/>
    </w:rPr>
  </w:style>
  <w:style w:type="paragraph" w:customStyle="1" w:styleId="2635">
    <w:name w:val="TOC 标题12"/>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2636">
    <w:name w:val="普通(网站)1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7">
    <w:name w:val="签名12"/>
    <w:basedOn w:val="1"/>
    <w:qFormat/>
    <w:uiPriority w:val="0"/>
    <w:pPr>
      <w:ind w:left="100" w:leftChars="2100"/>
    </w:pPr>
    <w:rPr>
      <w:rFonts w:ascii="Calibri" w:hAnsi="Calibri"/>
      <w:color w:val="000000"/>
      <w:kern w:val="0"/>
      <w:sz w:val="24"/>
      <w:szCs w:val="15"/>
    </w:rPr>
  </w:style>
  <w:style w:type="paragraph" w:customStyle="1" w:styleId="2638">
    <w:name w:val="索引 912"/>
    <w:basedOn w:val="1"/>
    <w:next w:val="1"/>
    <w:qFormat/>
    <w:uiPriority w:val="0"/>
    <w:pPr>
      <w:ind w:left="1600" w:leftChars="1600"/>
    </w:pPr>
  </w:style>
  <w:style w:type="paragraph" w:customStyle="1" w:styleId="2639">
    <w:name w:val="列表 212"/>
    <w:basedOn w:val="1"/>
    <w:qFormat/>
    <w:uiPriority w:val="0"/>
    <w:pPr>
      <w:ind w:left="100" w:leftChars="200" w:hanging="200" w:hangingChars="200"/>
    </w:pPr>
  </w:style>
  <w:style w:type="paragraph" w:customStyle="1" w:styleId="2640">
    <w:name w:val="列表接续 412"/>
    <w:basedOn w:val="1"/>
    <w:qFormat/>
    <w:uiPriority w:val="0"/>
    <w:pPr>
      <w:spacing w:after="120"/>
      <w:ind w:left="1680" w:leftChars="800"/>
    </w:pPr>
  </w:style>
  <w:style w:type="paragraph" w:customStyle="1" w:styleId="2641">
    <w:name w:val="引文目录12"/>
    <w:basedOn w:val="1"/>
    <w:next w:val="1"/>
    <w:qFormat/>
    <w:uiPriority w:val="0"/>
    <w:pPr>
      <w:ind w:left="420" w:leftChars="200"/>
    </w:pPr>
  </w:style>
  <w:style w:type="paragraph" w:customStyle="1" w:styleId="2642">
    <w:name w:val="列表 412"/>
    <w:basedOn w:val="1"/>
    <w:qFormat/>
    <w:uiPriority w:val="0"/>
    <w:pPr>
      <w:ind w:left="100" w:leftChars="600" w:hanging="200" w:hangingChars="200"/>
    </w:pPr>
  </w:style>
  <w:style w:type="paragraph" w:customStyle="1" w:styleId="2643">
    <w:name w:val="图表目录12"/>
    <w:basedOn w:val="1"/>
    <w:next w:val="1"/>
    <w:qFormat/>
    <w:uiPriority w:val="0"/>
    <w:pPr>
      <w:ind w:left="200" w:leftChars="200" w:hanging="200" w:hangingChars="200"/>
    </w:pPr>
  </w:style>
  <w:style w:type="paragraph" w:customStyle="1" w:styleId="2644">
    <w:name w:val="批注主题2"/>
    <w:basedOn w:val="1"/>
    <w:next w:val="1"/>
    <w:qFormat/>
    <w:uiPriority w:val="0"/>
    <w:rPr>
      <w:b/>
      <w:bCs/>
      <w:color w:val="000000"/>
      <w:sz w:val="24"/>
    </w:rPr>
  </w:style>
  <w:style w:type="paragraph" w:customStyle="1" w:styleId="2645">
    <w:name w:val="列表 312"/>
    <w:basedOn w:val="1"/>
    <w:qFormat/>
    <w:uiPriority w:val="0"/>
    <w:pPr>
      <w:ind w:left="100" w:leftChars="400" w:hanging="200" w:hangingChars="200"/>
    </w:pPr>
  </w:style>
  <w:style w:type="paragraph" w:customStyle="1" w:styleId="2646">
    <w:name w:val="Char Char Char Char Char Char1 Char Char Char Char3"/>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647">
    <w:name w:val="font14"/>
    <w:basedOn w:val="1"/>
    <w:qFormat/>
    <w:uiPriority w:val="0"/>
    <w:pPr>
      <w:widowControl/>
      <w:spacing w:before="100" w:beforeAutospacing="1" w:after="100" w:afterAutospacing="1"/>
      <w:jc w:val="left"/>
    </w:pPr>
    <w:rPr>
      <w:rFonts w:ascii="楷体_GB2312" w:hAnsi="宋体" w:eastAsia="楷体_GB2312" w:cs="楷体_GB2312"/>
      <w:color w:val="FF6600"/>
      <w:kern w:val="0"/>
      <w:sz w:val="24"/>
    </w:rPr>
  </w:style>
  <w:style w:type="paragraph" w:customStyle="1" w:styleId="2648">
    <w:name w:val="font18"/>
    <w:basedOn w:val="1"/>
    <w:qFormat/>
    <w:uiPriority w:val="0"/>
    <w:pPr>
      <w:widowControl/>
      <w:spacing w:before="100" w:beforeAutospacing="1" w:after="100" w:afterAutospacing="1"/>
      <w:jc w:val="left"/>
    </w:pPr>
    <w:rPr>
      <w:color w:val="FF6600"/>
      <w:kern w:val="0"/>
      <w:sz w:val="24"/>
    </w:rPr>
  </w:style>
  <w:style w:type="paragraph" w:customStyle="1" w:styleId="2649">
    <w:name w:val="Char2 Char Char Char1"/>
    <w:basedOn w:val="1"/>
    <w:qFormat/>
    <w:uiPriority w:val="0"/>
    <w:rPr>
      <w:szCs w:val="21"/>
    </w:rPr>
  </w:style>
  <w:style w:type="paragraph" w:customStyle="1" w:styleId="2650">
    <w:name w:val="font2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2651">
    <w:name w:val="Char12"/>
    <w:basedOn w:val="1"/>
    <w:qFormat/>
    <w:uiPriority w:val="0"/>
    <w:rPr>
      <w:szCs w:val="21"/>
    </w:rPr>
  </w:style>
  <w:style w:type="paragraph" w:customStyle="1" w:styleId="2652">
    <w:name w:val="Char2 Char Char Char3"/>
    <w:basedOn w:val="1"/>
    <w:qFormat/>
    <w:uiPriority w:val="0"/>
    <w:rPr>
      <w:szCs w:val="21"/>
    </w:rPr>
  </w:style>
  <w:style w:type="paragraph" w:customStyle="1" w:styleId="2653">
    <w:name w:val="Char Char Char Char3"/>
    <w:basedOn w:val="1"/>
    <w:qFormat/>
    <w:uiPriority w:val="0"/>
    <w:rPr>
      <w:szCs w:val="21"/>
    </w:rPr>
  </w:style>
  <w:style w:type="paragraph" w:customStyle="1" w:styleId="2654">
    <w:name w:val="样式 样式 宋体 小四 首行缩进:  0.93 厘米 行距: 1.5 倍行距 + 右侧:  0.94 字符"/>
    <w:basedOn w:val="1"/>
    <w:qFormat/>
    <w:uiPriority w:val="0"/>
    <w:pPr>
      <w:spacing w:line="360" w:lineRule="auto"/>
      <w:ind w:firstLine="200" w:firstLineChars="200"/>
    </w:pPr>
    <w:rPr>
      <w:spacing w:val="6"/>
      <w:kern w:val="0"/>
      <w:szCs w:val="21"/>
    </w:rPr>
  </w:style>
  <w:style w:type="paragraph" w:customStyle="1" w:styleId="2655">
    <w:name w:val="列出段落21"/>
    <w:basedOn w:val="1"/>
    <w:qFormat/>
    <w:uiPriority w:val="0"/>
    <w:pPr>
      <w:ind w:firstLine="420" w:firstLineChars="200"/>
    </w:pPr>
    <w:rPr>
      <w:szCs w:val="21"/>
    </w:rPr>
  </w:style>
  <w:style w:type="paragraph" w:customStyle="1" w:styleId="2656">
    <w:name w:val="Char23"/>
    <w:basedOn w:val="1"/>
    <w:qFormat/>
    <w:uiPriority w:val="0"/>
    <w:pPr>
      <w:widowControl/>
      <w:spacing w:after="160" w:line="240" w:lineRule="exact"/>
      <w:jc w:val="left"/>
    </w:pPr>
  </w:style>
  <w:style w:type="paragraph" w:customStyle="1" w:styleId="2657">
    <w:name w:val="表格内文字样式"/>
    <w:basedOn w:val="1"/>
    <w:unhideWhenUsed/>
    <w:qFormat/>
    <w:uiPriority w:val="0"/>
    <w:pPr>
      <w:keepLines/>
      <w:jc w:val="center"/>
    </w:pPr>
    <w:rPr>
      <w:szCs w:val="20"/>
    </w:rPr>
  </w:style>
  <w:style w:type="paragraph" w:customStyle="1" w:styleId="2658">
    <w:name w:val="Char Char1 Char Char Char Char Char Char Char Char Char Char Char Char Char Char Char Char Char Char Char Char1 Char4"/>
    <w:basedOn w:val="1"/>
    <w:qFormat/>
    <w:uiPriority w:val="0"/>
    <w:pPr>
      <w:spacing w:line="360" w:lineRule="auto"/>
      <w:ind w:firstLine="200" w:firstLineChars="200"/>
    </w:pPr>
    <w:rPr>
      <w:rFonts w:ascii="宋体" w:hAnsi="宋体" w:cs="宋体"/>
      <w:sz w:val="24"/>
    </w:rPr>
  </w:style>
  <w:style w:type="paragraph" w:customStyle="1" w:styleId="2659">
    <w:name w:val="Char Char Char Char Char Char Char Char Char Char Char Char1 Char Char Char Char Char Char Char Char Char Char Char Char Char Char Char Char Char Char Char3"/>
    <w:basedOn w:val="1"/>
    <w:qFormat/>
    <w:uiPriority w:val="0"/>
    <w:pPr>
      <w:spacing w:line="360" w:lineRule="auto"/>
      <w:ind w:firstLine="200" w:firstLineChars="200"/>
    </w:pPr>
    <w:rPr>
      <w:rFonts w:ascii="Calibri" w:hAnsi="Calibri"/>
      <w:szCs w:val="20"/>
    </w:rPr>
  </w:style>
  <w:style w:type="paragraph" w:customStyle="1" w:styleId="2660">
    <w:name w:val="Char Char16 Char Char3"/>
    <w:basedOn w:val="1"/>
    <w:qFormat/>
    <w:uiPriority w:val="0"/>
    <w:rPr>
      <w:szCs w:val="21"/>
    </w:rPr>
  </w:style>
  <w:style w:type="paragraph" w:customStyle="1" w:styleId="2661">
    <w:name w:val="Char Char3 Char Char Char1 Char3"/>
    <w:basedOn w:val="1"/>
    <w:qFormat/>
    <w:uiPriority w:val="0"/>
    <w:rPr>
      <w:szCs w:val="20"/>
    </w:rPr>
  </w:style>
  <w:style w:type="paragraph" w:customStyle="1" w:styleId="2662">
    <w:name w:val="Char Char1 Char Char Char Char Char3"/>
    <w:basedOn w:val="1"/>
    <w:qFormat/>
    <w:uiPriority w:val="0"/>
    <w:rPr>
      <w:sz w:val="24"/>
    </w:rPr>
  </w:style>
  <w:style w:type="paragraph" w:customStyle="1" w:styleId="2663">
    <w:name w:val="Char Char Char2 Char3"/>
    <w:basedOn w:val="1"/>
    <w:qFormat/>
    <w:uiPriority w:val="0"/>
    <w:pPr>
      <w:spacing w:line="360" w:lineRule="auto"/>
      <w:ind w:firstLine="200" w:firstLineChars="200"/>
    </w:pPr>
    <w:rPr>
      <w:rFonts w:ascii="宋体" w:hAnsi="宋体" w:cs="宋体"/>
      <w:sz w:val="24"/>
    </w:rPr>
  </w:style>
  <w:style w:type="paragraph" w:customStyle="1" w:styleId="2664">
    <w:name w:val="Char1 Char Char Char3"/>
    <w:basedOn w:val="1"/>
    <w:qFormat/>
    <w:uiPriority w:val="0"/>
    <w:pPr>
      <w:spacing w:line="360" w:lineRule="auto"/>
      <w:ind w:firstLine="200" w:firstLineChars="200"/>
    </w:pPr>
    <w:rPr>
      <w:rFonts w:ascii="宋体" w:hAnsi="宋体" w:cs="宋体"/>
      <w:sz w:val="24"/>
    </w:rPr>
  </w:style>
  <w:style w:type="paragraph" w:customStyle="1" w:styleId="2665">
    <w:name w:val="Char Char1 Char Char Char Char Char Char Char3"/>
    <w:basedOn w:val="1"/>
    <w:qFormat/>
    <w:uiPriority w:val="0"/>
    <w:rPr>
      <w:szCs w:val="20"/>
    </w:rPr>
  </w:style>
  <w:style w:type="paragraph" w:customStyle="1" w:styleId="2666">
    <w:name w:val="Char2 Char Char Char Char Char Char3"/>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2667">
    <w:name w:val="Char1 Char Char Char Char Char1 Char13"/>
    <w:basedOn w:val="1"/>
    <w:qFormat/>
    <w:uiPriority w:val="0"/>
    <w:rPr>
      <w:szCs w:val="21"/>
    </w:rPr>
  </w:style>
  <w:style w:type="paragraph" w:customStyle="1" w:styleId="2668">
    <w:name w:val="字元 字元 Char Char 字元 字元11"/>
    <w:basedOn w:val="1"/>
    <w:qFormat/>
    <w:uiPriority w:val="0"/>
    <w:rPr>
      <w:sz w:val="24"/>
    </w:rPr>
  </w:style>
  <w:style w:type="paragraph" w:customStyle="1" w:styleId="2669">
    <w:name w:val="Char Char Char Char4"/>
    <w:basedOn w:val="1"/>
    <w:qFormat/>
    <w:uiPriority w:val="0"/>
    <w:rPr>
      <w:sz w:val="24"/>
      <w:szCs w:val="20"/>
    </w:rPr>
  </w:style>
  <w:style w:type="paragraph" w:customStyle="1" w:styleId="2670">
    <w:name w:val="Char Char Char Char Char Char Char3"/>
    <w:basedOn w:val="26"/>
    <w:qFormat/>
    <w:uiPriority w:val="0"/>
    <w:pPr>
      <w:shd w:val="clear" w:color="auto" w:fill="000080"/>
      <w:spacing w:before="360" w:after="120" w:line="360" w:lineRule="auto"/>
    </w:pPr>
    <w:rPr>
      <w:rFonts w:ascii="Tahoma" w:hAnsi="Tahoma" w:eastAsia="黑体"/>
      <w:sz w:val="30"/>
      <w:szCs w:val="24"/>
    </w:rPr>
  </w:style>
  <w:style w:type="paragraph" w:customStyle="1" w:styleId="2671">
    <w:name w:val="Char Char Char1 Char1"/>
    <w:basedOn w:val="1"/>
    <w:qFormat/>
    <w:uiPriority w:val="0"/>
  </w:style>
  <w:style w:type="paragraph" w:customStyle="1" w:styleId="2672">
    <w:name w:val="Char24"/>
    <w:basedOn w:val="1"/>
    <w:qFormat/>
    <w:uiPriority w:val="0"/>
    <w:rPr>
      <w:rFonts w:ascii="宋体" w:hAnsi="宋体" w:cs="宋体"/>
      <w:sz w:val="32"/>
      <w:szCs w:val="32"/>
    </w:rPr>
  </w:style>
  <w:style w:type="paragraph" w:customStyle="1" w:styleId="2673">
    <w:name w:val="Char Char Char Char Char Char Char Char Char1"/>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2674">
    <w:name w:val="InstÀ__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675">
    <w:name w:val="Char Char Char Char Char Char Char Char Char1 Char Char Char Char3"/>
    <w:basedOn w:val="1"/>
    <w:qFormat/>
    <w:uiPriority w:val="0"/>
    <w:rPr>
      <w:rFonts w:eastAsia="黑体"/>
      <w:b/>
      <w:szCs w:val="20"/>
    </w:rPr>
  </w:style>
  <w:style w:type="paragraph" w:customStyle="1" w:styleId="2676">
    <w:name w:val="Char Char2 Char Char Char Char Char Char3"/>
    <w:basedOn w:val="1"/>
    <w:qFormat/>
    <w:uiPriority w:val="0"/>
    <w:pPr>
      <w:spacing w:line="480" w:lineRule="exact"/>
    </w:pPr>
    <w:rPr>
      <w:sz w:val="22"/>
    </w:rPr>
  </w:style>
  <w:style w:type="paragraph" w:customStyle="1" w:styleId="2677">
    <w:name w:val="Char Char Char Char Char Char1 Char Char Char Char1"/>
    <w:basedOn w:val="1"/>
    <w:qFormat/>
    <w:uiPriority w:val="0"/>
    <w:pPr>
      <w:widowControl/>
      <w:spacing w:after="160" w:line="240" w:lineRule="exact"/>
      <w:jc w:val="left"/>
    </w:pPr>
    <w:rPr>
      <w:rFonts w:ascii="Arial" w:hAnsi="Arial" w:cs="Verdana"/>
      <w:b/>
      <w:kern w:val="0"/>
      <w:sz w:val="24"/>
      <w:lang w:eastAsia="en-US"/>
    </w:rPr>
  </w:style>
  <w:style w:type="paragraph" w:customStyle="1" w:styleId="2678">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cs="宋体"/>
      <w:sz w:val="24"/>
    </w:rPr>
  </w:style>
  <w:style w:type="paragraph" w:customStyle="1" w:styleId="2679">
    <w:name w:val="Char Char Char Char Char Char Char Char Char Char Char Char1 Char Char Char Char Char Char Char Char Char Char Char Char Char Char Char Char Char Char Char1"/>
    <w:basedOn w:val="1"/>
    <w:qFormat/>
    <w:uiPriority w:val="0"/>
    <w:pPr>
      <w:spacing w:line="360" w:lineRule="auto"/>
      <w:ind w:firstLine="200" w:firstLineChars="200"/>
    </w:pPr>
    <w:rPr>
      <w:rFonts w:ascii="Calibri" w:hAnsi="Calibri"/>
      <w:szCs w:val="20"/>
    </w:rPr>
  </w:style>
  <w:style w:type="paragraph" w:customStyle="1" w:styleId="2680">
    <w:name w:val="Char Char3 Char Char Char1 Char1"/>
    <w:basedOn w:val="1"/>
    <w:qFormat/>
    <w:uiPriority w:val="0"/>
    <w:rPr>
      <w:szCs w:val="20"/>
    </w:rPr>
  </w:style>
  <w:style w:type="paragraph" w:customStyle="1" w:styleId="2681">
    <w:name w:val="Char1 Char Char Char1"/>
    <w:basedOn w:val="1"/>
    <w:qFormat/>
    <w:uiPriority w:val="0"/>
    <w:pPr>
      <w:spacing w:line="360" w:lineRule="auto"/>
      <w:ind w:firstLine="200" w:firstLineChars="200"/>
    </w:pPr>
    <w:rPr>
      <w:rFonts w:ascii="宋体" w:hAnsi="宋体" w:cs="宋体"/>
      <w:sz w:val="24"/>
    </w:rPr>
  </w:style>
  <w:style w:type="paragraph" w:customStyle="1" w:styleId="2682">
    <w:name w:val="Char Char Char Char Char Char Char Char Char Char Char Char1 Char Char Char Char Char Char Char Char Char Char Char Char Char Char Char Char Char Char1 Char Char Char1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683">
    <w:name w:val="Char Char Char Char Char Char Char Char Char Char Char Char Char Char Char Char Char Char Char Char Char Char Char Char Char Char Char Char Char Char Char Char Char Char Char Char Char Char Char Char Char Char1"/>
    <w:basedOn w:val="1"/>
    <w:semiHidden/>
    <w:qFormat/>
    <w:uiPriority w:val="0"/>
  </w:style>
  <w:style w:type="paragraph" w:customStyle="1" w:styleId="2684">
    <w:name w:val="流程"/>
    <w:basedOn w:val="1"/>
    <w:qFormat/>
    <w:uiPriority w:val="0"/>
    <w:pPr>
      <w:adjustRightInd w:val="0"/>
      <w:snapToGrid w:val="0"/>
      <w:jc w:val="center"/>
    </w:pPr>
    <w:rPr>
      <w:rFonts w:eastAsia="仿宋_GB2312"/>
      <w:color w:val="000000"/>
    </w:rPr>
  </w:style>
  <w:style w:type="paragraph" w:customStyle="1" w:styleId="2685">
    <w:name w:val="目录 1 Char Char"/>
    <w:basedOn w:val="1"/>
    <w:next w:val="1"/>
    <w:qFormat/>
    <w:uiPriority w:val="0"/>
    <w:pPr>
      <w:tabs>
        <w:tab w:val="left" w:leader="dot" w:pos="8010"/>
      </w:tabs>
      <w:snapToGrid w:val="0"/>
      <w:spacing w:line="300" w:lineRule="auto"/>
      <w:jc w:val="left"/>
    </w:pPr>
    <w:rPr>
      <w:rFonts w:eastAsia="黑体"/>
      <w:sz w:val="28"/>
      <w:szCs w:val="20"/>
    </w:rPr>
  </w:style>
  <w:style w:type="paragraph" w:customStyle="1" w:styleId="2686">
    <w:name w:val="Default Text"/>
    <w:basedOn w:val="1"/>
    <w:qFormat/>
    <w:uiPriority w:val="0"/>
    <w:pPr>
      <w:widowControl/>
      <w:overflowPunct w:val="0"/>
      <w:autoSpaceDE w:val="0"/>
      <w:autoSpaceDN w:val="0"/>
      <w:adjustRightInd w:val="0"/>
      <w:jc w:val="left"/>
    </w:pPr>
    <w:rPr>
      <w:rFonts w:ascii="MingLiU" w:hAnsi="宋体" w:eastAsia="MingLiU" w:cs="宋体"/>
      <w:color w:val="000000"/>
      <w:kern w:val="0"/>
      <w:sz w:val="24"/>
      <w:szCs w:val="20"/>
      <w:lang w:eastAsia="zh-TW"/>
    </w:rPr>
  </w:style>
  <w:style w:type="paragraph" w:customStyle="1" w:styleId="2687">
    <w:name w:val="标题 3  标题1.1.1"/>
    <w:basedOn w:val="1"/>
    <w:qFormat/>
    <w:uiPriority w:val="0"/>
    <w:pPr>
      <w:keepNext/>
      <w:keepLines/>
      <w:adjustRightInd w:val="0"/>
      <w:snapToGrid w:val="0"/>
      <w:spacing w:beforeLines="50" w:afterLines="50"/>
      <w:ind w:right="-176" w:rightChars="-84"/>
      <w:outlineLvl w:val="2"/>
    </w:pPr>
    <w:rPr>
      <w:rFonts w:ascii="黑体" w:hAnsi="宋体" w:eastAsia="黑体" w:cs="宋体"/>
      <w:color w:val="000000"/>
      <w:kern w:val="0"/>
      <w:sz w:val="24"/>
    </w:rPr>
  </w:style>
  <w:style w:type="paragraph" w:customStyle="1" w:styleId="2688">
    <w:name w:val="wangjunbo.bullet"/>
    <w:basedOn w:val="1"/>
    <w:qFormat/>
    <w:uiPriority w:val="0"/>
    <w:pPr>
      <w:jc w:val="center"/>
    </w:pPr>
    <w:rPr>
      <w:rFonts w:ascii="宋体" w:hAnsi="宋体"/>
      <w:szCs w:val="20"/>
    </w:rPr>
  </w:style>
  <w:style w:type="paragraph" w:customStyle="1" w:styleId="2689">
    <w:name w:val="样式 五号 居中"/>
    <w:basedOn w:val="1"/>
    <w:qFormat/>
    <w:uiPriority w:val="0"/>
    <w:pPr>
      <w:snapToGrid w:val="0"/>
      <w:jc w:val="center"/>
    </w:pPr>
    <w:rPr>
      <w:rFonts w:ascii="宋体" w:hAnsi="宋体" w:cs="宋体"/>
      <w:kern w:val="0"/>
      <w:szCs w:val="21"/>
    </w:rPr>
  </w:style>
  <w:style w:type="paragraph" w:customStyle="1" w:styleId="2690">
    <w:name w:val="nw"/>
    <w:basedOn w:val="1"/>
    <w:qFormat/>
    <w:uiPriority w:val="0"/>
    <w:pPr>
      <w:widowControl/>
      <w:adjustRightInd w:val="0"/>
      <w:spacing w:before="100" w:after="100"/>
      <w:jc w:val="left"/>
    </w:pPr>
    <w:rPr>
      <w:rFonts w:ascii="宋体" w:hAnsi="宋体"/>
      <w:color w:val="000000"/>
      <w:kern w:val="0"/>
      <w:szCs w:val="20"/>
    </w:rPr>
  </w:style>
  <w:style w:type="paragraph" w:customStyle="1" w:styleId="2691">
    <w:name w:val="Char Char Char1 Char Char Char Char Char Char Char Char Char Char Char Char Char Char Char1 Char Char Char Char Char Char Char Char Char Char Char Char"/>
    <w:basedOn w:val="1"/>
    <w:qFormat/>
    <w:uiPriority w:val="0"/>
    <w:rPr>
      <w:szCs w:val="21"/>
    </w:rPr>
  </w:style>
  <w:style w:type="paragraph" w:customStyle="1" w:styleId="2692">
    <w:name w:val="Char Char Char1 Char Char"/>
    <w:basedOn w:val="1"/>
    <w:qFormat/>
    <w:uiPriority w:val="0"/>
    <w:rPr>
      <w:rFonts w:ascii="黑体" w:hAnsi="黑体" w:eastAsia="黑体"/>
      <w:b/>
      <w:spacing w:val="10"/>
      <w:sz w:val="28"/>
      <w:szCs w:val="20"/>
    </w:rPr>
  </w:style>
  <w:style w:type="paragraph" w:customStyle="1" w:styleId="2693">
    <w:name w:val="TT"/>
    <w:basedOn w:val="1"/>
    <w:qFormat/>
    <w:uiPriority w:val="0"/>
    <w:pPr>
      <w:spacing w:line="300" w:lineRule="auto"/>
      <w:jc w:val="left"/>
    </w:pPr>
    <w:rPr>
      <w:b/>
    </w:rPr>
  </w:style>
  <w:style w:type="paragraph" w:customStyle="1" w:styleId="2694">
    <w:name w:val="p10"/>
    <w:basedOn w:val="1"/>
    <w:qFormat/>
    <w:uiPriority w:val="0"/>
    <w:pPr>
      <w:widowControl/>
      <w:spacing w:before="100" w:beforeAutospacing="1" w:after="100" w:afterAutospacing="1"/>
      <w:jc w:val="left"/>
    </w:pPr>
    <w:rPr>
      <w:rFonts w:ascii="Arial Unicode MS" w:hAnsi="Arial Unicode MS"/>
      <w:kern w:val="0"/>
      <w:sz w:val="24"/>
    </w:rPr>
  </w:style>
  <w:style w:type="paragraph" w:customStyle="1" w:styleId="2695">
    <w:name w:val="标题  2"/>
    <w:basedOn w:val="1"/>
    <w:qFormat/>
    <w:uiPriority w:val="0"/>
    <w:pPr>
      <w:keepNext/>
      <w:keepLines/>
      <w:snapToGrid w:val="0"/>
      <w:spacing w:line="360" w:lineRule="auto"/>
      <w:ind w:right="-147" w:rightChars="-70"/>
      <w:outlineLvl w:val="1"/>
    </w:pPr>
    <w:rPr>
      <w:rFonts w:ascii="宋体" w:hAnsi="宋体" w:cs="宋体"/>
      <w:b/>
      <w:sz w:val="24"/>
    </w:rPr>
  </w:style>
  <w:style w:type="paragraph" w:customStyle="1" w:styleId="2696">
    <w:name w:val="9"/>
    <w:basedOn w:val="1"/>
    <w:next w:val="34"/>
    <w:qFormat/>
    <w:uiPriority w:val="0"/>
    <w:pPr>
      <w:spacing w:after="120"/>
    </w:pPr>
    <w:rPr>
      <w:rFonts w:ascii="仿宋_GB2312" w:eastAsia="仿宋_GB2312"/>
      <w:sz w:val="28"/>
    </w:rPr>
  </w:style>
  <w:style w:type="paragraph" w:customStyle="1" w:styleId="2697">
    <w:name w:val="sss"/>
    <w:basedOn w:val="1"/>
    <w:qFormat/>
    <w:uiPriority w:val="0"/>
    <w:pPr>
      <w:tabs>
        <w:tab w:val="left" w:pos="420"/>
        <w:tab w:val="left" w:pos="480"/>
      </w:tabs>
      <w:autoSpaceDE w:val="0"/>
      <w:autoSpaceDN w:val="0"/>
      <w:adjustRightInd w:val="0"/>
      <w:ind w:left="420" w:hanging="420"/>
    </w:pPr>
    <w:rPr>
      <w:rFonts w:ascii="Bookman Old Style" w:hAnsi="Bookman Old Style" w:cs="Arial"/>
      <w:bCs/>
      <w:color w:val="000000"/>
      <w:kern w:val="0"/>
      <w:sz w:val="22"/>
      <w:szCs w:val="20"/>
    </w:rPr>
  </w:style>
  <w:style w:type="paragraph" w:customStyle="1" w:styleId="2698">
    <w:name w:val="TN"/>
    <w:basedOn w:val="1"/>
    <w:qFormat/>
    <w:uiPriority w:val="0"/>
    <w:pPr>
      <w:adjustRightInd w:val="0"/>
      <w:snapToGrid w:val="0"/>
      <w:spacing w:before="60" w:after="60"/>
    </w:pPr>
    <w:rPr>
      <w:sz w:val="24"/>
    </w:rPr>
  </w:style>
  <w:style w:type="paragraph" w:customStyle="1" w:styleId="2699">
    <w:name w:val="Char Char Char1 Char Char Char1 Char Char Char1 Char"/>
    <w:basedOn w:val="1"/>
    <w:qFormat/>
    <w:uiPriority w:val="0"/>
    <w:pPr>
      <w:spacing w:line="400" w:lineRule="exact"/>
      <w:ind w:firstLine="200" w:firstLineChars="200"/>
    </w:pPr>
    <w:rPr>
      <w:sz w:val="28"/>
      <w:szCs w:val="28"/>
    </w:rPr>
  </w:style>
  <w:style w:type="paragraph" w:customStyle="1" w:styleId="2700">
    <w:name w:val="正文（行首缩进2字）"/>
    <w:basedOn w:val="1"/>
    <w:qFormat/>
    <w:uiPriority w:val="0"/>
    <w:pPr>
      <w:spacing w:line="360" w:lineRule="auto"/>
      <w:ind w:firstLine="200" w:firstLineChars="200"/>
    </w:pPr>
    <w:rPr>
      <w:sz w:val="28"/>
      <w:szCs w:val="20"/>
    </w:rPr>
  </w:style>
  <w:style w:type="paragraph" w:customStyle="1" w:styleId="2701">
    <w:name w:val="样式 标题 2H2（一）Underrubrik1prop2Heading 2 HiddenHeading 2 CCB..."/>
    <w:basedOn w:val="4"/>
    <w:qFormat/>
    <w:uiPriority w:val="0"/>
    <w:pPr>
      <w:snapToGrid w:val="0"/>
      <w:spacing w:line="300" w:lineRule="auto"/>
      <w:ind w:right="-147" w:rightChars="-70"/>
    </w:pPr>
    <w:rPr>
      <w:rFonts w:ascii="Arial" w:hAnsi="Arial" w:cs="宋体"/>
      <w:b w:val="0"/>
      <w:color w:val="auto"/>
      <w:sz w:val="32"/>
      <w:szCs w:val="20"/>
    </w:rPr>
  </w:style>
  <w:style w:type="paragraph" w:customStyle="1" w:styleId="2702">
    <w:name w:val="正文文字缩进1"/>
    <w:basedOn w:val="1"/>
    <w:next w:val="35"/>
    <w:qFormat/>
    <w:uiPriority w:val="0"/>
    <w:pPr>
      <w:autoSpaceDE w:val="0"/>
      <w:autoSpaceDN w:val="0"/>
      <w:adjustRightInd w:val="0"/>
      <w:spacing w:line="360" w:lineRule="atLeast"/>
      <w:ind w:firstLine="425"/>
    </w:pPr>
    <w:rPr>
      <w:rFonts w:ascii="宋体" w:hAnsi="Tms Rmn" w:cs="宋体"/>
      <w:kern w:val="0"/>
      <w:sz w:val="28"/>
      <w:szCs w:val="28"/>
    </w:rPr>
  </w:style>
  <w:style w:type="paragraph" w:customStyle="1" w:styleId="2703">
    <w:name w:val="样式 13.5 磅 首行缩进:  2 字符"/>
    <w:basedOn w:val="1"/>
    <w:qFormat/>
    <w:uiPriority w:val="0"/>
    <w:pPr>
      <w:ind w:left="2" w:leftChars="1" w:firstLine="480" w:firstLineChars="200"/>
      <w:jc w:val="left"/>
    </w:pPr>
    <w:rPr>
      <w:rFonts w:cs="宋体"/>
      <w:kern w:val="10"/>
      <w:sz w:val="24"/>
    </w:rPr>
  </w:style>
  <w:style w:type="paragraph" w:customStyle="1" w:styleId="2704">
    <w:name w:val="正文(黑体)"/>
    <w:basedOn w:val="1"/>
    <w:qFormat/>
    <w:uiPriority w:val="0"/>
    <w:pPr>
      <w:autoSpaceDE w:val="0"/>
      <w:autoSpaceDN w:val="0"/>
      <w:adjustRightInd w:val="0"/>
      <w:spacing w:line="288" w:lineRule="auto"/>
      <w:ind w:firstLine="482"/>
    </w:pPr>
    <w:rPr>
      <w:rFonts w:ascii="黑体"/>
      <w:kern w:val="0"/>
      <w:sz w:val="24"/>
      <w:szCs w:val="20"/>
    </w:rPr>
  </w:style>
  <w:style w:type="paragraph" w:customStyle="1" w:styleId="2705">
    <w:name w:val="Char3 Char Char"/>
    <w:basedOn w:val="1"/>
    <w:qFormat/>
    <w:uiPriority w:val="0"/>
    <w:rPr>
      <w:rFonts w:ascii="宋体" w:hAnsi="宋体" w:cs="宋体"/>
      <w:color w:val="000000"/>
      <w:kern w:val="0"/>
      <w:sz w:val="24"/>
    </w:rPr>
  </w:style>
  <w:style w:type="paragraph" w:customStyle="1" w:styleId="2706">
    <w:name w:val="表内文字"/>
    <w:basedOn w:val="1"/>
    <w:qFormat/>
    <w:uiPriority w:val="0"/>
    <w:pPr>
      <w:widowControl/>
      <w:snapToGrid w:val="0"/>
      <w:ind w:left="57" w:right="57"/>
      <w:jc w:val="center"/>
    </w:pPr>
    <w:rPr>
      <w:rFonts w:ascii="Times" w:hAnsi="Times" w:cs="Times"/>
      <w:spacing w:val="-20"/>
      <w:kern w:val="0"/>
      <w:szCs w:val="21"/>
    </w:rPr>
  </w:style>
  <w:style w:type="paragraph" w:customStyle="1" w:styleId="2707">
    <w:name w:val="新正文样式"/>
    <w:basedOn w:val="1"/>
    <w:qFormat/>
    <w:uiPriority w:val="0"/>
    <w:pPr>
      <w:tabs>
        <w:tab w:val="left" w:pos="567"/>
      </w:tabs>
      <w:spacing w:line="360" w:lineRule="auto"/>
      <w:ind w:firstLine="567"/>
    </w:pPr>
    <w:rPr>
      <w:spacing w:val="20"/>
      <w:sz w:val="24"/>
      <w:szCs w:val="20"/>
    </w:rPr>
  </w:style>
  <w:style w:type="paragraph" w:customStyle="1" w:styleId="2708">
    <w:name w:val="样式 正文缩进正文缩进 Char正文缩进1 Char正文缩进1正文（首行缩进两字） Char正文缩进 Char Cha..."/>
    <w:basedOn w:val="21"/>
    <w:qFormat/>
    <w:uiPriority w:val="0"/>
    <w:pPr>
      <w:spacing w:beforeLines="50" w:line="360" w:lineRule="auto"/>
      <w:ind w:firstLine="567"/>
      <w:jc w:val="left"/>
    </w:pPr>
    <w:rPr>
      <w:sz w:val="24"/>
    </w:rPr>
  </w:style>
  <w:style w:type="paragraph" w:customStyle="1" w:styleId="2709">
    <w:name w:val="Char Char Char1 Char Char Char Char Char Char"/>
    <w:basedOn w:val="1"/>
    <w:qFormat/>
    <w:uiPriority w:val="0"/>
    <w:rPr>
      <w:szCs w:val="21"/>
    </w:rPr>
  </w:style>
  <w:style w:type="paragraph" w:customStyle="1" w:styleId="2710">
    <w:name w:val="Style1"/>
    <w:basedOn w:val="1"/>
    <w:qFormat/>
    <w:uiPriority w:val="0"/>
    <w:pPr>
      <w:spacing w:after="120"/>
      <w:ind w:left="851"/>
    </w:pPr>
    <w:rPr>
      <w:szCs w:val="20"/>
    </w:rPr>
  </w:style>
  <w:style w:type="paragraph" w:customStyle="1" w:styleId="2711">
    <w:name w:val="页脚 Char Char"/>
    <w:basedOn w:val="1"/>
    <w:qFormat/>
    <w:uiPriority w:val="0"/>
    <w:pPr>
      <w:tabs>
        <w:tab w:val="left" w:pos="4149"/>
        <w:tab w:val="left" w:pos="8016"/>
      </w:tabs>
      <w:spacing w:line="351" w:lineRule="atLeast"/>
      <w:ind w:firstLine="419"/>
      <w:jc w:val="left"/>
    </w:pPr>
    <w:rPr>
      <w:sz w:val="18"/>
      <w:szCs w:val="20"/>
    </w:rPr>
  </w:style>
  <w:style w:type="paragraph" w:customStyle="1" w:styleId="2712">
    <w:name w:val="表样式1.1"/>
    <w:basedOn w:val="1"/>
    <w:qFormat/>
    <w:uiPriority w:val="0"/>
    <w:pPr>
      <w:autoSpaceDE w:val="0"/>
      <w:autoSpaceDN w:val="0"/>
      <w:adjustRightInd w:val="0"/>
      <w:snapToGrid w:val="0"/>
      <w:spacing w:line="374" w:lineRule="exact"/>
      <w:jc w:val="center"/>
    </w:pPr>
    <w:rPr>
      <w:rFonts w:ascii="宋体" w:hAnsi="宋体"/>
      <w:color w:val="000000"/>
      <w:kern w:val="0"/>
      <w:szCs w:val="20"/>
    </w:rPr>
  </w:style>
  <w:style w:type="paragraph" w:customStyle="1" w:styleId="2713">
    <w:name w:val="填表内容"/>
    <w:basedOn w:val="1"/>
    <w:qFormat/>
    <w:uiPriority w:val="0"/>
    <w:pPr>
      <w:adjustRightInd w:val="0"/>
      <w:spacing w:line="480" w:lineRule="exact"/>
      <w:ind w:firstLine="560" w:firstLineChars="200"/>
      <w:jc w:val="left"/>
    </w:pPr>
    <w:rPr>
      <w:rFonts w:ascii="楷体_GB2312" w:eastAsia="楷体_GB2312"/>
      <w:sz w:val="28"/>
      <w:szCs w:val="20"/>
    </w:rPr>
  </w:style>
  <w:style w:type="paragraph" w:customStyle="1" w:styleId="2714">
    <w:name w:val="项目二级编号"/>
    <w:basedOn w:val="4"/>
    <w:next w:val="1"/>
    <w:qFormat/>
    <w:uiPriority w:val="0"/>
    <w:pPr>
      <w:tabs>
        <w:tab w:val="left" w:pos="540"/>
      </w:tabs>
      <w:spacing w:before="0" w:after="0"/>
      <w:ind w:left="851" w:hanging="851"/>
    </w:pPr>
    <w:rPr>
      <w:rFonts w:eastAsia="宋体"/>
      <w:b w:val="0"/>
      <w:color w:val="auto"/>
      <w:sz w:val="24"/>
      <w:szCs w:val="24"/>
    </w:rPr>
  </w:style>
  <w:style w:type="paragraph" w:customStyle="1" w:styleId="2715">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716">
    <w:name w:val="Char Char Char Char Char Char Char Char Char1 Char"/>
    <w:basedOn w:val="1"/>
    <w:qFormat/>
    <w:uiPriority w:val="0"/>
    <w:rPr>
      <w:sz w:val="24"/>
    </w:rPr>
  </w:style>
  <w:style w:type="paragraph" w:customStyle="1" w:styleId="271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customStyle="1" w:styleId="2718">
    <w:name w:val="11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719">
    <w:name w:val="样式 (中文) 楷体_GB2312 四号 首行缩进:  0.99 厘米"/>
    <w:basedOn w:val="1"/>
    <w:qFormat/>
    <w:uiPriority w:val="0"/>
    <w:pPr>
      <w:ind w:firstLine="560"/>
    </w:pPr>
    <w:rPr>
      <w:rFonts w:eastAsia="楷体_GB2312" w:cs="宋体"/>
      <w:spacing w:val="6"/>
      <w:kern w:val="0"/>
      <w:sz w:val="28"/>
      <w:szCs w:val="20"/>
    </w:rPr>
  </w:style>
  <w:style w:type="paragraph" w:customStyle="1" w:styleId="2720">
    <w:name w:val="样式 标题 3条标题1.1.1条标题1.1.11条标题1.1.12条标题1.1.13条标题1.1.111条标题1.1...1"/>
    <w:basedOn w:val="5"/>
    <w:qFormat/>
    <w:uiPriority w:val="0"/>
    <w:pPr>
      <w:widowControl w:val="0"/>
      <w:numPr>
        <w:ilvl w:val="0"/>
        <w:numId w:val="0"/>
      </w:numPr>
      <w:spacing w:line="360" w:lineRule="auto"/>
      <w:jc w:val="both"/>
    </w:pPr>
    <w:rPr>
      <w:rFonts w:ascii="Bookman Old Style" w:hAnsi="Bookman Old Style" w:eastAsia="黑体"/>
      <w:b w:val="0"/>
      <w:szCs w:val="20"/>
    </w:rPr>
  </w:style>
  <w:style w:type="paragraph" w:customStyle="1" w:styleId="2721">
    <w:name w:val="文字段落10"/>
    <w:basedOn w:val="1"/>
    <w:qFormat/>
    <w:uiPriority w:val="0"/>
    <w:pPr>
      <w:overflowPunct w:val="0"/>
      <w:autoSpaceDE w:val="0"/>
      <w:autoSpaceDN w:val="0"/>
      <w:adjustRightInd w:val="0"/>
      <w:snapToGrid w:val="0"/>
      <w:spacing w:beforeLines="50" w:afterLines="50" w:line="360" w:lineRule="auto"/>
      <w:ind w:firstLine="200" w:firstLineChars="200"/>
    </w:pPr>
    <w:rPr>
      <w:rFonts w:cs="宋体"/>
      <w:sz w:val="28"/>
      <w:szCs w:val="20"/>
    </w:rPr>
  </w:style>
  <w:style w:type="paragraph" w:customStyle="1" w:styleId="2722">
    <w:name w:val="样式 标题 3 + 黑色 段前: 0行 段后: 0 行"/>
    <w:basedOn w:val="5"/>
    <w:semiHidden/>
    <w:qFormat/>
    <w:uiPriority w:val="0"/>
    <w:pPr>
      <w:widowControl w:val="0"/>
      <w:numPr>
        <w:ilvl w:val="0"/>
        <w:numId w:val="0"/>
      </w:numPr>
      <w:tabs>
        <w:tab w:val="left" w:pos="1080"/>
      </w:tabs>
      <w:adjustRightInd w:val="0"/>
      <w:snapToGrid w:val="0"/>
      <w:spacing w:beforeLines="50" w:afterLines="50" w:line="312" w:lineRule="auto"/>
      <w:jc w:val="both"/>
    </w:pPr>
    <w:rPr>
      <w:rFonts w:ascii="仿宋_GB2312" w:eastAsia="仿宋_GB2312"/>
      <w:color w:val="000000"/>
      <w:szCs w:val="20"/>
    </w:rPr>
  </w:style>
  <w:style w:type="paragraph" w:customStyle="1" w:styleId="2723">
    <w:name w:val="目录 6 Char Char"/>
    <w:basedOn w:val="1"/>
    <w:next w:val="1"/>
    <w:qFormat/>
    <w:uiPriority w:val="0"/>
    <w:pPr>
      <w:spacing w:line="351" w:lineRule="atLeast"/>
      <w:ind w:left="1048" w:firstLine="419"/>
      <w:jc w:val="left"/>
    </w:pPr>
    <w:rPr>
      <w:szCs w:val="20"/>
    </w:rPr>
  </w:style>
  <w:style w:type="paragraph" w:customStyle="1" w:styleId="2724">
    <w:name w:val="8"/>
    <w:basedOn w:val="1"/>
    <w:next w:val="70"/>
    <w:qFormat/>
    <w:uiPriority w:val="0"/>
    <w:pPr>
      <w:ind w:firstLine="556"/>
      <w:jc w:val="left"/>
    </w:pPr>
    <w:rPr>
      <w:rFonts w:ascii="仿宋_GB2312" w:hAnsi="宋体" w:eastAsia="仿宋_GB2312"/>
      <w:sz w:val="28"/>
    </w:rPr>
  </w:style>
  <w:style w:type="paragraph" w:customStyle="1" w:styleId="2725">
    <w:name w:val="样式 标题 31.1.1标题 3 + Times New Roman 自动设置 段前: 0.2 行 段后: 0.2 行"/>
    <w:basedOn w:val="5"/>
    <w:qFormat/>
    <w:uiPriority w:val="0"/>
    <w:pPr>
      <w:widowControl w:val="0"/>
      <w:numPr>
        <w:ilvl w:val="0"/>
        <w:numId w:val="0"/>
      </w:numPr>
      <w:autoSpaceDE w:val="0"/>
      <w:autoSpaceDN w:val="0"/>
      <w:adjustRightInd w:val="0"/>
      <w:spacing w:beforeLines="20" w:afterLines="20" w:line="360" w:lineRule="auto"/>
    </w:pPr>
    <w:rPr>
      <w:rFonts w:eastAsia="黑体"/>
      <w:b w:val="0"/>
      <w:kern w:val="0"/>
      <w:szCs w:val="20"/>
    </w:rPr>
  </w:style>
  <w:style w:type="paragraph" w:customStyle="1" w:styleId="2726">
    <w:name w:val="字元 字元 字元"/>
    <w:basedOn w:val="1"/>
    <w:qFormat/>
    <w:uiPriority w:val="0"/>
    <w:pPr>
      <w:spacing w:line="360" w:lineRule="auto"/>
      <w:ind w:firstLine="200" w:firstLineChars="200"/>
    </w:pPr>
    <w:rPr>
      <w:rFonts w:ascii="宋体" w:hAnsi="宋体"/>
      <w:sz w:val="24"/>
    </w:rPr>
  </w:style>
  <w:style w:type="paragraph" w:customStyle="1" w:styleId="2727">
    <w:name w:val="Plain Text2"/>
    <w:basedOn w:val="1"/>
    <w:qFormat/>
    <w:uiPriority w:val="0"/>
    <w:pPr>
      <w:autoSpaceDE w:val="0"/>
      <w:autoSpaceDN w:val="0"/>
      <w:adjustRightInd w:val="0"/>
    </w:pPr>
    <w:rPr>
      <w:rFonts w:ascii="宋体" w:hAnsi="Tms Rmn"/>
      <w:kern w:val="0"/>
      <w:szCs w:val="20"/>
    </w:rPr>
  </w:style>
  <w:style w:type="paragraph" w:customStyle="1" w:styleId="2728">
    <w:name w:val="样式 正文xxxxx + 首行缩进:  2 字符1"/>
    <w:basedOn w:val="1"/>
    <w:qFormat/>
    <w:uiPriority w:val="0"/>
    <w:pPr>
      <w:spacing w:line="360" w:lineRule="auto"/>
      <w:ind w:firstLine="560" w:firstLineChars="200"/>
      <w:jc w:val="left"/>
    </w:pPr>
    <w:rPr>
      <w:rFonts w:ascii="Arial" w:hAnsi="Arial" w:cs="宋体"/>
      <w:color w:val="000000"/>
      <w:sz w:val="28"/>
    </w:rPr>
  </w:style>
  <w:style w:type="paragraph" w:customStyle="1" w:styleId="2729">
    <w:name w:val="标题004"/>
    <w:basedOn w:val="1297"/>
    <w:qFormat/>
    <w:uiPriority w:val="0"/>
    <w:pPr>
      <w:ind w:firstLine="0"/>
      <w:outlineLvl w:val="3"/>
    </w:pPr>
    <w:rPr>
      <w:b/>
    </w:rPr>
  </w:style>
  <w:style w:type="paragraph" w:customStyle="1" w:styleId="2730">
    <w:name w:val="tu"/>
    <w:basedOn w:val="73"/>
    <w:qFormat/>
    <w:uiPriority w:val="0"/>
    <w:pPr>
      <w:tabs>
        <w:tab w:val="left" w:pos="0"/>
      </w:tabs>
      <w:spacing w:line="360" w:lineRule="auto"/>
      <w:ind w:left="0" w:firstLine="0"/>
      <w:jc w:val="center"/>
    </w:pPr>
    <w:rPr>
      <w:b/>
      <w:sz w:val="28"/>
    </w:rPr>
  </w:style>
  <w:style w:type="paragraph" w:customStyle="1" w:styleId="2731">
    <w:name w:val="居中正文"/>
    <w:basedOn w:val="86"/>
    <w:qFormat/>
    <w:uiPriority w:val="0"/>
    <w:pPr>
      <w:adjustRightInd w:val="0"/>
      <w:spacing w:before="240" w:after="0" w:line="240" w:lineRule="atLeast"/>
      <w:ind w:firstLine="0" w:firstLineChars="0"/>
      <w:jc w:val="center"/>
    </w:pPr>
    <w:rPr>
      <w:spacing w:val="6"/>
      <w:kern w:val="28"/>
      <w:sz w:val="24"/>
      <w:szCs w:val="20"/>
    </w:rPr>
  </w:style>
  <w:style w:type="paragraph" w:customStyle="1" w:styleId="2732">
    <w:name w:val="图注"/>
    <w:basedOn w:val="1"/>
    <w:next w:val="1"/>
    <w:qFormat/>
    <w:uiPriority w:val="0"/>
    <w:pPr>
      <w:jc w:val="center"/>
    </w:pPr>
    <w:rPr>
      <w:rFonts w:ascii="宋体" w:hAnsi="宋体"/>
      <w:color w:val="0000FF"/>
      <w:szCs w:val="20"/>
    </w:rPr>
  </w:style>
  <w:style w:type="paragraph" w:customStyle="1" w:styleId="2733">
    <w:name w:val="Char Char Char Char1 Char Char Char Char Char Char Char"/>
    <w:basedOn w:val="1"/>
    <w:qFormat/>
    <w:uiPriority w:val="0"/>
    <w:pPr>
      <w:tabs>
        <w:tab w:val="left" w:pos="360"/>
      </w:tabs>
      <w:snapToGrid w:val="0"/>
      <w:spacing w:line="360" w:lineRule="auto"/>
    </w:pPr>
    <w:rPr>
      <w:rFonts w:eastAsia="仿宋_GB2312" w:cs="宋体"/>
      <w:sz w:val="24"/>
    </w:rPr>
  </w:style>
  <w:style w:type="paragraph" w:customStyle="1" w:styleId="2734">
    <w:name w:val="Char Char Char Char Char Char Char Char Char Char Char Char Char Char Char Char Char Char Char Char Char Char Char Char Char"/>
    <w:basedOn w:val="1"/>
    <w:qFormat/>
    <w:uiPriority w:val="0"/>
  </w:style>
  <w:style w:type="paragraph" w:customStyle="1" w:styleId="2735">
    <w:name w:val="p34"/>
    <w:basedOn w:val="1"/>
    <w:qFormat/>
    <w:uiPriority w:val="0"/>
    <w:pPr>
      <w:widowControl/>
      <w:spacing w:line="500" w:lineRule="atLeast"/>
      <w:ind w:firstLine="420"/>
    </w:pPr>
    <w:rPr>
      <w:rFonts w:ascii="Arial" w:hAnsi="Arial" w:cs="Arial"/>
      <w:kern w:val="0"/>
      <w:sz w:val="24"/>
    </w:rPr>
  </w:style>
  <w:style w:type="paragraph" w:customStyle="1" w:styleId="2736">
    <w:name w:val="表格下方正文"/>
    <w:basedOn w:val="1"/>
    <w:qFormat/>
    <w:uiPriority w:val="0"/>
    <w:pPr>
      <w:spacing w:before="260" w:line="440" w:lineRule="exact"/>
      <w:ind w:firstLine="200" w:firstLineChars="200"/>
    </w:pPr>
    <w:rPr>
      <w:kern w:val="0"/>
      <w:sz w:val="24"/>
      <w:szCs w:val="20"/>
    </w:rPr>
  </w:style>
  <w:style w:type="paragraph" w:customStyle="1" w:styleId="2737">
    <w:name w:val="Char Char Char Char Char Char Char Char"/>
    <w:basedOn w:val="1"/>
    <w:qFormat/>
    <w:uiPriority w:val="0"/>
    <w:rPr>
      <w:szCs w:val="21"/>
    </w:rPr>
  </w:style>
  <w:style w:type="paragraph" w:customStyle="1" w:styleId="2738">
    <w:name w:val="项目四级编号"/>
    <w:basedOn w:val="6"/>
    <w:qFormat/>
    <w:uiPriority w:val="0"/>
    <w:pPr>
      <w:tabs>
        <w:tab w:val="left" w:pos="360"/>
        <w:tab w:val="left" w:pos="851"/>
        <w:tab w:val="left" w:pos="1440"/>
      </w:tabs>
      <w:spacing w:before="0" w:after="0" w:line="360" w:lineRule="auto"/>
      <w:ind w:left="851" w:hanging="851"/>
    </w:pPr>
    <w:rPr>
      <w:rFonts w:ascii="Times New Roman" w:hAnsi="Times New Roman" w:eastAsia="宋体" w:cs="Times New Roman"/>
      <w:b w:val="0"/>
      <w:sz w:val="24"/>
      <w:szCs w:val="24"/>
    </w:rPr>
  </w:style>
  <w:style w:type="paragraph" w:customStyle="1" w:styleId="2739">
    <w:name w:val="y表头"/>
    <w:basedOn w:val="34"/>
    <w:qFormat/>
    <w:uiPriority w:val="0"/>
    <w:pPr>
      <w:tabs>
        <w:tab w:val="left" w:pos="900"/>
      </w:tabs>
      <w:adjustRightInd w:val="0"/>
      <w:spacing w:line="240" w:lineRule="auto"/>
      <w:jc w:val="center"/>
    </w:pPr>
    <w:rPr>
      <w:rFonts w:hint="eastAsia" w:eastAsia="楷体_GB2312"/>
      <w:b/>
      <w:sz w:val="24"/>
      <w:szCs w:val="20"/>
    </w:rPr>
  </w:style>
  <w:style w:type="paragraph" w:customStyle="1" w:styleId="2740">
    <w:name w:val="日期 Char Char"/>
    <w:basedOn w:val="1"/>
    <w:next w:val="1"/>
    <w:qFormat/>
    <w:uiPriority w:val="0"/>
    <w:pPr>
      <w:spacing w:line="351" w:lineRule="atLeast"/>
      <w:ind w:firstLine="419"/>
    </w:pPr>
    <w:rPr>
      <w:rFonts w:eastAsia="仿宋_GB2312"/>
      <w:sz w:val="31"/>
      <w:szCs w:val="20"/>
    </w:rPr>
  </w:style>
  <w:style w:type="paragraph" w:customStyle="1" w:styleId="2741">
    <w:name w:val="biao2"/>
    <w:basedOn w:val="1"/>
    <w:qFormat/>
    <w:uiPriority w:val="0"/>
    <w:pPr>
      <w:widowControl/>
      <w:adjustRightInd w:val="0"/>
      <w:spacing w:before="100" w:after="100"/>
      <w:jc w:val="center"/>
    </w:pPr>
    <w:rPr>
      <w:rFonts w:ascii="??" w:hAnsi="??"/>
      <w:color w:val="000000"/>
      <w:kern w:val="0"/>
      <w:sz w:val="27"/>
      <w:szCs w:val="20"/>
    </w:rPr>
  </w:style>
  <w:style w:type="paragraph" w:customStyle="1" w:styleId="2742">
    <w:name w:val="福建表格文字"/>
    <w:basedOn w:val="1"/>
    <w:qFormat/>
    <w:uiPriority w:val="0"/>
    <w:pPr>
      <w:spacing w:line="300" w:lineRule="auto"/>
      <w:ind w:left="-28" w:right="-29" w:firstLine="27" w:firstLineChars="13"/>
      <w:jc w:val="center"/>
    </w:pPr>
    <w:rPr>
      <w:rFonts w:ascii="宋体" w:hAnsi="宋体"/>
      <w:szCs w:val="21"/>
    </w:rPr>
  </w:style>
  <w:style w:type="paragraph" w:customStyle="1" w:styleId="2743">
    <w:name w:val="h"/>
    <w:basedOn w:val="1"/>
    <w:qFormat/>
    <w:uiPriority w:val="0"/>
    <w:pPr>
      <w:adjustRightInd w:val="0"/>
      <w:spacing w:before="60"/>
      <w:ind w:firstLine="482"/>
    </w:pPr>
    <w:rPr>
      <w:rFonts w:ascii="Arial" w:hAnsi="Arial" w:eastAsia="仿宋_GB2312"/>
      <w:sz w:val="24"/>
      <w:szCs w:val="20"/>
    </w:rPr>
  </w:style>
  <w:style w:type="paragraph" w:customStyle="1" w:styleId="2744">
    <w:name w:val="样式 样式 表格标题 + 首行缩进:  2 字符 + 仿宋_GB2312 四号 加粗"/>
    <w:basedOn w:val="1"/>
    <w:qFormat/>
    <w:uiPriority w:val="0"/>
    <w:pPr>
      <w:adjustRightInd w:val="0"/>
      <w:spacing w:before="120" w:line="360" w:lineRule="auto"/>
      <w:ind w:firstLine="480" w:firstLineChars="200"/>
      <w:jc w:val="center"/>
    </w:pPr>
    <w:rPr>
      <w:rFonts w:eastAsia="文鼎CS大宋" w:cs="宋体"/>
      <w:bCs/>
      <w:kern w:val="0"/>
      <w:sz w:val="24"/>
    </w:rPr>
  </w:style>
  <w:style w:type="paragraph" w:customStyle="1" w:styleId="2745">
    <w:name w:val="1标题2级"/>
    <w:basedOn w:val="1"/>
    <w:qFormat/>
    <w:uiPriority w:val="0"/>
    <w:pPr>
      <w:keepNext/>
      <w:snapToGrid w:val="0"/>
      <w:spacing w:line="420" w:lineRule="auto"/>
    </w:pPr>
    <w:rPr>
      <w:rFonts w:eastAsia="黑体"/>
      <w:b/>
      <w:sz w:val="30"/>
      <w:szCs w:val="20"/>
    </w:rPr>
  </w:style>
  <w:style w:type="paragraph" w:customStyle="1" w:styleId="2746">
    <w:name w:val="样式 正文文本 + 首行缩进:  2 字符4"/>
    <w:basedOn w:val="34"/>
    <w:qFormat/>
    <w:uiPriority w:val="0"/>
    <w:pPr>
      <w:adjustRightInd w:val="0"/>
      <w:spacing w:line="240" w:lineRule="auto"/>
    </w:pPr>
    <w:rPr>
      <w:rFonts w:hint="eastAsia" w:ascii="Times New Roman" w:hAnsi="Times New Roman" w:eastAsia="仿宋_GB2312" w:cs="宋体"/>
      <w:color w:val="000000"/>
      <w:szCs w:val="21"/>
    </w:rPr>
  </w:style>
  <w:style w:type="paragraph" w:customStyle="1" w:styleId="2747">
    <w:name w:val="页眉 Char Char"/>
    <w:basedOn w:val="1"/>
    <w:qFormat/>
    <w:uiPriority w:val="0"/>
    <w:pPr>
      <w:tabs>
        <w:tab w:val="left" w:pos="4149"/>
        <w:tab w:val="left" w:pos="8016"/>
      </w:tabs>
      <w:spacing w:line="351" w:lineRule="atLeast"/>
      <w:ind w:firstLine="419"/>
      <w:jc w:val="center"/>
    </w:pPr>
    <w:rPr>
      <w:sz w:val="18"/>
      <w:szCs w:val="20"/>
    </w:rPr>
  </w:style>
  <w:style w:type="paragraph" w:customStyle="1" w:styleId="2748">
    <w:name w:val="正文(1)"/>
    <w:basedOn w:val="1"/>
    <w:qFormat/>
    <w:uiPriority w:val="0"/>
    <w:pPr>
      <w:adjustRightInd w:val="0"/>
      <w:snapToGrid w:val="0"/>
      <w:spacing w:before="120" w:line="300" w:lineRule="auto"/>
      <w:ind w:firstLine="480" w:firstLineChars="200"/>
    </w:pPr>
    <w:rPr>
      <w:rFonts w:ascii="黑体" w:hAnsi="宋体" w:eastAsia="黑体"/>
      <w:b/>
      <w:color w:val="339966"/>
      <w:kern w:val="0"/>
      <w:sz w:val="24"/>
    </w:rPr>
  </w:style>
  <w:style w:type="paragraph" w:customStyle="1" w:styleId="2749">
    <w:name w:val="福建表格"/>
    <w:basedOn w:val="1"/>
    <w:next w:val="1"/>
    <w:qFormat/>
    <w:uiPriority w:val="0"/>
    <w:pPr>
      <w:spacing w:line="300" w:lineRule="auto"/>
      <w:jc w:val="center"/>
      <w:outlineLvl w:val="8"/>
    </w:pPr>
    <w:rPr>
      <w:rFonts w:ascii="宋体" w:hAnsi="宋体"/>
      <w:sz w:val="24"/>
      <w:szCs w:val="21"/>
    </w:rPr>
  </w:style>
  <w:style w:type="paragraph" w:customStyle="1" w:styleId="2750">
    <w:name w:val="样式 表内容 + 居中 行距: 固定值 14 磅"/>
    <w:basedOn w:val="1"/>
    <w:qFormat/>
    <w:uiPriority w:val="0"/>
    <w:pPr>
      <w:adjustRightInd w:val="0"/>
      <w:snapToGrid w:val="0"/>
      <w:spacing w:line="280" w:lineRule="exact"/>
      <w:jc w:val="center"/>
    </w:pPr>
    <w:rPr>
      <w:rFonts w:eastAsia="楷体_GB2312"/>
      <w:kern w:val="0"/>
      <w:szCs w:val="20"/>
    </w:rPr>
  </w:style>
  <w:style w:type="paragraph" w:customStyle="1" w:styleId="2751">
    <w:name w:val="五号表格"/>
    <w:next w:val="1"/>
    <w:qFormat/>
    <w:uiPriority w:val="0"/>
    <w:rPr>
      <w:rFonts w:ascii="宋体" w:hAnsi="Times New Roman" w:eastAsia="宋体" w:cs="Times New Roman"/>
      <w:sz w:val="21"/>
      <w:lang w:val="en-US" w:eastAsia="zh-CN" w:bidi="ar-SA"/>
    </w:rPr>
  </w:style>
  <w:style w:type="paragraph" w:customStyle="1" w:styleId="2752">
    <w:name w:val="样式 标题 2节第一章 标题 2Heading 2 HiddenHeading 2 CCBSheading 2H2...1"/>
    <w:basedOn w:val="4"/>
    <w:qFormat/>
    <w:uiPriority w:val="0"/>
    <w:pPr>
      <w:spacing w:line="500" w:lineRule="exact"/>
    </w:pPr>
    <w:rPr>
      <w:rFonts w:ascii="宋体" w:hAnsi="宋体" w:eastAsia="宋体"/>
      <w:bCs w:val="0"/>
      <w:color w:val="auto"/>
      <w:sz w:val="24"/>
      <w:szCs w:val="20"/>
    </w:rPr>
  </w:style>
  <w:style w:type="paragraph" w:customStyle="1" w:styleId="2753">
    <w:name w:val="Char4 Char Char Char Char Char Char Char Char Char Char Char Char Char Char Char Char Char1 Char Char Char Char"/>
    <w:basedOn w:val="1"/>
    <w:qFormat/>
    <w:uiPriority w:val="0"/>
    <w:pPr>
      <w:spacing w:line="240" w:lineRule="exact"/>
      <w:ind w:firstLine="200" w:firstLineChars="200"/>
    </w:pPr>
    <w:rPr>
      <w:sz w:val="28"/>
      <w:szCs w:val="28"/>
    </w:rPr>
  </w:style>
  <w:style w:type="paragraph" w:customStyle="1" w:styleId="2754">
    <w:name w:val="表样式1"/>
    <w:basedOn w:val="1"/>
    <w:qFormat/>
    <w:uiPriority w:val="0"/>
    <w:pPr>
      <w:spacing w:line="360" w:lineRule="auto"/>
      <w:jc w:val="center"/>
    </w:pPr>
    <w:rPr>
      <w:rFonts w:ascii="宋体" w:hAnsi="宋体"/>
      <w:color w:val="000000"/>
      <w:szCs w:val="20"/>
    </w:rPr>
  </w:style>
  <w:style w:type="paragraph" w:customStyle="1" w:styleId="2755">
    <w:name w:val="目录 5 Char Char"/>
    <w:basedOn w:val="1"/>
    <w:next w:val="1"/>
    <w:qFormat/>
    <w:uiPriority w:val="0"/>
    <w:pPr>
      <w:spacing w:line="351" w:lineRule="atLeast"/>
      <w:ind w:left="839" w:firstLine="419"/>
      <w:jc w:val="left"/>
    </w:pPr>
    <w:rPr>
      <w:szCs w:val="20"/>
    </w:rPr>
  </w:style>
  <w:style w:type="paragraph" w:customStyle="1" w:styleId="2756">
    <w:name w:val="小四宋居中1.0"/>
    <w:basedOn w:val="1"/>
    <w:next w:val="1"/>
    <w:qFormat/>
    <w:uiPriority w:val="0"/>
    <w:pPr>
      <w:jc w:val="center"/>
    </w:pPr>
    <w:rPr>
      <w:rFonts w:ascii="仿宋_GB2312" w:eastAsia="仿宋_GB2312"/>
      <w:sz w:val="24"/>
      <w:szCs w:val="20"/>
    </w:rPr>
  </w:style>
  <w:style w:type="paragraph" w:customStyle="1" w:styleId="2757">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2758">
    <w:name w:val="普通表格1"/>
    <w:basedOn w:val="45"/>
    <w:qFormat/>
    <w:uiPriority w:val="0"/>
    <w:pPr>
      <w:snapToGrid w:val="0"/>
      <w:spacing w:line="380" w:lineRule="exact"/>
    </w:pPr>
    <w:rPr>
      <w:rFonts w:ascii="Times New Roman" w:hAnsi="Times New Roman"/>
      <w:sz w:val="24"/>
    </w:rPr>
  </w:style>
  <w:style w:type="paragraph" w:customStyle="1" w:styleId="2759">
    <w:name w:val="Char Char Char1 Char Char Char Char Char Char Char Char Char Char Char Char Char Char Char Char Char Char Char Char Char Char"/>
    <w:basedOn w:val="1"/>
    <w:qFormat/>
    <w:uiPriority w:val="0"/>
    <w:rPr>
      <w:szCs w:val="20"/>
    </w:rPr>
  </w:style>
  <w:style w:type="paragraph" w:customStyle="1" w:styleId="2760">
    <w:name w:val="图表标题"/>
    <w:basedOn w:val="526"/>
    <w:next w:val="1852"/>
    <w:qFormat/>
    <w:uiPriority w:val="0"/>
    <w:pPr>
      <w:snapToGrid w:val="0"/>
      <w:spacing w:line="240" w:lineRule="auto"/>
      <w:ind w:firstLine="0"/>
      <w:jc w:val="center"/>
      <w:textAlignment w:val="auto"/>
    </w:pPr>
    <w:rPr>
      <w:rFonts w:hint="eastAsia" w:ascii="Arial" w:hAnsi="Arial" w:eastAsia="TimesNewRoman"/>
      <w:b/>
    </w:rPr>
  </w:style>
  <w:style w:type="paragraph" w:customStyle="1" w:styleId="2761">
    <w:name w:val="标题001"/>
    <w:basedOn w:val="1"/>
    <w:qFormat/>
    <w:uiPriority w:val="0"/>
    <w:pPr>
      <w:spacing w:before="60" w:line="480" w:lineRule="exact"/>
      <w:outlineLvl w:val="0"/>
    </w:pPr>
    <w:rPr>
      <w:b/>
      <w:sz w:val="32"/>
      <w:szCs w:val="20"/>
    </w:rPr>
  </w:style>
  <w:style w:type="paragraph" w:customStyle="1" w:styleId="2762">
    <w:name w:val="样式 图表"/>
    <w:basedOn w:val="1"/>
    <w:qFormat/>
    <w:uiPriority w:val="0"/>
    <w:pPr>
      <w:adjustRightInd w:val="0"/>
      <w:spacing w:line="360" w:lineRule="auto"/>
      <w:jc w:val="center"/>
    </w:pPr>
    <w:rPr>
      <w:b/>
      <w:kern w:val="0"/>
      <w:sz w:val="24"/>
      <w:szCs w:val="20"/>
    </w:rPr>
  </w:style>
  <w:style w:type="paragraph" w:customStyle="1" w:styleId="2763">
    <w:name w:val="条1"/>
    <w:basedOn w:val="1"/>
    <w:next w:val="540"/>
    <w:qFormat/>
    <w:uiPriority w:val="0"/>
    <w:pPr>
      <w:outlineLvl w:val="1"/>
    </w:pPr>
    <w:rPr>
      <w:rFonts w:ascii="黑体" w:hAnsi="宋体" w:eastAsia="黑体" w:cs="宋体"/>
      <w:color w:val="000000"/>
      <w:kern w:val="21"/>
      <w:sz w:val="24"/>
      <w:szCs w:val="20"/>
    </w:rPr>
  </w:style>
  <w:style w:type="paragraph" w:customStyle="1" w:styleId="2764">
    <w:name w:val="标题正4"/>
    <w:basedOn w:val="1"/>
    <w:qFormat/>
    <w:uiPriority w:val="0"/>
    <w:pPr>
      <w:spacing w:line="280" w:lineRule="exact"/>
      <w:jc w:val="center"/>
    </w:pPr>
    <w:rPr>
      <w:rFonts w:ascii="宋体" w:hAnsi="宋体"/>
      <w:color w:val="000000"/>
    </w:rPr>
  </w:style>
  <w:style w:type="paragraph" w:customStyle="1" w:styleId="2765">
    <w:name w:val="样式 表格文字 + (西文) 宋体 (中文) 华文仿宋 小四 黑色"/>
    <w:basedOn w:val="528"/>
    <w:qFormat/>
    <w:uiPriority w:val="0"/>
    <w:pPr>
      <w:widowControl w:val="0"/>
      <w:tabs>
        <w:tab w:val="left" w:pos="560"/>
      </w:tabs>
      <w:overflowPunct w:val="0"/>
      <w:adjustRightInd w:val="0"/>
      <w:spacing w:line="400" w:lineRule="exact"/>
      <w:jc w:val="center"/>
    </w:pPr>
    <w:rPr>
      <w:rFonts w:hint="eastAsia" w:ascii="Times New Roman" w:eastAsia="宋体" w:cs="宋体"/>
      <w:color w:val="000000"/>
    </w:rPr>
  </w:style>
  <w:style w:type="paragraph" w:customStyle="1" w:styleId="2766">
    <w:name w:val="样式 标题 4 + 黑色 左侧:  -0.01 厘米 首行缩进:  0.01 厘米"/>
    <w:basedOn w:val="6"/>
    <w:qFormat/>
    <w:uiPriority w:val="0"/>
    <w:pPr>
      <w:tabs>
        <w:tab w:val="left" w:pos="1680"/>
      </w:tabs>
      <w:spacing w:before="0" w:beforeLines="50" w:after="0" w:line="324" w:lineRule="auto"/>
      <w:ind w:left="1680" w:hanging="420"/>
    </w:pPr>
    <w:rPr>
      <w:rFonts w:ascii="仿宋_GB2312" w:hAnsi="Arial" w:eastAsia="仿宋_GB2312" w:cs="宋体"/>
      <w:b w:val="0"/>
      <w:bCs w:val="0"/>
      <w:color w:val="000000"/>
      <w:szCs w:val="20"/>
    </w:rPr>
  </w:style>
  <w:style w:type="paragraph" w:customStyle="1" w:styleId="2767">
    <w:name w:val="正文-标准"/>
    <w:basedOn w:val="1"/>
    <w:qFormat/>
    <w:uiPriority w:val="0"/>
    <w:pPr>
      <w:spacing w:line="500" w:lineRule="exact"/>
      <w:ind w:firstLine="200" w:firstLineChars="200"/>
    </w:pPr>
    <w:rPr>
      <w:sz w:val="24"/>
    </w:rPr>
  </w:style>
  <w:style w:type="paragraph" w:customStyle="1" w:styleId="2768">
    <w:name w:val="正文文本缩进 32"/>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2769">
    <w:name w:val="样式 标题 4 + 段前: 7.8 磅"/>
    <w:basedOn w:val="6"/>
    <w:qFormat/>
    <w:uiPriority w:val="0"/>
    <w:pPr>
      <w:spacing w:before="0" w:after="0" w:line="500" w:lineRule="exact"/>
      <w:outlineLvl w:val="0"/>
    </w:pPr>
    <w:rPr>
      <w:rFonts w:ascii="Arial" w:hAnsi="Arial" w:eastAsia="仿宋_GB2312" w:cs="Arial"/>
      <w:bCs w:val="0"/>
      <w:sz w:val="24"/>
      <w:szCs w:val="21"/>
    </w:rPr>
  </w:style>
  <w:style w:type="paragraph" w:customStyle="1" w:styleId="2770">
    <w:name w:val="样式 标题 2"/>
    <w:basedOn w:val="5"/>
    <w:qFormat/>
    <w:uiPriority w:val="0"/>
    <w:pPr>
      <w:widowControl w:val="0"/>
      <w:numPr>
        <w:ilvl w:val="0"/>
        <w:numId w:val="0"/>
      </w:numPr>
      <w:tabs>
        <w:tab w:val="left" w:pos="720"/>
      </w:tabs>
      <w:spacing w:line="360" w:lineRule="auto"/>
      <w:ind w:left="720" w:hanging="720"/>
      <w:jc w:val="both"/>
    </w:pPr>
    <w:rPr>
      <w:rFonts w:ascii="仿宋_GB2312" w:hAnsi="仿宋_GB2312" w:eastAsia="仿宋_GB2312" w:cs="宋体"/>
      <w:color w:val="000000"/>
      <w:kern w:val="21"/>
      <w:szCs w:val="20"/>
    </w:rPr>
  </w:style>
  <w:style w:type="paragraph" w:customStyle="1" w:styleId="2771">
    <w:name w:val="目录 7 Char Char"/>
    <w:basedOn w:val="1"/>
    <w:next w:val="1"/>
    <w:qFormat/>
    <w:uiPriority w:val="0"/>
    <w:pPr>
      <w:spacing w:line="351" w:lineRule="atLeast"/>
      <w:ind w:left="1258" w:firstLine="419"/>
      <w:jc w:val="left"/>
    </w:pPr>
    <w:rPr>
      <w:szCs w:val="20"/>
    </w:rPr>
  </w:style>
  <w:style w:type="paragraph" w:customStyle="1" w:styleId="2772">
    <w:name w:val="目录 4 Char Char"/>
    <w:basedOn w:val="1"/>
    <w:next w:val="1"/>
    <w:qFormat/>
    <w:uiPriority w:val="0"/>
    <w:pPr>
      <w:spacing w:line="351" w:lineRule="atLeast"/>
      <w:ind w:left="629" w:firstLine="419"/>
      <w:jc w:val="left"/>
    </w:pPr>
    <w:rPr>
      <w:szCs w:val="20"/>
    </w:rPr>
  </w:style>
  <w:style w:type="paragraph" w:customStyle="1" w:styleId="2773">
    <w:name w:val="Char Char Char Char Char Char Char Char Char1 Char Char Char Char Char Char Char"/>
    <w:basedOn w:val="1"/>
    <w:qFormat/>
    <w:uiPriority w:val="0"/>
    <w:rPr>
      <w:szCs w:val="21"/>
    </w:rPr>
  </w:style>
  <w:style w:type="paragraph" w:customStyle="1" w:styleId="2774">
    <w:name w:val="目录 3 Char Char"/>
    <w:basedOn w:val="1"/>
    <w:next w:val="1"/>
    <w:qFormat/>
    <w:uiPriority w:val="0"/>
    <w:pPr>
      <w:spacing w:line="351" w:lineRule="atLeast"/>
      <w:ind w:left="419" w:firstLine="419"/>
      <w:jc w:val="left"/>
    </w:pPr>
    <w:rPr>
      <w:i/>
      <w:szCs w:val="20"/>
    </w:rPr>
  </w:style>
  <w:style w:type="paragraph" w:customStyle="1" w:styleId="2775">
    <w:name w:val="标题 311"/>
    <w:basedOn w:val="1"/>
    <w:next w:val="1"/>
    <w:qFormat/>
    <w:uiPriority w:val="0"/>
    <w:pPr>
      <w:keepNext/>
      <w:keepLines/>
      <w:spacing w:before="260" w:after="260" w:line="415" w:lineRule="auto"/>
      <w:ind w:left="891" w:hanging="720"/>
      <w:jc w:val="left"/>
      <w:outlineLvl w:val="2"/>
    </w:pPr>
    <w:rPr>
      <w:rFonts w:ascii="Calibri" w:hAnsi="Calibri"/>
      <w:b/>
      <w:sz w:val="32"/>
    </w:rPr>
  </w:style>
  <w:style w:type="paragraph" w:customStyle="1" w:styleId="2776">
    <w:name w:val="样式 样式 标题 2节 + (西文) Times New Roman (中文) 宋体 四号 段前: 0.5 行 段后: 0......"/>
    <w:basedOn w:val="1"/>
    <w:qFormat/>
    <w:uiPriority w:val="0"/>
    <w:pPr>
      <w:keepNext/>
      <w:keepLines/>
      <w:tabs>
        <w:tab w:val="left" w:pos="720"/>
      </w:tabs>
      <w:adjustRightInd w:val="0"/>
      <w:snapToGrid w:val="0"/>
      <w:spacing w:beforeLines="90" w:afterLines="90" w:line="300" w:lineRule="auto"/>
      <w:ind w:left="397" w:hanging="397"/>
      <w:outlineLvl w:val="1"/>
    </w:pPr>
    <w:rPr>
      <w:rFonts w:ascii="幼圆" w:eastAsia="幼圆"/>
      <w:b/>
      <w:bCs/>
      <w:sz w:val="28"/>
      <w:szCs w:val="28"/>
    </w:rPr>
  </w:style>
  <w:style w:type="paragraph" w:customStyle="1" w:styleId="2777">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778">
    <w:name w:val="样式 标题 4 + 四号 段前: 1 行"/>
    <w:basedOn w:val="6"/>
    <w:qFormat/>
    <w:uiPriority w:val="0"/>
    <w:pPr>
      <w:widowControl/>
      <w:tabs>
        <w:tab w:val="left" w:pos="2218"/>
      </w:tabs>
      <w:spacing w:before="0" w:beforeLines="100" w:after="0" w:line="420" w:lineRule="exact"/>
      <w:ind w:left="560"/>
    </w:pPr>
    <w:rPr>
      <w:rFonts w:ascii="Arial" w:hAnsi="Arial" w:eastAsia="黑体" w:cs="Times New Roman"/>
      <w:b w:val="0"/>
      <w:bCs w:val="0"/>
      <w:kern w:val="0"/>
      <w:szCs w:val="20"/>
    </w:rPr>
  </w:style>
  <w:style w:type="paragraph" w:customStyle="1" w:styleId="2779">
    <w:name w:val="样式 标题 2 + 段前: 0.5 行 段后: 0.5 行"/>
    <w:basedOn w:val="4"/>
    <w:qFormat/>
    <w:uiPriority w:val="0"/>
    <w:pPr>
      <w:tabs>
        <w:tab w:val="left" w:pos="576"/>
      </w:tabs>
      <w:snapToGrid w:val="0"/>
      <w:spacing w:before="0" w:beforeLines="50" w:after="0" w:afterLines="50" w:line="300" w:lineRule="auto"/>
      <w:ind w:left="576" w:hanging="576"/>
    </w:pPr>
    <w:rPr>
      <w:rFonts w:eastAsia="宋体" w:cs="宋体"/>
      <w:color w:val="auto"/>
      <w:sz w:val="24"/>
    </w:rPr>
  </w:style>
  <w:style w:type="paragraph" w:customStyle="1" w:styleId="2780">
    <w:name w:val="10"/>
    <w:basedOn w:val="1"/>
    <w:next w:val="21"/>
    <w:qFormat/>
    <w:uiPriority w:val="0"/>
    <w:pPr>
      <w:spacing w:line="500" w:lineRule="exact"/>
      <w:ind w:firstLine="420"/>
    </w:pPr>
    <w:rPr>
      <w:rFonts w:ascii="仿宋_GB2312" w:eastAsia="仿宋_GB2312"/>
      <w:sz w:val="28"/>
      <w:szCs w:val="20"/>
    </w:rPr>
  </w:style>
  <w:style w:type="paragraph" w:customStyle="1" w:styleId="2781">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782">
    <w:name w:val="xl"/>
    <w:basedOn w:val="1"/>
    <w:qFormat/>
    <w:uiPriority w:val="0"/>
    <w:pPr>
      <w:widowControl/>
      <w:spacing w:before="100" w:beforeAutospacing="1" w:after="100" w:afterAutospacing="1"/>
      <w:jc w:val="left"/>
    </w:pPr>
    <w:rPr>
      <w:rFonts w:ascii="隶书" w:hAnsi="Arial Unicode MS" w:eastAsia="隶书"/>
      <w:color w:val="008000"/>
      <w:kern w:val="0"/>
      <w:sz w:val="36"/>
      <w:szCs w:val="36"/>
    </w:rPr>
  </w:style>
  <w:style w:type="paragraph" w:customStyle="1" w:styleId="2783">
    <w:name w:val="样式 左侧:  -0.16 厘米1"/>
    <w:basedOn w:val="1"/>
    <w:qFormat/>
    <w:uiPriority w:val="0"/>
    <w:pPr>
      <w:snapToGrid w:val="0"/>
      <w:ind w:left="-90"/>
    </w:pPr>
    <w:rPr>
      <w:rFonts w:ascii="宋体" w:hAnsi="宋体" w:cs="宋体"/>
      <w:kern w:val="0"/>
      <w:sz w:val="24"/>
    </w:rPr>
  </w:style>
  <w:style w:type="paragraph" w:customStyle="1" w:styleId="2784">
    <w:name w:val="引用1"/>
    <w:basedOn w:val="1"/>
    <w:next w:val="1"/>
    <w:qFormat/>
    <w:uiPriority w:val="0"/>
    <w:rPr>
      <w:rFonts w:ascii="Calibri" w:hAnsi="Calibri"/>
      <w:i/>
      <w:iCs/>
      <w:color w:val="000000"/>
    </w:rPr>
  </w:style>
  <w:style w:type="paragraph" w:customStyle="1" w:styleId="2785">
    <w:name w:val="条款"/>
    <w:basedOn w:val="1"/>
    <w:qFormat/>
    <w:uiPriority w:val="0"/>
    <w:rPr>
      <w:szCs w:val="20"/>
    </w:rPr>
  </w:style>
  <w:style w:type="paragraph" w:customStyle="1" w:styleId="2786">
    <w:name w:val="表格编号"/>
    <w:basedOn w:val="1"/>
    <w:next w:val="1"/>
    <w:qFormat/>
    <w:uiPriority w:val="0"/>
    <w:pPr>
      <w:tabs>
        <w:tab w:val="left" w:pos="720"/>
      </w:tabs>
      <w:spacing w:before="300" w:after="200"/>
      <w:jc w:val="center"/>
    </w:pPr>
    <w:rPr>
      <w:sz w:val="24"/>
    </w:rPr>
  </w:style>
  <w:style w:type="paragraph" w:customStyle="1" w:styleId="2787">
    <w:name w:val="图编号"/>
    <w:basedOn w:val="1"/>
    <w:qFormat/>
    <w:uiPriority w:val="0"/>
    <w:pPr>
      <w:tabs>
        <w:tab w:val="left" w:pos="720"/>
        <w:tab w:val="left" w:pos="780"/>
        <w:tab w:val="left" w:pos="980"/>
      </w:tabs>
      <w:spacing w:before="300" w:after="300" w:line="360" w:lineRule="auto"/>
      <w:ind w:left="425" w:hanging="425"/>
      <w:jc w:val="center"/>
    </w:pPr>
    <w:rPr>
      <w:sz w:val="24"/>
    </w:rPr>
  </w:style>
  <w:style w:type="paragraph" w:customStyle="1" w:styleId="2788">
    <w:name w:val="Char Char Char Char Char Char Char Char Char Char Char Char Char Char Char Char Char Char Char Char Char Char Char Char Char Char Char Char"/>
    <w:basedOn w:val="1"/>
    <w:qFormat/>
    <w:uiPriority w:val="0"/>
    <w:rPr>
      <w:sz w:val="24"/>
    </w:rPr>
  </w:style>
  <w:style w:type="paragraph" w:customStyle="1" w:styleId="2789">
    <w:name w:val="样式 标题 3标题 3 Char CharH3h33rd level标题3 + 段前: 0.5 行"/>
    <w:basedOn w:val="5"/>
    <w:qFormat/>
    <w:uiPriority w:val="0"/>
    <w:pPr>
      <w:keepNext w:val="0"/>
      <w:keepLines w:val="0"/>
      <w:numPr>
        <w:ilvl w:val="0"/>
        <w:numId w:val="0"/>
      </w:numPr>
      <w:spacing w:line="480" w:lineRule="exact"/>
      <w:ind w:firstLine="560" w:firstLineChars="200"/>
      <w:jc w:val="both"/>
      <w:outlineLvl w:val="9"/>
    </w:pPr>
    <w:rPr>
      <w:rFonts w:ascii="楷体_GB2312" w:hAnsi="Bookman Old Style" w:eastAsia="楷体_GB2312"/>
      <w:bCs w:val="0"/>
      <w:color w:val="FF0000"/>
      <w:szCs w:val="28"/>
    </w:rPr>
  </w:style>
  <w:style w:type="paragraph" w:customStyle="1" w:styleId="2790">
    <w:name w:val="无间隔12"/>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2791">
    <w:name w:val="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2792">
    <w:name w:val="样式 首行缩进:  1.71 字符"/>
    <w:basedOn w:val="1"/>
    <w:qFormat/>
    <w:uiPriority w:val="0"/>
    <w:pPr>
      <w:spacing w:line="360" w:lineRule="auto"/>
      <w:jc w:val="center"/>
    </w:pPr>
    <w:rPr>
      <w:rFonts w:ascii="宋体" w:hAnsi="宋体"/>
      <w:color w:val="000000"/>
      <w:kern w:val="0"/>
      <w:szCs w:val="21"/>
    </w:rPr>
  </w:style>
  <w:style w:type="paragraph" w:customStyle="1" w:styleId="2793">
    <w:name w:val="样式 (中文) 楷体_GB2312 小四"/>
    <w:basedOn w:val="1"/>
    <w:qFormat/>
    <w:uiPriority w:val="0"/>
    <w:pPr>
      <w:snapToGrid w:val="0"/>
      <w:spacing w:line="360" w:lineRule="auto"/>
      <w:ind w:left="284" w:firstLine="200"/>
    </w:pPr>
    <w:rPr>
      <w:rFonts w:eastAsia="楷体_GB2312"/>
      <w:sz w:val="24"/>
      <w:szCs w:val="20"/>
    </w:rPr>
  </w:style>
  <w:style w:type="paragraph" w:customStyle="1" w:styleId="2794">
    <w:name w:val="样式13"/>
    <w:basedOn w:val="1"/>
    <w:qFormat/>
    <w:uiPriority w:val="0"/>
    <w:pPr>
      <w:snapToGrid w:val="0"/>
      <w:jc w:val="center"/>
    </w:pPr>
    <w:rPr>
      <w:rFonts w:ascii="宋体" w:hAnsi="宋体"/>
    </w:rPr>
  </w:style>
  <w:style w:type="paragraph" w:customStyle="1" w:styleId="2795">
    <w:name w:val="正文首行缩进12"/>
    <w:basedOn w:val="34"/>
    <w:qFormat/>
    <w:uiPriority w:val="0"/>
    <w:pPr>
      <w:adjustRightInd w:val="0"/>
      <w:spacing w:after="120" w:line="240" w:lineRule="auto"/>
      <w:ind w:firstLine="420"/>
    </w:pPr>
    <w:rPr>
      <w:rFonts w:hint="eastAsia" w:ascii="Times New Roman" w:hAnsi="Times New Roman" w:cs="宋体"/>
      <w:szCs w:val="20"/>
    </w:rPr>
  </w:style>
  <w:style w:type="paragraph" w:customStyle="1" w:styleId="2796">
    <w:name w:val="正文小四 标准"/>
    <w:basedOn w:val="1"/>
    <w:qFormat/>
    <w:uiPriority w:val="0"/>
    <w:pPr>
      <w:spacing w:beforeLines="50" w:afterLines="50" w:line="360" w:lineRule="auto"/>
      <w:ind w:firstLine="480" w:firstLineChars="200"/>
    </w:pPr>
    <w:rPr>
      <w:rFonts w:ascii="宋体" w:hAnsi="宋体" w:cs="宋体"/>
      <w:color w:val="000000"/>
      <w:kern w:val="0"/>
      <w:sz w:val="24"/>
      <w:szCs w:val="20"/>
    </w:rPr>
  </w:style>
  <w:style w:type="paragraph" w:customStyle="1" w:styleId="2797">
    <w:name w:val="书目1"/>
    <w:basedOn w:val="1"/>
    <w:next w:val="1"/>
    <w:qFormat/>
    <w:uiPriority w:val="0"/>
  </w:style>
  <w:style w:type="paragraph" w:customStyle="1" w:styleId="2798">
    <w:name w:val="样式 样式 标题 4 + 黑色 左侧:  -0.01 厘米 首行缩进:  0.01 厘米 + 左侧:  0 厘米 首行缩进: ..."/>
    <w:basedOn w:val="1"/>
    <w:qFormat/>
    <w:uiPriority w:val="0"/>
    <w:pPr>
      <w:keepNext/>
      <w:keepLines/>
      <w:tabs>
        <w:tab w:val="left" w:pos="851"/>
      </w:tabs>
      <w:spacing w:beforeLines="50" w:line="324" w:lineRule="auto"/>
      <w:ind w:left="851" w:hanging="851"/>
      <w:outlineLvl w:val="3"/>
    </w:pPr>
    <w:rPr>
      <w:rFonts w:ascii="仿宋_GB2312" w:hAnsi="Arial" w:eastAsia="仿宋_GB2312" w:cs="宋体"/>
      <w:color w:val="000000"/>
      <w:sz w:val="28"/>
      <w:szCs w:val="20"/>
    </w:rPr>
  </w:style>
  <w:style w:type="paragraph" w:customStyle="1" w:styleId="2799">
    <w:name w:val="正文楷体"/>
    <w:basedOn w:val="1"/>
    <w:qFormat/>
    <w:uiPriority w:val="0"/>
    <w:rPr>
      <w:rFonts w:eastAsia="楷体_GB2312"/>
    </w:rPr>
  </w:style>
  <w:style w:type="paragraph" w:customStyle="1" w:styleId="2800">
    <w:name w:val="z-窗体底端12"/>
    <w:basedOn w:val="1"/>
    <w:next w:val="1"/>
    <w:qFormat/>
    <w:uiPriority w:val="0"/>
    <w:pPr>
      <w:pBdr>
        <w:top w:val="single" w:color="auto" w:sz="6" w:space="1"/>
      </w:pBdr>
      <w:adjustRightInd w:val="0"/>
      <w:snapToGrid w:val="0"/>
      <w:spacing w:line="300" w:lineRule="auto"/>
      <w:jc w:val="center"/>
    </w:pPr>
    <w:rPr>
      <w:rFonts w:ascii="Arial" w:hAnsi="Arial" w:eastAsia="仿宋_GB2312"/>
      <w:vanish/>
      <w:sz w:val="16"/>
      <w:szCs w:val="16"/>
    </w:rPr>
  </w:style>
  <w:style w:type="paragraph" w:customStyle="1" w:styleId="2801">
    <w:name w:val="纯文本12"/>
    <w:basedOn w:val="1"/>
    <w:qFormat/>
    <w:uiPriority w:val="0"/>
    <w:pPr>
      <w:adjustRightInd w:val="0"/>
    </w:pPr>
    <w:rPr>
      <w:rFonts w:ascii="宋体" w:hAnsi="Courier New"/>
      <w:szCs w:val="20"/>
    </w:rPr>
  </w:style>
  <w:style w:type="paragraph" w:customStyle="1" w:styleId="2802">
    <w:name w:val="正文文本缩进 22"/>
    <w:basedOn w:val="1"/>
    <w:qFormat/>
    <w:uiPriority w:val="0"/>
    <w:pPr>
      <w:adjustRightInd w:val="0"/>
      <w:spacing w:line="360" w:lineRule="auto"/>
      <w:ind w:firstLine="420"/>
    </w:pPr>
    <w:rPr>
      <w:rFonts w:ascii="宋体"/>
      <w:sz w:val="24"/>
      <w:szCs w:val="20"/>
    </w:rPr>
  </w:style>
  <w:style w:type="paragraph" w:customStyle="1" w:styleId="2803">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4">
    <w:name w:val="段落1"/>
    <w:basedOn w:val="1"/>
    <w:qFormat/>
    <w:uiPriority w:val="0"/>
    <w:pPr>
      <w:spacing w:line="480" w:lineRule="exact"/>
      <w:ind w:firstLine="200" w:firstLineChars="200"/>
    </w:pPr>
    <w:rPr>
      <w:rFonts w:eastAsia="楷体_GB2312"/>
      <w:spacing w:val="6"/>
      <w:sz w:val="28"/>
    </w:rPr>
  </w:style>
  <w:style w:type="paragraph" w:customStyle="1" w:styleId="2805">
    <w:name w:val="et5"/>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06">
    <w:name w:val="样式 纯文本表格文字 + 小四"/>
    <w:basedOn w:val="45"/>
    <w:qFormat/>
    <w:uiPriority w:val="0"/>
    <w:pPr>
      <w:spacing w:line="300" w:lineRule="exact"/>
      <w:jc w:val="center"/>
    </w:pPr>
    <w:rPr>
      <w:rFonts w:ascii="Times New Roman" w:hAnsi="Times New Roman"/>
      <w:spacing w:val="6"/>
      <w:szCs w:val="21"/>
    </w:rPr>
  </w:style>
  <w:style w:type="paragraph" w:customStyle="1" w:styleId="2807">
    <w:name w:val="reader-word-layer reader-word-s1-13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8">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9">
    <w:name w:val="et43"/>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10">
    <w:name w:val="样式4三级"/>
    <w:basedOn w:val="1"/>
    <w:qFormat/>
    <w:uiPriority w:val="0"/>
    <w:rPr>
      <w:rFonts w:ascii="楷体_GB2312" w:hAnsi="宋体" w:eastAsia="楷体_GB2312"/>
      <w:sz w:val="28"/>
      <w:szCs w:val="20"/>
    </w:rPr>
  </w:style>
  <w:style w:type="paragraph" w:customStyle="1" w:styleId="2811">
    <w:name w:val="et36"/>
    <w:basedOn w:val="1"/>
    <w:qFormat/>
    <w:uiPriority w:val="0"/>
    <w:pPr>
      <w:widowControl/>
      <w:spacing w:before="100" w:beforeAutospacing="1" w:after="100" w:afterAutospacing="1"/>
      <w:jc w:val="left"/>
      <w:textAlignment w:val="bottom"/>
    </w:pPr>
    <w:rPr>
      <w:rFonts w:ascii="楷体_GB2312" w:hAnsi="宋体" w:eastAsia="楷体_GB2312" w:cs="宋体"/>
      <w:color w:val="000000"/>
      <w:kern w:val="0"/>
      <w:sz w:val="24"/>
    </w:rPr>
  </w:style>
  <w:style w:type="paragraph" w:customStyle="1" w:styleId="2812">
    <w:name w:val="样式 楷体_GB2312 小四 左 右侧:  0.08 厘米 行距: 1.5 倍行距"/>
    <w:basedOn w:val="1"/>
    <w:qFormat/>
    <w:uiPriority w:val="0"/>
    <w:pPr>
      <w:spacing w:line="360" w:lineRule="auto"/>
      <w:ind w:right="45" w:firstLine="480" w:firstLineChars="200"/>
      <w:jc w:val="left"/>
    </w:pPr>
    <w:rPr>
      <w:rFonts w:ascii="楷体_GB2312" w:cs="宋体"/>
      <w:sz w:val="24"/>
      <w:szCs w:val="20"/>
    </w:rPr>
  </w:style>
  <w:style w:type="paragraph" w:customStyle="1" w:styleId="2813">
    <w:name w:val="样式 样式 楷体_GB2312 小四 左 行距: 1.5 倍行距 + 首行缩进:  2 字符"/>
    <w:basedOn w:val="1"/>
    <w:qFormat/>
    <w:uiPriority w:val="0"/>
    <w:pPr>
      <w:spacing w:line="360" w:lineRule="auto"/>
      <w:ind w:firstLine="480" w:firstLineChars="200"/>
      <w:jc w:val="left"/>
    </w:pPr>
    <w:rPr>
      <w:rFonts w:ascii="楷体_GB2312"/>
      <w:color w:val="FF00FF"/>
      <w:sz w:val="24"/>
      <w:szCs w:val="20"/>
    </w:rPr>
  </w:style>
  <w:style w:type="paragraph" w:customStyle="1" w:styleId="2814">
    <w:name w:val="_Style 10"/>
    <w:basedOn w:val="1"/>
    <w:qFormat/>
    <w:uiPriority w:val="0"/>
    <w:pPr>
      <w:widowControl/>
      <w:autoSpaceDE w:val="0"/>
      <w:autoSpaceDN w:val="0"/>
      <w:snapToGrid w:val="0"/>
      <w:spacing w:after="160" w:line="240" w:lineRule="exact"/>
      <w:ind w:firstLine="624"/>
      <w:jc w:val="left"/>
    </w:pPr>
  </w:style>
  <w:style w:type="paragraph" w:customStyle="1" w:styleId="2815">
    <w:name w:val="样式 楷体_GB2312 (符号) 宋体 小四 行距: 1.5 倍行距 首行缩进:  2 字符"/>
    <w:basedOn w:val="1"/>
    <w:qFormat/>
    <w:uiPriority w:val="0"/>
    <w:pPr>
      <w:spacing w:line="360" w:lineRule="auto"/>
      <w:ind w:firstLine="480" w:firstLineChars="200"/>
    </w:pPr>
    <w:rPr>
      <w:rFonts w:ascii="楷体_GB2312" w:hAnsi="宋体" w:cs="宋体"/>
      <w:sz w:val="24"/>
      <w:szCs w:val="20"/>
    </w:rPr>
  </w:style>
  <w:style w:type="paragraph" w:customStyle="1" w:styleId="2816">
    <w:name w:val="样式 zw + 首行缩进:  1 字符"/>
    <w:basedOn w:val="1"/>
    <w:qFormat/>
    <w:uiPriority w:val="0"/>
    <w:pPr>
      <w:spacing w:line="360" w:lineRule="auto"/>
      <w:jc w:val="left"/>
    </w:pPr>
    <w:rPr>
      <w:color w:val="00B050"/>
      <w:sz w:val="24"/>
    </w:rPr>
  </w:style>
  <w:style w:type="paragraph" w:customStyle="1" w:styleId="2817">
    <w:name w:val="reader-word-layer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818">
    <w:name w:val="样式 楷体_GB2312 小四 行距: 1.5 倍行距 首行缩进:  2 字符"/>
    <w:basedOn w:val="1"/>
    <w:qFormat/>
    <w:uiPriority w:val="0"/>
    <w:pPr>
      <w:spacing w:line="360" w:lineRule="auto"/>
      <w:ind w:firstLine="480" w:firstLineChars="200"/>
    </w:pPr>
    <w:rPr>
      <w:rFonts w:ascii="楷体_GB2312" w:cs="宋体"/>
      <w:sz w:val="24"/>
      <w:szCs w:val="20"/>
    </w:rPr>
  </w:style>
  <w:style w:type="paragraph" w:customStyle="1" w:styleId="2819">
    <w:name w:val="样式 三号 加粗 段前: 6 磅 段后: 6 磅1"/>
    <w:basedOn w:val="1"/>
    <w:qFormat/>
    <w:uiPriority w:val="0"/>
    <w:pPr>
      <w:spacing w:before="100" w:beforeAutospacing="1" w:after="100" w:afterAutospacing="1" w:line="360" w:lineRule="auto"/>
    </w:pPr>
    <w:rPr>
      <w:rFonts w:cs="宋体"/>
      <w:b/>
      <w:bCs/>
      <w:sz w:val="32"/>
      <w:szCs w:val="20"/>
    </w:rPr>
  </w:style>
  <w:style w:type="paragraph" w:customStyle="1" w:styleId="2820">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821">
    <w:name w:val="dxj表内容"/>
    <w:basedOn w:val="1"/>
    <w:next w:val="1"/>
    <w:qFormat/>
    <w:uiPriority w:val="0"/>
    <w:pPr>
      <w:spacing w:line="280" w:lineRule="exact"/>
      <w:jc w:val="center"/>
    </w:pPr>
    <w:rPr>
      <w:sz w:val="18"/>
      <w:szCs w:val="18"/>
    </w:rPr>
  </w:style>
  <w:style w:type="paragraph" w:customStyle="1" w:styleId="2822">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jc w:val="center"/>
    </w:pPr>
    <w:rPr>
      <w:rFonts w:ascii="宋体" w:hAnsi="宋体"/>
      <w:sz w:val="24"/>
    </w:rPr>
  </w:style>
  <w:style w:type="paragraph" w:customStyle="1" w:styleId="2823">
    <w:name w:val="用户正文1"/>
    <w:qFormat/>
    <w:uiPriority w:val="0"/>
    <w:pPr>
      <w:widowControl w:val="0"/>
      <w:adjustRightInd w:val="0"/>
      <w:snapToGrid w:val="0"/>
      <w:spacing w:line="360" w:lineRule="auto"/>
    </w:pPr>
    <w:rPr>
      <w:rFonts w:ascii="黑体" w:hAnsi="宋体" w:eastAsia="黑体" w:cs="Times New Roman"/>
      <w:sz w:val="24"/>
      <w:lang w:val="en-US" w:eastAsia="zh-CN" w:bidi="ar-SA"/>
    </w:rPr>
  </w:style>
  <w:style w:type="paragraph" w:customStyle="1" w:styleId="2824">
    <w:name w:val="用户标题4"/>
    <w:next w:val="1"/>
    <w:qFormat/>
    <w:uiPriority w:val="0"/>
    <w:pPr>
      <w:tabs>
        <w:tab w:val="left" w:pos="720"/>
        <w:tab w:val="left" w:pos="887"/>
      </w:tabs>
      <w:adjustRightInd w:val="0"/>
      <w:snapToGrid w:val="0"/>
      <w:spacing w:line="520" w:lineRule="exact"/>
      <w:ind w:left="720" w:hanging="720"/>
      <w:outlineLvl w:val="3"/>
    </w:pPr>
    <w:rPr>
      <w:rFonts w:ascii="Times New Roman" w:hAnsi="Times New Roman" w:eastAsia="宋体" w:cs="Times New Roman"/>
      <w:sz w:val="24"/>
      <w:lang w:val="en-US" w:eastAsia="zh-CN" w:bidi="ar-SA"/>
    </w:rPr>
  </w:style>
  <w:style w:type="paragraph" w:customStyle="1" w:styleId="2825">
    <w:name w:val="et31"/>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26">
    <w:name w:val="Document"/>
    <w:basedOn w:val="1"/>
    <w:qFormat/>
    <w:uiPriority w:val="0"/>
    <w:pPr>
      <w:widowControl/>
      <w:jc w:val="center"/>
    </w:pPr>
    <w:rPr>
      <w:rFonts w:ascii="Financial  (MF)" w:hAnsi="Financial  (MF)"/>
      <w:kern w:val="0"/>
      <w:sz w:val="24"/>
      <w:szCs w:val="20"/>
      <w:lang w:eastAsia="en-US"/>
    </w:rPr>
  </w:style>
  <w:style w:type="paragraph" w:customStyle="1" w:styleId="2827">
    <w:name w:val="et16"/>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28">
    <w:name w:val="用户标题2"/>
    <w:next w:val="1"/>
    <w:qFormat/>
    <w:uiPriority w:val="0"/>
    <w:pPr>
      <w:tabs>
        <w:tab w:val="left" w:pos="720"/>
        <w:tab w:val="left" w:pos="1898"/>
      </w:tabs>
      <w:adjustRightInd w:val="0"/>
      <w:snapToGrid w:val="0"/>
      <w:spacing w:line="520" w:lineRule="exact"/>
      <w:ind w:left="1898" w:hanging="1418"/>
      <w:outlineLvl w:val="1"/>
    </w:pPr>
    <w:rPr>
      <w:rFonts w:ascii="Times New Roman" w:hAnsi="Times New Roman" w:eastAsia="黑体" w:cs="Times New Roman"/>
      <w:sz w:val="30"/>
      <w:lang w:val="en-US" w:eastAsia="zh-CN" w:bidi="ar-SA"/>
    </w:rPr>
  </w:style>
  <w:style w:type="paragraph" w:customStyle="1" w:styleId="2829">
    <w:name w:val="Normal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30">
    <w:name w:val="et17"/>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31">
    <w:name w:val="Body Text First Indent1"/>
    <w:basedOn w:val="34"/>
    <w:qFormat/>
    <w:uiPriority w:val="0"/>
    <w:pPr>
      <w:adjustRightInd w:val="0"/>
      <w:spacing w:after="120" w:line="240" w:lineRule="auto"/>
      <w:ind w:firstLine="420"/>
    </w:pPr>
    <w:rPr>
      <w:rFonts w:hint="eastAsia" w:ascii="Times New Roman" w:hAnsi="Times New Roman" w:cs="宋体"/>
      <w:szCs w:val="20"/>
    </w:rPr>
  </w:style>
  <w:style w:type="paragraph" w:customStyle="1" w:styleId="2832">
    <w:name w:val="Salutation1"/>
    <w:basedOn w:val="1"/>
    <w:next w:val="1"/>
    <w:qFormat/>
    <w:uiPriority w:val="0"/>
    <w:rPr>
      <w:kern w:val="0"/>
      <w:sz w:val="20"/>
    </w:rPr>
  </w:style>
  <w:style w:type="paragraph" w:customStyle="1" w:styleId="2833">
    <w:name w:val="Body Text Indent 21"/>
    <w:basedOn w:val="1"/>
    <w:qFormat/>
    <w:uiPriority w:val="0"/>
    <w:pPr>
      <w:adjustRightInd w:val="0"/>
      <w:spacing w:line="360" w:lineRule="auto"/>
      <w:ind w:firstLine="420"/>
    </w:pPr>
    <w:rPr>
      <w:rFonts w:ascii="宋体"/>
      <w:sz w:val="24"/>
      <w:szCs w:val="20"/>
    </w:rPr>
  </w:style>
  <w:style w:type="paragraph" w:customStyle="1" w:styleId="2834">
    <w:name w:val="List Continue 31"/>
    <w:basedOn w:val="1"/>
    <w:qFormat/>
    <w:uiPriority w:val="0"/>
    <w:pPr>
      <w:spacing w:after="120"/>
      <w:ind w:left="1260" w:leftChars="600"/>
    </w:pPr>
  </w:style>
  <w:style w:type="paragraph" w:customStyle="1" w:styleId="2835">
    <w:name w:val="et29"/>
    <w:basedOn w:val="1"/>
    <w:qFormat/>
    <w:uiPriority w:val="0"/>
    <w:pPr>
      <w:widowControl/>
      <w:spacing w:before="100" w:beforeAutospacing="1" w:after="100" w:afterAutospacing="1"/>
      <w:jc w:val="left"/>
      <w:textAlignment w:val="bottom"/>
    </w:pPr>
    <w:rPr>
      <w:color w:val="000000"/>
      <w:kern w:val="0"/>
      <w:sz w:val="24"/>
    </w:rPr>
  </w:style>
  <w:style w:type="paragraph" w:customStyle="1" w:styleId="2836">
    <w:name w:val="Plain Text3"/>
    <w:basedOn w:val="1"/>
    <w:qFormat/>
    <w:uiPriority w:val="0"/>
    <w:pPr>
      <w:adjustRightInd w:val="0"/>
    </w:pPr>
    <w:rPr>
      <w:rFonts w:ascii="宋体" w:hAnsi="Courier New"/>
      <w:szCs w:val="20"/>
    </w:rPr>
  </w:style>
  <w:style w:type="paragraph" w:customStyle="1" w:styleId="2837">
    <w:name w:val="et10"/>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38">
    <w:name w:val="Body Text First Indent 21"/>
    <w:basedOn w:val="1"/>
    <w:qFormat/>
    <w:uiPriority w:val="0"/>
    <w:pPr>
      <w:snapToGrid w:val="0"/>
      <w:spacing w:after="120"/>
      <w:ind w:left="420" w:leftChars="200" w:firstLine="420" w:firstLineChars="200"/>
    </w:pPr>
    <w:rPr>
      <w:rFonts w:ascii="Arial" w:hAnsi="Arial" w:cs="Courier New"/>
      <w:sz w:val="28"/>
      <w:szCs w:val="32"/>
    </w:rPr>
  </w:style>
  <w:style w:type="paragraph" w:customStyle="1" w:styleId="2839">
    <w:name w:val="Normal (Web)1"/>
    <w:basedOn w:val="1"/>
    <w:qFormat/>
    <w:uiPriority w:val="0"/>
    <w:pPr>
      <w:adjustRightInd w:val="0"/>
    </w:pPr>
    <w:rPr>
      <w:sz w:val="24"/>
      <w:szCs w:val="20"/>
    </w:rPr>
  </w:style>
  <w:style w:type="paragraph" w:customStyle="1" w:styleId="2840">
    <w:name w:val="Body Text Indent 31"/>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2841">
    <w:name w:val="样式 样式 样式 样式 样式 样式 首行缩进:  2 字符 + 首行缩进:  2 字符2 + 仿宋_GB2312 + 首行缩进:..."/>
    <w:basedOn w:val="1"/>
    <w:qFormat/>
    <w:uiPriority w:val="0"/>
    <w:pPr>
      <w:spacing w:line="560" w:lineRule="exact"/>
      <w:ind w:firstLine="624" w:firstLineChars="200"/>
    </w:pPr>
    <w:rPr>
      <w:rFonts w:ascii="@黑体" w:hAnsi="@黑体" w:eastAsia="@黑体" w:cs="@黑体"/>
      <w:spacing w:val="12"/>
      <w:kern w:val="0"/>
      <w:sz w:val="28"/>
      <w:szCs w:val="20"/>
    </w:rPr>
  </w:style>
  <w:style w:type="paragraph" w:customStyle="1" w:styleId="2842">
    <w:name w:val="HTML Address1"/>
    <w:basedOn w:val="1"/>
    <w:qFormat/>
    <w:uiPriority w:val="0"/>
    <w:rPr>
      <w:i/>
      <w:iCs/>
      <w:kern w:val="0"/>
      <w:sz w:val="20"/>
    </w:rPr>
  </w:style>
  <w:style w:type="paragraph" w:customStyle="1" w:styleId="2843">
    <w:name w:val="List 31"/>
    <w:basedOn w:val="1"/>
    <w:qFormat/>
    <w:uiPriority w:val="0"/>
    <w:pPr>
      <w:ind w:left="100" w:leftChars="400" w:hanging="200" w:hangingChars="200"/>
    </w:pPr>
  </w:style>
  <w:style w:type="paragraph" w:customStyle="1" w:styleId="2844">
    <w:name w:val="HTML Preformatted1"/>
    <w:basedOn w:val="1"/>
    <w:qFormat/>
    <w:uiPriority w:val="0"/>
    <w:rPr>
      <w:rFonts w:ascii="Courier New" w:hAnsi="Courier New"/>
      <w:color w:val="000000"/>
      <w:kern w:val="0"/>
      <w:sz w:val="20"/>
      <w:szCs w:val="20"/>
    </w:rPr>
  </w:style>
  <w:style w:type="paragraph" w:customStyle="1" w:styleId="2845">
    <w:name w:val="Document Map1"/>
    <w:basedOn w:val="1"/>
    <w:qFormat/>
    <w:uiPriority w:val="0"/>
    <w:pPr>
      <w:spacing w:line="440" w:lineRule="exact"/>
      <w:ind w:firstLine="480" w:firstLineChars="200"/>
    </w:pPr>
    <w:rPr>
      <w:rFonts w:ascii="宋体"/>
      <w:color w:val="000000"/>
      <w:kern w:val="0"/>
      <w:sz w:val="18"/>
      <w:szCs w:val="18"/>
    </w:rPr>
  </w:style>
  <w:style w:type="paragraph" w:customStyle="1" w:styleId="2846">
    <w:name w:val="E-mail Signature1"/>
    <w:basedOn w:val="1"/>
    <w:qFormat/>
    <w:uiPriority w:val="0"/>
    <w:rPr>
      <w:kern w:val="0"/>
      <w:sz w:val="20"/>
    </w:rPr>
  </w:style>
  <w:style w:type="paragraph" w:customStyle="1" w:styleId="2847">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Times New Roman"/>
      <w:kern w:val="0"/>
      <w:sz w:val="24"/>
    </w:rPr>
  </w:style>
  <w:style w:type="paragraph" w:customStyle="1" w:styleId="2848">
    <w:name w:val="List Continue 51"/>
    <w:basedOn w:val="1"/>
    <w:qFormat/>
    <w:uiPriority w:val="0"/>
    <w:pPr>
      <w:spacing w:after="120"/>
      <w:ind w:left="2100" w:leftChars="1000"/>
    </w:pPr>
  </w:style>
  <w:style w:type="paragraph" w:customStyle="1" w:styleId="2849">
    <w:name w:val="List Continue 41"/>
    <w:basedOn w:val="1"/>
    <w:qFormat/>
    <w:uiPriority w:val="0"/>
    <w:pPr>
      <w:spacing w:after="120"/>
      <w:ind w:left="1680" w:leftChars="800"/>
    </w:pPr>
  </w:style>
  <w:style w:type="paragraph" w:customStyle="1" w:styleId="2850">
    <w:name w:val="et25"/>
    <w:basedOn w:val="1"/>
    <w:uiPriority w:val="0"/>
    <w:pPr>
      <w:widowControl/>
      <w:spacing w:before="100" w:beforeAutospacing="1" w:after="100" w:afterAutospacing="1"/>
      <w:jc w:val="left"/>
      <w:textAlignment w:val="bottom"/>
    </w:pPr>
    <w:rPr>
      <w:color w:val="000000"/>
      <w:kern w:val="0"/>
      <w:sz w:val="24"/>
    </w:rPr>
  </w:style>
  <w:style w:type="paragraph" w:customStyle="1" w:styleId="2851">
    <w:name w:val="List 21"/>
    <w:basedOn w:val="1"/>
    <w:qFormat/>
    <w:uiPriority w:val="0"/>
    <w:pPr>
      <w:ind w:left="100" w:leftChars="200" w:hanging="200" w:hangingChars="200"/>
    </w:pPr>
  </w:style>
  <w:style w:type="paragraph" w:customStyle="1" w:styleId="2852">
    <w:name w:val="List Continue1"/>
    <w:basedOn w:val="1"/>
    <w:qFormat/>
    <w:uiPriority w:val="0"/>
    <w:pPr>
      <w:spacing w:after="120"/>
      <w:ind w:left="420" w:leftChars="200"/>
    </w:pPr>
  </w:style>
  <w:style w:type="paragraph" w:customStyle="1" w:styleId="2853">
    <w:name w:val="List Number 21"/>
    <w:basedOn w:val="1"/>
    <w:qFormat/>
    <w:uiPriority w:val="0"/>
    <w:pPr>
      <w:tabs>
        <w:tab w:val="left" w:pos="780"/>
        <w:tab w:val="left" w:pos="1200"/>
      </w:tabs>
      <w:ind w:left="1200" w:hanging="360"/>
    </w:pPr>
  </w:style>
  <w:style w:type="paragraph" w:customStyle="1" w:styleId="2854">
    <w:name w:val="List Continue 21"/>
    <w:basedOn w:val="1"/>
    <w:qFormat/>
    <w:uiPriority w:val="0"/>
    <w:pPr>
      <w:spacing w:after="120"/>
      <w:ind w:left="840" w:leftChars="400"/>
    </w:pPr>
  </w:style>
  <w:style w:type="paragraph" w:customStyle="1" w:styleId="2855">
    <w:name w:val="List 51"/>
    <w:basedOn w:val="1"/>
    <w:qFormat/>
    <w:uiPriority w:val="0"/>
    <w:pPr>
      <w:ind w:left="100" w:leftChars="800" w:hanging="200" w:hangingChars="200"/>
    </w:pPr>
  </w:style>
  <w:style w:type="paragraph" w:customStyle="1" w:styleId="2856">
    <w:name w:val="Q-表格文字"/>
    <w:basedOn w:val="566"/>
    <w:qFormat/>
    <w:uiPriority w:val="0"/>
    <w:pPr>
      <w:jc w:val="center"/>
    </w:pPr>
    <w:rPr>
      <w:rFonts w:ascii="宋体" w:hAnsi="宋体" w:cs="宋体"/>
      <w:sz w:val="21"/>
      <w:szCs w:val="18"/>
    </w:rPr>
  </w:style>
  <w:style w:type="paragraph" w:customStyle="1" w:styleId="2857">
    <w:name w:val="~~~图例"/>
    <w:basedOn w:val="606"/>
    <w:next w:val="1460"/>
    <w:qFormat/>
    <w:uiPriority w:val="0"/>
    <w:pPr>
      <w:numPr>
        <w:ilvl w:val="8"/>
      </w:numPr>
      <w:tabs>
        <w:tab w:val="left" w:pos="1200"/>
      </w:tabs>
      <w:ind w:left="1200" w:hanging="360"/>
    </w:pPr>
  </w:style>
  <w:style w:type="paragraph" w:customStyle="1" w:styleId="2858">
    <w:name w:val="reader-word-layer reader-word-s1-17 reader-word-s1-24"/>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9">
    <w:name w:val="et19"/>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0">
    <w:name w:val="et34"/>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1">
    <w:name w:val="et18"/>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2">
    <w:name w:val="et21"/>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3">
    <w:name w:val="XYF表格"/>
    <w:basedOn w:val="1706"/>
    <w:qFormat/>
    <w:uiPriority w:val="0"/>
    <w:pPr>
      <w:ind w:firstLine="0" w:firstLineChars="0"/>
    </w:pPr>
  </w:style>
  <w:style w:type="paragraph" w:customStyle="1" w:styleId="2864">
    <w:name w:val="et6"/>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5">
    <w:name w:val="表格 首行文字"/>
    <w:basedOn w:val="1"/>
    <w:qFormat/>
    <w:uiPriority w:val="0"/>
    <w:pPr>
      <w:jc w:val="center"/>
    </w:pPr>
    <w:rPr>
      <w:b/>
    </w:rPr>
  </w:style>
  <w:style w:type="paragraph" w:customStyle="1" w:styleId="2866">
    <w:name w:val="et14"/>
    <w:basedOn w:val="1"/>
    <w:qFormat/>
    <w:uiPriority w:val="0"/>
    <w:pPr>
      <w:widowControl/>
      <w:spacing w:before="100" w:beforeAutospacing="1" w:after="100" w:afterAutospacing="1"/>
      <w:jc w:val="left"/>
      <w:textAlignment w:val="bottom"/>
    </w:pPr>
    <w:rPr>
      <w:color w:val="000000"/>
      <w:kern w:val="0"/>
      <w:sz w:val="24"/>
    </w:rPr>
  </w:style>
  <w:style w:type="paragraph" w:customStyle="1" w:styleId="2867">
    <w:name w:val="et24"/>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68">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9">
    <w:name w:val="et22"/>
    <w:basedOn w:val="1"/>
    <w:qFormat/>
    <w:uiPriority w:val="0"/>
    <w:pPr>
      <w:widowControl/>
      <w:spacing w:before="100" w:beforeAutospacing="1" w:after="100" w:afterAutospacing="1"/>
      <w:jc w:val="left"/>
      <w:textAlignment w:val="bottom"/>
    </w:pPr>
    <w:rPr>
      <w:color w:val="000000"/>
      <w:kern w:val="0"/>
      <w:sz w:val="24"/>
    </w:rPr>
  </w:style>
  <w:style w:type="paragraph" w:customStyle="1" w:styleId="2870">
    <w:name w:val="安全设施设计表格"/>
    <w:basedOn w:val="1"/>
    <w:qFormat/>
    <w:uiPriority w:val="0"/>
    <w:pPr>
      <w:jc w:val="center"/>
    </w:pPr>
    <w:rPr>
      <w:rFonts w:ascii="宋体"/>
      <w:szCs w:val="20"/>
    </w:rPr>
  </w:style>
  <w:style w:type="paragraph" w:customStyle="1" w:styleId="2871">
    <w:name w:val="et27"/>
    <w:basedOn w:val="1"/>
    <w:qFormat/>
    <w:uiPriority w:val="0"/>
    <w:pPr>
      <w:widowControl/>
      <w:spacing w:before="100" w:beforeAutospacing="1" w:after="100" w:afterAutospacing="1"/>
      <w:jc w:val="left"/>
      <w:textAlignment w:val="bottom"/>
    </w:pPr>
    <w:rPr>
      <w:color w:val="000000"/>
      <w:kern w:val="0"/>
      <w:sz w:val="24"/>
    </w:rPr>
  </w:style>
  <w:style w:type="paragraph" w:customStyle="1" w:styleId="287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3">
    <w:name w:val="et37"/>
    <w:basedOn w:val="1"/>
    <w:qFormat/>
    <w:uiPriority w:val="0"/>
    <w:pPr>
      <w:widowControl/>
      <w:spacing w:before="100" w:beforeAutospacing="1" w:after="100" w:afterAutospacing="1"/>
      <w:jc w:val="left"/>
      <w:textAlignment w:val="bottom"/>
    </w:pPr>
    <w:rPr>
      <w:rFonts w:ascii="楷体_GB2312" w:hAnsi="宋体" w:eastAsia="楷体_GB2312" w:cs="宋体"/>
      <w:color w:val="000000"/>
      <w:kern w:val="0"/>
      <w:sz w:val="24"/>
    </w:rPr>
  </w:style>
  <w:style w:type="paragraph" w:customStyle="1" w:styleId="2874">
    <w:name w:val="et32"/>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75">
    <w:name w:val="et20"/>
    <w:basedOn w:val="1"/>
    <w:qFormat/>
    <w:uiPriority w:val="0"/>
    <w:pPr>
      <w:widowControl/>
      <w:spacing w:before="100" w:beforeAutospacing="1" w:after="100" w:afterAutospacing="1"/>
      <w:jc w:val="left"/>
      <w:textAlignment w:val="bottom"/>
    </w:pPr>
    <w:rPr>
      <w:color w:val="000000"/>
      <w:kern w:val="0"/>
      <w:sz w:val="24"/>
    </w:rPr>
  </w:style>
  <w:style w:type="paragraph" w:customStyle="1" w:styleId="2876">
    <w:name w:val="et44"/>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77">
    <w:name w:val="et40"/>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78">
    <w:name w:val="et42"/>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79">
    <w:name w:val="et33"/>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80">
    <w:name w:val="et3"/>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81">
    <w:name w:val="et38"/>
    <w:basedOn w:val="1"/>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2882">
    <w:name w:val="StandardE1.5"/>
    <w:basedOn w:val="1"/>
    <w:semiHidden/>
    <w:qFormat/>
    <w:uiPriority w:val="0"/>
    <w:pPr>
      <w:keepLines/>
      <w:widowControl/>
      <w:tabs>
        <w:tab w:val="left" w:pos="851"/>
        <w:tab w:val="left" w:pos="1134"/>
        <w:tab w:val="left" w:pos="1702"/>
        <w:tab w:val="left" w:pos="4537"/>
        <w:tab w:val="right" w:pos="6237"/>
        <w:tab w:val="right" w:pos="7372"/>
        <w:tab w:val="right" w:pos="7939"/>
        <w:tab w:val="right" w:pos="9072"/>
      </w:tabs>
      <w:spacing w:before="120" w:after="120"/>
      <w:ind w:left="851" w:hanging="851"/>
      <w:jc w:val="left"/>
    </w:pPr>
    <w:rPr>
      <w:rFonts w:ascii="Arial" w:hAnsi="Arial"/>
      <w:kern w:val="0"/>
      <w:sz w:val="22"/>
      <w:szCs w:val="20"/>
      <w:lang w:val="en-GB"/>
    </w:rPr>
  </w:style>
  <w:style w:type="paragraph" w:customStyle="1" w:styleId="2883">
    <w:name w:val="批注文字 Char3"/>
    <w:basedOn w:val="1"/>
    <w:uiPriority w:val="0"/>
    <w:pPr>
      <w:adjustRightInd w:val="0"/>
      <w:spacing w:afterLines="50" w:line="315" w:lineRule="atLeast"/>
      <w:jc w:val="left"/>
    </w:pPr>
    <w:rPr>
      <w:rFonts w:ascii="宋体"/>
      <w:kern w:val="0"/>
      <w:szCs w:val="20"/>
    </w:rPr>
  </w:style>
  <w:style w:type="paragraph" w:customStyle="1" w:styleId="2884">
    <w:name w:val="~~~表格内容"/>
    <w:next w:val="1"/>
    <w:qFormat/>
    <w:uiPriority w:val="0"/>
    <w:pPr>
      <w:spacing w:line="240" w:lineRule="exact"/>
      <w:jc w:val="center"/>
    </w:pPr>
    <w:rPr>
      <w:rFonts w:ascii="Times New Roman" w:hAnsi="Times New Roman" w:eastAsia="宋体" w:cs="Times New Roman"/>
      <w:kern w:val="2"/>
      <w:sz w:val="21"/>
      <w:szCs w:val="24"/>
      <w:lang w:val="en-US" w:eastAsia="zh-CN" w:bidi="ar-SA"/>
    </w:rPr>
  </w:style>
  <w:style w:type="paragraph" w:customStyle="1" w:styleId="2885">
    <w:name w:val="6正"/>
    <w:basedOn w:val="1"/>
    <w:qFormat/>
    <w:uiPriority w:val="0"/>
    <w:pPr>
      <w:spacing w:line="360" w:lineRule="auto"/>
      <w:ind w:firstLine="482" w:firstLineChars="200"/>
    </w:pPr>
    <w:rPr>
      <w:sz w:val="24"/>
    </w:rPr>
  </w:style>
  <w:style w:type="paragraph" w:customStyle="1" w:styleId="2886">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2887">
    <w:name w:val="正文_9"/>
    <w:qFormat/>
    <w:uiPriority w:val="0"/>
    <w:pPr>
      <w:widowControl w:val="0"/>
      <w:jc w:val="both"/>
    </w:pPr>
    <w:rPr>
      <w:rFonts w:ascii="Calibri" w:hAnsi="Calibri" w:eastAsia="宋体" w:cs="Times New Roman"/>
      <w:kern w:val="2"/>
      <w:sz w:val="21"/>
      <w:lang w:val="en-US" w:eastAsia="zh-CN" w:bidi="ar-SA"/>
    </w:rPr>
  </w:style>
  <w:style w:type="paragraph" w:customStyle="1" w:styleId="2888">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2889">
    <w:name w:val="正文(仿)首缩"/>
    <w:basedOn w:val="1"/>
    <w:qFormat/>
    <w:uiPriority w:val="0"/>
    <w:pPr>
      <w:ind w:firstLine="200" w:firstLineChars="200"/>
    </w:pPr>
    <w:rPr>
      <w:rFonts w:ascii="仿宋_GB2312" w:eastAsia="仿宋_GB2312"/>
      <w:bCs/>
      <w:sz w:val="28"/>
      <w:szCs w:val="28"/>
    </w:rPr>
  </w:style>
  <w:style w:type="paragraph" w:customStyle="1" w:styleId="2890">
    <w:name w:val="表格02左"/>
    <w:basedOn w:val="1"/>
    <w:qFormat/>
    <w:uiPriority w:val="0"/>
    <w:pPr>
      <w:spacing w:line="400" w:lineRule="exact"/>
      <w:jc w:val="left"/>
    </w:pPr>
    <w:rPr>
      <w:bCs/>
      <w:snapToGrid w:val="0"/>
      <w:kern w:val="0"/>
      <w:sz w:val="24"/>
      <w:szCs w:val="20"/>
      <w:lang w:val="en-GB"/>
    </w:rPr>
  </w:style>
  <w:style w:type="paragraph" w:customStyle="1" w:styleId="2891">
    <w:name w:val="xl1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892">
    <w:name w:val="xl145"/>
    <w:basedOn w:val="1"/>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893">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2894">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kern w:val="0"/>
      <w:sz w:val="24"/>
    </w:rPr>
  </w:style>
  <w:style w:type="paragraph" w:customStyle="1" w:styleId="2895">
    <w:name w:val="xl148"/>
    <w:basedOn w:val="1"/>
    <w:qFormat/>
    <w:uiPriority w:val="0"/>
    <w:pPr>
      <w:widowControl/>
      <w:pBdr>
        <w:top w:val="single" w:color="auto" w:sz="4" w:space="0"/>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896">
    <w:name w:val="xl149"/>
    <w:basedOn w:val="1"/>
    <w:qFormat/>
    <w:uiPriority w:val="0"/>
    <w:pPr>
      <w:widowControl/>
      <w:pBdr>
        <w:left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897">
    <w:name w:val="xl150"/>
    <w:basedOn w:val="1"/>
    <w:qFormat/>
    <w:uiPriority w:val="0"/>
    <w:pPr>
      <w:widowControl/>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898">
    <w:name w:val="xl15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899">
    <w:name w:val="xl152"/>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kern w:val="0"/>
      <w:sz w:val="24"/>
    </w:rPr>
  </w:style>
  <w:style w:type="paragraph" w:customStyle="1" w:styleId="2900">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01">
    <w:name w:val="xl154"/>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02">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03">
    <w:name w:val="xl156"/>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04">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05">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A5E2AC"/>
      <w:spacing w:before="100" w:beforeAutospacing="1" w:after="100" w:afterAutospacing="1"/>
      <w:jc w:val="center"/>
      <w:textAlignment w:val="center"/>
    </w:pPr>
    <w:rPr>
      <w:rFonts w:ascii="宋体" w:hAnsi="宋体" w:cs="宋体"/>
      <w:kern w:val="0"/>
      <w:sz w:val="24"/>
    </w:rPr>
  </w:style>
  <w:style w:type="paragraph" w:customStyle="1" w:styleId="2906">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A5E2AC"/>
      <w:spacing w:before="100" w:beforeAutospacing="1" w:after="100" w:afterAutospacing="1"/>
      <w:jc w:val="center"/>
      <w:textAlignment w:val="center"/>
    </w:pPr>
    <w:rPr>
      <w:kern w:val="0"/>
      <w:sz w:val="24"/>
    </w:rPr>
  </w:style>
  <w:style w:type="paragraph" w:customStyle="1" w:styleId="2907">
    <w:name w:val="xl160"/>
    <w:basedOn w:val="1"/>
    <w:qFormat/>
    <w:uiPriority w:val="0"/>
    <w:pPr>
      <w:widowControl/>
      <w:pBdr>
        <w:top w:val="single" w:color="auto" w:sz="4" w:space="0"/>
        <w:left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2908">
    <w:name w:val="xl161"/>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09">
    <w:name w:val="xl164"/>
    <w:basedOn w:val="1"/>
    <w:qFormat/>
    <w:uiPriority w:val="0"/>
    <w:pPr>
      <w:widowControl/>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910">
    <w:name w:val="xl16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11">
    <w:name w:val="xl16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12">
    <w:name w:val="xl169"/>
    <w:basedOn w:val="1"/>
    <w:qFormat/>
    <w:uiPriority w:val="0"/>
    <w:pPr>
      <w:widowControl/>
      <w:pBdr>
        <w:left w:val="single" w:color="auto" w:sz="4" w:space="0"/>
        <w:right w:val="single" w:color="auto" w:sz="4" w:space="0"/>
      </w:pBdr>
      <w:shd w:val="clear" w:color="000000" w:fill="C5D9F1"/>
      <w:spacing w:before="100" w:beforeAutospacing="1" w:after="100" w:afterAutospacing="1"/>
      <w:jc w:val="center"/>
      <w:textAlignment w:val="center"/>
    </w:pPr>
    <w:rPr>
      <w:rFonts w:ascii="宋体" w:hAnsi="宋体" w:cs="宋体"/>
      <w:kern w:val="0"/>
      <w:sz w:val="24"/>
    </w:rPr>
  </w:style>
  <w:style w:type="paragraph" w:customStyle="1" w:styleId="2913">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2914">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kern w:val="0"/>
      <w:sz w:val="24"/>
    </w:rPr>
  </w:style>
  <w:style w:type="paragraph" w:customStyle="1" w:styleId="2915">
    <w:name w:val="xl1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16">
    <w:name w:val="xl1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17">
    <w:name w:val="xl17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18">
    <w:name w:val="xl17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19">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920">
    <w:name w:val="xl183"/>
    <w:basedOn w:val="1"/>
    <w:qFormat/>
    <w:uiPriority w:val="0"/>
    <w:pPr>
      <w:widowControl/>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kern w:val="0"/>
      <w:sz w:val="24"/>
    </w:rPr>
  </w:style>
  <w:style w:type="paragraph" w:customStyle="1" w:styleId="2921">
    <w:name w:val="xl18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922">
    <w:name w:val="xl187"/>
    <w:basedOn w:val="1"/>
    <w:qFormat/>
    <w:uiPriority w:val="0"/>
    <w:pPr>
      <w:widowControl/>
      <w:pBdr>
        <w:top w:val="single" w:color="auto" w:sz="4" w:space="0"/>
        <w:left w:val="single" w:color="auto" w:sz="4" w:space="0"/>
        <w:right w:val="single" w:color="auto" w:sz="4" w:space="0"/>
      </w:pBdr>
      <w:shd w:val="clear" w:color="000000" w:fill="A5E2AC"/>
      <w:spacing w:before="100" w:beforeAutospacing="1" w:after="100" w:afterAutospacing="1"/>
      <w:jc w:val="center"/>
      <w:textAlignment w:val="center"/>
    </w:pPr>
    <w:rPr>
      <w:rFonts w:ascii="宋体" w:hAnsi="宋体" w:cs="宋体"/>
      <w:kern w:val="0"/>
      <w:sz w:val="24"/>
    </w:rPr>
  </w:style>
  <w:style w:type="paragraph" w:customStyle="1" w:styleId="2923">
    <w:name w:val="xl189"/>
    <w:basedOn w:val="1"/>
    <w:qFormat/>
    <w:uiPriority w:val="0"/>
    <w:pPr>
      <w:widowControl/>
      <w:pBdr>
        <w:left w:val="single" w:color="auto" w:sz="4" w:space="0"/>
        <w:bottom w:val="single" w:color="auto" w:sz="4" w:space="0"/>
        <w:right w:val="single" w:color="auto" w:sz="4" w:space="0"/>
      </w:pBdr>
      <w:shd w:val="clear" w:color="000000" w:fill="A5E2AC"/>
      <w:spacing w:before="100" w:beforeAutospacing="1" w:after="100" w:afterAutospacing="1"/>
      <w:jc w:val="center"/>
      <w:textAlignment w:val="center"/>
    </w:pPr>
    <w:rPr>
      <w:kern w:val="0"/>
      <w:sz w:val="24"/>
    </w:rPr>
  </w:style>
  <w:style w:type="paragraph" w:customStyle="1" w:styleId="2924">
    <w:name w:val="xl191"/>
    <w:basedOn w:val="1"/>
    <w:uiPriority w:val="0"/>
    <w:pPr>
      <w:widowControl/>
      <w:pBdr>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2925">
    <w:name w:val="xl192"/>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926">
    <w:name w:val="xl193"/>
    <w:basedOn w:val="1"/>
    <w:qFormat/>
    <w:uiPriority w:val="0"/>
    <w:pPr>
      <w:widowControl/>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center"/>
      <w:textAlignment w:val="center"/>
    </w:pPr>
    <w:rPr>
      <w:rFonts w:ascii="宋体" w:hAnsi="宋体" w:cs="宋体"/>
      <w:kern w:val="0"/>
      <w:sz w:val="24"/>
    </w:rPr>
  </w:style>
  <w:style w:type="paragraph" w:customStyle="1" w:styleId="2927">
    <w:name w:val="M1"/>
    <w:basedOn w:val="3"/>
    <w:semiHidden/>
    <w:uiPriority w:val="0"/>
    <w:pPr>
      <w:keepLines w:val="0"/>
      <w:widowControl/>
      <w:tabs>
        <w:tab w:val="left" w:pos="2260"/>
        <w:tab w:val="left" w:pos="2820"/>
        <w:tab w:val="left" w:pos="3420"/>
      </w:tabs>
      <w:adjustRightInd w:val="0"/>
      <w:snapToGrid w:val="0"/>
      <w:spacing w:before="440" w:after="0" w:line="240" w:lineRule="auto"/>
      <w:ind w:left="851" w:right="-28" w:hanging="851"/>
      <w:jc w:val="both"/>
    </w:pPr>
    <w:rPr>
      <w:rFonts w:ascii="Arial" w:hAnsi="Arial" w:eastAsia="宋体"/>
      <w:b w:val="0"/>
      <w:bCs w:val="0"/>
      <w:kern w:val="0"/>
      <w:sz w:val="22"/>
      <w:szCs w:val="20"/>
      <w:lang w:val="en-GB"/>
    </w:rPr>
  </w:style>
  <w:style w:type="paragraph" w:customStyle="1" w:styleId="2928">
    <w:name w:val="Char Char Char Char Char Char Char Char Char Char Char Char Char Char Char Char1"/>
    <w:basedOn w:val="1"/>
    <w:qFormat/>
    <w:uiPriority w:val="0"/>
    <w:rPr>
      <w:szCs w:val="20"/>
    </w:rPr>
  </w:style>
  <w:style w:type="paragraph" w:customStyle="1" w:styleId="2929">
    <w:name w:val="字元 字元1"/>
    <w:basedOn w:val="1"/>
    <w:uiPriority w:val="0"/>
    <w:rPr>
      <w:sz w:val="24"/>
    </w:rPr>
  </w:style>
  <w:style w:type="paragraph" w:customStyle="1" w:styleId="2930">
    <w:name w:val="Char31"/>
    <w:basedOn w:val="1"/>
    <w:qFormat/>
    <w:uiPriority w:val="0"/>
    <w:rPr>
      <w:szCs w:val="21"/>
    </w:rPr>
  </w:style>
  <w:style w:type="paragraph" w:customStyle="1" w:styleId="2931">
    <w:name w:val="Char Char Char1 Char Char Char Char Char Char Char Char Char Char Char Char Char Char Char1 Char Char Char Char Char Char Char Char Char Char Char Char1"/>
    <w:basedOn w:val="1"/>
    <w:qFormat/>
    <w:uiPriority w:val="0"/>
    <w:rPr>
      <w:szCs w:val="21"/>
    </w:rPr>
  </w:style>
  <w:style w:type="paragraph" w:customStyle="1" w:styleId="2932">
    <w:name w:val="Char Char Char1 Char Char1"/>
    <w:basedOn w:val="1"/>
    <w:uiPriority w:val="0"/>
    <w:rPr>
      <w:rFonts w:ascii="黑体" w:hAnsi="黑体" w:eastAsia="黑体"/>
      <w:b/>
      <w:spacing w:val="10"/>
      <w:sz w:val="28"/>
      <w:szCs w:val="20"/>
    </w:rPr>
  </w:style>
  <w:style w:type="paragraph" w:customStyle="1" w:styleId="2933">
    <w:name w:val="书目2"/>
    <w:basedOn w:val="1"/>
    <w:next w:val="1"/>
    <w:qFormat/>
    <w:uiPriority w:val="0"/>
  </w:style>
  <w:style w:type="paragraph" w:customStyle="1" w:styleId="2934">
    <w:name w:val="Char3 Char Char1"/>
    <w:basedOn w:val="1"/>
    <w:qFormat/>
    <w:uiPriority w:val="0"/>
    <w:rPr>
      <w:rFonts w:ascii="宋体" w:hAnsi="宋体" w:cs="宋体"/>
      <w:color w:val="000000"/>
      <w:kern w:val="0"/>
      <w:sz w:val="24"/>
    </w:rPr>
  </w:style>
  <w:style w:type="paragraph" w:customStyle="1" w:styleId="2935">
    <w:name w:val="Char Char Char Char Char Char Char Char Char Char Char Char Char Char Char Char Char Char Char Char Char Char1"/>
    <w:basedOn w:val="1"/>
    <w:qFormat/>
    <w:uiPriority w:val="0"/>
    <w:rPr>
      <w:sz w:val="24"/>
    </w:rPr>
  </w:style>
  <w:style w:type="paragraph" w:customStyle="1" w:styleId="2936">
    <w:name w:val="Char Char Char1 Char Char Char Char Char Char1"/>
    <w:basedOn w:val="1"/>
    <w:qFormat/>
    <w:uiPriority w:val="0"/>
    <w:rPr>
      <w:szCs w:val="21"/>
    </w:rPr>
  </w:style>
  <w:style w:type="paragraph" w:customStyle="1" w:styleId="2937">
    <w:name w:val="Char Char16 Char Char Char Char1"/>
    <w:basedOn w:val="1"/>
    <w:qFormat/>
    <w:uiPriority w:val="0"/>
    <w:rPr>
      <w:szCs w:val="21"/>
    </w:rPr>
  </w:style>
  <w:style w:type="paragraph" w:customStyle="1" w:styleId="2938">
    <w:name w:val="Char Char Char12"/>
    <w:basedOn w:val="1"/>
    <w:qFormat/>
    <w:uiPriority w:val="0"/>
    <w:rPr>
      <w:szCs w:val="21"/>
    </w:rPr>
  </w:style>
  <w:style w:type="paragraph" w:customStyle="1" w:styleId="2939">
    <w:name w:val="Char4 Char Char Char Char Char Char Char Char Char Char Char Char Char Char Char Char Char1 Char Char Char Char Char Char1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2940">
    <w:name w:val="Char Char Char Char Char Char Char Char Char1 Char1"/>
    <w:basedOn w:val="1"/>
    <w:qFormat/>
    <w:uiPriority w:val="0"/>
    <w:rPr>
      <w:sz w:val="24"/>
    </w:rPr>
  </w:style>
  <w:style w:type="paragraph" w:customStyle="1" w:styleId="2941">
    <w:name w:val="Char1 Char Char Char Char Char Char Char Char Char1 Char Char Char Char 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942">
    <w:name w:val="字元 字元 字元1"/>
    <w:basedOn w:val="1"/>
    <w:qFormat/>
    <w:uiPriority w:val="0"/>
    <w:pPr>
      <w:spacing w:line="360" w:lineRule="auto"/>
      <w:ind w:firstLine="200" w:firstLineChars="200"/>
    </w:pPr>
    <w:rPr>
      <w:rFonts w:ascii="宋体" w:hAnsi="宋体"/>
      <w:sz w:val="24"/>
    </w:rPr>
  </w:style>
  <w:style w:type="paragraph" w:customStyle="1" w:styleId="2943">
    <w:name w:val="Char Char Char Char1 Char Char Char Char Char Char Char1"/>
    <w:basedOn w:val="1"/>
    <w:qFormat/>
    <w:uiPriority w:val="0"/>
    <w:pPr>
      <w:tabs>
        <w:tab w:val="left" w:pos="360"/>
      </w:tabs>
      <w:snapToGrid w:val="0"/>
      <w:spacing w:line="360" w:lineRule="auto"/>
    </w:pPr>
    <w:rPr>
      <w:rFonts w:eastAsia="仿宋_GB2312" w:cs="宋体"/>
      <w:sz w:val="24"/>
    </w:rPr>
  </w:style>
  <w:style w:type="paragraph" w:customStyle="1" w:styleId="2944">
    <w:name w:val="Char Char Char Char Char Char Char Char Char Char Char Char Char Char Char Char Char Char Char Char Char Char Char Char Char1"/>
    <w:basedOn w:val="1"/>
    <w:uiPriority w:val="0"/>
  </w:style>
  <w:style w:type="paragraph" w:customStyle="1" w:styleId="2945">
    <w:name w:val="Char Char Char Char Char Char Char Char1"/>
    <w:basedOn w:val="1"/>
    <w:qFormat/>
    <w:uiPriority w:val="0"/>
    <w:rPr>
      <w:szCs w:val="21"/>
    </w:rPr>
  </w:style>
  <w:style w:type="paragraph" w:customStyle="1" w:styleId="2946">
    <w:name w:val="Char Char Char1 Char Char Char Char Char Char Char Char Char1"/>
    <w:basedOn w:val="1"/>
    <w:uiPriority w:val="0"/>
    <w:rPr>
      <w:szCs w:val="21"/>
    </w:rPr>
  </w:style>
  <w:style w:type="paragraph" w:customStyle="1" w:styleId="2947">
    <w:name w:val="Char4 Char Char Char Char Char Char Char Char Char Char Char Char Char Char Char Char Char1 Char Char Char Char1"/>
    <w:basedOn w:val="1"/>
    <w:qFormat/>
    <w:uiPriority w:val="0"/>
    <w:pPr>
      <w:spacing w:line="240" w:lineRule="exact"/>
      <w:ind w:firstLine="200" w:firstLineChars="200"/>
    </w:pPr>
    <w:rPr>
      <w:sz w:val="28"/>
      <w:szCs w:val="28"/>
    </w:rPr>
  </w:style>
  <w:style w:type="paragraph" w:customStyle="1" w:styleId="2948">
    <w:name w:val="Char Char Char1 Char Char Char Char Char Char Char Char Char Char Char Char Char Char Char Char Char Char Char Char Char Char1"/>
    <w:basedOn w:val="1"/>
    <w:uiPriority w:val="0"/>
    <w:rPr>
      <w:szCs w:val="20"/>
    </w:rPr>
  </w:style>
  <w:style w:type="paragraph" w:customStyle="1" w:styleId="2949">
    <w:name w:val="Char Char Char Char Char Char Char Char Char1 Char Char Char Char Char Char Char1"/>
    <w:basedOn w:val="1"/>
    <w:qFormat/>
    <w:uiPriority w:val="0"/>
    <w:rPr>
      <w:szCs w:val="21"/>
    </w:rPr>
  </w:style>
  <w:style w:type="paragraph" w:customStyle="1" w:styleId="2950">
    <w:name w:val="Char Char Char1 Char Char Char Char Char Char Char Char Char Char Char Char Char Char Char1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2951">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sz w:val="28"/>
      <w:szCs w:val="28"/>
    </w:rPr>
  </w:style>
  <w:style w:type="paragraph" w:customStyle="1" w:styleId="2952">
    <w:name w:val="Char2 Char Char Char Char Char1"/>
    <w:basedOn w:val="1"/>
    <w:qFormat/>
    <w:uiPriority w:val="0"/>
    <w:rPr>
      <w:sz w:val="24"/>
    </w:rPr>
  </w:style>
  <w:style w:type="paragraph" w:customStyle="1" w:styleId="2953">
    <w:name w:val="Char Char Char Char Char Char Char Char Char Char Char Char Char Char Char Char Char Char Char Char Char Char Char Char Char Char Char Char1"/>
    <w:basedOn w:val="1"/>
    <w:qFormat/>
    <w:uiPriority w:val="0"/>
    <w:rPr>
      <w:sz w:val="24"/>
    </w:rPr>
  </w:style>
  <w:style w:type="paragraph" w:customStyle="1" w:styleId="2954">
    <w:name w:val="Char Char Char Char Char Char 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2955">
    <w:name w:val="Char Char Char 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2956">
    <w:name w:val="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2957">
    <w:name w:val="Char Char20 Char Char1"/>
    <w:basedOn w:val="1"/>
    <w:qFormat/>
    <w:uiPriority w:val="0"/>
    <w:pPr>
      <w:widowControl/>
      <w:jc w:val="left"/>
    </w:pPr>
    <w:rPr>
      <w:rFonts w:ascii="宋体"/>
      <w:kern w:val="0"/>
      <w:sz w:val="24"/>
    </w:rPr>
  </w:style>
  <w:style w:type="paragraph" w:customStyle="1" w:styleId="2958">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jc w:val="center"/>
    </w:pPr>
    <w:rPr>
      <w:rFonts w:ascii="宋体" w:hAnsi="宋体"/>
      <w:sz w:val="24"/>
    </w:rPr>
  </w:style>
  <w:style w:type="paragraph" w:customStyle="1" w:styleId="2959">
    <w:name w:val="修订1"/>
    <w:qFormat/>
    <w:uiPriority w:val="0"/>
    <w:rPr>
      <w:rFonts w:ascii="Times New Roman" w:hAnsi="Times New Roman" w:eastAsia="宋体" w:cs="Times New Roman"/>
      <w:kern w:val="2"/>
      <w:sz w:val="21"/>
      <w:lang w:val="en-US" w:eastAsia="zh-CN" w:bidi="ar-SA"/>
    </w:rPr>
  </w:style>
  <w:style w:type="paragraph" w:customStyle="1" w:styleId="2960">
    <w:name w:val="_Style 22"/>
    <w:basedOn w:val="1"/>
    <w:qFormat/>
    <w:uiPriority w:val="0"/>
    <w:rPr>
      <w:rFonts w:ascii="宋体" w:eastAsia="Times New Roman"/>
      <w:kern w:val="0"/>
      <w:sz w:val="24"/>
    </w:rPr>
  </w:style>
  <w:style w:type="paragraph" w:customStyle="1" w:styleId="2961">
    <w:name w:val="B-正文"/>
    <w:basedOn w:val="1"/>
    <w:qFormat/>
    <w:uiPriority w:val="0"/>
    <w:pPr>
      <w:jc w:val="center"/>
    </w:pPr>
  </w:style>
  <w:style w:type="paragraph" w:customStyle="1" w:styleId="2962">
    <w:name w:val="Char Char20 Char Char Char Char Char Char"/>
    <w:basedOn w:val="1"/>
    <w:qFormat/>
    <w:uiPriority w:val="0"/>
    <w:pPr>
      <w:widowControl/>
      <w:jc w:val="left"/>
    </w:pPr>
    <w:rPr>
      <w:rFonts w:ascii="宋体"/>
      <w:kern w:val="0"/>
      <w:sz w:val="24"/>
    </w:rPr>
  </w:style>
  <w:style w:type="paragraph" w:customStyle="1" w:styleId="2963">
    <w:name w:val="正文02"/>
    <w:basedOn w:val="1"/>
    <w:qFormat/>
    <w:uiPriority w:val="0"/>
    <w:pPr>
      <w:adjustRightInd w:val="0"/>
      <w:spacing w:line="360" w:lineRule="auto"/>
      <w:ind w:firstLine="200" w:firstLineChars="200"/>
    </w:pPr>
    <w:rPr>
      <w:sz w:val="28"/>
    </w:rPr>
  </w:style>
  <w:style w:type="paragraph" w:customStyle="1" w:styleId="2964">
    <w:name w:val="表格文字-左"/>
    <w:basedOn w:val="1"/>
    <w:qFormat/>
    <w:uiPriority w:val="0"/>
    <w:pPr>
      <w:widowControl/>
      <w:adjustRightInd w:val="0"/>
      <w:spacing w:line="400" w:lineRule="exact"/>
    </w:pPr>
    <w:rPr>
      <w:kern w:val="0"/>
      <w:szCs w:val="21"/>
    </w:rPr>
  </w:style>
  <w:style w:type="paragraph" w:customStyle="1" w:styleId="2965">
    <w:name w:val="1.1.1标题"/>
    <w:basedOn w:val="1"/>
    <w:uiPriority w:val="0"/>
    <w:pPr>
      <w:spacing w:beforeLines="50" w:afterLines="25" w:line="360" w:lineRule="auto"/>
      <w:outlineLvl w:val="2"/>
    </w:pPr>
    <w:rPr>
      <w:b/>
      <w:color w:val="000000"/>
      <w:sz w:val="24"/>
    </w:rPr>
  </w:style>
  <w:style w:type="paragraph" w:customStyle="1" w:styleId="2966">
    <w:name w:val="CM6"/>
    <w:basedOn w:val="1"/>
    <w:next w:val="1"/>
    <w:qFormat/>
    <w:uiPriority w:val="0"/>
    <w:pPr>
      <w:autoSpaceDE w:val="0"/>
      <w:autoSpaceDN w:val="0"/>
      <w:adjustRightInd w:val="0"/>
      <w:jc w:val="left"/>
    </w:pPr>
    <w:rPr>
      <w:rFonts w:ascii="..ì." w:eastAsia="..ì."/>
      <w:kern w:val="0"/>
      <w:sz w:val="24"/>
    </w:rPr>
  </w:style>
  <w:style w:type="paragraph" w:customStyle="1" w:styleId="2967">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8">
    <w:name w:val="表字居中O"/>
    <w:basedOn w:val="1"/>
    <w:qFormat/>
    <w:uiPriority w:val="0"/>
    <w:pPr>
      <w:tabs>
        <w:tab w:val="left" w:pos="3626"/>
      </w:tabs>
      <w:jc w:val="center"/>
    </w:pPr>
    <w:rPr>
      <w:color w:val="FF0000"/>
      <w:spacing w:val="-4"/>
      <w:kern w:val="0"/>
      <w:sz w:val="18"/>
      <w:szCs w:val="18"/>
    </w:rPr>
  </w:style>
  <w:style w:type="paragraph" w:customStyle="1" w:styleId="2969">
    <w:name w:val="段落 Char Char"/>
    <w:basedOn w:val="1"/>
    <w:qFormat/>
    <w:uiPriority w:val="0"/>
    <w:pPr>
      <w:tabs>
        <w:tab w:val="left" w:pos="1021"/>
      </w:tabs>
      <w:spacing w:line="200" w:lineRule="exact"/>
      <w:ind w:firstLine="480" w:firstLineChars="200"/>
    </w:pPr>
    <w:rPr>
      <w:color w:val="000000"/>
      <w:kern w:val="24"/>
      <w:sz w:val="24"/>
      <w:szCs w:val="28"/>
    </w:rPr>
  </w:style>
  <w:style w:type="paragraph" w:customStyle="1" w:styleId="2970">
    <w:name w:val="文本文字"/>
    <w:basedOn w:val="1"/>
    <w:qFormat/>
    <w:uiPriority w:val="0"/>
    <w:pPr>
      <w:spacing w:line="240" w:lineRule="atLeast"/>
    </w:pPr>
  </w:style>
  <w:style w:type="paragraph" w:customStyle="1" w:styleId="2971">
    <w:name w:val="样式 (中文) 仿宋_GB2312 三号 行距: 1.5 倍行距"/>
    <w:basedOn w:val="1"/>
    <w:qFormat/>
    <w:uiPriority w:val="0"/>
    <w:pPr>
      <w:spacing w:line="360" w:lineRule="auto"/>
    </w:pPr>
    <w:rPr>
      <w:rFonts w:eastAsia="仿宋_GB2312"/>
      <w:sz w:val="28"/>
      <w:szCs w:val="28"/>
    </w:rPr>
  </w:style>
  <w:style w:type="paragraph" w:customStyle="1" w:styleId="2972">
    <w:name w:val="+正文"/>
    <w:basedOn w:val="1"/>
    <w:uiPriority w:val="0"/>
    <w:pPr>
      <w:spacing w:line="360" w:lineRule="auto"/>
      <w:ind w:left="420" w:firstLine="200" w:firstLineChars="200"/>
      <w:jc w:val="left"/>
    </w:pPr>
    <w:rPr>
      <w:rFonts w:hint="eastAsia" w:ascii="宋体" w:hAnsi="宋体"/>
      <w:kern w:val="0"/>
      <w:sz w:val="24"/>
      <w:szCs w:val="28"/>
    </w:rPr>
  </w:style>
  <w:style w:type="paragraph" w:customStyle="1" w:styleId="2973">
    <w:name w:val="表尾"/>
    <w:basedOn w:val="1"/>
    <w:qFormat/>
    <w:uiPriority w:val="0"/>
    <w:pPr>
      <w:tabs>
        <w:tab w:val="left" w:pos="1021"/>
      </w:tabs>
      <w:spacing w:line="160" w:lineRule="atLeast"/>
    </w:pPr>
    <w:rPr>
      <w:sz w:val="10"/>
    </w:rPr>
  </w:style>
  <w:style w:type="paragraph" w:customStyle="1" w:styleId="2974">
    <w:name w:val="w正文"/>
    <w:basedOn w:val="1"/>
    <w:qFormat/>
    <w:uiPriority w:val="0"/>
    <w:pPr>
      <w:snapToGrid w:val="0"/>
      <w:ind w:firstLine="480" w:firstLineChars="200"/>
    </w:pPr>
    <w:rPr>
      <w:rFonts w:ascii="Calibri" w:hAnsi="Calibri"/>
      <w:color w:val="000000"/>
      <w:szCs w:val="30"/>
    </w:rPr>
  </w:style>
  <w:style w:type="paragraph" w:customStyle="1" w:styleId="2975">
    <w:name w:val="正文（首行缩进两字） + 首行缩进:  2 字符1"/>
    <w:basedOn w:val="21"/>
    <w:next w:val="21"/>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eastAsia="Times New Roman"/>
      <w:sz w:val="24"/>
      <w:szCs w:val="21"/>
    </w:rPr>
  </w:style>
  <w:style w:type="paragraph" w:customStyle="1" w:styleId="2976">
    <w:name w:val="样式 正文首行缩进 + 首行缩进:  0.56 厘米"/>
    <w:basedOn w:val="86"/>
    <w:qFormat/>
    <w:uiPriority w:val="0"/>
    <w:pPr>
      <w:adjustRightInd w:val="0"/>
      <w:spacing w:after="0" w:line="360" w:lineRule="auto"/>
      <w:ind w:firstLine="200" w:firstLineChars="200"/>
    </w:pPr>
    <w:rPr>
      <w:rFonts w:ascii="Times New Roman" w:hAnsi="Times New Roman" w:eastAsia="Times New Roman"/>
      <w:bCs/>
      <w:color w:val="000000"/>
      <w:kern w:val="28"/>
      <w:sz w:val="24"/>
      <w:szCs w:val="28"/>
    </w:rPr>
  </w:style>
  <w:style w:type="paragraph" w:customStyle="1" w:styleId="2977">
    <w:name w:val="样式 正文样式 + 首行缩进:  2 字符"/>
    <w:basedOn w:val="1"/>
    <w:qFormat/>
    <w:uiPriority w:val="0"/>
    <w:pPr>
      <w:spacing w:line="360" w:lineRule="auto"/>
      <w:ind w:firstLine="480" w:firstLineChars="200"/>
    </w:pPr>
    <w:rPr>
      <w:rFonts w:ascii="Calibri" w:hAnsi="Calibri" w:cs="宋体"/>
      <w:szCs w:val="20"/>
    </w:rPr>
  </w:style>
  <w:style w:type="paragraph" w:customStyle="1" w:styleId="2978">
    <w:name w:val="1文章"/>
    <w:basedOn w:val="1"/>
    <w:qFormat/>
    <w:uiPriority w:val="0"/>
    <w:pPr>
      <w:snapToGrid w:val="0"/>
      <w:spacing w:line="360" w:lineRule="auto"/>
      <w:ind w:firstLine="573"/>
    </w:pPr>
    <w:rPr>
      <w:rFonts w:eastAsia="仿宋_GB2312"/>
      <w:sz w:val="28"/>
      <w:szCs w:val="20"/>
    </w:rPr>
  </w:style>
  <w:style w:type="paragraph" w:customStyle="1" w:styleId="2979">
    <w:name w:val="样式 表头 + 段后: 0.2 行"/>
    <w:basedOn w:val="210"/>
    <w:uiPriority w:val="0"/>
    <w:pPr>
      <w:adjustRightInd/>
      <w:spacing w:before="0" w:after="0" w:line="240" w:lineRule="auto"/>
    </w:pPr>
    <w:rPr>
      <w:rFonts w:hint="eastAsia" w:ascii="黑体" w:hAnsi="黑体" w:eastAsia="宋体" w:cs="Times New Roman"/>
      <w:b w:val="0"/>
      <w:kern w:val="24"/>
      <w:sz w:val="24"/>
      <w:szCs w:val="24"/>
    </w:rPr>
  </w:style>
  <w:style w:type="paragraph" w:customStyle="1" w:styleId="2980">
    <w:name w:val="表字居中"/>
    <w:basedOn w:val="1"/>
    <w:qFormat/>
    <w:uiPriority w:val="0"/>
    <w:pPr>
      <w:tabs>
        <w:tab w:val="left" w:pos="3626"/>
      </w:tabs>
      <w:spacing w:line="240" w:lineRule="exact"/>
      <w:jc w:val="center"/>
    </w:pPr>
    <w:rPr>
      <w:sz w:val="18"/>
      <w:szCs w:val="18"/>
    </w:rPr>
  </w:style>
  <w:style w:type="paragraph" w:customStyle="1" w:styleId="2981">
    <w:name w:val="B-表头"/>
    <w:basedOn w:val="1"/>
    <w:qFormat/>
    <w:uiPriority w:val="0"/>
    <w:pPr>
      <w:keepNext/>
      <w:spacing w:beforeLines="25" w:afterLines="25"/>
      <w:jc w:val="center"/>
    </w:pPr>
    <w:rPr>
      <w:b/>
      <w:sz w:val="24"/>
    </w:rPr>
  </w:style>
  <w:style w:type="paragraph" w:customStyle="1" w:styleId="2982">
    <w:name w:val="样式 正文首行缩进 + 行距: 1.5 倍行距"/>
    <w:basedOn w:val="86"/>
    <w:qFormat/>
    <w:uiPriority w:val="0"/>
    <w:pPr>
      <w:spacing w:after="0" w:line="360" w:lineRule="auto"/>
      <w:ind w:firstLine="500" w:firstLineChars="500"/>
    </w:pPr>
    <w:rPr>
      <w:rFonts w:ascii="Times New Roman" w:eastAsia="Times New Roman" w:cs="宋体"/>
      <w:bCs/>
      <w:kern w:val="0"/>
      <w:sz w:val="26"/>
      <w:szCs w:val="26"/>
    </w:rPr>
  </w:style>
  <w:style w:type="paragraph" w:customStyle="1" w:styleId="2983">
    <w:name w:val="论文正文"/>
    <w:basedOn w:val="21"/>
    <w:qFormat/>
    <w:uiPriority w:val="0"/>
    <w:pPr>
      <w:ind w:firstLine="480" w:firstLineChars="200"/>
    </w:pPr>
    <w:rPr>
      <w:rFonts w:ascii="宋体" w:hAnsi="宋体" w:eastAsia="Times New Roman"/>
      <w:szCs w:val="24"/>
    </w:rPr>
  </w:style>
  <w:style w:type="paragraph" w:customStyle="1" w:styleId="2984">
    <w:name w:val="表标"/>
    <w:basedOn w:val="1"/>
    <w:next w:val="1"/>
    <w:qFormat/>
    <w:uiPriority w:val="0"/>
    <w:pPr>
      <w:adjustRightInd w:val="0"/>
      <w:snapToGrid w:val="0"/>
      <w:jc w:val="center"/>
    </w:pPr>
    <w:rPr>
      <w:bCs/>
      <w:kern w:val="0"/>
      <w:sz w:val="24"/>
      <w:szCs w:val="21"/>
    </w:rPr>
  </w:style>
  <w:style w:type="paragraph" w:customStyle="1" w:styleId="2985">
    <w:name w:val="正文+"/>
    <w:basedOn w:val="1"/>
    <w:qFormat/>
    <w:uiPriority w:val="0"/>
    <w:rPr>
      <w:sz w:val="24"/>
    </w:rPr>
  </w:style>
  <w:style w:type="paragraph" w:customStyle="1" w:styleId="2986">
    <w:name w:val="样式 标题 3标题 3 Char2标题 3 Char1 Char标题 3 Char Char Char条标题1.1.1 ...1"/>
    <w:basedOn w:val="5"/>
    <w:qFormat/>
    <w:uiPriority w:val="0"/>
    <w:pPr>
      <w:widowControl w:val="0"/>
      <w:numPr>
        <w:ilvl w:val="0"/>
        <w:numId w:val="0"/>
      </w:numPr>
      <w:spacing w:before="120" w:after="60" w:line="360" w:lineRule="auto"/>
      <w:jc w:val="both"/>
    </w:pPr>
    <w:rPr>
      <w:rFonts w:eastAsia="黑体"/>
      <w:b w:val="0"/>
    </w:rPr>
  </w:style>
  <w:style w:type="paragraph" w:customStyle="1" w:styleId="2987">
    <w:name w:val="Char7"/>
    <w:basedOn w:val="1"/>
    <w:qFormat/>
    <w:uiPriority w:val="0"/>
  </w:style>
  <w:style w:type="paragraph" w:customStyle="1" w:styleId="2988">
    <w:name w:val="Char Char Char Char Char Char1 Char2"/>
    <w:basedOn w:val="1"/>
    <w:qFormat/>
    <w:uiPriority w:val="0"/>
    <w:pPr>
      <w:spacing w:line="360" w:lineRule="auto"/>
    </w:pPr>
    <w:rPr>
      <w:sz w:val="24"/>
    </w:rPr>
  </w:style>
  <w:style w:type="paragraph" w:customStyle="1" w:styleId="2989">
    <w:name w:val="Char13"/>
    <w:basedOn w:val="1"/>
    <w:qFormat/>
    <w:uiPriority w:val="0"/>
    <w:pPr>
      <w:spacing w:line="360" w:lineRule="auto"/>
      <w:ind w:firstLine="200" w:firstLineChars="200"/>
    </w:pPr>
    <w:rPr>
      <w:szCs w:val="20"/>
    </w:rPr>
  </w:style>
  <w:style w:type="paragraph" w:customStyle="1" w:styleId="2990">
    <w:name w:val="字元 字元 Char Char 字元 字元12"/>
    <w:basedOn w:val="1"/>
    <w:qFormat/>
    <w:uiPriority w:val="0"/>
    <w:rPr>
      <w:sz w:val="24"/>
    </w:rPr>
  </w:style>
  <w:style w:type="paragraph" w:customStyle="1" w:styleId="2991">
    <w:name w:val="Char Char Char Char Char Char4"/>
    <w:basedOn w:val="1"/>
    <w:qFormat/>
    <w:uiPriority w:val="0"/>
  </w:style>
  <w:style w:type="paragraph" w:customStyle="1" w:styleId="2992">
    <w:name w:val="Char Char Char Char Char Char1 Char Char Char1 Char Char Char1 Char Char Char Char Char Char Char Char Char Char2"/>
    <w:basedOn w:val="1"/>
    <w:next w:val="1"/>
    <w:qFormat/>
    <w:uiPriority w:val="0"/>
    <w:pPr>
      <w:spacing w:line="360" w:lineRule="auto"/>
      <w:ind w:firstLine="200" w:firstLineChars="200"/>
    </w:pPr>
    <w:rPr>
      <w:rFonts w:ascii="楷体_GB2312" w:hAnsi="宋体" w:eastAsia="楷体_GB2312" w:cs="宋体"/>
      <w:sz w:val="24"/>
    </w:rPr>
  </w:style>
  <w:style w:type="paragraph" w:customStyle="1" w:styleId="2993">
    <w:name w:val="正文22"/>
    <w:basedOn w:val="1"/>
    <w:qFormat/>
    <w:uiPriority w:val="0"/>
    <w:pPr>
      <w:adjustRightInd w:val="0"/>
      <w:spacing w:line="312" w:lineRule="atLeast"/>
      <w:jc w:val="left"/>
      <w:textAlignment w:val="baseline"/>
    </w:pPr>
    <w:rPr>
      <w:color w:val="000000"/>
      <w:kern w:val="0"/>
      <w:sz w:val="28"/>
      <w:szCs w:val="20"/>
    </w:rPr>
  </w:style>
  <w:style w:type="paragraph" w:customStyle="1" w:styleId="2994">
    <w:name w:val="Char Char Char Char5"/>
    <w:basedOn w:val="1"/>
    <w:qFormat/>
    <w:uiPriority w:val="0"/>
    <w:rPr>
      <w:sz w:val="24"/>
      <w:szCs w:val="20"/>
    </w:rPr>
  </w:style>
  <w:style w:type="paragraph" w:customStyle="1" w:styleId="2995">
    <w:name w:val="正文文本 311"/>
    <w:basedOn w:val="1"/>
    <w:qFormat/>
    <w:uiPriority w:val="0"/>
    <w:pPr>
      <w:adjustRightInd w:val="0"/>
      <w:textAlignment w:val="baseline"/>
    </w:pPr>
    <w:rPr>
      <w:sz w:val="24"/>
      <w:szCs w:val="20"/>
    </w:rPr>
  </w:style>
  <w:style w:type="paragraph" w:customStyle="1" w:styleId="2996">
    <w:name w:val="Char Char Char Char Char Char Char4"/>
    <w:basedOn w:val="26"/>
    <w:qFormat/>
    <w:uiPriority w:val="0"/>
    <w:pPr>
      <w:shd w:val="clear" w:color="auto" w:fill="000080"/>
      <w:spacing w:before="360" w:after="120" w:line="360" w:lineRule="auto"/>
    </w:pPr>
    <w:rPr>
      <w:rFonts w:ascii="Tahoma" w:hAnsi="Tahoma" w:eastAsia="黑体"/>
      <w:sz w:val="30"/>
      <w:szCs w:val="24"/>
    </w:rPr>
  </w:style>
  <w:style w:type="paragraph" w:customStyle="1" w:styleId="2997">
    <w:name w:val="Char Char Char1 Char2"/>
    <w:basedOn w:val="1"/>
    <w:qFormat/>
    <w:uiPriority w:val="0"/>
  </w:style>
  <w:style w:type="paragraph" w:customStyle="1" w:styleId="2998">
    <w:name w:val="Char25"/>
    <w:basedOn w:val="1"/>
    <w:qFormat/>
    <w:uiPriority w:val="0"/>
    <w:rPr>
      <w:rFonts w:ascii="宋体" w:hAnsi="宋体" w:cs="宋体"/>
      <w:sz w:val="32"/>
      <w:szCs w:val="32"/>
    </w:rPr>
  </w:style>
  <w:style w:type="paragraph" w:customStyle="1" w:styleId="2999">
    <w:name w:val="Char42"/>
    <w:basedOn w:val="1"/>
    <w:qFormat/>
    <w:uiPriority w:val="0"/>
    <w:pPr>
      <w:spacing w:line="360" w:lineRule="auto"/>
      <w:ind w:firstLine="200" w:firstLineChars="200"/>
    </w:pPr>
    <w:rPr>
      <w:rFonts w:ascii="宋体" w:hAnsi="宋体" w:cs="宋体"/>
      <w:sz w:val="24"/>
    </w:rPr>
  </w:style>
  <w:style w:type="paragraph" w:customStyle="1" w:styleId="3000">
    <w:name w:val="正文缩进31"/>
    <w:basedOn w:val="1"/>
    <w:qFormat/>
    <w:uiPriority w:val="0"/>
    <w:pPr>
      <w:ind w:firstLine="420"/>
    </w:pPr>
    <w:rPr>
      <w:color w:val="000000"/>
      <w:sz w:val="24"/>
      <w:szCs w:val="15"/>
    </w:rPr>
  </w:style>
  <w:style w:type="paragraph" w:customStyle="1" w:styleId="3001">
    <w:name w:val="电子邮件签名11"/>
    <w:basedOn w:val="1"/>
    <w:qFormat/>
    <w:uiPriority w:val="99"/>
    <w:rPr>
      <w:rFonts w:hint="eastAsia"/>
      <w:color w:val="000000"/>
      <w:sz w:val="24"/>
      <w:szCs w:val="15"/>
    </w:rPr>
  </w:style>
  <w:style w:type="paragraph" w:customStyle="1" w:styleId="3002">
    <w:name w:val="宏文本1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hint="eastAsia" w:ascii="Courier New" w:hAnsi="Courier New" w:eastAsia="宋体" w:cs="Times New Roman"/>
      <w:kern w:val="2"/>
      <w:sz w:val="24"/>
      <w:lang w:val="en-US" w:eastAsia="zh-CN" w:bidi="ar-SA"/>
    </w:rPr>
  </w:style>
  <w:style w:type="paragraph" w:customStyle="1" w:styleId="3003">
    <w:name w:val="HTML 预设格式11"/>
    <w:basedOn w:val="1"/>
    <w:qFormat/>
    <w:uiPriority w:val="0"/>
    <w:rPr>
      <w:rFonts w:hint="eastAsia" w:ascii="Courier New" w:hAnsi="Courier New"/>
      <w:color w:val="000000"/>
      <w:sz w:val="20"/>
      <w:szCs w:val="15"/>
    </w:rPr>
  </w:style>
  <w:style w:type="paragraph" w:customStyle="1" w:styleId="3004">
    <w:name w:val="HTML 地址11"/>
    <w:basedOn w:val="1"/>
    <w:qFormat/>
    <w:uiPriority w:val="99"/>
    <w:rPr>
      <w:rFonts w:hint="eastAsia"/>
      <w:i/>
      <w:color w:val="000000"/>
      <w:sz w:val="20"/>
      <w:szCs w:val="15"/>
    </w:rPr>
  </w:style>
  <w:style w:type="paragraph" w:customStyle="1" w:styleId="3005">
    <w:name w:val="Char Char Char Char Char Char Char Char Char Char Char Char Char2"/>
    <w:basedOn w:val="1"/>
    <w:qFormat/>
    <w:uiPriority w:val="0"/>
    <w:pPr>
      <w:widowControl/>
      <w:spacing w:before="80"/>
    </w:pPr>
    <w:rPr>
      <w:rFonts w:ascii="宋体" w:hAnsi="宋体" w:cs="Courier New"/>
      <w:b/>
      <w:color w:val="000000"/>
      <w:spacing w:val="-10"/>
      <w:kern w:val="16"/>
      <w:sz w:val="24"/>
      <w:szCs w:val="32"/>
    </w:rPr>
  </w:style>
  <w:style w:type="paragraph" w:customStyle="1" w:styleId="3006">
    <w:name w:val="批注框文本11"/>
    <w:basedOn w:val="1"/>
    <w:qFormat/>
    <w:uiPriority w:val="0"/>
    <w:pPr>
      <w:ind w:firstLine="480" w:firstLineChars="200"/>
    </w:pPr>
    <w:rPr>
      <w:rFonts w:hint="eastAsia"/>
      <w:color w:val="000000"/>
      <w:sz w:val="18"/>
      <w:szCs w:val="15"/>
    </w:rPr>
  </w:style>
  <w:style w:type="paragraph" w:customStyle="1" w:styleId="3007">
    <w:name w:val="批注主题11"/>
    <w:basedOn w:val="1"/>
    <w:next w:val="1"/>
    <w:qFormat/>
    <w:uiPriority w:val="0"/>
    <w:rPr>
      <w:b/>
      <w:color w:val="000000"/>
      <w:sz w:val="24"/>
      <w:szCs w:val="15"/>
    </w:rPr>
  </w:style>
  <w:style w:type="paragraph" w:customStyle="1" w:styleId="3008">
    <w:name w:val="Char Char Char Char Char Char Char Char Char2"/>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3009">
    <w:name w:val="正文文本缩进11"/>
    <w:basedOn w:val="1"/>
    <w:qFormat/>
    <w:uiPriority w:val="0"/>
    <w:pPr>
      <w:spacing w:line="400" w:lineRule="exact"/>
      <w:ind w:firstLine="420" w:firstLineChars="200"/>
    </w:pPr>
    <w:rPr>
      <w:rFonts w:eastAsia="Times New Roman"/>
      <w:color w:val="000000"/>
      <w:kern w:val="0"/>
      <w:sz w:val="24"/>
      <w:szCs w:val="15"/>
    </w:rPr>
  </w:style>
  <w:style w:type="paragraph" w:customStyle="1" w:styleId="3010">
    <w:name w:val="正文5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011">
    <w:name w:val="InstÀÀll4"/>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012">
    <w:name w:val="Char Char Char Char Char Char Char Char Char1 Char Char Char Char4"/>
    <w:basedOn w:val="1"/>
    <w:qFormat/>
    <w:uiPriority w:val="0"/>
    <w:rPr>
      <w:rFonts w:eastAsia="黑体"/>
      <w:b/>
      <w:szCs w:val="20"/>
    </w:rPr>
  </w:style>
  <w:style w:type="paragraph" w:customStyle="1" w:styleId="3013">
    <w:name w:val="Char Char2 Char Char Char Char Char Char4"/>
    <w:basedOn w:val="1"/>
    <w:qFormat/>
    <w:uiPriority w:val="0"/>
    <w:pPr>
      <w:spacing w:line="480" w:lineRule="exact"/>
    </w:pPr>
    <w:rPr>
      <w:sz w:val="22"/>
    </w:rPr>
  </w:style>
  <w:style w:type="paragraph" w:customStyle="1" w:styleId="3014">
    <w:name w:val="正文4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015">
    <w:name w:val="Char Char Char Char22"/>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3016">
    <w:name w:val="Char Char Char Char Char Char Char Char Char1 Char Char Char Char Char Char1 Char2"/>
    <w:basedOn w:val="1"/>
    <w:qFormat/>
    <w:uiPriority w:val="0"/>
    <w:rPr>
      <w:szCs w:val="21"/>
    </w:rPr>
  </w:style>
  <w:style w:type="paragraph" w:customStyle="1" w:styleId="3017">
    <w:name w:val="Char Char1 Char Char Char Char2"/>
    <w:basedOn w:val="1"/>
    <w:qFormat/>
    <w:uiPriority w:val="0"/>
    <w:rPr>
      <w:sz w:val="24"/>
    </w:rPr>
  </w:style>
  <w:style w:type="paragraph" w:customStyle="1" w:styleId="3018">
    <w:name w:val="Char Char Char1 Char Char Char Char2"/>
    <w:basedOn w:val="1"/>
    <w:qFormat/>
    <w:uiPriority w:val="0"/>
  </w:style>
  <w:style w:type="paragraph" w:customStyle="1" w:styleId="3019">
    <w:name w:val="列出段落12"/>
    <w:basedOn w:val="1"/>
    <w:qFormat/>
    <w:uiPriority w:val="0"/>
    <w:pPr>
      <w:widowControl/>
      <w:spacing w:after="200" w:line="276" w:lineRule="auto"/>
      <w:ind w:left="720"/>
      <w:contextualSpacing/>
      <w:jc w:val="left"/>
    </w:pPr>
    <w:rPr>
      <w:rFonts w:ascii="Calibri" w:hAnsi="Calibri"/>
      <w:kern w:val="0"/>
      <w:sz w:val="22"/>
      <w:szCs w:val="22"/>
      <w:lang w:eastAsia="en-US"/>
    </w:rPr>
  </w:style>
  <w:style w:type="paragraph" w:customStyle="1" w:styleId="3020">
    <w:name w:val="字元2"/>
    <w:basedOn w:val="1"/>
    <w:qFormat/>
    <w:uiPriority w:val="0"/>
    <w:rPr>
      <w:sz w:val="24"/>
    </w:rPr>
  </w:style>
  <w:style w:type="paragraph" w:customStyle="1" w:styleId="3021">
    <w:name w:val="Char Char Char Char Char Char Char Char Char Char2"/>
    <w:basedOn w:val="1"/>
    <w:qFormat/>
    <w:uiPriority w:val="0"/>
    <w:pPr>
      <w:spacing w:line="360" w:lineRule="auto"/>
      <w:ind w:firstLine="200" w:firstLineChars="200"/>
    </w:pPr>
  </w:style>
  <w:style w:type="paragraph" w:customStyle="1" w:styleId="3022">
    <w:name w:val="文档结构图11"/>
    <w:basedOn w:val="1"/>
    <w:qFormat/>
    <w:uiPriority w:val="0"/>
    <w:pPr>
      <w:shd w:val="clear" w:color="auto" w:fill="000080"/>
    </w:pPr>
    <w:rPr>
      <w:kern w:val="0"/>
      <w:sz w:val="22"/>
      <w:shd w:val="clear" w:color="auto" w:fill="000080"/>
      <w:lang w:val="en-GB"/>
    </w:rPr>
  </w:style>
  <w:style w:type="paragraph" w:customStyle="1" w:styleId="3023">
    <w:name w:val="日期11"/>
    <w:basedOn w:val="1"/>
    <w:next w:val="1"/>
    <w:qFormat/>
    <w:uiPriority w:val="0"/>
    <w:pPr>
      <w:ind w:left="100" w:leftChars="2500"/>
    </w:pPr>
    <w:rPr>
      <w:kern w:val="0"/>
      <w:sz w:val="22"/>
      <w:lang w:val="en-GB"/>
    </w:rPr>
  </w:style>
  <w:style w:type="paragraph" w:customStyle="1" w:styleId="3024">
    <w:name w:val="TOC 标题11"/>
    <w:basedOn w:val="3"/>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3025">
    <w:name w:val="普通(网站)12"/>
    <w:basedOn w:val="1"/>
    <w:qFormat/>
    <w:uiPriority w:val="0"/>
    <w:pPr>
      <w:widowControl/>
      <w:spacing w:before="100" w:beforeAutospacing="1" w:after="100" w:afterAutospacing="1"/>
      <w:jc w:val="left"/>
    </w:pPr>
    <w:rPr>
      <w:rFonts w:ascii="宋体" w:hAnsi="宋体" w:cs="宋体"/>
      <w:kern w:val="0"/>
      <w:sz w:val="24"/>
    </w:rPr>
  </w:style>
  <w:style w:type="paragraph" w:customStyle="1" w:styleId="3026">
    <w:name w:val="Char Char Char Char Char Char1 Char Char Char1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3027">
    <w:name w:val="签名11"/>
    <w:basedOn w:val="1"/>
    <w:qFormat/>
    <w:uiPriority w:val="0"/>
    <w:pPr>
      <w:ind w:left="100" w:leftChars="2100"/>
    </w:pPr>
    <w:rPr>
      <w:rFonts w:ascii="Calibri" w:hAnsi="Calibri"/>
      <w:color w:val="000000"/>
      <w:kern w:val="0"/>
      <w:sz w:val="24"/>
      <w:szCs w:val="15"/>
    </w:rPr>
  </w:style>
  <w:style w:type="paragraph" w:customStyle="1" w:styleId="3028">
    <w:name w:val="索引 911"/>
    <w:basedOn w:val="1"/>
    <w:next w:val="1"/>
    <w:qFormat/>
    <w:uiPriority w:val="0"/>
    <w:pPr>
      <w:ind w:left="1600" w:leftChars="1600"/>
    </w:pPr>
  </w:style>
  <w:style w:type="paragraph" w:customStyle="1" w:styleId="3029">
    <w:name w:val="列表 211"/>
    <w:basedOn w:val="1"/>
    <w:qFormat/>
    <w:uiPriority w:val="0"/>
    <w:pPr>
      <w:ind w:left="100" w:leftChars="200" w:hanging="200" w:hangingChars="200"/>
    </w:pPr>
  </w:style>
  <w:style w:type="paragraph" w:customStyle="1" w:styleId="3030">
    <w:name w:val="结束语11"/>
    <w:basedOn w:val="1"/>
    <w:qFormat/>
    <w:uiPriority w:val="0"/>
    <w:pPr>
      <w:ind w:left="100" w:leftChars="2100"/>
    </w:pPr>
    <w:rPr>
      <w:rFonts w:ascii="Calibri" w:hAnsi="Calibri"/>
      <w:color w:val="000000"/>
      <w:kern w:val="0"/>
      <w:sz w:val="24"/>
      <w:szCs w:val="15"/>
    </w:rPr>
  </w:style>
  <w:style w:type="paragraph" w:customStyle="1" w:styleId="3031">
    <w:name w:val="索引 511"/>
    <w:basedOn w:val="1"/>
    <w:next w:val="1"/>
    <w:qFormat/>
    <w:uiPriority w:val="0"/>
    <w:pPr>
      <w:ind w:left="800" w:leftChars="800"/>
    </w:pPr>
  </w:style>
  <w:style w:type="paragraph" w:customStyle="1" w:styleId="3032">
    <w:name w:val="索引 111"/>
    <w:basedOn w:val="1"/>
    <w:next w:val="1"/>
    <w:qFormat/>
    <w:uiPriority w:val="0"/>
    <w:pPr>
      <w:ind w:left="210" w:hanging="210"/>
      <w:jc w:val="left"/>
    </w:pPr>
  </w:style>
  <w:style w:type="paragraph" w:customStyle="1" w:styleId="3033">
    <w:name w:val="列表接续11"/>
    <w:basedOn w:val="1"/>
    <w:qFormat/>
    <w:uiPriority w:val="0"/>
    <w:pPr>
      <w:spacing w:after="120"/>
      <w:ind w:left="420" w:leftChars="200"/>
    </w:pPr>
  </w:style>
  <w:style w:type="paragraph" w:customStyle="1" w:styleId="3034">
    <w:name w:val="索引 411"/>
    <w:basedOn w:val="1"/>
    <w:next w:val="1"/>
    <w:qFormat/>
    <w:uiPriority w:val="0"/>
    <w:pPr>
      <w:ind w:left="600" w:leftChars="600"/>
    </w:pPr>
  </w:style>
  <w:style w:type="paragraph" w:customStyle="1" w:styleId="3035">
    <w:name w:val="列表编号 311"/>
    <w:basedOn w:val="1"/>
    <w:qFormat/>
    <w:uiPriority w:val="0"/>
    <w:pPr>
      <w:tabs>
        <w:tab w:val="left" w:pos="780"/>
        <w:tab w:val="left" w:pos="1200"/>
      </w:tabs>
      <w:ind w:left="780" w:hanging="360"/>
    </w:pPr>
  </w:style>
  <w:style w:type="paragraph" w:customStyle="1" w:styleId="3036">
    <w:name w:val="索引 811"/>
    <w:basedOn w:val="1"/>
    <w:next w:val="1"/>
    <w:qFormat/>
    <w:uiPriority w:val="0"/>
    <w:pPr>
      <w:ind w:left="1400" w:leftChars="1400"/>
    </w:pPr>
  </w:style>
  <w:style w:type="paragraph" w:customStyle="1" w:styleId="3037">
    <w:name w:val="信息标题11"/>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3038">
    <w:name w:val="列表编号 211"/>
    <w:basedOn w:val="1"/>
    <w:qFormat/>
    <w:uiPriority w:val="0"/>
    <w:pPr>
      <w:tabs>
        <w:tab w:val="left" w:pos="780"/>
        <w:tab w:val="left" w:pos="1200"/>
      </w:tabs>
      <w:ind w:left="1200" w:hanging="360"/>
    </w:pPr>
  </w:style>
  <w:style w:type="paragraph" w:customStyle="1" w:styleId="3039">
    <w:name w:val="索引 211"/>
    <w:basedOn w:val="1"/>
    <w:next w:val="1"/>
    <w:qFormat/>
    <w:uiPriority w:val="0"/>
    <w:pPr>
      <w:ind w:left="200" w:leftChars="200"/>
    </w:pPr>
  </w:style>
  <w:style w:type="paragraph" w:customStyle="1" w:styleId="3040">
    <w:name w:val="正文首行缩进 211"/>
    <w:basedOn w:val="1"/>
    <w:qFormat/>
    <w:uiPriority w:val="0"/>
    <w:pPr>
      <w:spacing w:after="120"/>
      <w:ind w:left="420" w:leftChars="200" w:firstLine="420" w:firstLineChars="200"/>
    </w:pPr>
    <w:rPr>
      <w:color w:val="000000"/>
      <w:sz w:val="24"/>
    </w:rPr>
  </w:style>
  <w:style w:type="paragraph" w:customStyle="1" w:styleId="3041">
    <w:name w:val="列表接续 211"/>
    <w:basedOn w:val="1"/>
    <w:qFormat/>
    <w:uiPriority w:val="0"/>
    <w:pPr>
      <w:spacing w:after="120"/>
      <w:ind w:left="840" w:leftChars="400"/>
    </w:pPr>
  </w:style>
  <w:style w:type="paragraph" w:customStyle="1" w:styleId="3042">
    <w:name w:val="收信人地址11"/>
    <w:basedOn w:val="1"/>
    <w:qFormat/>
    <w:uiPriority w:val="0"/>
    <w:pPr>
      <w:snapToGrid w:val="0"/>
      <w:ind w:left="100" w:leftChars="1400"/>
    </w:pPr>
    <w:rPr>
      <w:rFonts w:ascii="Arial" w:hAnsi="Arial" w:cs="Arial"/>
      <w:sz w:val="24"/>
    </w:rPr>
  </w:style>
  <w:style w:type="paragraph" w:customStyle="1" w:styleId="3043">
    <w:name w:val="索引 311"/>
    <w:basedOn w:val="1"/>
    <w:next w:val="1"/>
    <w:qFormat/>
    <w:uiPriority w:val="0"/>
    <w:pPr>
      <w:ind w:left="400" w:leftChars="400"/>
    </w:pPr>
  </w:style>
  <w:style w:type="paragraph" w:customStyle="1" w:styleId="3044">
    <w:name w:val="列表 511"/>
    <w:basedOn w:val="1"/>
    <w:qFormat/>
    <w:uiPriority w:val="0"/>
    <w:pPr>
      <w:ind w:left="100" w:leftChars="800" w:hanging="200" w:hangingChars="200"/>
    </w:pPr>
  </w:style>
  <w:style w:type="paragraph" w:customStyle="1" w:styleId="3045">
    <w:name w:val="索引 611"/>
    <w:basedOn w:val="1"/>
    <w:next w:val="1"/>
    <w:qFormat/>
    <w:uiPriority w:val="0"/>
    <w:pPr>
      <w:ind w:left="1000" w:leftChars="1000"/>
    </w:pPr>
  </w:style>
  <w:style w:type="paragraph" w:customStyle="1" w:styleId="3046">
    <w:name w:val="列表接续 411"/>
    <w:basedOn w:val="1"/>
    <w:qFormat/>
    <w:uiPriority w:val="0"/>
    <w:pPr>
      <w:spacing w:after="120"/>
      <w:ind w:left="1680" w:leftChars="800"/>
    </w:pPr>
  </w:style>
  <w:style w:type="paragraph" w:customStyle="1" w:styleId="3047">
    <w:name w:val="引文目录11"/>
    <w:basedOn w:val="1"/>
    <w:next w:val="1"/>
    <w:qFormat/>
    <w:uiPriority w:val="0"/>
    <w:pPr>
      <w:ind w:left="420" w:leftChars="200"/>
    </w:pPr>
  </w:style>
  <w:style w:type="paragraph" w:customStyle="1" w:styleId="3048">
    <w:name w:val="列表接续 311"/>
    <w:basedOn w:val="1"/>
    <w:qFormat/>
    <w:uiPriority w:val="0"/>
    <w:pPr>
      <w:spacing w:after="120"/>
      <w:ind w:left="1260" w:leftChars="600"/>
    </w:pPr>
  </w:style>
  <w:style w:type="paragraph" w:customStyle="1" w:styleId="3049">
    <w:name w:val="索引标题11"/>
    <w:basedOn w:val="1"/>
    <w:next w:val="3032"/>
    <w:qFormat/>
    <w:uiPriority w:val="0"/>
    <w:rPr>
      <w:rFonts w:ascii="Arial" w:hAnsi="Arial" w:cs="Arial"/>
      <w:b/>
      <w:bCs/>
    </w:rPr>
  </w:style>
  <w:style w:type="paragraph" w:customStyle="1" w:styleId="3050">
    <w:name w:val="列表接续 511"/>
    <w:basedOn w:val="1"/>
    <w:qFormat/>
    <w:uiPriority w:val="0"/>
    <w:pPr>
      <w:spacing w:after="120"/>
      <w:ind w:left="2100" w:leftChars="1000"/>
    </w:pPr>
  </w:style>
  <w:style w:type="paragraph" w:customStyle="1" w:styleId="3051">
    <w:name w:val="列表 411"/>
    <w:basedOn w:val="1"/>
    <w:qFormat/>
    <w:uiPriority w:val="0"/>
    <w:pPr>
      <w:ind w:left="100" w:leftChars="600" w:hanging="200" w:hangingChars="200"/>
    </w:pPr>
  </w:style>
  <w:style w:type="paragraph" w:customStyle="1" w:styleId="3052">
    <w:name w:val="列表编号 411"/>
    <w:basedOn w:val="1"/>
    <w:qFormat/>
    <w:uiPriority w:val="0"/>
    <w:pPr>
      <w:tabs>
        <w:tab w:val="left" w:pos="360"/>
        <w:tab w:val="left" w:pos="1620"/>
      </w:tabs>
      <w:ind w:left="360" w:hanging="360"/>
    </w:pPr>
  </w:style>
  <w:style w:type="paragraph" w:customStyle="1" w:styleId="3053">
    <w:name w:val="寄信人地址11"/>
    <w:basedOn w:val="1"/>
    <w:qFormat/>
    <w:uiPriority w:val="0"/>
    <w:pPr>
      <w:snapToGrid w:val="0"/>
    </w:pPr>
    <w:rPr>
      <w:rFonts w:ascii="Arial" w:hAnsi="Arial" w:cs="Arial"/>
    </w:rPr>
  </w:style>
  <w:style w:type="paragraph" w:customStyle="1" w:styleId="3054">
    <w:name w:val="称呼11"/>
    <w:basedOn w:val="1"/>
    <w:next w:val="1"/>
    <w:qFormat/>
    <w:uiPriority w:val="99"/>
    <w:rPr>
      <w:rFonts w:ascii="Calibri" w:hAnsi="Calibri"/>
      <w:kern w:val="0"/>
      <w:sz w:val="20"/>
    </w:rPr>
  </w:style>
  <w:style w:type="paragraph" w:customStyle="1" w:styleId="3055">
    <w:name w:val="列表编号 511"/>
    <w:basedOn w:val="1"/>
    <w:qFormat/>
    <w:uiPriority w:val="0"/>
    <w:pPr>
      <w:tabs>
        <w:tab w:val="left" w:pos="2040"/>
      </w:tabs>
      <w:ind w:left="2040" w:hanging="360"/>
    </w:pPr>
  </w:style>
  <w:style w:type="paragraph" w:customStyle="1" w:styleId="3056">
    <w:name w:val="索引 711"/>
    <w:basedOn w:val="1"/>
    <w:next w:val="1"/>
    <w:qFormat/>
    <w:uiPriority w:val="0"/>
    <w:pPr>
      <w:ind w:left="1200" w:leftChars="1200"/>
    </w:pPr>
  </w:style>
  <w:style w:type="paragraph" w:customStyle="1" w:styleId="3057">
    <w:name w:val="图表目录11"/>
    <w:basedOn w:val="1"/>
    <w:next w:val="1"/>
    <w:qFormat/>
    <w:uiPriority w:val="0"/>
    <w:pPr>
      <w:ind w:left="200" w:leftChars="200" w:hanging="200" w:hangingChars="200"/>
    </w:pPr>
  </w:style>
  <w:style w:type="paragraph" w:customStyle="1" w:styleId="3058">
    <w:name w:val="引文目录标题11"/>
    <w:basedOn w:val="1"/>
    <w:next w:val="1"/>
    <w:qFormat/>
    <w:uiPriority w:val="0"/>
    <w:pPr>
      <w:spacing w:before="120"/>
    </w:pPr>
    <w:rPr>
      <w:rFonts w:ascii="Arial" w:hAnsi="Arial" w:cs="Arial"/>
      <w:sz w:val="24"/>
    </w:rPr>
  </w:style>
  <w:style w:type="paragraph" w:customStyle="1" w:styleId="3059">
    <w:name w:val="列表 311"/>
    <w:basedOn w:val="1"/>
    <w:qFormat/>
    <w:uiPriority w:val="0"/>
    <w:pPr>
      <w:ind w:left="100" w:leftChars="400" w:hanging="200" w:hangingChars="200"/>
    </w:pPr>
  </w:style>
  <w:style w:type="paragraph" w:customStyle="1" w:styleId="3060">
    <w:name w:val="Char Char Char Char Char Char1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061">
    <w:name w:val="正文文本缩进 211"/>
    <w:basedOn w:val="1"/>
    <w:qFormat/>
    <w:uiPriority w:val="0"/>
    <w:pPr>
      <w:spacing w:after="120" w:line="480" w:lineRule="auto"/>
      <w:ind w:left="420" w:leftChars="200"/>
    </w:pPr>
    <w:rPr>
      <w:kern w:val="0"/>
      <w:sz w:val="20"/>
    </w:rPr>
  </w:style>
  <w:style w:type="paragraph" w:customStyle="1" w:styleId="3062">
    <w:name w:val="Char Char1 Char Char Char Char Char Char Char Char Char Char Char Char Char Char Char Char Char Char Char Char1 Char3"/>
    <w:basedOn w:val="1"/>
    <w:qFormat/>
    <w:uiPriority w:val="0"/>
    <w:pPr>
      <w:spacing w:line="360" w:lineRule="auto"/>
      <w:ind w:firstLine="200" w:firstLineChars="200"/>
    </w:pPr>
    <w:rPr>
      <w:rFonts w:ascii="宋体" w:hAnsi="宋体" w:cs="宋体"/>
      <w:sz w:val="24"/>
    </w:rPr>
  </w:style>
  <w:style w:type="paragraph" w:customStyle="1" w:styleId="3063">
    <w:name w:val="Char Char Char Char Char Char Char Char Char Char Char Char1 Char Char Char Char Char Char Char Char Char Char Char Char Char Char Char Char Char Char Char2"/>
    <w:basedOn w:val="1"/>
    <w:qFormat/>
    <w:uiPriority w:val="0"/>
    <w:pPr>
      <w:spacing w:line="360" w:lineRule="auto"/>
      <w:ind w:firstLine="200" w:firstLineChars="200"/>
    </w:pPr>
    <w:rPr>
      <w:rFonts w:ascii="Calibri" w:hAnsi="Calibri"/>
      <w:szCs w:val="20"/>
    </w:rPr>
  </w:style>
  <w:style w:type="paragraph" w:customStyle="1" w:styleId="3064">
    <w:name w:val="Char Char1 Char2"/>
    <w:basedOn w:val="1"/>
    <w:qFormat/>
    <w:uiPriority w:val="0"/>
    <w:pPr>
      <w:spacing w:line="360" w:lineRule="auto"/>
      <w:ind w:firstLine="200" w:firstLineChars="200"/>
    </w:pPr>
    <w:rPr>
      <w:rFonts w:ascii="宋体" w:hAnsi="宋体" w:cs="宋体"/>
      <w:sz w:val="24"/>
    </w:rPr>
  </w:style>
  <w:style w:type="paragraph" w:customStyle="1" w:styleId="3065">
    <w:name w:val="Char Char16 Char Char2"/>
    <w:basedOn w:val="1"/>
    <w:qFormat/>
    <w:uiPriority w:val="0"/>
    <w:rPr>
      <w:szCs w:val="21"/>
    </w:rPr>
  </w:style>
  <w:style w:type="paragraph" w:customStyle="1" w:styleId="3066">
    <w:name w:val="Char Char3 Char Char Char1 Char2"/>
    <w:basedOn w:val="1"/>
    <w:qFormat/>
    <w:uiPriority w:val="0"/>
    <w:rPr>
      <w:szCs w:val="20"/>
    </w:rPr>
  </w:style>
  <w:style w:type="paragraph" w:customStyle="1" w:styleId="3067">
    <w:name w:val="Char Char1 Char Char Char Char Char2"/>
    <w:basedOn w:val="1"/>
    <w:qFormat/>
    <w:uiPriority w:val="0"/>
    <w:rPr>
      <w:sz w:val="24"/>
    </w:rPr>
  </w:style>
  <w:style w:type="paragraph" w:customStyle="1" w:styleId="3068">
    <w:name w:val="Char Char2 Char Char Char Char2"/>
    <w:basedOn w:val="1"/>
    <w:qFormat/>
    <w:uiPriority w:val="0"/>
    <w:rPr>
      <w:sz w:val="30"/>
      <w:szCs w:val="30"/>
    </w:rPr>
  </w:style>
  <w:style w:type="paragraph" w:customStyle="1" w:styleId="3069">
    <w:name w:val="Char Char Char2 Char2"/>
    <w:basedOn w:val="1"/>
    <w:qFormat/>
    <w:uiPriority w:val="0"/>
    <w:pPr>
      <w:spacing w:line="360" w:lineRule="auto"/>
      <w:ind w:firstLine="200" w:firstLineChars="200"/>
    </w:pPr>
    <w:rPr>
      <w:rFonts w:ascii="宋体" w:hAnsi="宋体" w:cs="宋体"/>
      <w:sz w:val="24"/>
    </w:rPr>
  </w:style>
  <w:style w:type="paragraph" w:customStyle="1" w:styleId="3070">
    <w:name w:val="Char1 Char Char Char2"/>
    <w:basedOn w:val="1"/>
    <w:qFormat/>
    <w:uiPriority w:val="0"/>
    <w:pPr>
      <w:spacing w:line="360" w:lineRule="auto"/>
      <w:ind w:firstLine="200" w:firstLineChars="200"/>
    </w:pPr>
    <w:rPr>
      <w:rFonts w:ascii="宋体" w:hAnsi="宋体" w:cs="宋体"/>
      <w:sz w:val="24"/>
    </w:rPr>
  </w:style>
  <w:style w:type="paragraph" w:customStyle="1" w:styleId="3071">
    <w:name w:val="Char Char1 Char Char Char Char Char Char Char2"/>
    <w:basedOn w:val="1"/>
    <w:qFormat/>
    <w:uiPriority w:val="0"/>
    <w:rPr>
      <w:szCs w:val="20"/>
    </w:rPr>
  </w:style>
  <w:style w:type="paragraph" w:customStyle="1" w:styleId="3072">
    <w:name w:val="Char Char Char Char Char Char Char Char Char Char Char Char1 Char Char Char Char Char Char Char Char Char Char Char Char Char Char Char Char Char Char1 Char Char Char1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3073">
    <w:name w:val="Char Char2 Char2"/>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z w:val="24"/>
      <w:szCs w:val="24"/>
    </w:rPr>
  </w:style>
  <w:style w:type="paragraph" w:customStyle="1" w:styleId="3074">
    <w:name w:val="Char Char Char Char Char Char Char Char Char Char Char Char Char Char Char Char Char Char Char Char Char Char Char Char Char Char Char Char Char Char Char Char Char Char Char Char Char Char Char Char Char Char2"/>
    <w:basedOn w:val="1"/>
    <w:semiHidden/>
    <w:qFormat/>
    <w:uiPriority w:val="0"/>
  </w:style>
  <w:style w:type="paragraph" w:customStyle="1" w:styleId="3075">
    <w:name w:val="Char2 Char Char Char Char Char Char2"/>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076">
    <w:name w:val="Char Char20 Char Char Char Char Char Char Char Char2"/>
    <w:basedOn w:val="1"/>
    <w:qFormat/>
    <w:uiPriority w:val="0"/>
    <w:pPr>
      <w:widowControl/>
      <w:jc w:val="left"/>
    </w:pPr>
    <w:rPr>
      <w:rFonts w:ascii="宋体"/>
      <w:kern w:val="0"/>
      <w:sz w:val="24"/>
    </w:rPr>
  </w:style>
  <w:style w:type="paragraph" w:customStyle="1" w:styleId="3077">
    <w:name w:val="Char1 Char Char Char Char Char1 Char12"/>
    <w:basedOn w:val="1"/>
    <w:qFormat/>
    <w:uiPriority w:val="0"/>
    <w:rPr>
      <w:szCs w:val="21"/>
    </w:rPr>
  </w:style>
  <w:style w:type="paragraph" w:customStyle="1" w:styleId="3078">
    <w:name w:val="Char3 Char Char Char Char Char Char2"/>
    <w:basedOn w:val="1"/>
    <w:qFormat/>
    <w:uiPriority w:val="0"/>
    <w:rPr>
      <w:szCs w:val="21"/>
    </w:rPr>
  </w:style>
  <w:style w:type="paragraph" w:customStyle="1" w:styleId="3079">
    <w:name w:val="标题 331"/>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3080">
    <w:name w:val="正文文本缩进 321"/>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3081">
    <w:name w:val="无间隔11"/>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3082">
    <w:name w:val="正文首行缩进11"/>
    <w:basedOn w:val="34"/>
    <w:qFormat/>
    <w:uiPriority w:val="0"/>
    <w:pPr>
      <w:adjustRightInd w:val="0"/>
      <w:spacing w:after="120" w:line="240" w:lineRule="auto"/>
      <w:ind w:firstLine="420"/>
    </w:pPr>
    <w:rPr>
      <w:rFonts w:hint="eastAsia" w:ascii="Times New Roman" w:hAnsi="Times New Roman" w:cs="宋体"/>
      <w:szCs w:val="20"/>
    </w:rPr>
  </w:style>
  <w:style w:type="paragraph" w:customStyle="1" w:styleId="3083">
    <w:name w:val="z-窗体底端11"/>
    <w:basedOn w:val="1"/>
    <w:next w:val="1"/>
    <w:qFormat/>
    <w:uiPriority w:val="0"/>
    <w:pPr>
      <w:pBdr>
        <w:top w:val="single" w:color="auto" w:sz="6" w:space="1"/>
      </w:pBdr>
      <w:adjustRightInd w:val="0"/>
      <w:snapToGrid w:val="0"/>
      <w:spacing w:line="300" w:lineRule="auto"/>
      <w:jc w:val="center"/>
    </w:pPr>
    <w:rPr>
      <w:rFonts w:ascii="Arial" w:hAnsi="Arial" w:eastAsia="仿宋_GB2312"/>
      <w:vanish/>
      <w:sz w:val="16"/>
      <w:szCs w:val="16"/>
    </w:rPr>
  </w:style>
  <w:style w:type="paragraph" w:customStyle="1" w:styleId="3084">
    <w:name w:val="纯文本11"/>
    <w:basedOn w:val="1"/>
    <w:qFormat/>
    <w:uiPriority w:val="0"/>
    <w:pPr>
      <w:adjustRightInd w:val="0"/>
    </w:pPr>
    <w:rPr>
      <w:rFonts w:ascii="宋体" w:hAnsi="Courier New"/>
      <w:szCs w:val="20"/>
    </w:rPr>
  </w:style>
  <w:style w:type="paragraph" w:customStyle="1" w:styleId="3085">
    <w:name w:val="z-窗体顶端11"/>
    <w:basedOn w:val="1"/>
    <w:next w:val="1"/>
    <w:qFormat/>
    <w:uiPriority w:val="0"/>
    <w:pPr>
      <w:pBdr>
        <w:bottom w:val="single" w:color="auto" w:sz="6" w:space="1"/>
      </w:pBdr>
      <w:adjustRightInd w:val="0"/>
      <w:snapToGrid w:val="0"/>
      <w:spacing w:line="300" w:lineRule="auto"/>
      <w:jc w:val="center"/>
    </w:pPr>
    <w:rPr>
      <w:rFonts w:ascii="Arial" w:hAnsi="Arial" w:eastAsia="仿宋_GB2312"/>
      <w:vanish/>
      <w:sz w:val="16"/>
      <w:szCs w:val="16"/>
    </w:rPr>
  </w:style>
  <w:style w:type="paragraph" w:customStyle="1" w:styleId="3086">
    <w:name w:val="明显引用2"/>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3087">
    <w:name w:val="责任页"/>
    <w:basedOn w:val="1"/>
    <w:qFormat/>
    <w:uiPriority w:val="0"/>
    <w:pPr>
      <w:spacing w:line="300" w:lineRule="auto"/>
    </w:pPr>
    <w:rPr>
      <w:sz w:val="28"/>
    </w:rPr>
  </w:style>
  <w:style w:type="table" w:customStyle="1" w:styleId="3088">
    <w:name w:val="彩色型 31"/>
    <w:basedOn w:val="88"/>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089">
    <w:name w:val="列表型 31"/>
    <w:basedOn w:val="88"/>
    <w:semiHidden/>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090">
    <w:name w:val="网格型 6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91">
    <w:name w:val="设计院"/>
    <w:basedOn w:val="90"/>
    <w:qFormat/>
    <w:uiPriority w:val="0"/>
    <w:rPr>
      <w:szCs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3092">
    <w:name w:val="立体型 21"/>
    <w:basedOn w:val="88"/>
    <w:semiHidden/>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3">
    <w:name w:val="列表型 5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094">
    <w:name w:val="列表型 41"/>
    <w:basedOn w:val="88"/>
    <w:semiHidden/>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095">
    <w:name w:val="列表型 71"/>
    <w:basedOn w:val="88"/>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096">
    <w:name w:val="网页型 21"/>
    <w:basedOn w:val="88"/>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097">
    <w:name w:val="精巧型 11"/>
    <w:basedOn w:val="88"/>
    <w:semiHidden/>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098">
    <w:name w:val="竖列型 51"/>
    <w:basedOn w:val="88"/>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099">
    <w:name w:val="彩色型 21"/>
    <w:basedOn w:val="88"/>
    <w:semiHidden/>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00">
    <w:name w:val="立体型 31"/>
    <w:basedOn w:val="88"/>
    <w:semiHidden/>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01">
    <w:name w:val="网格型 81"/>
    <w:basedOn w:val="88"/>
    <w:semiHidden/>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02">
    <w:name w:val="精巧型 21"/>
    <w:basedOn w:val="88"/>
    <w:semiHidden/>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03">
    <w:name w:val="竖列型 31"/>
    <w:basedOn w:val="88"/>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104">
    <w:name w:val="网格型 21"/>
    <w:basedOn w:val="88"/>
    <w:semiHidden/>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105">
    <w:name w:val="网格型3"/>
    <w:basedOn w:val="88"/>
    <w:qFormat/>
    <w:uiPriority w:val="0"/>
    <w:pPr>
      <w:jc w:val="center"/>
    </w:pPr>
    <w:tblPr>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jc w:val="center"/>
    </w:trPr>
  </w:style>
  <w:style w:type="table" w:customStyle="1" w:styleId="3106">
    <w:name w:val="网页型 11"/>
    <w:basedOn w:val="88"/>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07">
    <w:name w:val="竖列型 41"/>
    <w:basedOn w:val="88"/>
    <w:semiHidden/>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108">
    <w:name w:val="网格型 5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09">
    <w:name w:val="网格型 41"/>
    <w:basedOn w:val="88"/>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110">
    <w:name w:val="简明型 11"/>
    <w:basedOn w:val="88"/>
    <w:semiHidden/>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11">
    <w:name w:val="列表型 11"/>
    <w:basedOn w:val="88"/>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12">
    <w:name w:val="简明型 3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113">
    <w:name w:val="网页型 31"/>
    <w:basedOn w:val="88"/>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114">
    <w:name w:val="ljw1"/>
    <w:basedOn w:val="90"/>
    <w:semiHidden/>
    <w:qFormat/>
    <w:uiPriority w:val="0"/>
    <w:pPr>
      <w:snapToGrid w:val="0"/>
      <w:spacing w:line="440" w:lineRule="exact"/>
      <w:ind w:firstLine="200" w:firstLineChars="200"/>
    </w:pPr>
    <w:rPr>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3115">
    <w:name w:val="古典型 21"/>
    <w:basedOn w:val="88"/>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16">
    <w:name w:val="Table Normal"/>
    <w:unhideWhenUsed/>
    <w:qFormat/>
    <w:uiPriority w:val="2"/>
    <w:pPr>
      <w:widowControl w:val="0"/>
    </w:pPr>
    <w:rPr>
      <w:rFonts w:ascii="等线" w:hAnsi="等线" w:eastAsia="等线"/>
      <w:sz w:val="22"/>
      <w:lang w:eastAsia="en-US"/>
    </w:rPr>
    <w:tblPr>
      <w:tblCellMar>
        <w:top w:w="0" w:type="dxa"/>
        <w:left w:w="0" w:type="dxa"/>
        <w:bottom w:w="0" w:type="dxa"/>
        <w:right w:w="0" w:type="dxa"/>
      </w:tblCellMar>
    </w:tblPr>
  </w:style>
  <w:style w:type="table" w:customStyle="1" w:styleId="3117">
    <w:name w:val="(环评报告表）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8">
    <w:name w:val="典雅型1"/>
    <w:basedOn w:val="88"/>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119">
    <w:name w:val="网格型2"/>
    <w:basedOn w:val="88"/>
    <w:qFormat/>
    <w:uiPriority w:val="0"/>
    <w:rPr>
      <w:rFonts w:ascii="Calibri" w:hAnsi="Calibri" w:eastAsia="微软雅黑"/>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20">
    <w:name w:val="样板"/>
    <w:basedOn w:val="90"/>
    <w:qFormat/>
    <w:uiPriority w:val="0"/>
    <w:tblPr>
      <w:tblBorders>
        <w:top w:val="single" w:color="auto" w:sz="12" w:space="0"/>
        <w:bottom w:val="single" w:color="auto" w:sz="12" w:space="0"/>
      </w:tblBorders>
      <w:tblCellMar>
        <w:top w:w="0" w:type="dxa"/>
        <w:left w:w="108" w:type="dxa"/>
        <w:bottom w:w="0" w:type="dxa"/>
        <w:right w:w="108" w:type="dxa"/>
      </w:tblCellMar>
    </w:tblPr>
  </w:style>
  <w:style w:type="table" w:customStyle="1" w:styleId="3121">
    <w:name w:val="古典型 31"/>
    <w:basedOn w:val="88"/>
    <w:semiHidden/>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122">
    <w:name w:val="网格型 71"/>
    <w:basedOn w:val="8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23">
    <w:name w:val="网格型 1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24">
    <w:name w:val="网格型 31"/>
    <w:basedOn w:val="88"/>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25">
    <w:name w:val="列表型 81"/>
    <w:basedOn w:val="88"/>
    <w:semiHidden/>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126">
    <w:name w:val="古典型 11"/>
    <w:basedOn w:val="88"/>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7">
    <w:name w:val="ljw"/>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3128">
    <w:name w:val="竖列型 11"/>
    <w:basedOn w:val="8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29">
    <w:name w:val="简明型 21"/>
    <w:basedOn w:val="88"/>
    <w:semiHidden/>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0">
    <w:name w:val="网格型1"/>
    <w:basedOn w:val="88"/>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1">
    <w:name w:val="表格样式2"/>
    <w:basedOn w:val="88"/>
    <w:uiPriority w:val="0"/>
    <w:tblPr>
      <w:tblBorders>
        <w:top w:val="single" w:color="auto" w:sz="18" w:space="0"/>
        <w:bottom w:val="single" w:color="auto" w:sz="18" w:space="0"/>
        <w:insideH w:val="single" w:color="auto" w:sz="2" w:space="0"/>
        <w:insideV w:val="single" w:color="auto" w:sz="2" w:space="0"/>
      </w:tblBorders>
      <w:tblCellMar>
        <w:top w:w="0" w:type="dxa"/>
        <w:left w:w="108" w:type="dxa"/>
        <w:bottom w:w="0" w:type="dxa"/>
        <w:right w:w="108" w:type="dxa"/>
      </w:tblCellMar>
    </w:tblPr>
  </w:style>
  <w:style w:type="table" w:customStyle="1" w:styleId="3132">
    <w:name w:val="(环评报告表）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3">
    <w:name w:val="列表型 21"/>
    <w:basedOn w:val="88"/>
    <w:semiHidden/>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4">
    <w:name w:val="古典型 41"/>
    <w:basedOn w:val="88"/>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5">
    <w:name w:val="专业型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136">
    <w:name w:val="立体型 11"/>
    <w:basedOn w:val="88"/>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37">
    <w:name w:val="列表型 6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138">
    <w:name w:val="竖列型 21"/>
    <w:basedOn w:val="88"/>
    <w:semiHidden/>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39">
    <w:name w:val="流行型1"/>
    <w:basedOn w:val="88"/>
    <w:semiHidden/>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140">
    <w:name w:val="彩色型 11"/>
    <w:basedOn w:val="88"/>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41">
    <w:name w:val="文中表格"/>
    <w:basedOn w:val="88"/>
    <w:qFormat/>
    <w:uiPriority w:val="0"/>
    <w:pPr>
      <w:jc w:val="center"/>
    </w:pPr>
    <w:rPr>
      <w:rFonts w:ascii="Calibri" w:hAnsi="Calibri"/>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3142">
    <w:name w:val="A表格样式1"/>
    <w:basedOn w:val="90"/>
    <w:qFormat/>
    <w:uiPriority w:val="0"/>
    <w:pPr>
      <w:jc w:val="center"/>
    </w:pPr>
    <w:rPr>
      <w:sz w:val="21"/>
    </w:r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3143">
    <w:name w:val="网格型4"/>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44">
    <w:name w:val="正文小四 Char Char"/>
    <w:qFormat/>
    <w:uiPriority w:val="0"/>
    <w:rPr>
      <w:rFonts w:eastAsia="宋体"/>
      <w:kern w:val="2"/>
      <w:sz w:val="24"/>
      <w:lang w:val="en-US" w:eastAsia="zh-CN" w:bidi="ar-SA"/>
    </w:rPr>
  </w:style>
  <w:style w:type="paragraph" w:customStyle="1" w:styleId="3145">
    <w:name w:val="12"/>
    <w:basedOn w:val="1"/>
    <w:next w:val="186"/>
    <w:qFormat/>
    <w:uiPriority w:val="39"/>
    <w:pPr>
      <w:ind w:firstLine="420" w:firstLineChars="200"/>
    </w:pPr>
    <w:rPr>
      <w:rFonts w:ascii="Calibri" w:hAnsi="Calibri"/>
    </w:rPr>
  </w:style>
  <w:style w:type="paragraph" w:customStyle="1" w:styleId="3146">
    <w:name w:val="传统2"/>
    <w:basedOn w:val="1"/>
    <w:qFormat/>
    <w:uiPriority w:val="0"/>
    <w:pPr>
      <w:spacing w:line="276" w:lineRule="auto"/>
      <w:jc w:val="center"/>
    </w:pPr>
    <w:rPr>
      <w:rFonts w:ascii="Arial" w:hAnsi="Arial"/>
      <w:b/>
      <w:sz w:val="18"/>
      <w:szCs w:val="18"/>
    </w:rPr>
  </w:style>
  <w:style w:type="paragraph" w:customStyle="1" w:styleId="3147">
    <w:name w:val="hb1"/>
    <w:basedOn w:val="34"/>
    <w:qFormat/>
    <w:uiPriority w:val="0"/>
    <w:pPr>
      <w:spacing w:line="460" w:lineRule="exact"/>
      <w:ind w:firstLine="482"/>
    </w:pPr>
    <w:rPr>
      <w:rFonts w:cs="Times New Roman"/>
      <w:color w:val="000000"/>
      <w:sz w:val="24"/>
      <w:szCs w:val="22"/>
    </w:rPr>
  </w:style>
  <w:style w:type="character" w:customStyle="1" w:styleId="3148">
    <w:name w:val="Char Char516"/>
    <w:qFormat/>
    <w:uiPriority w:val="0"/>
    <w:rPr>
      <w:rFonts w:eastAsia="宋体"/>
      <w:kern w:val="2"/>
      <w:sz w:val="21"/>
      <w:szCs w:val="24"/>
      <w:lang w:val="en-US" w:eastAsia="zh-CN" w:bidi="ar-SA"/>
    </w:rPr>
  </w:style>
  <w:style w:type="character" w:customStyle="1" w:styleId="3149">
    <w:name w:val="Char Char135"/>
    <w:qFormat/>
    <w:uiPriority w:val="0"/>
    <w:rPr>
      <w:rFonts w:ascii="宋体" w:hAnsi="Courier New"/>
      <w:sz w:val="21"/>
      <w:szCs w:val="21"/>
      <w:lang w:bidi="ar-SA"/>
    </w:rPr>
  </w:style>
  <w:style w:type="character" w:customStyle="1" w:styleId="3150">
    <w:name w:val="HTML 变量2"/>
    <w:uiPriority w:val="0"/>
    <w:rPr>
      <w:i/>
      <w:iCs/>
    </w:rPr>
  </w:style>
  <w:style w:type="character" w:customStyle="1" w:styleId="3151">
    <w:name w:val="Char Char85"/>
    <w:qFormat/>
    <w:uiPriority w:val="0"/>
    <w:rPr>
      <w:rFonts w:ascii="Arial" w:hAnsi="Arial" w:eastAsia="宋体" w:cs="Arial"/>
      <w:kern w:val="2"/>
      <w:sz w:val="24"/>
      <w:szCs w:val="24"/>
      <w:lang w:val="en-US" w:eastAsia="zh-CN" w:bidi="ar-SA"/>
    </w:rPr>
  </w:style>
  <w:style w:type="character" w:customStyle="1" w:styleId="3152">
    <w:name w:val="Char Char375"/>
    <w:uiPriority w:val="0"/>
    <w:rPr>
      <w:rFonts w:ascii="宋体"/>
      <w:kern w:val="2"/>
      <w:sz w:val="18"/>
      <w:szCs w:val="18"/>
    </w:rPr>
  </w:style>
  <w:style w:type="character" w:customStyle="1" w:styleId="3153">
    <w:name w:val="访问过的超链接3"/>
    <w:qFormat/>
    <w:uiPriority w:val="0"/>
    <w:rPr>
      <w:rFonts w:hint="default" w:ascii="Times New Roman"/>
      <w:color w:val="800080"/>
      <w:u w:val="single"/>
    </w:rPr>
  </w:style>
  <w:style w:type="character" w:customStyle="1" w:styleId="3154">
    <w:name w:val="Char Char46"/>
    <w:qFormat/>
    <w:uiPriority w:val="0"/>
    <w:rPr>
      <w:rFonts w:eastAsia="宋体"/>
      <w:b/>
      <w:bCs/>
      <w:kern w:val="2"/>
      <w:sz w:val="24"/>
      <w:szCs w:val="24"/>
      <w:lang w:val="en-US" w:eastAsia="zh-CN" w:bidi="ar-SA"/>
    </w:rPr>
  </w:style>
  <w:style w:type="character" w:customStyle="1" w:styleId="3155">
    <w:name w:val="Char Char216"/>
    <w:qFormat/>
    <w:uiPriority w:val="0"/>
    <w:rPr>
      <w:rFonts w:ascii="Arial" w:hAnsi="Arial" w:eastAsia="黑体"/>
      <w:kern w:val="2"/>
      <w:sz w:val="21"/>
      <w:szCs w:val="21"/>
      <w:lang w:val="en-US" w:eastAsia="zh-CN" w:bidi="ar-SA"/>
    </w:rPr>
  </w:style>
  <w:style w:type="character" w:customStyle="1" w:styleId="3156">
    <w:name w:val="HTML 打字机2"/>
    <w:qFormat/>
    <w:uiPriority w:val="0"/>
    <w:rPr>
      <w:rFonts w:ascii="Courier New" w:hAnsi="Courier New" w:cs="Courier New"/>
      <w:sz w:val="20"/>
      <w:szCs w:val="20"/>
    </w:rPr>
  </w:style>
  <w:style w:type="character" w:customStyle="1" w:styleId="3157">
    <w:name w:val="HTML 样本2"/>
    <w:qFormat/>
    <w:uiPriority w:val="0"/>
    <w:rPr>
      <w:rFonts w:ascii="Courier New" w:hAnsi="Courier New" w:cs="Courier New"/>
    </w:rPr>
  </w:style>
  <w:style w:type="character" w:customStyle="1" w:styleId="3158">
    <w:name w:val="行号2"/>
    <w:basedOn w:val="133"/>
    <w:qFormat/>
    <w:uiPriority w:val="0"/>
  </w:style>
  <w:style w:type="character" w:customStyle="1" w:styleId="3159">
    <w:name w:val="HTML 键盘2"/>
    <w:qFormat/>
    <w:uiPriority w:val="0"/>
    <w:rPr>
      <w:rFonts w:ascii="Courier New" w:hAnsi="Courier New" w:cs="Courier New"/>
      <w:sz w:val="20"/>
      <w:szCs w:val="20"/>
    </w:rPr>
  </w:style>
  <w:style w:type="character" w:customStyle="1" w:styleId="3160">
    <w:name w:val="标题2"/>
    <w:basedOn w:val="133"/>
    <w:qFormat/>
    <w:uiPriority w:val="0"/>
  </w:style>
  <w:style w:type="character" w:customStyle="1" w:styleId="3161">
    <w:name w:val="Char Char365"/>
    <w:qFormat/>
    <w:uiPriority w:val="0"/>
    <w:rPr>
      <w:kern w:val="2"/>
      <w:sz w:val="21"/>
    </w:rPr>
  </w:style>
  <w:style w:type="character" w:customStyle="1" w:styleId="3162">
    <w:name w:val="Char Char325"/>
    <w:qFormat/>
    <w:uiPriority w:val="0"/>
    <w:rPr>
      <w:rFonts w:cs="Arial"/>
      <w:b/>
      <w:kern w:val="2"/>
      <w:sz w:val="21"/>
    </w:rPr>
  </w:style>
  <w:style w:type="character" w:customStyle="1" w:styleId="3163">
    <w:name w:val="Char Char72"/>
    <w:qFormat/>
    <w:uiPriority w:val="0"/>
    <w:rPr>
      <w:rFonts w:eastAsia="宋体"/>
      <w:b/>
      <w:bCs/>
      <w:kern w:val="2"/>
      <w:sz w:val="32"/>
      <w:szCs w:val="32"/>
      <w:lang w:val="en-US" w:eastAsia="zh-CN" w:bidi="ar-SA"/>
    </w:rPr>
  </w:style>
  <w:style w:type="character" w:customStyle="1" w:styleId="3164">
    <w:name w:val="Char Char115"/>
    <w:qFormat/>
    <w:uiPriority w:val="0"/>
    <w:rPr>
      <w:rFonts w:eastAsia="宋体"/>
      <w:kern w:val="2"/>
      <w:sz w:val="21"/>
      <w:szCs w:val="24"/>
      <w:lang w:val="en-US" w:eastAsia="zh-CN" w:bidi="ar-SA"/>
    </w:rPr>
  </w:style>
  <w:style w:type="character" w:customStyle="1" w:styleId="3165">
    <w:name w:val="Char Char285"/>
    <w:qFormat/>
    <w:uiPriority w:val="0"/>
    <w:rPr>
      <w:rFonts w:eastAsia="宋体"/>
      <w:kern w:val="2"/>
      <w:sz w:val="18"/>
      <w:szCs w:val="18"/>
      <w:lang w:val="en-US" w:eastAsia="zh-CN" w:bidi="ar-SA"/>
    </w:rPr>
  </w:style>
  <w:style w:type="character" w:customStyle="1" w:styleId="3166">
    <w:name w:val="书籍标题21"/>
    <w:qFormat/>
    <w:uiPriority w:val="0"/>
    <w:rPr>
      <w:rFonts w:cs="Times New Roman"/>
      <w:b/>
      <w:bCs/>
      <w:smallCaps/>
      <w:spacing w:val="5"/>
    </w:rPr>
  </w:style>
  <w:style w:type="character" w:customStyle="1" w:styleId="3167">
    <w:name w:val="HTML 代码2"/>
    <w:qFormat/>
    <w:uiPriority w:val="0"/>
    <w:rPr>
      <w:rFonts w:hint="eastAsia" w:ascii="黑体" w:hAnsi="Courier New" w:eastAsia="黑体"/>
      <w:sz w:val="24"/>
    </w:rPr>
  </w:style>
  <w:style w:type="character" w:customStyle="1" w:styleId="3168">
    <w:name w:val="Char Char305"/>
    <w:qFormat/>
    <w:uiPriority w:val="0"/>
    <w:rPr>
      <w:rFonts w:ascii="Arial" w:hAnsi="Arial" w:eastAsia="黑体"/>
      <w:b/>
      <w:bCs/>
      <w:kern w:val="2"/>
      <w:sz w:val="32"/>
      <w:szCs w:val="32"/>
      <w:lang w:val="en-US" w:eastAsia="zh-CN" w:bidi="ar-SA"/>
    </w:rPr>
  </w:style>
  <w:style w:type="character" w:customStyle="1" w:styleId="3169">
    <w:name w:val="Char Char165"/>
    <w:uiPriority w:val="0"/>
    <w:rPr>
      <w:rFonts w:ascii="Times New Roman" w:hAnsi="Times New Roman" w:eastAsia="宋体" w:cs="Times New Roman"/>
      <w:color w:val="000000"/>
      <w:sz w:val="24"/>
      <w:szCs w:val="15"/>
    </w:rPr>
  </w:style>
  <w:style w:type="character" w:customStyle="1" w:styleId="3170">
    <w:name w:val="HTML 引文2"/>
    <w:qFormat/>
    <w:uiPriority w:val="0"/>
    <w:rPr>
      <w:i/>
      <w:iCs/>
    </w:rPr>
  </w:style>
  <w:style w:type="character" w:customStyle="1" w:styleId="3171">
    <w:name w:val="Char Char355"/>
    <w:qFormat/>
    <w:uiPriority w:val="0"/>
    <w:rPr>
      <w:kern w:val="2"/>
      <w:sz w:val="18"/>
      <w:szCs w:val="18"/>
    </w:rPr>
  </w:style>
  <w:style w:type="character" w:customStyle="1" w:styleId="3172">
    <w:name w:val="Char Char175"/>
    <w:uiPriority w:val="0"/>
    <w:rPr>
      <w:rFonts w:eastAsia="宋体"/>
      <w:kern w:val="2"/>
      <w:sz w:val="18"/>
      <w:szCs w:val="18"/>
      <w:lang w:val="en-US" w:eastAsia="zh-CN" w:bidi="ar-SA"/>
    </w:rPr>
  </w:style>
  <w:style w:type="character" w:customStyle="1" w:styleId="3173">
    <w:name w:val="Char Char295"/>
    <w:qFormat/>
    <w:uiPriority w:val="0"/>
    <w:rPr>
      <w:rFonts w:ascii="黑体" w:eastAsia="黑体"/>
      <w:bCs/>
      <w:kern w:val="2"/>
      <w:sz w:val="24"/>
      <w:lang w:val="en-US" w:eastAsia="zh-CN" w:bidi="ar-SA"/>
    </w:rPr>
  </w:style>
  <w:style w:type="character" w:customStyle="1" w:styleId="3174">
    <w:name w:val="Char Char185"/>
    <w:qFormat/>
    <w:uiPriority w:val="0"/>
    <w:rPr>
      <w:rFonts w:ascii="华文行楷" w:eastAsia="华文行楷"/>
      <w:i/>
      <w:iCs/>
      <w:color w:val="FF0000"/>
      <w:kern w:val="2"/>
      <w:sz w:val="32"/>
      <w:szCs w:val="24"/>
      <w:lang w:val="en-US" w:eastAsia="zh-CN" w:bidi="ar-SA"/>
    </w:rPr>
  </w:style>
  <w:style w:type="character" w:customStyle="1" w:styleId="3175">
    <w:name w:val="批注引用2"/>
    <w:uiPriority w:val="0"/>
    <w:rPr>
      <w:sz w:val="21"/>
      <w:szCs w:val="21"/>
    </w:rPr>
  </w:style>
  <w:style w:type="character" w:customStyle="1" w:styleId="3176">
    <w:name w:val="HTML 缩写2"/>
    <w:basedOn w:val="133"/>
    <w:qFormat/>
    <w:uiPriority w:val="0"/>
  </w:style>
  <w:style w:type="character" w:customStyle="1" w:styleId="3177">
    <w:name w:val="HTML 定义2"/>
    <w:qFormat/>
    <w:uiPriority w:val="0"/>
    <w:rPr>
      <w:i/>
      <w:iCs/>
    </w:rPr>
  </w:style>
  <w:style w:type="character" w:customStyle="1" w:styleId="3178">
    <w:name w:val="页码3"/>
    <w:basedOn w:val="133"/>
    <w:uiPriority w:val="0"/>
  </w:style>
  <w:style w:type="character" w:customStyle="1" w:styleId="3179">
    <w:name w:val="Char Char265"/>
    <w:qFormat/>
    <w:uiPriority w:val="0"/>
    <w:rPr>
      <w:rFonts w:ascii="Arial" w:hAnsi="Arial" w:eastAsia="黑体"/>
      <w:b/>
      <w:kern w:val="2"/>
      <w:sz w:val="28"/>
    </w:rPr>
  </w:style>
  <w:style w:type="character" w:customStyle="1" w:styleId="3180">
    <w:name w:val="Char Char Char7"/>
    <w:qFormat/>
    <w:uiPriority w:val="0"/>
    <w:rPr>
      <w:rFonts w:eastAsia="黑体" w:cs="Arial"/>
      <w:b/>
      <w:bCs/>
      <w:color w:val="000000"/>
      <w:kern w:val="2"/>
      <w:sz w:val="28"/>
      <w:szCs w:val="24"/>
      <w:lang w:val="en-US" w:eastAsia="zh-CN" w:bidi="ar-SA"/>
    </w:rPr>
  </w:style>
  <w:style w:type="character" w:customStyle="1" w:styleId="3181">
    <w:name w:val="超链接4"/>
    <w:qFormat/>
    <w:uiPriority w:val="0"/>
    <w:rPr>
      <w:color w:val="0000FF"/>
      <w:u w:val="single"/>
    </w:rPr>
  </w:style>
  <w:style w:type="character" w:customStyle="1" w:styleId="3182">
    <w:name w:val="Char Char384"/>
    <w:qFormat/>
    <w:uiPriority w:val="0"/>
    <w:rPr>
      <w:rFonts w:ascii="Cambria" w:hAnsi="Cambria" w:eastAsia="宋体" w:cs="Times New Roman"/>
      <w:b/>
      <w:bCs/>
      <w:kern w:val="2"/>
      <w:sz w:val="32"/>
      <w:szCs w:val="32"/>
    </w:rPr>
  </w:style>
  <w:style w:type="character" w:customStyle="1" w:styleId="3183">
    <w:name w:val="标题 Char6"/>
    <w:uiPriority w:val="0"/>
    <w:rPr>
      <w:rFonts w:ascii="Calibri Light" w:hAnsi="Calibri Light" w:cs="Times New Roman"/>
      <w:b/>
      <w:bCs/>
      <w:kern w:val="2"/>
      <w:sz w:val="32"/>
      <w:szCs w:val="32"/>
    </w:rPr>
  </w:style>
  <w:style w:type="character" w:customStyle="1" w:styleId="3184">
    <w:name w:val="副标题 Char7"/>
    <w:qFormat/>
    <w:uiPriority w:val="0"/>
    <w:rPr>
      <w:rFonts w:ascii="Calibri Light" w:hAnsi="Calibri Light" w:cs="Times New Roman"/>
      <w:b/>
      <w:bCs/>
      <w:kern w:val="28"/>
      <w:sz w:val="32"/>
      <w:szCs w:val="32"/>
    </w:rPr>
  </w:style>
  <w:style w:type="character" w:customStyle="1" w:styleId="3185">
    <w:name w:val="正文文本缩进 3 Char4"/>
    <w:qFormat/>
    <w:uiPriority w:val="0"/>
    <w:rPr>
      <w:kern w:val="2"/>
      <w:sz w:val="16"/>
      <w:szCs w:val="16"/>
    </w:rPr>
  </w:style>
  <w:style w:type="character" w:customStyle="1" w:styleId="3186">
    <w:name w:val="Char Char273"/>
    <w:qFormat/>
    <w:uiPriority w:val="0"/>
    <w:rPr>
      <w:rFonts w:ascii="Arial" w:hAnsi="Arial" w:eastAsia="黑体"/>
      <w:b/>
      <w:bCs/>
      <w:kern w:val="2"/>
      <w:sz w:val="28"/>
      <w:szCs w:val="28"/>
      <w:lang w:val="en-US" w:eastAsia="zh-CN" w:bidi="ar-SA"/>
    </w:rPr>
  </w:style>
  <w:style w:type="character" w:customStyle="1" w:styleId="3187">
    <w:name w:val="Char Char233"/>
    <w:qFormat/>
    <w:uiPriority w:val="0"/>
    <w:rPr>
      <w:rFonts w:ascii="Arial" w:hAnsi="Arial" w:eastAsia="黑体"/>
      <w:sz w:val="24"/>
      <w:lang w:val="en-US" w:eastAsia="zh-CN" w:bidi="ar-SA"/>
    </w:rPr>
  </w:style>
  <w:style w:type="character" w:customStyle="1" w:styleId="3188">
    <w:name w:val="Char Char193"/>
    <w:qFormat/>
    <w:uiPriority w:val="0"/>
    <w:rPr>
      <w:rFonts w:eastAsia="宋体"/>
      <w:kern w:val="2"/>
      <w:sz w:val="21"/>
      <w:lang w:val="en-US" w:eastAsia="zh-CN" w:bidi="ar-SA"/>
    </w:rPr>
  </w:style>
  <w:style w:type="character" w:customStyle="1" w:styleId="3189">
    <w:name w:val="Char Char215"/>
    <w:qFormat/>
    <w:uiPriority w:val="0"/>
    <w:rPr>
      <w:rFonts w:eastAsia="宋体"/>
      <w:color w:val="000000"/>
      <w:sz w:val="24"/>
      <w:szCs w:val="15"/>
      <w:lang w:bidi="ar-SA"/>
    </w:rPr>
  </w:style>
  <w:style w:type="character" w:customStyle="1" w:styleId="3190">
    <w:name w:val="Char Char203"/>
    <w:qFormat/>
    <w:uiPriority w:val="0"/>
    <w:rPr>
      <w:rFonts w:eastAsia="宋体"/>
      <w:color w:val="000000"/>
      <w:sz w:val="24"/>
      <w:szCs w:val="15"/>
      <w:lang w:bidi="ar-SA"/>
    </w:rPr>
  </w:style>
  <w:style w:type="character" w:customStyle="1" w:styleId="3191">
    <w:name w:val="Char Char523"/>
    <w:qFormat/>
    <w:uiPriority w:val="0"/>
    <w:rPr>
      <w:rFonts w:eastAsia="宋体"/>
      <w:b/>
      <w:sz w:val="24"/>
      <w:lang w:val="en-US" w:eastAsia="zh-CN" w:bidi="ar-SA"/>
    </w:rPr>
  </w:style>
  <w:style w:type="character" w:customStyle="1" w:styleId="3192">
    <w:name w:val="Char Char515"/>
    <w:locked/>
    <w:uiPriority w:val="0"/>
    <w:rPr>
      <w:rFonts w:eastAsia="宋体"/>
      <w:kern w:val="2"/>
      <w:sz w:val="24"/>
      <w:lang w:val="en-US" w:eastAsia="zh-CN" w:bidi="ar-SA"/>
    </w:rPr>
  </w:style>
  <w:style w:type="character" w:customStyle="1" w:styleId="3193">
    <w:name w:val="Char Char553"/>
    <w:qFormat/>
    <w:uiPriority w:val="0"/>
    <w:rPr>
      <w:rFonts w:ascii="宋体" w:hAnsi="Tms Rmn"/>
      <w:b/>
      <w:sz w:val="24"/>
    </w:rPr>
  </w:style>
  <w:style w:type="character" w:customStyle="1" w:styleId="3194">
    <w:name w:val="Char Char603"/>
    <w:qFormat/>
    <w:uiPriority w:val="0"/>
    <w:rPr>
      <w:rFonts w:ascii="Arial" w:hAnsi="Arial" w:eastAsia="黑体"/>
      <w:b/>
      <w:kern w:val="2"/>
      <w:sz w:val="32"/>
    </w:rPr>
  </w:style>
  <w:style w:type="character" w:customStyle="1" w:styleId="3195">
    <w:name w:val="Char Char583"/>
    <w:qFormat/>
    <w:uiPriority w:val="0"/>
    <w:rPr>
      <w:rFonts w:ascii="Arial" w:hAnsi="Arial" w:eastAsia="黑体"/>
      <w:b/>
      <w:bCs/>
      <w:kern w:val="2"/>
      <w:sz w:val="28"/>
      <w:szCs w:val="28"/>
    </w:rPr>
  </w:style>
  <w:style w:type="character" w:customStyle="1" w:styleId="3196">
    <w:name w:val="Char Char563"/>
    <w:qFormat/>
    <w:uiPriority w:val="0"/>
    <w:rPr>
      <w:rFonts w:ascii="Arial" w:hAnsi="Arial" w:eastAsia="黑体"/>
      <w:b/>
      <w:sz w:val="24"/>
    </w:rPr>
  </w:style>
  <w:style w:type="character" w:customStyle="1" w:styleId="3197">
    <w:name w:val="Char Char543"/>
    <w:qFormat/>
    <w:uiPriority w:val="0"/>
    <w:rPr>
      <w:rFonts w:ascii="Arial" w:hAnsi="Arial" w:eastAsia="黑体"/>
      <w:sz w:val="24"/>
    </w:rPr>
  </w:style>
  <w:style w:type="character" w:customStyle="1" w:styleId="3198">
    <w:name w:val="Char Char573"/>
    <w:qFormat/>
    <w:uiPriority w:val="0"/>
    <w:rPr>
      <w:rFonts w:ascii="宋体" w:hAnsi="Tms Rmn"/>
      <w:b/>
      <w:sz w:val="28"/>
    </w:rPr>
  </w:style>
  <w:style w:type="character" w:customStyle="1" w:styleId="3199">
    <w:name w:val="Char Char613"/>
    <w:qFormat/>
    <w:uiPriority w:val="0"/>
    <w:rPr>
      <w:b/>
      <w:kern w:val="44"/>
      <w:sz w:val="44"/>
    </w:rPr>
  </w:style>
  <w:style w:type="character" w:customStyle="1" w:styleId="3200">
    <w:name w:val="Char Char533"/>
    <w:uiPriority w:val="0"/>
    <w:rPr>
      <w:rFonts w:ascii="Arial" w:hAnsi="Arial" w:eastAsia="黑体"/>
      <w:sz w:val="21"/>
    </w:rPr>
  </w:style>
  <w:style w:type="character" w:customStyle="1" w:styleId="3201">
    <w:name w:val="Char Char593"/>
    <w:qFormat/>
    <w:uiPriority w:val="0"/>
    <w:rPr>
      <w:b/>
      <w:kern w:val="2"/>
      <w:sz w:val="32"/>
    </w:rPr>
  </w:style>
  <w:style w:type="character" w:customStyle="1" w:styleId="3202">
    <w:name w:val="列表编号 5 Char Char"/>
    <w:qFormat/>
    <w:uiPriority w:val="0"/>
    <w:rPr>
      <w:rFonts w:eastAsia="宋体"/>
      <w:kern w:val="2"/>
      <w:sz w:val="24"/>
      <w:szCs w:val="24"/>
      <w:lang w:val="en-US" w:eastAsia="zh-CN" w:bidi="ar-SA"/>
    </w:rPr>
  </w:style>
  <w:style w:type="character" w:customStyle="1" w:styleId="3203">
    <w:name w:val="text21"/>
    <w:qFormat/>
    <w:uiPriority w:val="0"/>
    <w:rPr>
      <w:color w:val="000000"/>
      <w:sz w:val="21"/>
      <w:u w:val="none"/>
    </w:rPr>
  </w:style>
  <w:style w:type="paragraph" w:customStyle="1" w:styleId="3204">
    <w:name w:val="正文文本 32"/>
    <w:basedOn w:val="1"/>
    <w:qFormat/>
    <w:uiPriority w:val="0"/>
    <w:pPr>
      <w:adjustRightInd w:val="0"/>
      <w:textAlignment w:val="baseline"/>
    </w:pPr>
    <w:rPr>
      <w:sz w:val="24"/>
      <w:szCs w:val="20"/>
    </w:rPr>
  </w:style>
  <w:style w:type="paragraph" w:customStyle="1" w:styleId="3205">
    <w:name w:val="Char Char1 Char Char Char Char Char6"/>
    <w:basedOn w:val="1"/>
    <w:qFormat/>
    <w:uiPriority w:val="0"/>
    <w:rPr>
      <w:sz w:val="24"/>
    </w:rPr>
  </w:style>
  <w:style w:type="paragraph" w:customStyle="1" w:styleId="3206">
    <w:name w:val="Char Char Char Char Char Char Char Char Char1 Char Char Char Char8"/>
    <w:basedOn w:val="1"/>
    <w:qFormat/>
    <w:uiPriority w:val="0"/>
    <w:rPr>
      <w:sz w:val="24"/>
    </w:rPr>
  </w:style>
  <w:style w:type="paragraph" w:customStyle="1" w:styleId="3207">
    <w:name w:val="xl20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kern w:val="0"/>
      <w:sz w:val="24"/>
    </w:rPr>
  </w:style>
  <w:style w:type="paragraph" w:customStyle="1" w:styleId="3208">
    <w:name w:val="xl196"/>
    <w:basedOn w:val="1"/>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209">
    <w:name w:val="Char Char1 Char Char Char Char Char Char Char Char Char Char Char Char Char Char Char Char Char Char Char Char1 Char7"/>
    <w:basedOn w:val="1"/>
    <w:qFormat/>
    <w:uiPriority w:val="0"/>
    <w:pPr>
      <w:spacing w:line="360" w:lineRule="auto"/>
      <w:ind w:firstLine="200" w:firstLineChars="200"/>
    </w:pPr>
    <w:rPr>
      <w:rFonts w:ascii="宋体" w:hAnsi="宋体" w:cs="宋体"/>
      <w:sz w:val="24"/>
    </w:rPr>
  </w:style>
  <w:style w:type="paragraph" w:customStyle="1" w:styleId="3210">
    <w:name w:val="批注框文本2"/>
    <w:basedOn w:val="1"/>
    <w:qFormat/>
    <w:uiPriority w:val="0"/>
    <w:rPr>
      <w:sz w:val="18"/>
      <w:szCs w:val="18"/>
    </w:rPr>
  </w:style>
  <w:style w:type="paragraph" w:customStyle="1" w:styleId="3211">
    <w:name w:val="xl200"/>
    <w:basedOn w:val="1"/>
    <w:qFormat/>
    <w:uiPriority w:val="0"/>
    <w:pPr>
      <w:widowControl/>
      <w:pBdr>
        <w:top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212">
    <w:name w:val="xl199"/>
    <w:basedOn w:val="1"/>
    <w:qFormat/>
    <w:uiPriority w:val="0"/>
    <w:pPr>
      <w:widowControl/>
      <w:pBdr>
        <w:top w:val="single" w:color="auto" w:sz="4" w:space="0"/>
      </w:pBdr>
      <w:spacing w:before="100" w:beforeAutospacing="1" w:after="100" w:afterAutospacing="1"/>
      <w:jc w:val="center"/>
      <w:textAlignment w:val="center"/>
    </w:pPr>
    <w:rPr>
      <w:kern w:val="0"/>
      <w:sz w:val="24"/>
    </w:rPr>
  </w:style>
  <w:style w:type="paragraph" w:customStyle="1" w:styleId="3213">
    <w:name w:val="Char46"/>
    <w:basedOn w:val="1"/>
    <w:qFormat/>
    <w:uiPriority w:val="0"/>
    <w:pPr>
      <w:spacing w:line="360" w:lineRule="auto"/>
      <w:ind w:firstLine="200" w:firstLineChars="200"/>
    </w:pPr>
    <w:rPr>
      <w:rFonts w:ascii="宋体" w:hAnsi="宋体" w:cs="宋体"/>
      <w:sz w:val="24"/>
    </w:rPr>
  </w:style>
  <w:style w:type="paragraph" w:customStyle="1" w:styleId="3214">
    <w:name w:val="xl208"/>
    <w:basedOn w:val="1"/>
    <w:qFormat/>
    <w:uiPriority w:val="0"/>
    <w:pPr>
      <w:widowControl/>
      <w:pBdr>
        <w:top w:val="single" w:color="auto" w:sz="4" w:space="0"/>
      </w:pBdr>
      <w:spacing w:before="100" w:beforeAutospacing="1" w:after="100" w:afterAutospacing="1"/>
      <w:jc w:val="center"/>
      <w:textAlignment w:val="center"/>
    </w:pPr>
    <w:rPr>
      <w:color w:val="FF0000"/>
      <w:kern w:val="0"/>
      <w:sz w:val="24"/>
    </w:rPr>
  </w:style>
  <w:style w:type="paragraph" w:customStyle="1" w:styleId="3215">
    <w:name w:val="xl210"/>
    <w:basedOn w:val="1"/>
    <w:uiPriority w:val="0"/>
    <w:pPr>
      <w:widowControl/>
      <w:pBdr>
        <w:left w:val="single" w:color="auto" w:sz="4" w:space="0"/>
      </w:pBdr>
      <w:spacing w:before="100" w:beforeAutospacing="1" w:after="100" w:afterAutospacing="1"/>
      <w:jc w:val="center"/>
      <w:textAlignment w:val="center"/>
    </w:pPr>
    <w:rPr>
      <w:color w:val="FF0000"/>
      <w:kern w:val="0"/>
      <w:sz w:val="24"/>
    </w:rPr>
  </w:style>
  <w:style w:type="paragraph" w:customStyle="1" w:styleId="3216">
    <w:name w:val="z-窗体底端2"/>
    <w:basedOn w:val="1"/>
    <w:next w:val="1"/>
    <w:qFormat/>
    <w:uiPriority w:val="0"/>
    <w:pPr>
      <w:pBdr>
        <w:top w:val="single" w:color="auto" w:sz="6" w:space="1"/>
      </w:pBdr>
      <w:jc w:val="center"/>
    </w:pPr>
    <w:rPr>
      <w:rFonts w:hint="eastAsia" w:ascii="Arial" w:hAnsi="Arial"/>
      <w:vanish/>
      <w:sz w:val="16"/>
      <w:szCs w:val="20"/>
    </w:rPr>
  </w:style>
  <w:style w:type="paragraph" w:customStyle="1" w:styleId="3217">
    <w:name w:val="HTML 预设格式3"/>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3218">
    <w:name w:val="正文文本缩进 23"/>
    <w:basedOn w:val="1"/>
    <w:qFormat/>
    <w:uiPriority w:val="0"/>
    <w:pPr>
      <w:adjustRightInd w:val="0"/>
      <w:spacing w:line="360" w:lineRule="auto"/>
      <w:ind w:firstLine="510"/>
      <w:textAlignment w:val="baseline"/>
    </w:pPr>
    <w:rPr>
      <w:rFonts w:ascii="宋体" w:hAnsi="宋体"/>
      <w:sz w:val="28"/>
      <w:szCs w:val="20"/>
    </w:rPr>
  </w:style>
  <w:style w:type="paragraph" w:customStyle="1" w:styleId="3219">
    <w:name w:val="xl213"/>
    <w:basedOn w:val="1"/>
    <w:qFormat/>
    <w:uiPriority w:val="0"/>
    <w:pPr>
      <w:widowControl/>
      <w:pBdr>
        <w:bottom w:val="single" w:color="auto" w:sz="4" w:space="0"/>
      </w:pBdr>
      <w:spacing w:before="100" w:beforeAutospacing="1" w:after="100" w:afterAutospacing="1"/>
      <w:jc w:val="center"/>
      <w:textAlignment w:val="center"/>
    </w:pPr>
    <w:rPr>
      <w:color w:val="FF0000"/>
      <w:kern w:val="0"/>
      <w:sz w:val="24"/>
    </w:rPr>
  </w:style>
  <w:style w:type="paragraph" w:customStyle="1" w:styleId="3220">
    <w:name w:val="Char Char1 Char6"/>
    <w:basedOn w:val="1"/>
    <w:qFormat/>
    <w:uiPriority w:val="0"/>
    <w:pPr>
      <w:spacing w:line="360" w:lineRule="auto"/>
      <w:ind w:firstLine="200" w:firstLineChars="200"/>
    </w:pPr>
    <w:rPr>
      <w:rFonts w:ascii="宋体" w:hAnsi="宋体" w:cs="宋体"/>
      <w:sz w:val="24"/>
    </w:rPr>
  </w:style>
  <w:style w:type="paragraph" w:customStyle="1" w:styleId="3221">
    <w:name w:val="xl20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3222">
    <w:name w:val="正文6"/>
    <w:basedOn w:val="1"/>
    <w:qFormat/>
    <w:uiPriority w:val="0"/>
    <w:pPr>
      <w:adjustRightInd w:val="0"/>
      <w:spacing w:after="156" w:afterLines="50" w:line="315" w:lineRule="atLeast"/>
      <w:jc w:val="left"/>
      <w:textAlignment w:val="baseline"/>
    </w:pPr>
    <w:rPr>
      <w:rFonts w:ascii="宋体"/>
      <w:kern w:val="0"/>
      <w:szCs w:val="20"/>
    </w:rPr>
  </w:style>
  <w:style w:type="paragraph" w:customStyle="1" w:styleId="3223">
    <w:name w:val="宏文本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3224">
    <w:name w:val="Char Char3 Char Char Char1 Char6"/>
    <w:basedOn w:val="1"/>
    <w:qFormat/>
    <w:uiPriority w:val="0"/>
    <w:rPr>
      <w:szCs w:val="20"/>
    </w:rPr>
  </w:style>
  <w:style w:type="paragraph" w:customStyle="1" w:styleId="3225">
    <w:name w:val="Char Char Char Char Char Char8"/>
    <w:basedOn w:val="1"/>
    <w:qFormat/>
    <w:uiPriority w:val="0"/>
  </w:style>
  <w:style w:type="paragraph" w:customStyle="1" w:styleId="3226">
    <w:name w:val="xl21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color w:val="FF0000"/>
      <w:kern w:val="0"/>
      <w:sz w:val="24"/>
    </w:rPr>
  </w:style>
  <w:style w:type="paragraph" w:customStyle="1" w:styleId="3227">
    <w:name w:val="Char Char16 Char Char6"/>
    <w:basedOn w:val="1"/>
    <w:qFormat/>
    <w:uiPriority w:val="0"/>
    <w:rPr>
      <w:szCs w:val="21"/>
    </w:rPr>
  </w:style>
  <w:style w:type="paragraph" w:customStyle="1" w:styleId="3228">
    <w:name w:val="xl209"/>
    <w:basedOn w:val="1"/>
    <w:qFormat/>
    <w:uiPriority w:val="0"/>
    <w:pPr>
      <w:widowControl/>
      <w:pBdr>
        <w:top w:val="single" w:color="auto" w:sz="4" w:space="0"/>
        <w:right w:val="single" w:color="auto" w:sz="4" w:space="0"/>
      </w:pBdr>
      <w:spacing w:before="100" w:beforeAutospacing="1" w:after="100" w:afterAutospacing="1"/>
      <w:jc w:val="center"/>
      <w:textAlignment w:val="center"/>
    </w:pPr>
    <w:rPr>
      <w:color w:val="FF0000"/>
      <w:kern w:val="0"/>
      <w:sz w:val="24"/>
    </w:rPr>
  </w:style>
  <w:style w:type="paragraph" w:customStyle="1" w:styleId="3229">
    <w:name w:val="日期2"/>
    <w:basedOn w:val="1"/>
    <w:next w:val="1"/>
    <w:qFormat/>
    <w:uiPriority w:val="0"/>
    <w:pPr>
      <w:adjustRightInd w:val="0"/>
      <w:textAlignment w:val="baseline"/>
    </w:pPr>
    <w:rPr>
      <w:sz w:val="24"/>
      <w:szCs w:val="20"/>
    </w:rPr>
  </w:style>
  <w:style w:type="paragraph" w:customStyle="1" w:styleId="3230">
    <w:name w:val="Char16"/>
    <w:basedOn w:val="1"/>
    <w:qFormat/>
    <w:uiPriority w:val="0"/>
    <w:pPr>
      <w:spacing w:line="360" w:lineRule="auto"/>
      <w:ind w:firstLine="200" w:firstLineChars="200"/>
    </w:pPr>
    <w:rPr>
      <w:szCs w:val="20"/>
    </w:rPr>
  </w:style>
  <w:style w:type="paragraph" w:customStyle="1" w:styleId="3231">
    <w:name w:val="正文文本缩进5"/>
    <w:basedOn w:val="1"/>
    <w:qFormat/>
    <w:uiPriority w:val="0"/>
    <w:pPr>
      <w:spacing w:after="120" w:line="440" w:lineRule="exact"/>
      <w:ind w:left="420" w:leftChars="200" w:firstLine="480" w:firstLineChars="200"/>
    </w:pPr>
  </w:style>
  <w:style w:type="paragraph" w:customStyle="1" w:styleId="3232">
    <w:name w:val="z-窗体顶端2"/>
    <w:basedOn w:val="1"/>
    <w:next w:val="1"/>
    <w:qFormat/>
    <w:uiPriority w:val="0"/>
    <w:pPr>
      <w:pBdr>
        <w:bottom w:val="single" w:color="auto" w:sz="6" w:space="1"/>
      </w:pBdr>
      <w:jc w:val="center"/>
    </w:pPr>
    <w:rPr>
      <w:rFonts w:hint="eastAsia" w:ascii="Arial" w:hAnsi="Arial"/>
      <w:vanish/>
      <w:sz w:val="16"/>
      <w:szCs w:val="20"/>
    </w:rPr>
  </w:style>
  <w:style w:type="paragraph" w:customStyle="1" w:styleId="3233">
    <w:name w:val="xl194"/>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234">
    <w:name w:val="电子邮件签名3"/>
    <w:basedOn w:val="1"/>
    <w:qFormat/>
    <w:uiPriority w:val="99"/>
    <w:rPr>
      <w:kern w:val="0"/>
      <w:sz w:val="20"/>
    </w:rPr>
  </w:style>
  <w:style w:type="paragraph" w:customStyle="1" w:styleId="3235">
    <w:name w:val="xl19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236">
    <w:name w:val="Char Char Char Char Char Char Char8"/>
    <w:basedOn w:val="1"/>
    <w:qFormat/>
    <w:uiPriority w:val="0"/>
    <w:pPr>
      <w:spacing w:line="360" w:lineRule="auto"/>
      <w:ind w:firstLine="200" w:firstLineChars="200"/>
    </w:pPr>
    <w:rPr>
      <w:rFonts w:ascii="宋体" w:hAnsi="宋体" w:cs="宋体"/>
      <w:sz w:val="24"/>
    </w:rPr>
  </w:style>
  <w:style w:type="paragraph" w:customStyle="1" w:styleId="3237">
    <w:name w:val="xl19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3238">
    <w:name w:val="xl198"/>
    <w:basedOn w:val="1"/>
    <w:qFormat/>
    <w:uiPriority w:val="0"/>
    <w:pPr>
      <w:widowControl/>
      <w:pBdr>
        <w:top w:val="single" w:color="auto" w:sz="4" w:space="0"/>
        <w:left w:val="single" w:color="auto" w:sz="4" w:space="0"/>
      </w:pBdr>
      <w:spacing w:before="100" w:beforeAutospacing="1" w:after="100" w:afterAutospacing="1"/>
      <w:jc w:val="center"/>
      <w:textAlignment w:val="center"/>
    </w:pPr>
    <w:rPr>
      <w:kern w:val="0"/>
      <w:sz w:val="24"/>
    </w:rPr>
  </w:style>
  <w:style w:type="paragraph" w:customStyle="1" w:styleId="3239">
    <w:name w:val="xl202"/>
    <w:basedOn w:val="1"/>
    <w:qFormat/>
    <w:uiPriority w:val="0"/>
    <w:pPr>
      <w:widowControl/>
      <w:pBdr>
        <w:bottom w:val="single" w:color="auto" w:sz="4" w:space="0"/>
      </w:pBdr>
      <w:spacing w:before="100" w:beforeAutospacing="1" w:after="100" w:afterAutospacing="1"/>
      <w:jc w:val="center"/>
      <w:textAlignment w:val="center"/>
    </w:pPr>
    <w:rPr>
      <w:kern w:val="0"/>
      <w:sz w:val="24"/>
    </w:rPr>
  </w:style>
  <w:style w:type="paragraph" w:customStyle="1" w:styleId="3240">
    <w:name w:val="xl20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241">
    <w:name w:val="Char29"/>
    <w:basedOn w:val="1"/>
    <w:qFormat/>
    <w:uiPriority w:val="0"/>
    <w:rPr>
      <w:sz w:val="24"/>
    </w:rPr>
  </w:style>
  <w:style w:type="paragraph" w:customStyle="1" w:styleId="3242">
    <w:name w:val="xl20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b/>
      <w:bCs/>
      <w:kern w:val="0"/>
      <w:sz w:val="24"/>
    </w:rPr>
  </w:style>
  <w:style w:type="paragraph" w:customStyle="1" w:styleId="3243">
    <w:name w:val="xl205"/>
    <w:basedOn w:val="1"/>
    <w:qFormat/>
    <w:uiPriority w:val="0"/>
    <w:pPr>
      <w:widowControl/>
      <w:pBdr>
        <w:bottom w:val="single" w:color="auto" w:sz="4" w:space="0"/>
      </w:pBdr>
      <w:spacing w:before="100" w:beforeAutospacing="1" w:after="100" w:afterAutospacing="1"/>
      <w:jc w:val="center"/>
      <w:textAlignment w:val="center"/>
    </w:pPr>
    <w:rPr>
      <w:b/>
      <w:bCs/>
      <w:kern w:val="0"/>
      <w:sz w:val="24"/>
    </w:rPr>
  </w:style>
  <w:style w:type="paragraph" w:customStyle="1" w:styleId="3244">
    <w:name w:val="xl207"/>
    <w:basedOn w:val="1"/>
    <w:qFormat/>
    <w:uiPriority w:val="0"/>
    <w:pPr>
      <w:widowControl/>
      <w:pBdr>
        <w:top w:val="single" w:color="auto" w:sz="4" w:space="0"/>
        <w:left w:val="single" w:color="auto" w:sz="4" w:space="0"/>
      </w:pBdr>
      <w:spacing w:before="100" w:beforeAutospacing="1" w:after="100" w:afterAutospacing="1"/>
      <w:jc w:val="center"/>
      <w:textAlignment w:val="center"/>
    </w:pPr>
    <w:rPr>
      <w:color w:val="FF0000"/>
      <w:kern w:val="0"/>
      <w:sz w:val="24"/>
    </w:rPr>
  </w:style>
  <w:style w:type="paragraph" w:customStyle="1" w:styleId="3245">
    <w:name w:val="xl211"/>
    <w:basedOn w:val="1"/>
    <w:qFormat/>
    <w:uiPriority w:val="0"/>
    <w:pPr>
      <w:widowControl/>
      <w:pBdr>
        <w:right w:val="single" w:color="auto" w:sz="4" w:space="0"/>
      </w:pBdr>
      <w:spacing w:before="100" w:beforeAutospacing="1" w:after="100" w:afterAutospacing="1"/>
      <w:jc w:val="center"/>
      <w:textAlignment w:val="center"/>
    </w:pPr>
    <w:rPr>
      <w:color w:val="FF0000"/>
      <w:kern w:val="0"/>
      <w:sz w:val="24"/>
    </w:rPr>
  </w:style>
  <w:style w:type="paragraph" w:customStyle="1" w:styleId="3246">
    <w:name w:val="xl21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color w:val="FF0000"/>
      <w:kern w:val="0"/>
      <w:sz w:val="24"/>
    </w:rPr>
  </w:style>
  <w:style w:type="paragraph" w:customStyle="1" w:styleId="3247">
    <w:name w:val="Char Char Char Char Char Char1 Char Char Char1 Char Char Char1 Char Char Char Char Char Char Char Char Char Char6"/>
    <w:basedOn w:val="1"/>
    <w:next w:val="1"/>
    <w:qFormat/>
    <w:uiPriority w:val="0"/>
    <w:pPr>
      <w:spacing w:line="360" w:lineRule="auto"/>
      <w:ind w:firstLine="200" w:firstLineChars="200"/>
    </w:pPr>
    <w:rPr>
      <w:rFonts w:ascii="宋体" w:hAnsi="宋体" w:cs="宋体"/>
      <w:sz w:val="24"/>
    </w:rPr>
  </w:style>
  <w:style w:type="paragraph" w:customStyle="1" w:styleId="3248">
    <w:name w:val="xl215"/>
    <w:basedOn w:val="1"/>
    <w:qFormat/>
    <w:uiPriority w:val="0"/>
    <w:pPr>
      <w:widowControl/>
      <w:pBdr>
        <w:left w:val="single" w:color="auto" w:sz="4" w:space="0"/>
      </w:pBdr>
      <w:spacing w:before="100" w:beforeAutospacing="1" w:after="100" w:afterAutospacing="1"/>
      <w:jc w:val="center"/>
      <w:textAlignment w:val="center"/>
    </w:pPr>
    <w:rPr>
      <w:color w:val="FF0000"/>
      <w:kern w:val="0"/>
      <w:sz w:val="24"/>
    </w:rPr>
  </w:style>
  <w:style w:type="paragraph" w:customStyle="1" w:styleId="3249">
    <w:name w:val="xl216"/>
    <w:basedOn w:val="1"/>
    <w:qFormat/>
    <w:uiPriority w:val="0"/>
    <w:pPr>
      <w:widowControl/>
      <w:pBdr>
        <w:right w:val="single" w:color="auto" w:sz="4" w:space="0"/>
      </w:pBdr>
      <w:spacing w:before="100" w:beforeAutospacing="1" w:after="100" w:afterAutospacing="1"/>
      <w:jc w:val="center"/>
      <w:textAlignment w:val="center"/>
    </w:pPr>
    <w:rPr>
      <w:color w:val="FF0000"/>
      <w:kern w:val="0"/>
      <w:sz w:val="24"/>
    </w:rPr>
  </w:style>
  <w:style w:type="paragraph" w:customStyle="1" w:styleId="3250">
    <w:name w:val="明显引用3"/>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3251">
    <w:name w:val="正文首行缩进 22"/>
    <w:basedOn w:val="1"/>
    <w:qFormat/>
    <w:uiPriority w:val="0"/>
    <w:pPr>
      <w:spacing w:after="120"/>
      <w:ind w:left="420" w:leftChars="200" w:firstLine="420" w:firstLineChars="200"/>
    </w:pPr>
    <w:rPr>
      <w:rFonts w:ascii="Arial" w:hAnsi="Arial" w:cs="Courier New"/>
      <w:snapToGrid w:val="0"/>
      <w:sz w:val="28"/>
      <w:szCs w:val="32"/>
    </w:rPr>
  </w:style>
  <w:style w:type="paragraph" w:customStyle="1" w:styleId="3252">
    <w:name w:val="正文7"/>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3253">
    <w:name w:val="文档结构图2"/>
    <w:basedOn w:val="1"/>
    <w:qFormat/>
    <w:uiPriority w:val="0"/>
    <w:pPr>
      <w:spacing w:line="440" w:lineRule="exact"/>
      <w:ind w:firstLine="480" w:firstLineChars="200"/>
    </w:pPr>
    <w:rPr>
      <w:rFonts w:ascii="宋体"/>
      <w:color w:val="000000"/>
      <w:kern w:val="0"/>
      <w:sz w:val="18"/>
      <w:szCs w:val="18"/>
    </w:rPr>
  </w:style>
  <w:style w:type="paragraph" w:customStyle="1" w:styleId="3254">
    <w:name w:val="Char Char Char Char Char Char Char Char Char Char Char Char1 Char Char Char Char Char Char Char Char Char Char Char Char Char Char Char Char Char Char Char6"/>
    <w:basedOn w:val="1"/>
    <w:qFormat/>
    <w:uiPriority w:val="0"/>
    <w:pPr>
      <w:spacing w:line="360" w:lineRule="auto"/>
      <w:ind w:firstLine="200" w:firstLineChars="200"/>
    </w:pPr>
    <w:rPr>
      <w:rFonts w:ascii="Calibri" w:hAnsi="Calibri"/>
      <w:szCs w:val="20"/>
    </w:rPr>
  </w:style>
  <w:style w:type="paragraph" w:customStyle="1" w:styleId="3255">
    <w:name w:val="Char Char Char Char Char Char Char Char Char Char6"/>
    <w:basedOn w:val="1"/>
    <w:qFormat/>
    <w:uiPriority w:val="0"/>
    <w:pPr>
      <w:spacing w:line="360" w:lineRule="auto"/>
      <w:ind w:firstLine="200" w:firstLineChars="200"/>
    </w:pPr>
    <w:rPr>
      <w:sz w:val="24"/>
      <w:szCs w:val="20"/>
    </w:rPr>
  </w:style>
  <w:style w:type="paragraph" w:customStyle="1" w:styleId="3256">
    <w:name w:val="字元 字元 Char Char 字元 字元16"/>
    <w:basedOn w:val="1"/>
    <w:qFormat/>
    <w:uiPriority w:val="0"/>
    <w:rPr>
      <w:sz w:val="24"/>
    </w:rPr>
  </w:style>
  <w:style w:type="paragraph" w:customStyle="1" w:styleId="3257">
    <w:name w:val="Char Char Char Char9"/>
    <w:basedOn w:val="1"/>
    <w:qFormat/>
    <w:uiPriority w:val="0"/>
    <w:rPr>
      <w:sz w:val="24"/>
      <w:szCs w:val="20"/>
    </w:rPr>
  </w:style>
  <w:style w:type="paragraph" w:customStyle="1" w:styleId="3258">
    <w:name w:val="称呼2"/>
    <w:basedOn w:val="1"/>
    <w:next w:val="1"/>
    <w:qFormat/>
    <w:uiPriority w:val="99"/>
    <w:rPr>
      <w:kern w:val="0"/>
      <w:sz w:val="20"/>
    </w:rPr>
  </w:style>
  <w:style w:type="paragraph" w:customStyle="1" w:styleId="3259">
    <w:name w:val="普通(网站)2"/>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3260">
    <w:name w:val="HTML 地址3"/>
    <w:basedOn w:val="1"/>
    <w:qFormat/>
    <w:uiPriority w:val="99"/>
    <w:rPr>
      <w:i/>
      <w:iCs/>
      <w:kern w:val="0"/>
      <w:sz w:val="20"/>
    </w:rPr>
  </w:style>
  <w:style w:type="paragraph" w:customStyle="1" w:styleId="3261">
    <w:name w:val="正文8"/>
    <w:basedOn w:val="34"/>
    <w:qFormat/>
    <w:uiPriority w:val="0"/>
    <w:pPr>
      <w:spacing w:line="240" w:lineRule="auto"/>
    </w:pPr>
    <w:rPr>
      <w:rFonts w:ascii="Times New Roman" w:hAnsi="Times New Roman" w:cs="Times New Roman"/>
    </w:rPr>
  </w:style>
  <w:style w:type="paragraph" w:customStyle="1" w:styleId="3262">
    <w:name w:val="结束语2"/>
    <w:basedOn w:val="1"/>
    <w:qFormat/>
    <w:uiPriority w:val="0"/>
    <w:pPr>
      <w:ind w:left="100" w:leftChars="2100"/>
    </w:pPr>
  </w:style>
  <w:style w:type="paragraph" w:customStyle="1" w:styleId="3263">
    <w:name w:val="批注主题3"/>
    <w:basedOn w:val="28"/>
    <w:next w:val="28"/>
    <w:qFormat/>
    <w:uiPriority w:val="0"/>
    <w:rPr>
      <w:rFonts w:ascii="宋体" w:hAnsi="宋体" w:eastAsia="Times New Roman"/>
      <w:b/>
      <w:bCs/>
      <w:sz w:val="28"/>
    </w:rPr>
  </w:style>
  <w:style w:type="paragraph" w:customStyle="1" w:styleId="3264">
    <w:name w:val="无间隔2"/>
    <w:qFormat/>
    <w:uiPriority w:val="0"/>
    <w:pPr>
      <w:widowControl w:val="0"/>
      <w:jc w:val="both"/>
    </w:pPr>
    <w:rPr>
      <w:rFonts w:ascii="Calibri" w:hAnsi="Calibri" w:eastAsia="宋体" w:cs="Calibri"/>
      <w:kern w:val="2"/>
      <w:sz w:val="21"/>
      <w:szCs w:val="21"/>
      <w:lang w:val="en-US" w:eastAsia="zh-CN" w:bidi="ar-SA"/>
    </w:rPr>
  </w:style>
  <w:style w:type="paragraph" w:customStyle="1" w:styleId="3265">
    <w:name w:val="Char Char Char Char Char Char Char Char Char Char Char Char Char6"/>
    <w:basedOn w:val="1"/>
    <w:qFormat/>
    <w:uiPriority w:val="0"/>
  </w:style>
  <w:style w:type="paragraph" w:customStyle="1" w:styleId="3266">
    <w:name w:val="Char Char Char Char Char Char1 Char6"/>
    <w:basedOn w:val="1"/>
    <w:qFormat/>
    <w:uiPriority w:val="0"/>
    <w:pPr>
      <w:spacing w:line="360" w:lineRule="auto"/>
      <w:ind w:firstLine="200" w:firstLineChars="200"/>
    </w:pPr>
    <w:rPr>
      <w:rFonts w:ascii="宋体" w:hAnsi="宋体" w:cs="宋体"/>
      <w:sz w:val="24"/>
    </w:rPr>
  </w:style>
  <w:style w:type="paragraph" w:customStyle="1" w:styleId="3267">
    <w:name w:val="签名2"/>
    <w:basedOn w:val="1"/>
    <w:qFormat/>
    <w:uiPriority w:val="0"/>
    <w:pPr>
      <w:ind w:left="100" w:leftChars="2100"/>
    </w:pPr>
  </w:style>
  <w:style w:type="paragraph" w:customStyle="1" w:styleId="3268">
    <w:name w:val="纯文本5"/>
    <w:basedOn w:val="1"/>
    <w:qFormat/>
    <w:uiPriority w:val="0"/>
    <w:pPr>
      <w:adjustRightInd w:val="0"/>
      <w:jc w:val="left"/>
      <w:textAlignment w:val="baseline"/>
    </w:pPr>
    <w:rPr>
      <w:rFonts w:ascii="宋体"/>
      <w:kern w:val="0"/>
      <w:sz w:val="24"/>
      <w:szCs w:val="20"/>
    </w:rPr>
  </w:style>
  <w:style w:type="paragraph" w:customStyle="1" w:styleId="3269">
    <w:name w:val="索引 43"/>
    <w:basedOn w:val="1"/>
    <w:next w:val="1"/>
    <w:qFormat/>
    <w:uiPriority w:val="0"/>
    <w:pPr>
      <w:ind w:left="600" w:leftChars="600"/>
    </w:pPr>
  </w:style>
  <w:style w:type="paragraph" w:customStyle="1" w:styleId="3270">
    <w:name w:val="Char8"/>
    <w:basedOn w:val="1"/>
    <w:qFormat/>
    <w:uiPriority w:val="0"/>
  </w:style>
  <w:style w:type="paragraph" w:customStyle="1" w:styleId="3271">
    <w:name w:val="Char Char Char1 Char5"/>
    <w:basedOn w:val="1"/>
    <w:qFormat/>
    <w:uiPriority w:val="0"/>
  </w:style>
  <w:style w:type="paragraph" w:customStyle="1" w:styleId="3272">
    <w:name w:val="Char Char2 Char Char Char Char6"/>
    <w:basedOn w:val="1"/>
    <w:qFormat/>
    <w:uiPriority w:val="0"/>
    <w:rPr>
      <w:sz w:val="30"/>
      <w:szCs w:val="30"/>
    </w:rPr>
  </w:style>
  <w:style w:type="paragraph" w:customStyle="1" w:styleId="3273">
    <w:name w:val="InstÀÀll8"/>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274">
    <w:name w:val="Char Char Char2 Char6"/>
    <w:basedOn w:val="1"/>
    <w:qFormat/>
    <w:uiPriority w:val="0"/>
    <w:pPr>
      <w:spacing w:line="360" w:lineRule="auto"/>
      <w:ind w:firstLine="200" w:firstLineChars="200"/>
    </w:pPr>
    <w:rPr>
      <w:rFonts w:ascii="宋体" w:hAnsi="宋体" w:cs="宋体"/>
      <w:sz w:val="24"/>
    </w:rPr>
  </w:style>
  <w:style w:type="paragraph" w:customStyle="1" w:styleId="3275">
    <w:name w:val="Char1 Char Char Char6"/>
    <w:basedOn w:val="1"/>
    <w:qFormat/>
    <w:uiPriority w:val="0"/>
    <w:pPr>
      <w:spacing w:line="360" w:lineRule="auto"/>
      <w:ind w:firstLine="200" w:firstLineChars="200"/>
    </w:pPr>
    <w:rPr>
      <w:rFonts w:ascii="宋体" w:hAnsi="宋体" w:cs="宋体"/>
      <w:sz w:val="24"/>
    </w:rPr>
  </w:style>
  <w:style w:type="paragraph" w:customStyle="1" w:styleId="3276">
    <w:name w:val="Char Char1 Char Char Char Char6"/>
    <w:basedOn w:val="1"/>
    <w:qFormat/>
    <w:uiPriority w:val="0"/>
    <w:rPr>
      <w:sz w:val="24"/>
    </w:rPr>
  </w:style>
  <w:style w:type="paragraph" w:customStyle="1" w:styleId="3277">
    <w:name w:val="Char Char1 Char Char Char Char Char Char Char6"/>
    <w:basedOn w:val="1"/>
    <w:qFormat/>
    <w:uiPriority w:val="0"/>
    <w:rPr>
      <w:szCs w:val="20"/>
    </w:rPr>
  </w:style>
  <w:style w:type="paragraph" w:customStyle="1" w:styleId="3278">
    <w:name w:val="Char Char Char Char26"/>
    <w:basedOn w:val="1"/>
    <w:qFormat/>
    <w:uiPriority w:val="0"/>
    <w:rPr>
      <w:sz w:val="24"/>
    </w:rPr>
  </w:style>
  <w:style w:type="paragraph" w:customStyle="1" w:styleId="3279">
    <w:name w:val="Char Char Char Char Char Char1 Char Char Char Char6"/>
    <w:basedOn w:val="1"/>
    <w:qFormat/>
    <w:uiPriority w:val="0"/>
    <w:rPr>
      <w:sz w:val="24"/>
    </w:rPr>
  </w:style>
  <w:style w:type="paragraph" w:customStyle="1" w:styleId="3280">
    <w:name w:val="Char Char2 Char Char Char Char Char Char8"/>
    <w:basedOn w:val="1"/>
    <w:qFormat/>
    <w:uiPriority w:val="0"/>
    <w:pPr>
      <w:spacing w:line="360" w:lineRule="auto"/>
    </w:pPr>
    <w:rPr>
      <w:rFonts w:ascii="宋体" w:hAnsi="宋体"/>
      <w:sz w:val="22"/>
    </w:rPr>
  </w:style>
  <w:style w:type="paragraph" w:customStyle="1" w:styleId="3281">
    <w:name w:val="Char Char Char Char Char Char Char Char Char Char Char Char1 Char Char Char Char Char Char Char Char Char Char Char Char Char Char Char Char Char Char1 Char Char Char1 Char Char Char Char Char Char Char Char6"/>
    <w:basedOn w:val="1"/>
    <w:qFormat/>
    <w:uiPriority w:val="0"/>
    <w:pPr>
      <w:widowControl/>
      <w:spacing w:after="160" w:line="240" w:lineRule="exact"/>
      <w:jc w:val="left"/>
    </w:pPr>
    <w:rPr>
      <w:rFonts w:ascii="Verdana" w:hAnsi="Verdana"/>
      <w:kern w:val="0"/>
      <w:sz w:val="20"/>
      <w:szCs w:val="20"/>
      <w:lang w:eastAsia="en-US"/>
    </w:rPr>
  </w:style>
  <w:style w:type="paragraph" w:customStyle="1" w:styleId="3282">
    <w:name w:val="Char Char2 Char6"/>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3283">
    <w:name w:val="Char Char Char1 Char Char Char Char6"/>
    <w:basedOn w:val="1"/>
    <w:next w:val="1"/>
    <w:qFormat/>
    <w:uiPriority w:val="0"/>
    <w:pPr>
      <w:spacing w:line="360" w:lineRule="auto"/>
      <w:ind w:firstLine="200" w:firstLineChars="200"/>
    </w:pPr>
    <w:rPr>
      <w:rFonts w:ascii="宋体" w:hAnsi="宋体" w:eastAsia="汉鼎简书宋" w:cs="宋体"/>
      <w:sz w:val="24"/>
    </w:rPr>
  </w:style>
  <w:style w:type="paragraph" w:customStyle="1" w:styleId="3284">
    <w:name w:val="Char Char Char Char Char Char Char Char Char5"/>
    <w:basedOn w:val="1"/>
    <w:qFormat/>
    <w:uiPriority w:val="0"/>
  </w:style>
  <w:style w:type="paragraph" w:customStyle="1" w:styleId="3285">
    <w:name w:val="Char Char Char Char Char Char Char Char Char Char Char Char Char Char Char Char Char Char Char Char Char Char Char Char Char Char Char Char Char Char Char Char Char Char Char Char Char Char Char Char Char Char5"/>
    <w:basedOn w:val="1"/>
    <w:semiHidden/>
    <w:qFormat/>
    <w:uiPriority w:val="0"/>
  </w:style>
  <w:style w:type="paragraph" w:customStyle="1" w:styleId="3286">
    <w:name w:val="Char2 Char Char Char Char Char Char6"/>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287">
    <w:name w:val="正文首行缩进2"/>
    <w:basedOn w:val="34"/>
    <w:qFormat/>
    <w:uiPriority w:val="0"/>
    <w:pPr>
      <w:adjustRightInd w:val="0"/>
      <w:spacing w:after="120" w:line="240" w:lineRule="auto"/>
      <w:ind w:firstLine="420"/>
      <w:textAlignment w:val="baseline"/>
    </w:pPr>
    <w:rPr>
      <w:rFonts w:ascii="Times New Roman" w:hAnsi="Times New Roman" w:cs="宋体"/>
      <w:szCs w:val="20"/>
    </w:rPr>
  </w:style>
  <w:style w:type="paragraph" w:customStyle="1" w:styleId="3288">
    <w:name w:val="Char Char Char Char Char Char1 Char Char Char1 Char6"/>
    <w:basedOn w:val="1"/>
    <w:qFormat/>
    <w:uiPriority w:val="0"/>
    <w:pPr>
      <w:widowControl/>
      <w:spacing w:after="160" w:line="240" w:lineRule="exact"/>
      <w:jc w:val="left"/>
    </w:pPr>
    <w:rPr>
      <w:rFonts w:ascii="Verdana" w:hAnsi="Verdana"/>
      <w:kern w:val="0"/>
      <w:sz w:val="20"/>
      <w:szCs w:val="20"/>
      <w:lang w:eastAsia="en-US"/>
    </w:rPr>
  </w:style>
  <w:style w:type="paragraph" w:customStyle="1" w:styleId="3289">
    <w:name w:val="信息标题3"/>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3290">
    <w:name w:val="正文缩进4"/>
    <w:basedOn w:val="1"/>
    <w:qFormat/>
    <w:uiPriority w:val="0"/>
    <w:pPr>
      <w:ind w:firstLine="420"/>
    </w:pPr>
    <w:rPr>
      <w:color w:val="000000"/>
      <w:sz w:val="24"/>
      <w:szCs w:val="15"/>
    </w:rPr>
  </w:style>
  <w:style w:type="paragraph" w:customStyle="1" w:styleId="3291">
    <w:name w:val="索引 92"/>
    <w:basedOn w:val="1"/>
    <w:next w:val="1"/>
    <w:qFormat/>
    <w:uiPriority w:val="0"/>
    <w:pPr>
      <w:ind w:left="1600" w:leftChars="1600"/>
    </w:pPr>
  </w:style>
  <w:style w:type="paragraph" w:customStyle="1" w:styleId="3292">
    <w:name w:val="列表 22"/>
    <w:basedOn w:val="1"/>
    <w:qFormat/>
    <w:uiPriority w:val="0"/>
    <w:pPr>
      <w:ind w:left="100" w:leftChars="200" w:hanging="200" w:hangingChars="200"/>
    </w:pPr>
  </w:style>
  <w:style w:type="paragraph" w:customStyle="1" w:styleId="3293">
    <w:name w:val="索引 52"/>
    <w:basedOn w:val="1"/>
    <w:next w:val="1"/>
    <w:qFormat/>
    <w:uiPriority w:val="0"/>
    <w:pPr>
      <w:ind w:left="800" w:leftChars="800"/>
    </w:pPr>
  </w:style>
  <w:style w:type="paragraph" w:customStyle="1" w:styleId="3294">
    <w:name w:val="索引 13"/>
    <w:basedOn w:val="1"/>
    <w:next w:val="1"/>
    <w:qFormat/>
    <w:uiPriority w:val="0"/>
    <w:pPr>
      <w:ind w:left="210" w:hanging="210"/>
      <w:jc w:val="left"/>
    </w:pPr>
  </w:style>
  <w:style w:type="paragraph" w:customStyle="1" w:styleId="3295">
    <w:name w:val="列表接续3"/>
    <w:basedOn w:val="1"/>
    <w:qFormat/>
    <w:uiPriority w:val="0"/>
    <w:pPr>
      <w:spacing w:after="120"/>
      <w:ind w:left="420" w:leftChars="200"/>
    </w:pPr>
  </w:style>
  <w:style w:type="paragraph" w:customStyle="1" w:styleId="3296">
    <w:name w:val="列表编号 33"/>
    <w:basedOn w:val="1"/>
    <w:qFormat/>
    <w:uiPriority w:val="0"/>
    <w:pPr>
      <w:tabs>
        <w:tab w:val="left" w:pos="780"/>
        <w:tab w:val="left" w:pos="1200"/>
      </w:tabs>
      <w:ind w:left="780" w:hanging="360"/>
    </w:pPr>
  </w:style>
  <w:style w:type="paragraph" w:customStyle="1" w:styleId="3297">
    <w:name w:val="索引 83"/>
    <w:basedOn w:val="1"/>
    <w:next w:val="1"/>
    <w:qFormat/>
    <w:uiPriority w:val="0"/>
    <w:pPr>
      <w:ind w:left="1400" w:leftChars="1400"/>
    </w:pPr>
  </w:style>
  <w:style w:type="paragraph" w:customStyle="1" w:styleId="3298">
    <w:name w:val="列表编号 23"/>
    <w:basedOn w:val="1"/>
    <w:qFormat/>
    <w:uiPriority w:val="0"/>
    <w:pPr>
      <w:tabs>
        <w:tab w:val="left" w:pos="780"/>
        <w:tab w:val="left" w:pos="1200"/>
      </w:tabs>
      <w:ind w:left="1200" w:hanging="360"/>
    </w:pPr>
  </w:style>
  <w:style w:type="paragraph" w:customStyle="1" w:styleId="3299">
    <w:name w:val="索引 23"/>
    <w:basedOn w:val="1"/>
    <w:next w:val="1"/>
    <w:qFormat/>
    <w:uiPriority w:val="0"/>
    <w:pPr>
      <w:ind w:left="200" w:leftChars="200"/>
    </w:pPr>
  </w:style>
  <w:style w:type="paragraph" w:customStyle="1" w:styleId="3300">
    <w:name w:val="列表接续 23"/>
    <w:basedOn w:val="1"/>
    <w:qFormat/>
    <w:uiPriority w:val="0"/>
    <w:pPr>
      <w:spacing w:after="120"/>
      <w:ind w:left="840" w:leftChars="400"/>
    </w:pPr>
  </w:style>
  <w:style w:type="paragraph" w:customStyle="1" w:styleId="3301">
    <w:name w:val="收信人地址3"/>
    <w:basedOn w:val="1"/>
    <w:qFormat/>
    <w:uiPriority w:val="0"/>
    <w:pPr>
      <w:snapToGrid w:val="0"/>
      <w:ind w:left="100" w:leftChars="1400"/>
    </w:pPr>
    <w:rPr>
      <w:rFonts w:ascii="Arial" w:hAnsi="Arial" w:cs="Arial"/>
      <w:sz w:val="24"/>
    </w:rPr>
  </w:style>
  <w:style w:type="paragraph" w:customStyle="1" w:styleId="3302">
    <w:name w:val="索引 33"/>
    <w:basedOn w:val="1"/>
    <w:next w:val="1"/>
    <w:qFormat/>
    <w:uiPriority w:val="0"/>
    <w:pPr>
      <w:ind w:left="400" w:leftChars="400"/>
    </w:pPr>
  </w:style>
  <w:style w:type="paragraph" w:customStyle="1" w:styleId="3303">
    <w:name w:val="列表 53"/>
    <w:basedOn w:val="1"/>
    <w:qFormat/>
    <w:uiPriority w:val="0"/>
    <w:pPr>
      <w:ind w:left="100" w:leftChars="800" w:hanging="200" w:hangingChars="200"/>
    </w:pPr>
  </w:style>
  <w:style w:type="paragraph" w:customStyle="1" w:styleId="3304">
    <w:name w:val="索引 63"/>
    <w:basedOn w:val="1"/>
    <w:next w:val="1"/>
    <w:qFormat/>
    <w:uiPriority w:val="0"/>
    <w:pPr>
      <w:ind w:left="1000" w:leftChars="1000"/>
    </w:pPr>
  </w:style>
  <w:style w:type="paragraph" w:customStyle="1" w:styleId="3305">
    <w:name w:val="列表接续 42"/>
    <w:basedOn w:val="1"/>
    <w:qFormat/>
    <w:uiPriority w:val="0"/>
    <w:pPr>
      <w:spacing w:after="120"/>
      <w:ind w:left="1680" w:leftChars="800"/>
    </w:pPr>
  </w:style>
  <w:style w:type="paragraph" w:customStyle="1" w:styleId="3306">
    <w:name w:val="引文目录2"/>
    <w:basedOn w:val="1"/>
    <w:next w:val="1"/>
    <w:qFormat/>
    <w:uiPriority w:val="0"/>
    <w:pPr>
      <w:ind w:left="420" w:leftChars="200"/>
    </w:pPr>
  </w:style>
  <w:style w:type="paragraph" w:customStyle="1" w:styleId="3307">
    <w:name w:val="列表接续 32"/>
    <w:basedOn w:val="1"/>
    <w:qFormat/>
    <w:uiPriority w:val="0"/>
    <w:pPr>
      <w:spacing w:after="120"/>
      <w:ind w:left="1260" w:leftChars="600"/>
    </w:pPr>
  </w:style>
  <w:style w:type="paragraph" w:customStyle="1" w:styleId="3308">
    <w:name w:val="索引标题3"/>
    <w:basedOn w:val="1"/>
    <w:next w:val="3294"/>
    <w:qFormat/>
    <w:uiPriority w:val="0"/>
    <w:rPr>
      <w:rFonts w:ascii="Arial" w:hAnsi="Arial" w:cs="Arial"/>
      <w:b/>
      <w:bCs/>
    </w:rPr>
  </w:style>
  <w:style w:type="paragraph" w:customStyle="1" w:styleId="3309">
    <w:name w:val="列表接续 52"/>
    <w:basedOn w:val="1"/>
    <w:qFormat/>
    <w:uiPriority w:val="0"/>
    <w:pPr>
      <w:spacing w:after="120"/>
      <w:ind w:left="2100" w:leftChars="1000"/>
    </w:pPr>
  </w:style>
  <w:style w:type="paragraph" w:customStyle="1" w:styleId="3310">
    <w:name w:val="列表 42"/>
    <w:basedOn w:val="1"/>
    <w:qFormat/>
    <w:uiPriority w:val="0"/>
    <w:pPr>
      <w:ind w:left="100" w:leftChars="600" w:hanging="200" w:hangingChars="200"/>
    </w:pPr>
  </w:style>
  <w:style w:type="paragraph" w:customStyle="1" w:styleId="3311">
    <w:name w:val="列表编号 43"/>
    <w:basedOn w:val="1"/>
    <w:qFormat/>
    <w:uiPriority w:val="0"/>
    <w:pPr>
      <w:tabs>
        <w:tab w:val="left" w:pos="360"/>
        <w:tab w:val="left" w:pos="1620"/>
      </w:tabs>
      <w:ind w:left="360" w:hanging="360"/>
    </w:pPr>
  </w:style>
  <w:style w:type="paragraph" w:customStyle="1" w:styleId="3312">
    <w:name w:val="寄信人地址3"/>
    <w:basedOn w:val="1"/>
    <w:qFormat/>
    <w:uiPriority w:val="0"/>
    <w:pPr>
      <w:snapToGrid w:val="0"/>
    </w:pPr>
    <w:rPr>
      <w:rFonts w:ascii="Arial" w:hAnsi="Arial" w:cs="Arial"/>
    </w:rPr>
  </w:style>
  <w:style w:type="paragraph" w:customStyle="1" w:styleId="3313">
    <w:name w:val="列表编号 53"/>
    <w:basedOn w:val="1"/>
    <w:qFormat/>
    <w:uiPriority w:val="0"/>
    <w:pPr>
      <w:tabs>
        <w:tab w:val="left" w:pos="2040"/>
      </w:tabs>
      <w:ind w:left="2040" w:hanging="360"/>
    </w:pPr>
  </w:style>
  <w:style w:type="paragraph" w:customStyle="1" w:styleId="3314">
    <w:name w:val="索引 73"/>
    <w:basedOn w:val="1"/>
    <w:next w:val="1"/>
    <w:qFormat/>
    <w:uiPriority w:val="0"/>
    <w:pPr>
      <w:ind w:left="1200" w:leftChars="1200"/>
    </w:pPr>
  </w:style>
  <w:style w:type="paragraph" w:customStyle="1" w:styleId="3315">
    <w:name w:val="图表目录2"/>
    <w:basedOn w:val="1"/>
    <w:next w:val="1"/>
    <w:qFormat/>
    <w:uiPriority w:val="0"/>
    <w:pPr>
      <w:ind w:left="200" w:leftChars="200" w:hanging="200" w:hangingChars="200"/>
    </w:pPr>
  </w:style>
  <w:style w:type="paragraph" w:customStyle="1" w:styleId="3316">
    <w:name w:val="引文目录标题3"/>
    <w:basedOn w:val="1"/>
    <w:next w:val="1"/>
    <w:qFormat/>
    <w:uiPriority w:val="0"/>
    <w:pPr>
      <w:spacing w:before="120"/>
    </w:pPr>
    <w:rPr>
      <w:rFonts w:ascii="Arial" w:hAnsi="Arial" w:cs="Arial"/>
      <w:sz w:val="24"/>
    </w:rPr>
  </w:style>
  <w:style w:type="paragraph" w:customStyle="1" w:styleId="3317">
    <w:name w:val="列表 32"/>
    <w:basedOn w:val="1"/>
    <w:qFormat/>
    <w:uiPriority w:val="0"/>
    <w:pPr>
      <w:ind w:left="100" w:leftChars="400" w:hanging="200" w:hangingChars="200"/>
    </w:pPr>
  </w:style>
  <w:style w:type="paragraph" w:customStyle="1" w:styleId="3318">
    <w:name w:val="Char1 Char Char Char Char Char1 Char16"/>
    <w:basedOn w:val="1"/>
    <w:qFormat/>
    <w:uiPriority w:val="0"/>
    <w:rPr>
      <w:szCs w:val="21"/>
    </w:rPr>
  </w:style>
  <w:style w:type="paragraph" w:customStyle="1" w:styleId="3319">
    <w:name w:val="字元6"/>
    <w:basedOn w:val="1"/>
    <w:qFormat/>
    <w:uiPriority w:val="0"/>
    <w:rPr>
      <w:sz w:val="24"/>
    </w:rPr>
  </w:style>
  <w:style w:type="paragraph" w:customStyle="1" w:styleId="3320">
    <w:name w:val="Char3 Char Char Char Char Char Char6"/>
    <w:basedOn w:val="1"/>
    <w:qFormat/>
    <w:uiPriority w:val="0"/>
    <w:rPr>
      <w:szCs w:val="21"/>
    </w:rPr>
  </w:style>
  <w:style w:type="paragraph" w:customStyle="1" w:styleId="3321">
    <w:name w:val="列出段落4"/>
    <w:basedOn w:val="1"/>
    <w:qFormat/>
    <w:uiPriority w:val="99"/>
    <w:pPr>
      <w:adjustRightInd w:val="0"/>
      <w:snapToGrid w:val="0"/>
      <w:spacing w:line="360" w:lineRule="auto"/>
      <w:ind w:firstLine="420" w:firstLineChars="200"/>
    </w:pPr>
    <w:rPr>
      <w:rFonts w:ascii="仿宋_GB2312" w:hAnsi="仿宋_GB2312" w:eastAsia="仿宋_GB2312"/>
      <w:sz w:val="28"/>
      <w:szCs w:val="20"/>
    </w:rPr>
  </w:style>
  <w:style w:type="paragraph" w:customStyle="1" w:styleId="3322">
    <w:name w:val="Char Char20 Char Char Char Char Char Char Char Char6"/>
    <w:basedOn w:val="1"/>
    <w:qFormat/>
    <w:uiPriority w:val="0"/>
    <w:pPr>
      <w:widowControl/>
      <w:jc w:val="left"/>
    </w:pPr>
    <w:rPr>
      <w:rFonts w:ascii="宋体"/>
      <w:kern w:val="0"/>
      <w:sz w:val="24"/>
    </w:rPr>
  </w:style>
  <w:style w:type="paragraph" w:customStyle="1" w:styleId="3323">
    <w:name w:val="Char Char Char Char Char Char Char Char Char1 Char Char Char Char Char Char1 Char6"/>
    <w:basedOn w:val="1"/>
    <w:qFormat/>
    <w:uiPriority w:val="0"/>
    <w:rPr>
      <w:szCs w:val="21"/>
    </w:rPr>
  </w:style>
  <w:style w:type="paragraph" w:customStyle="1" w:styleId="3324">
    <w:name w:val="TOC 标题2"/>
    <w:basedOn w:val="3"/>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3325">
    <w:name w:val="标题 34"/>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3326">
    <w:name w:val="字元 字元4"/>
    <w:basedOn w:val="1"/>
    <w:qFormat/>
    <w:uiPriority w:val="0"/>
    <w:rPr>
      <w:sz w:val="24"/>
    </w:rPr>
  </w:style>
  <w:style w:type="paragraph" w:customStyle="1" w:styleId="3327">
    <w:name w:val="Char Char Char Char1 Char Char Char Char Char Char Char4"/>
    <w:basedOn w:val="1"/>
    <w:qFormat/>
    <w:uiPriority w:val="0"/>
    <w:pPr>
      <w:tabs>
        <w:tab w:val="left" w:pos="360"/>
      </w:tabs>
      <w:snapToGrid w:val="0"/>
      <w:spacing w:line="360" w:lineRule="auto"/>
    </w:pPr>
    <w:rPr>
      <w:rFonts w:eastAsia="仿宋_GB2312" w:cs="宋体"/>
      <w:sz w:val="24"/>
    </w:rPr>
  </w:style>
  <w:style w:type="paragraph" w:customStyle="1" w:styleId="3328">
    <w:name w:val="Char Char16 Char Char Char Char4"/>
    <w:basedOn w:val="1"/>
    <w:qFormat/>
    <w:uiPriority w:val="0"/>
    <w:rPr>
      <w:szCs w:val="21"/>
    </w:rPr>
  </w:style>
  <w:style w:type="paragraph" w:customStyle="1" w:styleId="3329">
    <w:name w:val="Char34"/>
    <w:basedOn w:val="1"/>
    <w:qFormat/>
    <w:uiPriority w:val="0"/>
    <w:rPr>
      <w:szCs w:val="21"/>
    </w:rPr>
  </w:style>
  <w:style w:type="paragraph" w:customStyle="1" w:styleId="3330">
    <w:name w:val="Char Char Char Char Char Char Char Char Char1 Char4"/>
    <w:basedOn w:val="1"/>
    <w:qFormat/>
    <w:uiPriority w:val="0"/>
    <w:rPr>
      <w:sz w:val="24"/>
    </w:rPr>
  </w:style>
  <w:style w:type="paragraph" w:customStyle="1" w:styleId="3331">
    <w:name w:val="Char Char Char Char Char Char Char Char Char Char Char Char Char Char Char Char Char Char Char Char Char Char4"/>
    <w:basedOn w:val="1"/>
    <w:qFormat/>
    <w:uiPriority w:val="0"/>
    <w:rPr>
      <w:sz w:val="24"/>
    </w:rPr>
  </w:style>
  <w:style w:type="paragraph" w:customStyle="1" w:styleId="3332">
    <w:name w:val="Char Char Char15"/>
    <w:basedOn w:val="1"/>
    <w:qFormat/>
    <w:uiPriority w:val="0"/>
    <w:rPr>
      <w:szCs w:val="21"/>
    </w:rPr>
  </w:style>
  <w:style w:type="paragraph" w:customStyle="1" w:styleId="3333">
    <w:name w:val="Char Char Char1 Char Char Char Char Char Char Char Char Char Char Char Char Char Char Char1 Char Char Char Char Char Char Char Char Char Char Char Char Char Char Char Char Char Char Char Char Char Char Char Char Char Char Char Char Char Char4"/>
    <w:basedOn w:val="1"/>
    <w:qFormat/>
    <w:uiPriority w:val="0"/>
    <w:pPr>
      <w:spacing w:line="240" w:lineRule="exact"/>
      <w:ind w:firstLine="200" w:firstLineChars="200"/>
    </w:pPr>
    <w:rPr>
      <w:sz w:val="28"/>
      <w:szCs w:val="28"/>
    </w:rPr>
  </w:style>
  <w:style w:type="paragraph" w:customStyle="1" w:styleId="3334">
    <w:name w:val="Char Char Char Char Char Char Char Char Char Char Char Char Char Char Char Char Char Char Char Char Char Char Char Char Char Char Char Char Char Char Char Char Char Char Char Char Char Char Char Char4"/>
    <w:basedOn w:val="1"/>
    <w:qFormat/>
    <w:uiPriority w:val="0"/>
    <w:rPr>
      <w:sz w:val="24"/>
    </w:rPr>
  </w:style>
  <w:style w:type="paragraph" w:customStyle="1" w:styleId="3335">
    <w:name w:val="Char Char Char Char Char Char Char Char Char Char Char Char Char Char Char Char Char Char Char Char Char Char Char Char Char Char Char Char4"/>
    <w:basedOn w:val="1"/>
    <w:qFormat/>
    <w:uiPriority w:val="0"/>
    <w:rPr>
      <w:sz w:val="24"/>
    </w:rPr>
  </w:style>
  <w:style w:type="paragraph" w:customStyle="1" w:styleId="3336">
    <w:name w:val="Char4 Char Char Char Char Char Char Char Char Char Char Char Char Char Char Char Char Char1 Char Char Char Char4"/>
    <w:basedOn w:val="1"/>
    <w:qFormat/>
    <w:uiPriority w:val="0"/>
    <w:pPr>
      <w:spacing w:line="240" w:lineRule="exact"/>
      <w:ind w:firstLine="200" w:firstLineChars="200"/>
    </w:pPr>
    <w:rPr>
      <w:sz w:val="28"/>
      <w:szCs w:val="28"/>
    </w:rPr>
  </w:style>
  <w:style w:type="paragraph" w:customStyle="1" w:styleId="3337">
    <w:name w:val="Char Char Char Char Char Char Char Char Char Char Char Char Char Char Char Char Char Char Char Char Char Char Char Char Char Char Char Char Char Char Char4"/>
    <w:basedOn w:val="1"/>
    <w:qFormat/>
    <w:uiPriority w:val="0"/>
    <w:pPr>
      <w:spacing w:line="360" w:lineRule="auto"/>
      <w:ind w:firstLine="200" w:firstLineChars="200"/>
      <w:jc w:val="center"/>
    </w:pPr>
    <w:rPr>
      <w:rFonts w:ascii="宋体" w:hAnsi="宋体"/>
      <w:sz w:val="24"/>
    </w:rPr>
  </w:style>
  <w:style w:type="paragraph" w:customStyle="1" w:styleId="3338">
    <w:name w:val="Char Char20 Char Char4"/>
    <w:basedOn w:val="1"/>
    <w:qFormat/>
    <w:uiPriority w:val="0"/>
    <w:pPr>
      <w:widowControl/>
      <w:jc w:val="left"/>
    </w:pPr>
    <w:rPr>
      <w:rFonts w:ascii="宋体"/>
      <w:kern w:val="0"/>
      <w:sz w:val="24"/>
    </w:rPr>
  </w:style>
  <w:style w:type="paragraph" w:customStyle="1" w:styleId="3339">
    <w:name w:val="Char Char Char1 Char Char Char Char Char Char Char Char Char Char Char Char Char Char Char1 Char Char Char Char Char Char Char Char Char Char Char Char Char Char Char Char Char Char Char Char Char Char Char Char Char Char Char4"/>
    <w:basedOn w:val="1"/>
    <w:qFormat/>
    <w:uiPriority w:val="0"/>
    <w:pPr>
      <w:spacing w:line="240" w:lineRule="exact"/>
      <w:ind w:firstLine="200" w:firstLineChars="200"/>
    </w:pPr>
    <w:rPr>
      <w:sz w:val="28"/>
      <w:szCs w:val="28"/>
    </w:rPr>
  </w:style>
  <w:style w:type="paragraph" w:customStyle="1" w:styleId="3340">
    <w:name w:val="正文文本缩进 33"/>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3341">
    <w:name w:val="正文首行缩进 Char3"/>
    <w:basedOn w:val="1"/>
    <w:next w:val="1"/>
    <w:qFormat/>
    <w:uiPriority w:val="99"/>
  </w:style>
  <w:style w:type="paragraph" w:customStyle="1" w:styleId="3342">
    <w:name w:val="Char Char Char Char Char Char Char Char Char Char Char Char Char Char Char Char4"/>
    <w:basedOn w:val="1"/>
    <w:qFormat/>
    <w:uiPriority w:val="0"/>
    <w:rPr>
      <w:szCs w:val="20"/>
    </w:rPr>
  </w:style>
  <w:style w:type="paragraph" w:customStyle="1" w:styleId="3343">
    <w:name w:val="Char Char Char1 Char Char Char Char Char Char Char Char Char Char Char Char Char Char Char1 Char Char Char Char Char Char Char Char Char Char Char Char4"/>
    <w:basedOn w:val="1"/>
    <w:qFormat/>
    <w:uiPriority w:val="0"/>
    <w:rPr>
      <w:szCs w:val="21"/>
    </w:rPr>
  </w:style>
  <w:style w:type="paragraph" w:customStyle="1" w:styleId="3344">
    <w:name w:val="Char Char Char1 Char Char4"/>
    <w:basedOn w:val="1"/>
    <w:qFormat/>
    <w:uiPriority w:val="0"/>
    <w:rPr>
      <w:rFonts w:ascii="黑体" w:hAnsi="黑体" w:eastAsia="黑体"/>
      <w:b/>
      <w:spacing w:val="10"/>
      <w:sz w:val="28"/>
      <w:szCs w:val="20"/>
    </w:rPr>
  </w:style>
  <w:style w:type="paragraph" w:customStyle="1" w:styleId="3345">
    <w:name w:val="Char3 Char Char4"/>
    <w:basedOn w:val="1"/>
    <w:qFormat/>
    <w:uiPriority w:val="0"/>
    <w:rPr>
      <w:rFonts w:ascii="宋体" w:hAnsi="宋体" w:cs="宋体"/>
      <w:color w:val="000000"/>
      <w:kern w:val="0"/>
      <w:sz w:val="24"/>
    </w:rPr>
  </w:style>
  <w:style w:type="paragraph" w:customStyle="1" w:styleId="3346">
    <w:name w:val="Char Char Char1 Char Char Char Char Char Char4"/>
    <w:basedOn w:val="1"/>
    <w:qFormat/>
    <w:uiPriority w:val="0"/>
    <w:rPr>
      <w:szCs w:val="21"/>
    </w:rPr>
  </w:style>
  <w:style w:type="paragraph" w:customStyle="1" w:styleId="3347">
    <w:name w:val="Char4 Char Char Char Char Char Char Char Char Char Char Char Char Char Char Char Char Char1 Char Char Char Char Char Char1 Char Char Char Char Char Char Char Char Char Char Char Char Char Char Char Char4"/>
    <w:basedOn w:val="1"/>
    <w:qFormat/>
    <w:uiPriority w:val="0"/>
    <w:pPr>
      <w:spacing w:line="240" w:lineRule="exact"/>
      <w:ind w:firstLine="200" w:firstLineChars="200"/>
    </w:pPr>
    <w:rPr>
      <w:sz w:val="28"/>
      <w:szCs w:val="28"/>
    </w:rPr>
  </w:style>
  <w:style w:type="paragraph" w:customStyle="1" w:styleId="3348">
    <w:name w:val="Char1 Char Char Char Char Char Char Char Char Char1 Char Char Char Char Char Char4"/>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349">
    <w:name w:val="字元 字元 字元4"/>
    <w:basedOn w:val="1"/>
    <w:qFormat/>
    <w:uiPriority w:val="0"/>
    <w:pPr>
      <w:spacing w:line="360" w:lineRule="auto"/>
      <w:ind w:firstLine="200" w:firstLineChars="200"/>
    </w:pPr>
    <w:rPr>
      <w:rFonts w:ascii="宋体" w:hAnsi="宋体"/>
      <w:sz w:val="24"/>
    </w:rPr>
  </w:style>
  <w:style w:type="paragraph" w:customStyle="1" w:styleId="3350">
    <w:name w:val="Char Char Char Char Char Char Char Char Char Char Char Char Char Char Char Char Char Char Char Char Char Char Char Char Char4"/>
    <w:basedOn w:val="1"/>
    <w:qFormat/>
    <w:uiPriority w:val="0"/>
  </w:style>
  <w:style w:type="paragraph" w:customStyle="1" w:styleId="3351">
    <w:name w:val="Char Char Char Char Char Char Char Char4"/>
    <w:basedOn w:val="1"/>
    <w:qFormat/>
    <w:uiPriority w:val="0"/>
    <w:rPr>
      <w:szCs w:val="21"/>
    </w:rPr>
  </w:style>
  <w:style w:type="paragraph" w:customStyle="1" w:styleId="3352">
    <w:name w:val="Char Char Char1 Char Char Char Char Char Char Char Char Char4"/>
    <w:basedOn w:val="1"/>
    <w:qFormat/>
    <w:uiPriority w:val="0"/>
    <w:rPr>
      <w:szCs w:val="21"/>
    </w:rPr>
  </w:style>
  <w:style w:type="paragraph" w:customStyle="1" w:styleId="3353">
    <w:name w:val="Char Char Char1 Char Char Char Char Char Char Char Char Char Char Char Char Char Char Char Char Char Char Char Char Char Char4"/>
    <w:basedOn w:val="1"/>
    <w:qFormat/>
    <w:uiPriority w:val="0"/>
    <w:rPr>
      <w:szCs w:val="20"/>
    </w:rPr>
  </w:style>
  <w:style w:type="paragraph" w:customStyle="1" w:styleId="3354">
    <w:name w:val="Char Char Char Char Char Char Char Char Char1 Char Char Char Char Char Char Char4"/>
    <w:basedOn w:val="1"/>
    <w:qFormat/>
    <w:uiPriority w:val="0"/>
    <w:rPr>
      <w:szCs w:val="21"/>
    </w:rPr>
  </w:style>
  <w:style w:type="paragraph" w:customStyle="1" w:styleId="3355">
    <w:name w:val="Char2 Char Char Char Char Char4"/>
    <w:basedOn w:val="1"/>
    <w:qFormat/>
    <w:uiPriority w:val="0"/>
    <w:rPr>
      <w:sz w:val="24"/>
    </w:rPr>
  </w:style>
  <w:style w:type="paragraph" w:customStyle="1" w:styleId="3356">
    <w:name w:val="Char Char Char Char Char Char Char Char Char Char Char Char Char Char Char Char Char Char Char Char Char Char Char Char Char Char Char Char Char Char Char Char Char Char Char Char Char4"/>
    <w:basedOn w:val="1"/>
    <w:qFormat/>
    <w:uiPriority w:val="0"/>
    <w:rPr>
      <w:sz w:val="24"/>
    </w:rPr>
  </w:style>
  <w:style w:type="paragraph" w:customStyle="1" w:styleId="3357">
    <w:name w:val="Char Char Char Char Char Char Char Char Char Char Char Char Char Char Char Char Char Char Char Char Char Char Char Char Char Char Char Char Char Char Char Char Char Char4"/>
    <w:basedOn w:val="1"/>
    <w:qFormat/>
    <w:uiPriority w:val="0"/>
    <w:rPr>
      <w:sz w:val="24"/>
    </w:rPr>
  </w:style>
  <w:style w:type="table" w:customStyle="1" w:styleId="3358">
    <w:name w:val="表格主题2"/>
    <w:basedOn w:val="88"/>
    <w:qFormat/>
    <w:uiPriority w:val="0"/>
    <w:pPr>
      <w:widowControl w:val="0"/>
      <w:adjustRightInd w:val="0"/>
      <w:spacing w:line="360" w:lineRule="atLeast"/>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style>
  <w:style w:type="paragraph" w:customStyle="1" w:styleId="3359">
    <w:name w:val="标题4"/>
    <w:basedOn w:val="1"/>
    <w:next w:val="1"/>
    <w:qFormat/>
    <w:uiPriority w:val="0"/>
    <w:pPr>
      <w:tabs>
        <w:tab w:val="left" w:pos="851"/>
      </w:tabs>
      <w:spacing w:after="60" w:line="360" w:lineRule="auto"/>
      <w:ind w:left="851" w:hanging="851"/>
      <w:outlineLvl w:val="3"/>
    </w:pPr>
    <w:rPr>
      <w:b/>
      <w:sz w:val="24"/>
    </w:rPr>
  </w:style>
  <w:style w:type="paragraph" w:customStyle="1" w:styleId="3360">
    <w:name w:val="[正文格式]"/>
    <w:basedOn w:val="1"/>
    <w:link w:val="3361"/>
    <w:qFormat/>
    <w:uiPriority w:val="0"/>
    <w:pPr>
      <w:spacing w:line="360" w:lineRule="auto"/>
      <w:ind w:firstLine="480" w:firstLineChars="200"/>
    </w:pPr>
    <w:rPr>
      <w:rFonts w:cstheme="minorBidi"/>
      <w:kern w:val="0"/>
      <w:sz w:val="24"/>
      <w:szCs w:val="22"/>
    </w:rPr>
  </w:style>
  <w:style w:type="character" w:customStyle="1" w:styleId="3361">
    <w:name w:val="[正文格式] Char"/>
    <w:link w:val="3360"/>
    <w:qFormat/>
    <w:uiPriority w:val="0"/>
    <w:rPr>
      <w:rFonts w:ascii="Times New Roman" w:hAnsi="Times New Roman" w:eastAsia="宋体"/>
      <w:kern w:val="0"/>
      <w:sz w:val="24"/>
    </w:rPr>
  </w:style>
  <w:style w:type="paragraph" w:customStyle="1" w:styleId="3362">
    <w:name w:val="1-正文"/>
    <w:basedOn w:val="1"/>
    <w:qFormat/>
    <w:uiPriority w:val="0"/>
    <w:pPr>
      <w:spacing w:line="360" w:lineRule="auto"/>
      <w:ind w:firstLine="480" w:firstLineChars="200"/>
      <w:jc w:val="left"/>
    </w:pPr>
    <w:rPr>
      <w:rFonts w:ascii="宋体" w:hAnsi="宋体" w:cstheme="minorBidi"/>
      <w:sz w:val="24"/>
      <w:szCs w:val="22"/>
    </w:rPr>
  </w:style>
  <w:style w:type="paragraph" w:customStyle="1" w:styleId="3363">
    <w:name w:val="WPSOffice手动目录 1"/>
    <w:qFormat/>
    <w:uiPriority w:val="0"/>
    <w:rPr>
      <w:rFonts w:ascii="Times New Roman" w:hAnsi="Times New Roman" w:eastAsia="宋体" w:cs="Times New Roman"/>
      <w:lang w:val="en-US" w:eastAsia="zh-CN" w:bidi="ar-SA"/>
    </w:rPr>
  </w:style>
  <w:style w:type="paragraph" w:customStyle="1" w:styleId="33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6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366">
    <w:name w:val="AAA正文 Char"/>
    <w:link w:val="3367"/>
    <w:qFormat/>
    <w:locked/>
    <w:uiPriority w:val="0"/>
    <w:rPr>
      <w:rFonts w:ascii="Times New Roman" w:hAnsi="Times New Roman"/>
      <w:sz w:val="24"/>
      <w:szCs w:val="28"/>
    </w:rPr>
  </w:style>
  <w:style w:type="paragraph" w:customStyle="1" w:styleId="3367">
    <w:name w:val="AAA正文"/>
    <w:basedOn w:val="1"/>
    <w:link w:val="3366"/>
    <w:qFormat/>
    <w:uiPriority w:val="0"/>
    <w:pPr>
      <w:spacing w:line="360" w:lineRule="auto"/>
      <w:ind w:firstLine="200" w:firstLineChars="200"/>
    </w:pPr>
    <w:rPr>
      <w:rFonts w:eastAsiaTheme="minorEastAsia" w:cstheme="minorBidi"/>
      <w:sz w:val="24"/>
      <w:szCs w:val="28"/>
    </w:rPr>
  </w:style>
  <w:style w:type="paragraph" w:customStyle="1" w:styleId="3368">
    <w:name w:val="4正文"/>
    <w:basedOn w:val="1"/>
    <w:qFormat/>
    <w:uiPriority w:val="0"/>
    <w:pPr>
      <w:widowControl/>
      <w:spacing w:line="440" w:lineRule="exact"/>
      <w:ind w:firstLine="200" w:firstLineChars="200"/>
      <w:jc w:val="left"/>
    </w:pPr>
    <w:rPr>
      <w:rFonts w:ascii="Calibri" w:hAnsi="Calibri" w:cs="宋体"/>
      <w:kern w:val="0"/>
      <w:sz w:val="24"/>
    </w:rPr>
  </w:style>
  <w:style w:type="paragraph" w:customStyle="1" w:styleId="3369">
    <w:name w:val="正文123"/>
    <w:basedOn w:val="1"/>
    <w:link w:val="3370"/>
    <w:qFormat/>
    <w:uiPriority w:val="0"/>
    <w:pPr>
      <w:spacing w:line="360" w:lineRule="auto"/>
      <w:ind w:firstLine="200" w:firstLineChars="200"/>
    </w:pPr>
    <w:rPr>
      <w:bCs/>
      <w:sz w:val="24"/>
      <w:szCs w:val="20"/>
    </w:rPr>
  </w:style>
  <w:style w:type="character" w:customStyle="1" w:styleId="3370">
    <w:name w:val="正文123 Char"/>
    <w:link w:val="3369"/>
    <w:qFormat/>
    <w:uiPriority w:val="0"/>
    <w:rPr>
      <w:rFonts w:ascii="Times New Roman" w:hAnsi="Times New Roman" w:eastAsia="宋体" w:cs="Times New Roman"/>
      <w:bCs/>
      <w:sz w:val="24"/>
      <w:szCs w:val="20"/>
    </w:rPr>
  </w:style>
  <w:style w:type="paragraph" w:customStyle="1" w:styleId="3371">
    <w:name w:val="王向东正文"/>
    <w:link w:val="3372"/>
    <w:qFormat/>
    <w:uiPriority w:val="0"/>
    <w:pPr>
      <w:spacing w:line="360" w:lineRule="auto"/>
      <w:ind w:firstLine="200" w:firstLineChars="200"/>
      <w:jc w:val="both"/>
    </w:pPr>
    <w:rPr>
      <w:rFonts w:ascii="Times New Roman" w:hAnsi="Times New Roman" w:eastAsia="宋体" w:cs="Times New Roman"/>
      <w:kern w:val="2"/>
      <w:position w:val="-4"/>
      <w:sz w:val="24"/>
      <w:szCs w:val="28"/>
      <w:lang w:val="en-US" w:eastAsia="zh-CN" w:bidi="ar-SA"/>
    </w:rPr>
  </w:style>
  <w:style w:type="character" w:customStyle="1" w:styleId="3372">
    <w:name w:val="王向东正文 Char"/>
    <w:link w:val="3371"/>
    <w:qFormat/>
    <w:uiPriority w:val="0"/>
    <w:rPr>
      <w:rFonts w:ascii="Times New Roman" w:hAnsi="Times New Roman" w:eastAsia="宋体" w:cs="Times New Roman"/>
      <w:position w:val="-4"/>
      <w:sz w:val="24"/>
      <w:szCs w:val="28"/>
    </w:rPr>
  </w:style>
  <w:style w:type="paragraph" w:customStyle="1" w:styleId="3373">
    <w:name w:val="A正文-lcc"/>
    <w:basedOn w:val="3374"/>
    <w:qFormat/>
    <w:uiPriority w:val="0"/>
    <w:pPr>
      <w:spacing w:line="360" w:lineRule="auto"/>
      <w:ind w:firstLine="200"/>
    </w:pPr>
    <w:rPr>
      <w:rFonts w:ascii="Times New Roman" w:hAnsi="Times New Roman" w:cs="Times New Roman"/>
      <w:color w:val="000000"/>
    </w:rPr>
  </w:style>
  <w:style w:type="paragraph" w:customStyle="1" w:styleId="3374">
    <w:name w:val="！正文内容（蓝色）"/>
    <w:basedOn w:val="1"/>
    <w:next w:val="1"/>
    <w:qFormat/>
    <w:uiPriority w:val="0"/>
    <w:pPr>
      <w:spacing w:line="500" w:lineRule="exact"/>
      <w:ind w:firstLine="480" w:firstLineChars="200"/>
    </w:pPr>
    <w:rPr>
      <w:rFonts w:ascii="Arial" w:hAnsi="Arial" w:cs="Arial"/>
      <w:color w:val="0000FF"/>
      <w:sz w:val="24"/>
      <w:szCs w:val="22"/>
    </w:rPr>
  </w:style>
  <w:style w:type="paragraph" w:customStyle="1" w:styleId="3375">
    <w:name w:val="~~~正文"/>
    <w:qFormat/>
    <w:uiPriority w:val="0"/>
    <w:pPr>
      <w:spacing w:line="360" w:lineRule="auto"/>
      <w:ind w:firstLine="200" w:firstLineChars="200"/>
    </w:pPr>
    <w:rPr>
      <w:rFonts w:ascii="Times New Roman" w:hAnsi="Times New Roman" w:eastAsia="宋体" w:cs="Times New Roman"/>
      <w:color w:val="0000FF"/>
      <w:kern w:val="2"/>
      <w:sz w:val="24"/>
      <w:szCs w:val="24"/>
      <w:lang w:val="en-US" w:eastAsia="zh-CN" w:bidi="ar-SA"/>
    </w:rPr>
  </w:style>
  <w:style w:type="paragraph" w:customStyle="1" w:styleId="3376">
    <w:name w:val="~~~~三级标题"/>
    <w:next w:val="3375"/>
    <w:qFormat/>
    <w:uiPriority w:val="0"/>
    <w:pPr>
      <w:spacing w:before="50" w:beforeLines="50" w:line="360" w:lineRule="auto"/>
      <w:outlineLvl w:val="2"/>
    </w:pPr>
    <w:rPr>
      <w:rFonts w:ascii="Times New Roman" w:hAnsi="Times New Roman" w:eastAsia="黑体" w:cs="Times New Roman"/>
      <w:b/>
      <w:bCs/>
      <w:kern w:val="2"/>
      <w:sz w:val="28"/>
      <w:szCs w:val="28"/>
      <w:lang w:val="en-US" w:eastAsia="zh-CN" w:bidi="ar-SA"/>
    </w:rPr>
  </w:style>
  <w:style w:type="paragraph" w:customStyle="1" w:styleId="3377">
    <w:name w:val="~~~~表格内容"/>
    <w:next w:val="3375"/>
    <w:qFormat/>
    <w:uiPriority w:val="0"/>
    <w:pPr>
      <w:spacing w:line="300" w:lineRule="exact"/>
      <w:jc w:val="center"/>
    </w:pPr>
    <w:rPr>
      <w:rFonts w:ascii="Times New Roman" w:hAnsi="Times New Roman" w:eastAsia="宋体" w:cs="Times New Roman"/>
      <w:color w:val="0000FF"/>
      <w:kern w:val="2"/>
      <w:sz w:val="21"/>
      <w:szCs w:val="21"/>
      <w:lang w:val="en-US" w:eastAsia="zh-CN" w:bidi="ar-SA"/>
    </w:rPr>
  </w:style>
  <w:style w:type="paragraph" w:customStyle="1" w:styleId="3378">
    <w:name w:val="~~~~表头 图例"/>
    <w:next w:val="3375"/>
    <w:qFormat/>
    <w:uiPriority w:val="0"/>
    <w:pPr>
      <w:spacing w:before="163" w:beforeLines="50" w:after="81" w:afterLines="25"/>
      <w:jc w:val="center"/>
    </w:pPr>
    <w:rPr>
      <w:rFonts w:ascii="Times New Roman" w:hAnsi="Times New Roman" w:eastAsia="宋体" w:cs="Times New Roman"/>
      <w:b/>
      <w:sz w:val="21"/>
      <w:szCs w:val="24"/>
      <w:lang w:val="en-US" w:eastAsia="zh-CN" w:bidi="ar-SA"/>
    </w:rPr>
  </w:style>
  <w:style w:type="paragraph" w:customStyle="1" w:styleId="3379">
    <w:name w:val="样式 表格文字"/>
    <w:basedOn w:val="1"/>
    <w:qFormat/>
    <w:uiPriority w:val="0"/>
    <w:pPr>
      <w:spacing w:before="78" w:beforeLines="25" w:after="78" w:afterLines="25"/>
    </w:pPr>
    <w:rPr>
      <w:rFonts w:ascii="宋体" w:hAnsi="宋体" w:cs="宋体"/>
      <w:color w:val="000000"/>
      <w:sz w:val="24"/>
    </w:rPr>
  </w:style>
  <w:style w:type="character" w:customStyle="1" w:styleId="3380">
    <w:name w:val="表名 Char Char"/>
    <w:qFormat/>
    <w:uiPriority w:val="0"/>
    <w:rPr>
      <w:rFonts w:ascii="宋体" w:hAnsi="Courier New" w:eastAsia="仿宋_GB2312" w:cs="Courier New"/>
      <w:b/>
      <w:kern w:val="2"/>
      <w:sz w:val="21"/>
      <w:szCs w:val="21"/>
    </w:rPr>
  </w:style>
  <w:style w:type="character" w:customStyle="1" w:styleId="3381">
    <w:name w:val="页眉 字符"/>
    <w:qFormat/>
    <w:uiPriority w:val="0"/>
    <w:rPr>
      <w:kern w:val="2"/>
      <w:sz w:val="18"/>
      <w:szCs w:val="18"/>
    </w:rPr>
  </w:style>
  <w:style w:type="character" w:customStyle="1" w:styleId="3382">
    <w:name w:val="页脚 字符"/>
    <w:qFormat/>
    <w:uiPriority w:val="0"/>
    <w:rPr>
      <w:kern w:val="2"/>
      <w:sz w:val="18"/>
      <w:szCs w:val="18"/>
    </w:rPr>
  </w:style>
  <w:style w:type="paragraph" w:customStyle="1" w:styleId="3383">
    <w:name w:val="样式 标题 3标题 3 Char2Sottoparagrafo标题 3 Char2 Char Char Char标题 3...1"/>
    <w:basedOn w:val="5"/>
    <w:qFormat/>
    <w:uiPriority w:val="0"/>
    <w:pPr>
      <w:widowControl w:val="0"/>
      <w:numPr>
        <w:ilvl w:val="0"/>
        <w:numId w:val="0"/>
      </w:numPr>
      <w:spacing w:line="416" w:lineRule="auto"/>
      <w:jc w:val="both"/>
    </w:pPr>
    <w:rPr>
      <w:rFonts w:eastAsia="Times New Roman"/>
      <w:color w:val="000000"/>
    </w:rPr>
  </w:style>
  <w:style w:type="character" w:customStyle="1" w:styleId="3384">
    <w:name w:val="正文文本缩进 字符"/>
    <w:basedOn w:val="133"/>
    <w:qFormat/>
    <w:uiPriority w:val="0"/>
    <w:rPr>
      <w:rFonts w:ascii="Times New Roman" w:hAnsi="Times New Roman" w:cstheme="minorBidi"/>
      <w:kern w:val="2"/>
      <w:sz w:val="24"/>
      <w:szCs w:val="22"/>
    </w:rPr>
  </w:style>
  <w:style w:type="character" w:customStyle="1" w:styleId="3385">
    <w:name w:val="未处理的提及12"/>
    <w:basedOn w:val="133"/>
    <w:unhideWhenUsed/>
    <w:qFormat/>
    <w:uiPriority w:val="99"/>
    <w:rPr>
      <w:color w:val="605E5C"/>
      <w:shd w:val="clear" w:color="auto" w:fill="E1DFDD"/>
    </w:rPr>
  </w:style>
  <w:style w:type="character" w:customStyle="1" w:styleId="3386">
    <w:name w:val="未处理的提及2"/>
    <w:basedOn w:val="133"/>
    <w:semiHidden/>
    <w:unhideWhenUsed/>
    <w:qFormat/>
    <w:uiPriority w:val="99"/>
    <w:rPr>
      <w:color w:val="605E5C"/>
      <w:shd w:val="clear" w:color="auto" w:fill="E1DFDD"/>
    </w:rPr>
  </w:style>
  <w:style w:type="paragraph" w:customStyle="1" w:styleId="3387">
    <w:name w:val="5级表头"/>
    <w:basedOn w:val="186"/>
    <w:link w:val="3388"/>
    <w:qFormat/>
    <w:uiPriority w:val="0"/>
    <w:pPr>
      <w:spacing w:before="156" w:beforeLines="50"/>
      <w:ind w:firstLine="0" w:firstLineChars="0"/>
      <w:jc w:val="center"/>
    </w:pPr>
    <w:rPr>
      <w:rFonts w:eastAsiaTheme="minorEastAsia"/>
      <w:b/>
      <w:szCs w:val="22"/>
    </w:rPr>
  </w:style>
  <w:style w:type="character" w:customStyle="1" w:styleId="3388">
    <w:name w:val="5级表头 Char"/>
    <w:basedOn w:val="133"/>
    <w:link w:val="3387"/>
    <w:qFormat/>
    <w:uiPriority w:val="0"/>
    <w:rPr>
      <w:rFonts w:ascii="Times New Roman" w:hAnsi="Times New Roman" w:cs="Times New Roman"/>
      <w:b/>
    </w:rPr>
  </w:style>
  <w:style w:type="paragraph" w:customStyle="1" w:styleId="3389">
    <w:name w:val="4级标题"/>
    <w:basedOn w:val="186"/>
    <w:link w:val="3390"/>
    <w:qFormat/>
    <w:uiPriority w:val="0"/>
    <w:pPr>
      <w:spacing w:line="360" w:lineRule="auto"/>
      <w:ind w:firstLine="0" w:firstLineChars="0"/>
      <w:outlineLvl w:val="3"/>
    </w:pPr>
    <w:rPr>
      <w:rFonts w:eastAsia="楷体"/>
      <w:b/>
      <w:sz w:val="24"/>
    </w:rPr>
  </w:style>
  <w:style w:type="character" w:customStyle="1" w:styleId="3390">
    <w:name w:val="4级标题 Char"/>
    <w:basedOn w:val="3391"/>
    <w:link w:val="3389"/>
    <w:qFormat/>
    <w:uiPriority w:val="0"/>
    <w:rPr>
      <w:rFonts w:ascii="Times New Roman" w:hAnsi="Times New Roman" w:eastAsia="楷体" w:cs="Times New Roman"/>
      <w:b/>
      <w:sz w:val="24"/>
      <w:szCs w:val="24"/>
    </w:rPr>
  </w:style>
  <w:style w:type="character" w:customStyle="1" w:styleId="3391">
    <w:name w:val="列出段落 Char1"/>
    <w:basedOn w:val="133"/>
    <w:uiPriority w:val="34"/>
  </w:style>
  <w:style w:type="paragraph" w:customStyle="1" w:styleId="3392">
    <w:name w:val="6级图头"/>
    <w:basedOn w:val="186"/>
    <w:qFormat/>
    <w:uiPriority w:val="0"/>
    <w:pPr>
      <w:ind w:left="1134" w:firstLine="0" w:firstLineChars="0"/>
      <w:jc w:val="center"/>
    </w:pPr>
    <w:rPr>
      <w:rFonts w:eastAsiaTheme="minorEastAsia"/>
      <w:b/>
      <w:szCs w:val="22"/>
    </w:rPr>
  </w:style>
  <w:style w:type="paragraph" w:customStyle="1" w:styleId="3393">
    <w:name w:val="7级正文"/>
    <w:basedOn w:val="1"/>
    <w:link w:val="3394"/>
    <w:qFormat/>
    <w:uiPriority w:val="0"/>
    <w:pPr>
      <w:spacing w:line="360" w:lineRule="auto"/>
      <w:ind w:firstLine="480" w:firstLineChars="200"/>
    </w:pPr>
    <w:rPr>
      <w:rFonts w:eastAsiaTheme="minorEastAsia"/>
      <w:sz w:val="24"/>
    </w:rPr>
  </w:style>
  <w:style w:type="character" w:customStyle="1" w:styleId="3394">
    <w:name w:val="7级正文 Char"/>
    <w:basedOn w:val="133"/>
    <w:link w:val="3393"/>
    <w:qFormat/>
    <w:uiPriority w:val="0"/>
    <w:rPr>
      <w:rFonts w:ascii="Times New Roman" w:hAnsi="Times New Roman" w:cs="Times New Roman"/>
      <w:sz w:val="24"/>
      <w:szCs w:val="24"/>
    </w:rPr>
  </w:style>
  <w:style w:type="paragraph" w:customStyle="1" w:styleId="3395">
    <w:name w:val="8级小标"/>
    <w:basedOn w:val="3393"/>
    <w:link w:val="3396"/>
    <w:qFormat/>
    <w:uiPriority w:val="0"/>
    <w:pPr>
      <w:ind w:firstLine="482"/>
      <w:outlineLvl w:val="4"/>
    </w:pPr>
    <w:rPr>
      <w:rFonts w:ascii="宋体" w:hAnsi="宋体" w:eastAsia="宋体"/>
      <w:b/>
    </w:rPr>
  </w:style>
  <w:style w:type="character" w:customStyle="1" w:styleId="3396">
    <w:name w:val="8级小标 Char"/>
    <w:basedOn w:val="3394"/>
    <w:link w:val="3395"/>
    <w:qFormat/>
    <w:uiPriority w:val="0"/>
    <w:rPr>
      <w:rFonts w:ascii="宋体" w:hAnsi="宋体" w:eastAsia="宋体" w:cs="Times New Roman"/>
      <w:b/>
      <w:sz w:val="24"/>
      <w:szCs w:val="24"/>
    </w:rPr>
  </w:style>
  <w:style w:type="paragraph" w:customStyle="1" w:styleId="3397">
    <w:name w:val="2"/>
    <w:basedOn w:val="1"/>
    <w:next w:val="186"/>
    <w:qFormat/>
    <w:uiPriority w:val="0"/>
    <w:pPr>
      <w:ind w:firstLine="420" w:firstLineChars="200"/>
    </w:pPr>
    <w:rPr>
      <w:rFonts w:ascii="Calibri" w:hAnsi="Calibri"/>
    </w:rPr>
  </w:style>
  <w:style w:type="paragraph" w:customStyle="1" w:styleId="3398">
    <w:name w:val="5正文"/>
    <w:basedOn w:val="1"/>
    <w:link w:val="3399"/>
    <w:qFormat/>
    <w:uiPriority w:val="0"/>
    <w:pPr>
      <w:spacing w:line="360" w:lineRule="auto"/>
      <w:ind w:firstLine="480"/>
    </w:pPr>
    <w:rPr>
      <w:rFonts w:eastAsiaTheme="minorEastAsia"/>
      <w:sz w:val="24"/>
    </w:rPr>
  </w:style>
  <w:style w:type="character" w:customStyle="1" w:styleId="3399">
    <w:name w:val="5正文 Char"/>
    <w:basedOn w:val="133"/>
    <w:link w:val="3398"/>
    <w:qFormat/>
    <w:uiPriority w:val="0"/>
    <w:rPr>
      <w:rFonts w:ascii="Times New Roman" w:hAnsi="Times New Roman" w:cs="Times New Roman"/>
      <w:sz w:val="24"/>
      <w:szCs w:val="24"/>
    </w:rPr>
  </w:style>
  <w:style w:type="character" w:customStyle="1" w:styleId="3400">
    <w:name w:val="君邦正文 Char1"/>
    <w:basedOn w:val="133"/>
    <w:qFormat/>
    <w:uiPriority w:val="0"/>
    <w:rPr>
      <w:rFonts w:ascii="Times New Roman" w:hAnsi="Times New Roman" w:eastAsia="宋体" w:cs="Times New Roman"/>
      <w:sz w:val="24"/>
      <w:szCs w:val="20"/>
    </w:rPr>
  </w:style>
  <w:style w:type="paragraph" w:customStyle="1" w:styleId="3401">
    <w:name w:val="正文文本 33"/>
    <w:basedOn w:val="1"/>
    <w:qFormat/>
    <w:uiPriority w:val="0"/>
    <w:pPr>
      <w:adjustRightInd w:val="0"/>
      <w:textAlignment w:val="baseline"/>
    </w:pPr>
    <w:rPr>
      <w:sz w:val="24"/>
      <w:szCs w:val="20"/>
    </w:rPr>
  </w:style>
  <w:style w:type="paragraph" w:customStyle="1" w:styleId="3402">
    <w:name w:val="Char Char1 Char Char Char Char Char5"/>
    <w:basedOn w:val="1"/>
    <w:qFormat/>
    <w:uiPriority w:val="0"/>
    <w:rPr>
      <w:sz w:val="24"/>
    </w:rPr>
  </w:style>
  <w:style w:type="paragraph" w:customStyle="1" w:styleId="3403">
    <w:name w:val="Char Char Char Char Char Char Char Char Char1 Char Char Char Char7"/>
    <w:basedOn w:val="1"/>
    <w:qFormat/>
    <w:uiPriority w:val="0"/>
    <w:rPr>
      <w:sz w:val="24"/>
    </w:rPr>
  </w:style>
  <w:style w:type="paragraph" w:customStyle="1" w:styleId="3404">
    <w:name w:val="Char Char1 Char Char Char Char Char Char Char Char Char Char Char Char Char Char Char Char Char Char Char Char1 Char6"/>
    <w:basedOn w:val="1"/>
    <w:qFormat/>
    <w:uiPriority w:val="0"/>
    <w:pPr>
      <w:spacing w:line="360" w:lineRule="auto"/>
      <w:ind w:firstLine="200" w:firstLineChars="200"/>
    </w:pPr>
    <w:rPr>
      <w:rFonts w:ascii="宋体" w:hAnsi="宋体" w:cs="宋体"/>
      <w:sz w:val="24"/>
    </w:rPr>
  </w:style>
  <w:style w:type="paragraph" w:customStyle="1" w:styleId="3405">
    <w:name w:val="批注框文本3"/>
    <w:basedOn w:val="1"/>
    <w:qFormat/>
    <w:uiPriority w:val="0"/>
    <w:rPr>
      <w:sz w:val="18"/>
      <w:szCs w:val="18"/>
    </w:rPr>
  </w:style>
  <w:style w:type="paragraph" w:customStyle="1" w:styleId="3406">
    <w:name w:val="Char45"/>
    <w:basedOn w:val="1"/>
    <w:qFormat/>
    <w:uiPriority w:val="0"/>
    <w:pPr>
      <w:spacing w:line="360" w:lineRule="auto"/>
      <w:ind w:firstLine="200" w:firstLineChars="200"/>
    </w:pPr>
    <w:rPr>
      <w:rFonts w:ascii="宋体" w:hAnsi="宋体" w:cs="宋体"/>
      <w:sz w:val="24"/>
    </w:rPr>
  </w:style>
  <w:style w:type="paragraph" w:customStyle="1" w:styleId="3407">
    <w:name w:val="z-窗体底端3"/>
    <w:basedOn w:val="1"/>
    <w:next w:val="1"/>
    <w:qFormat/>
    <w:uiPriority w:val="0"/>
    <w:pPr>
      <w:pBdr>
        <w:top w:val="single" w:color="auto" w:sz="6" w:space="1"/>
      </w:pBdr>
      <w:jc w:val="center"/>
    </w:pPr>
    <w:rPr>
      <w:rFonts w:hint="eastAsia" w:ascii="Arial" w:hAnsi="Arial"/>
      <w:vanish/>
      <w:sz w:val="16"/>
      <w:szCs w:val="20"/>
    </w:rPr>
  </w:style>
  <w:style w:type="paragraph" w:customStyle="1" w:styleId="3408">
    <w:name w:val="HTML 预设格式4"/>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3409">
    <w:name w:val="正文文本缩进 24"/>
    <w:basedOn w:val="1"/>
    <w:qFormat/>
    <w:uiPriority w:val="0"/>
    <w:pPr>
      <w:adjustRightInd w:val="0"/>
      <w:spacing w:line="360" w:lineRule="auto"/>
      <w:ind w:firstLine="510"/>
      <w:textAlignment w:val="baseline"/>
    </w:pPr>
    <w:rPr>
      <w:rFonts w:ascii="宋体" w:hAnsi="宋体"/>
      <w:sz w:val="28"/>
      <w:szCs w:val="20"/>
    </w:rPr>
  </w:style>
  <w:style w:type="paragraph" w:customStyle="1" w:styleId="3410">
    <w:name w:val="Char Char1 Char5"/>
    <w:basedOn w:val="1"/>
    <w:qFormat/>
    <w:uiPriority w:val="0"/>
    <w:pPr>
      <w:spacing w:line="360" w:lineRule="auto"/>
      <w:ind w:firstLine="200" w:firstLineChars="200"/>
    </w:pPr>
    <w:rPr>
      <w:rFonts w:ascii="宋体" w:hAnsi="宋体" w:cs="宋体"/>
      <w:sz w:val="24"/>
    </w:rPr>
  </w:style>
  <w:style w:type="paragraph" w:customStyle="1" w:styleId="3411">
    <w:name w:val="正文9"/>
    <w:basedOn w:val="1"/>
    <w:qFormat/>
    <w:uiPriority w:val="0"/>
    <w:pPr>
      <w:adjustRightInd w:val="0"/>
      <w:spacing w:after="156" w:afterLines="50" w:line="315" w:lineRule="atLeast"/>
      <w:jc w:val="left"/>
      <w:textAlignment w:val="baseline"/>
    </w:pPr>
    <w:rPr>
      <w:rFonts w:ascii="宋体"/>
      <w:kern w:val="0"/>
      <w:szCs w:val="20"/>
    </w:rPr>
  </w:style>
  <w:style w:type="paragraph" w:customStyle="1" w:styleId="3412">
    <w:name w:val="宏文本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3413">
    <w:name w:val="Char Char3 Char Char Char1 Char5"/>
    <w:basedOn w:val="1"/>
    <w:qFormat/>
    <w:uiPriority w:val="0"/>
    <w:rPr>
      <w:szCs w:val="20"/>
    </w:rPr>
  </w:style>
  <w:style w:type="paragraph" w:customStyle="1" w:styleId="3414">
    <w:name w:val="Char Char Char Char Char Char7"/>
    <w:basedOn w:val="1"/>
    <w:qFormat/>
    <w:uiPriority w:val="0"/>
  </w:style>
  <w:style w:type="paragraph" w:customStyle="1" w:styleId="3415">
    <w:name w:val="Char Char16 Char Char5"/>
    <w:basedOn w:val="1"/>
    <w:qFormat/>
    <w:uiPriority w:val="0"/>
    <w:rPr>
      <w:szCs w:val="21"/>
    </w:rPr>
  </w:style>
  <w:style w:type="paragraph" w:customStyle="1" w:styleId="3416">
    <w:name w:val="日期3"/>
    <w:basedOn w:val="1"/>
    <w:next w:val="1"/>
    <w:qFormat/>
    <w:uiPriority w:val="0"/>
    <w:pPr>
      <w:adjustRightInd w:val="0"/>
      <w:textAlignment w:val="baseline"/>
    </w:pPr>
    <w:rPr>
      <w:sz w:val="24"/>
      <w:szCs w:val="20"/>
    </w:rPr>
  </w:style>
  <w:style w:type="paragraph" w:customStyle="1" w:styleId="3417">
    <w:name w:val="Char15"/>
    <w:basedOn w:val="1"/>
    <w:qFormat/>
    <w:uiPriority w:val="0"/>
    <w:pPr>
      <w:spacing w:line="360" w:lineRule="auto"/>
      <w:ind w:firstLine="200" w:firstLineChars="200"/>
    </w:pPr>
    <w:rPr>
      <w:szCs w:val="20"/>
    </w:rPr>
  </w:style>
  <w:style w:type="paragraph" w:customStyle="1" w:styleId="3418">
    <w:name w:val="正文文本缩进6"/>
    <w:basedOn w:val="1"/>
    <w:qFormat/>
    <w:uiPriority w:val="0"/>
    <w:pPr>
      <w:spacing w:after="120" w:line="440" w:lineRule="exact"/>
      <w:ind w:left="420" w:leftChars="200" w:firstLine="480" w:firstLineChars="200"/>
    </w:pPr>
  </w:style>
  <w:style w:type="paragraph" w:customStyle="1" w:styleId="3419">
    <w:name w:val="z-窗体顶端3"/>
    <w:basedOn w:val="1"/>
    <w:next w:val="1"/>
    <w:qFormat/>
    <w:uiPriority w:val="0"/>
    <w:pPr>
      <w:pBdr>
        <w:bottom w:val="single" w:color="auto" w:sz="6" w:space="1"/>
      </w:pBdr>
      <w:jc w:val="center"/>
    </w:pPr>
    <w:rPr>
      <w:rFonts w:hint="eastAsia" w:ascii="Arial" w:hAnsi="Arial"/>
      <w:vanish/>
      <w:sz w:val="16"/>
      <w:szCs w:val="20"/>
    </w:rPr>
  </w:style>
  <w:style w:type="paragraph" w:customStyle="1" w:styleId="3420">
    <w:name w:val="电子邮件签名4"/>
    <w:basedOn w:val="1"/>
    <w:qFormat/>
    <w:uiPriority w:val="99"/>
    <w:rPr>
      <w:kern w:val="0"/>
      <w:sz w:val="20"/>
    </w:rPr>
  </w:style>
  <w:style w:type="paragraph" w:customStyle="1" w:styleId="3421">
    <w:name w:val="Char Char Char Char Char Char Char7"/>
    <w:basedOn w:val="1"/>
    <w:qFormat/>
    <w:uiPriority w:val="0"/>
    <w:pPr>
      <w:spacing w:line="360" w:lineRule="auto"/>
      <w:ind w:firstLine="200" w:firstLineChars="200"/>
    </w:pPr>
    <w:rPr>
      <w:rFonts w:ascii="宋体" w:hAnsi="宋体" w:cs="宋体"/>
      <w:sz w:val="24"/>
    </w:rPr>
  </w:style>
  <w:style w:type="paragraph" w:customStyle="1" w:styleId="3422">
    <w:name w:val="Char28"/>
    <w:basedOn w:val="1"/>
    <w:qFormat/>
    <w:uiPriority w:val="0"/>
    <w:rPr>
      <w:sz w:val="24"/>
    </w:rPr>
  </w:style>
  <w:style w:type="paragraph" w:customStyle="1" w:styleId="3423">
    <w:name w:val="Char Char Char Char Char Char1 Char Char Char1 Char Char Char1 Char Char Char Char Char Char Char Char Char Char5"/>
    <w:basedOn w:val="1"/>
    <w:next w:val="1"/>
    <w:qFormat/>
    <w:uiPriority w:val="0"/>
    <w:pPr>
      <w:spacing w:line="360" w:lineRule="auto"/>
      <w:ind w:firstLine="200" w:firstLineChars="200"/>
    </w:pPr>
    <w:rPr>
      <w:rFonts w:ascii="宋体" w:hAnsi="宋体" w:cs="宋体"/>
      <w:sz w:val="24"/>
    </w:rPr>
  </w:style>
  <w:style w:type="paragraph" w:customStyle="1" w:styleId="3424">
    <w:name w:val="明显引用4"/>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3425">
    <w:name w:val="正文首行缩进 23"/>
    <w:basedOn w:val="1"/>
    <w:qFormat/>
    <w:uiPriority w:val="0"/>
    <w:pPr>
      <w:spacing w:after="120"/>
      <w:ind w:left="420" w:leftChars="200" w:firstLine="420" w:firstLineChars="200"/>
    </w:pPr>
    <w:rPr>
      <w:rFonts w:ascii="Arial" w:hAnsi="Arial" w:cs="Courier New"/>
      <w:snapToGrid w:val="0"/>
      <w:sz w:val="28"/>
      <w:szCs w:val="32"/>
    </w:rPr>
  </w:style>
  <w:style w:type="paragraph" w:customStyle="1" w:styleId="3426">
    <w:name w:val="正文10"/>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3427">
    <w:name w:val="文档结构图3"/>
    <w:basedOn w:val="1"/>
    <w:qFormat/>
    <w:uiPriority w:val="0"/>
    <w:pPr>
      <w:spacing w:line="440" w:lineRule="exact"/>
      <w:ind w:firstLine="480" w:firstLineChars="200"/>
    </w:pPr>
    <w:rPr>
      <w:rFonts w:ascii="宋体"/>
      <w:color w:val="000000"/>
      <w:kern w:val="0"/>
      <w:sz w:val="18"/>
      <w:szCs w:val="18"/>
    </w:rPr>
  </w:style>
  <w:style w:type="paragraph" w:customStyle="1" w:styleId="3428">
    <w:name w:val="Char Char Char Char Char Char Char Char Char Char Char Char1 Char Char Char Char Char Char Char Char Char Char Char Char Char Char Char Char Char Char Char5"/>
    <w:basedOn w:val="1"/>
    <w:qFormat/>
    <w:uiPriority w:val="0"/>
    <w:pPr>
      <w:spacing w:line="360" w:lineRule="auto"/>
      <w:ind w:firstLine="200" w:firstLineChars="200"/>
    </w:pPr>
    <w:rPr>
      <w:rFonts w:ascii="Calibri" w:hAnsi="Calibri"/>
      <w:szCs w:val="20"/>
    </w:rPr>
  </w:style>
  <w:style w:type="paragraph" w:customStyle="1" w:styleId="3429">
    <w:name w:val="Char Char Char Char Char Char Char Char Char Char5"/>
    <w:basedOn w:val="1"/>
    <w:qFormat/>
    <w:uiPriority w:val="0"/>
    <w:pPr>
      <w:spacing w:line="360" w:lineRule="auto"/>
      <w:ind w:firstLine="200" w:firstLineChars="200"/>
    </w:pPr>
    <w:rPr>
      <w:sz w:val="24"/>
      <w:szCs w:val="20"/>
    </w:rPr>
  </w:style>
  <w:style w:type="paragraph" w:customStyle="1" w:styleId="3430">
    <w:name w:val="字元 字元 Char Char 字元 字元15"/>
    <w:basedOn w:val="1"/>
    <w:qFormat/>
    <w:uiPriority w:val="0"/>
    <w:rPr>
      <w:sz w:val="24"/>
    </w:rPr>
  </w:style>
  <w:style w:type="paragraph" w:customStyle="1" w:styleId="3431">
    <w:name w:val="Char Char Char Char8"/>
    <w:basedOn w:val="1"/>
    <w:qFormat/>
    <w:uiPriority w:val="0"/>
    <w:rPr>
      <w:sz w:val="24"/>
      <w:szCs w:val="20"/>
    </w:rPr>
  </w:style>
  <w:style w:type="paragraph" w:customStyle="1" w:styleId="3432">
    <w:name w:val="称呼3"/>
    <w:basedOn w:val="1"/>
    <w:next w:val="1"/>
    <w:qFormat/>
    <w:uiPriority w:val="99"/>
    <w:rPr>
      <w:kern w:val="0"/>
      <w:sz w:val="20"/>
    </w:rPr>
  </w:style>
  <w:style w:type="paragraph" w:customStyle="1" w:styleId="3433">
    <w:name w:val="普通(网站)3"/>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3434">
    <w:name w:val="HTML 地址4"/>
    <w:basedOn w:val="1"/>
    <w:qFormat/>
    <w:uiPriority w:val="99"/>
    <w:rPr>
      <w:i/>
      <w:iCs/>
      <w:kern w:val="0"/>
      <w:sz w:val="20"/>
    </w:rPr>
  </w:style>
  <w:style w:type="paragraph" w:customStyle="1" w:styleId="3435">
    <w:name w:val="正文12"/>
    <w:basedOn w:val="34"/>
    <w:qFormat/>
    <w:uiPriority w:val="0"/>
    <w:pPr>
      <w:spacing w:line="240" w:lineRule="auto"/>
    </w:pPr>
    <w:rPr>
      <w:rFonts w:ascii="Times New Roman" w:hAnsi="Times New Roman" w:cs="Times New Roman"/>
    </w:rPr>
  </w:style>
  <w:style w:type="paragraph" w:customStyle="1" w:styleId="3436">
    <w:name w:val="结束语3"/>
    <w:basedOn w:val="1"/>
    <w:qFormat/>
    <w:uiPriority w:val="0"/>
    <w:pPr>
      <w:ind w:left="100" w:leftChars="2100"/>
    </w:pPr>
  </w:style>
  <w:style w:type="paragraph" w:customStyle="1" w:styleId="3437">
    <w:name w:val="批注主题4"/>
    <w:basedOn w:val="28"/>
    <w:next w:val="28"/>
    <w:qFormat/>
    <w:uiPriority w:val="0"/>
    <w:rPr>
      <w:rFonts w:ascii="宋体" w:hAnsi="宋体" w:eastAsia="Times New Roman"/>
      <w:b/>
      <w:bCs/>
      <w:sz w:val="28"/>
    </w:rPr>
  </w:style>
  <w:style w:type="paragraph" w:customStyle="1" w:styleId="3438">
    <w:name w:val="无间隔3"/>
    <w:qFormat/>
    <w:uiPriority w:val="0"/>
    <w:pPr>
      <w:widowControl w:val="0"/>
      <w:jc w:val="both"/>
    </w:pPr>
    <w:rPr>
      <w:rFonts w:ascii="Calibri" w:hAnsi="Calibri" w:eastAsia="宋体" w:cs="Calibri"/>
      <w:kern w:val="2"/>
      <w:sz w:val="21"/>
      <w:szCs w:val="21"/>
      <w:lang w:val="en-US" w:eastAsia="zh-CN" w:bidi="ar-SA"/>
    </w:rPr>
  </w:style>
  <w:style w:type="paragraph" w:customStyle="1" w:styleId="3439">
    <w:name w:val="Char Char Char Char Char Char Char Char Char Char Char Char Char5"/>
    <w:basedOn w:val="1"/>
    <w:qFormat/>
    <w:uiPriority w:val="0"/>
  </w:style>
  <w:style w:type="paragraph" w:customStyle="1" w:styleId="3440">
    <w:name w:val="Char Char Char Char Char Char1 Char5"/>
    <w:basedOn w:val="1"/>
    <w:qFormat/>
    <w:uiPriority w:val="0"/>
    <w:pPr>
      <w:spacing w:line="360" w:lineRule="auto"/>
      <w:ind w:firstLine="200" w:firstLineChars="200"/>
    </w:pPr>
    <w:rPr>
      <w:rFonts w:ascii="宋体" w:hAnsi="宋体" w:cs="宋体"/>
      <w:sz w:val="24"/>
    </w:rPr>
  </w:style>
  <w:style w:type="paragraph" w:customStyle="1" w:styleId="3441">
    <w:name w:val="签名3"/>
    <w:basedOn w:val="1"/>
    <w:qFormat/>
    <w:uiPriority w:val="0"/>
    <w:pPr>
      <w:ind w:left="100" w:leftChars="2100"/>
    </w:pPr>
  </w:style>
  <w:style w:type="paragraph" w:customStyle="1" w:styleId="3442">
    <w:name w:val="纯文本6"/>
    <w:basedOn w:val="1"/>
    <w:qFormat/>
    <w:uiPriority w:val="0"/>
    <w:pPr>
      <w:adjustRightInd w:val="0"/>
      <w:jc w:val="left"/>
      <w:textAlignment w:val="baseline"/>
    </w:pPr>
    <w:rPr>
      <w:rFonts w:ascii="宋体"/>
      <w:kern w:val="0"/>
      <w:sz w:val="24"/>
      <w:szCs w:val="20"/>
    </w:rPr>
  </w:style>
  <w:style w:type="paragraph" w:customStyle="1" w:styleId="3443">
    <w:name w:val="索引 44"/>
    <w:basedOn w:val="1"/>
    <w:next w:val="1"/>
    <w:qFormat/>
    <w:uiPriority w:val="0"/>
    <w:pPr>
      <w:ind w:left="600" w:leftChars="600"/>
    </w:pPr>
  </w:style>
  <w:style w:type="paragraph" w:customStyle="1" w:styleId="3444">
    <w:name w:val="Char6"/>
    <w:basedOn w:val="1"/>
    <w:qFormat/>
    <w:uiPriority w:val="0"/>
  </w:style>
  <w:style w:type="paragraph" w:customStyle="1" w:styleId="3445">
    <w:name w:val="Char Char Char1 Char4"/>
    <w:basedOn w:val="1"/>
    <w:qFormat/>
    <w:uiPriority w:val="0"/>
  </w:style>
  <w:style w:type="paragraph" w:customStyle="1" w:styleId="3446">
    <w:name w:val="Char Char2 Char Char Char Char5"/>
    <w:basedOn w:val="1"/>
    <w:qFormat/>
    <w:uiPriority w:val="0"/>
    <w:rPr>
      <w:sz w:val="30"/>
      <w:szCs w:val="30"/>
    </w:rPr>
  </w:style>
  <w:style w:type="paragraph" w:customStyle="1" w:styleId="3447">
    <w:name w:val="InstÀÀll7"/>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448">
    <w:name w:val="Char Char Char2 Char5"/>
    <w:basedOn w:val="1"/>
    <w:qFormat/>
    <w:uiPriority w:val="0"/>
    <w:pPr>
      <w:spacing w:line="360" w:lineRule="auto"/>
      <w:ind w:firstLine="200" w:firstLineChars="200"/>
    </w:pPr>
    <w:rPr>
      <w:rFonts w:ascii="宋体" w:hAnsi="宋体" w:cs="宋体"/>
      <w:sz w:val="24"/>
    </w:rPr>
  </w:style>
  <w:style w:type="paragraph" w:customStyle="1" w:styleId="3449">
    <w:name w:val="Char1 Char Char Char5"/>
    <w:basedOn w:val="1"/>
    <w:qFormat/>
    <w:uiPriority w:val="0"/>
    <w:pPr>
      <w:spacing w:line="360" w:lineRule="auto"/>
      <w:ind w:firstLine="200" w:firstLineChars="200"/>
    </w:pPr>
    <w:rPr>
      <w:rFonts w:ascii="宋体" w:hAnsi="宋体" w:cs="宋体"/>
      <w:sz w:val="24"/>
    </w:rPr>
  </w:style>
  <w:style w:type="paragraph" w:customStyle="1" w:styleId="3450">
    <w:name w:val="Char Char1 Char Char Char Char5"/>
    <w:basedOn w:val="1"/>
    <w:qFormat/>
    <w:uiPriority w:val="0"/>
    <w:rPr>
      <w:sz w:val="24"/>
    </w:rPr>
  </w:style>
  <w:style w:type="paragraph" w:customStyle="1" w:styleId="3451">
    <w:name w:val="Char Char1 Char Char Char Char Char Char Char5"/>
    <w:basedOn w:val="1"/>
    <w:qFormat/>
    <w:uiPriority w:val="0"/>
    <w:rPr>
      <w:szCs w:val="20"/>
    </w:rPr>
  </w:style>
  <w:style w:type="paragraph" w:customStyle="1" w:styleId="3452">
    <w:name w:val="Char Char Char Char25"/>
    <w:basedOn w:val="1"/>
    <w:qFormat/>
    <w:uiPriority w:val="0"/>
    <w:rPr>
      <w:sz w:val="24"/>
    </w:rPr>
  </w:style>
  <w:style w:type="paragraph" w:customStyle="1" w:styleId="3453">
    <w:name w:val="Char Char Char Char Char Char1 Char Char Char Char5"/>
    <w:basedOn w:val="1"/>
    <w:qFormat/>
    <w:uiPriority w:val="0"/>
    <w:rPr>
      <w:sz w:val="24"/>
    </w:rPr>
  </w:style>
  <w:style w:type="paragraph" w:customStyle="1" w:styleId="3454">
    <w:name w:val="Char Char2 Char Char Char Char Char Char7"/>
    <w:basedOn w:val="1"/>
    <w:qFormat/>
    <w:uiPriority w:val="0"/>
    <w:pPr>
      <w:spacing w:line="360" w:lineRule="auto"/>
    </w:pPr>
    <w:rPr>
      <w:rFonts w:ascii="宋体" w:hAnsi="宋体"/>
      <w:sz w:val="22"/>
    </w:rPr>
  </w:style>
  <w:style w:type="paragraph" w:customStyle="1" w:styleId="3455">
    <w:name w:val="Char Char Char Char Char Char Char Char Char Char Char Char1 Char Char Char Char Char Char Char Char Char Char Char Char Char Char Char Char Char Char1 Char Char Char1 Char Char Char Char Char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456">
    <w:name w:val="Char Char2 Char5"/>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3457">
    <w:name w:val="Char Char Char1 Char Char Char Char5"/>
    <w:basedOn w:val="1"/>
    <w:next w:val="1"/>
    <w:qFormat/>
    <w:uiPriority w:val="0"/>
    <w:pPr>
      <w:spacing w:line="360" w:lineRule="auto"/>
      <w:ind w:firstLine="200" w:firstLineChars="200"/>
    </w:pPr>
    <w:rPr>
      <w:rFonts w:ascii="宋体" w:hAnsi="宋体" w:eastAsia="汉鼎简书宋" w:cs="宋体"/>
      <w:sz w:val="24"/>
    </w:rPr>
  </w:style>
  <w:style w:type="paragraph" w:customStyle="1" w:styleId="3458">
    <w:name w:val="Char Char Char Char Char Char Char Char Char4"/>
    <w:basedOn w:val="1"/>
    <w:qFormat/>
    <w:uiPriority w:val="0"/>
  </w:style>
  <w:style w:type="paragraph" w:customStyle="1" w:styleId="3459">
    <w:name w:val="Char Char Char Char Char Char Char Char Char Char Char Char Char Char Char Char Char Char Char Char Char Char Char Char Char Char Char Char Char Char Char Char Char Char Char Char Char Char Char Char Char Char4"/>
    <w:basedOn w:val="1"/>
    <w:semiHidden/>
    <w:qFormat/>
    <w:uiPriority w:val="0"/>
  </w:style>
  <w:style w:type="paragraph" w:customStyle="1" w:styleId="3460">
    <w:name w:val="Char2 Char Char Char Char Char Char5"/>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461">
    <w:name w:val="正文首行缩进3"/>
    <w:basedOn w:val="34"/>
    <w:qFormat/>
    <w:uiPriority w:val="0"/>
    <w:pPr>
      <w:adjustRightInd w:val="0"/>
      <w:spacing w:after="120" w:line="240" w:lineRule="auto"/>
      <w:ind w:firstLine="420"/>
      <w:textAlignment w:val="baseline"/>
    </w:pPr>
    <w:rPr>
      <w:rFonts w:ascii="Times New Roman" w:hAnsi="Times New Roman" w:cs="宋体"/>
      <w:szCs w:val="20"/>
    </w:rPr>
  </w:style>
  <w:style w:type="paragraph" w:customStyle="1" w:styleId="3462">
    <w:name w:val="Char Char Char Char Char Char1 Char Char Char1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463">
    <w:name w:val="信息标题4"/>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3464">
    <w:name w:val="正文缩进5"/>
    <w:basedOn w:val="1"/>
    <w:qFormat/>
    <w:uiPriority w:val="0"/>
    <w:pPr>
      <w:ind w:firstLine="420"/>
    </w:pPr>
    <w:rPr>
      <w:color w:val="000000"/>
      <w:sz w:val="24"/>
      <w:szCs w:val="15"/>
    </w:rPr>
  </w:style>
  <w:style w:type="paragraph" w:customStyle="1" w:styleId="3465">
    <w:name w:val="索引 93"/>
    <w:basedOn w:val="1"/>
    <w:next w:val="1"/>
    <w:qFormat/>
    <w:uiPriority w:val="0"/>
    <w:pPr>
      <w:ind w:left="1600" w:leftChars="1600"/>
    </w:pPr>
  </w:style>
  <w:style w:type="paragraph" w:customStyle="1" w:styleId="3466">
    <w:name w:val="列表 23"/>
    <w:basedOn w:val="1"/>
    <w:qFormat/>
    <w:uiPriority w:val="0"/>
    <w:pPr>
      <w:ind w:left="100" w:leftChars="200" w:hanging="200" w:hangingChars="200"/>
    </w:pPr>
  </w:style>
  <w:style w:type="paragraph" w:customStyle="1" w:styleId="3467">
    <w:name w:val="索引 53"/>
    <w:basedOn w:val="1"/>
    <w:next w:val="1"/>
    <w:qFormat/>
    <w:uiPriority w:val="0"/>
    <w:pPr>
      <w:ind w:left="800" w:leftChars="800"/>
    </w:pPr>
  </w:style>
  <w:style w:type="paragraph" w:customStyle="1" w:styleId="3468">
    <w:name w:val="索引 14"/>
    <w:basedOn w:val="1"/>
    <w:next w:val="1"/>
    <w:qFormat/>
    <w:uiPriority w:val="0"/>
    <w:pPr>
      <w:ind w:left="210" w:hanging="210"/>
      <w:jc w:val="left"/>
    </w:pPr>
  </w:style>
  <w:style w:type="paragraph" w:customStyle="1" w:styleId="3469">
    <w:name w:val="列表接续4"/>
    <w:basedOn w:val="1"/>
    <w:qFormat/>
    <w:uiPriority w:val="0"/>
    <w:pPr>
      <w:spacing w:after="120"/>
      <w:ind w:left="420" w:leftChars="200"/>
    </w:pPr>
  </w:style>
  <w:style w:type="paragraph" w:customStyle="1" w:styleId="3470">
    <w:name w:val="列表编号 34"/>
    <w:basedOn w:val="1"/>
    <w:qFormat/>
    <w:uiPriority w:val="0"/>
    <w:pPr>
      <w:tabs>
        <w:tab w:val="left" w:pos="780"/>
        <w:tab w:val="left" w:pos="1200"/>
      </w:tabs>
      <w:ind w:left="780" w:hanging="360"/>
    </w:pPr>
  </w:style>
  <w:style w:type="paragraph" w:customStyle="1" w:styleId="3471">
    <w:name w:val="索引 84"/>
    <w:basedOn w:val="1"/>
    <w:next w:val="1"/>
    <w:qFormat/>
    <w:uiPriority w:val="0"/>
    <w:pPr>
      <w:ind w:left="1400" w:leftChars="1400"/>
    </w:pPr>
  </w:style>
  <w:style w:type="paragraph" w:customStyle="1" w:styleId="3472">
    <w:name w:val="列表编号 24"/>
    <w:basedOn w:val="1"/>
    <w:qFormat/>
    <w:uiPriority w:val="0"/>
    <w:pPr>
      <w:tabs>
        <w:tab w:val="left" w:pos="780"/>
        <w:tab w:val="left" w:pos="1200"/>
      </w:tabs>
      <w:ind w:left="1200" w:hanging="360"/>
    </w:pPr>
  </w:style>
  <w:style w:type="paragraph" w:customStyle="1" w:styleId="3473">
    <w:name w:val="索引 24"/>
    <w:basedOn w:val="1"/>
    <w:next w:val="1"/>
    <w:qFormat/>
    <w:uiPriority w:val="0"/>
    <w:pPr>
      <w:ind w:left="200" w:leftChars="200"/>
    </w:pPr>
  </w:style>
  <w:style w:type="paragraph" w:customStyle="1" w:styleId="3474">
    <w:name w:val="列表接续 24"/>
    <w:basedOn w:val="1"/>
    <w:qFormat/>
    <w:uiPriority w:val="0"/>
    <w:pPr>
      <w:spacing w:after="120"/>
      <w:ind w:left="840" w:leftChars="400"/>
    </w:pPr>
  </w:style>
  <w:style w:type="paragraph" w:customStyle="1" w:styleId="3475">
    <w:name w:val="收信人地址4"/>
    <w:basedOn w:val="1"/>
    <w:qFormat/>
    <w:uiPriority w:val="0"/>
    <w:pPr>
      <w:snapToGrid w:val="0"/>
      <w:ind w:left="100" w:leftChars="1400"/>
    </w:pPr>
    <w:rPr>
      <w:rFonts w:ascii="Arial" w:hAnsi="Arial" w:cs="Arial"/>
      <w:sz w:val="24"/>
    </w:rPr>
  </w:style>
  <w:style w:type="paragraph" w:customStyle="1" w:styleId="3476">
    <w:name w:val="索引 34"/>
    <w:basedOn w:val="1"/>
    <w:next w:val="1"/>
    <w:qFormat/>
    <w:uiPriority w:val="0"/>
    <w:pPr>
      <w:ind w:left="400" w:leftChars="400"/>
    </w:pPr>
  </w:style>
  <w:style w:type="paragraph" w:customStyle="1" w:styleId="3477">
    <w:name w:val="列表 54"/>
    <w:basedOn w:val="1"/>
    <w:qFormat/>
    <w:uiPriority w:val="0"/>
    <w:pPr>
      <w:ind w:left="100" w:leftChars="800" w:hanging="200" w:hangingChars="200"/>
    </w:pPr>
  </w:style>
  <w:style w:type="paragraph" w:customStyle="1" w:styleId="3478">
    <w:name w:val="索引 64"/>
    <w:basedOn w:val="1"/>
    <w:next w:val="1"/>
    <w:qFormat/>
    <w:uiPriority w:val="0"/>
    <w:pPr>
      <w:ind w:left="1000" w:leftChars="1000"/>
    </w:pPr>
  </w:style>
  <w:style w:type="paragraph" w:customStyle="1" w:styleId="3479">
    <w:name w:val="列表接续 43"/>
    <w:basedOn w:val="1"/>
    <w:qFormat/>
    <w:uiPriority w:val="0"/>
    <w:pPr>
      <w:spacing w:after="120"/>
      <w:ind w:left="1680" w:leftChars="800"/>
    </w:pPr>
  </w:style>
  <w:style w:type="paragraph" w:customStyle="1" w:styleId="3480">
    <w:name w:val="引文目录3"/>
    <w:basedOn w:val="1"/>
    <w:next w:val="1"/>
    <w:qFormat/>
    <w:uiPriority w:val="0"/>
    <w:pPr>
      <w:ind w:left="420" w:leftChars="200"/>
    </w:pPr>
  </w:style>
  <w:style w:type="paragraph" w:customStyle="1" w:styleId="3481">
    <w:name w:val="列表接续 33"/>
    <w:basedOn w:val="1"/>
    <w:qFormat/>
    <w:uiPriority w:val="0"/>
    <w:pPr>
      <w:spacing w:after="120"/>
      <w:ind w:left="1260" w:leftChars="600"/>
    </w:pPr>
  </w:style>
  <w:style w:type="paragraph" w:customStyle="1" w:styleId="3482">
    <w:name w:val="索引标题4"/>
    <w:basedOn w:val="1"/>
    <w:next w:val="3468"/>
    <w:qFormat/>
    <w:uiPriority w:val="0"/>
    <w:rPr>
      <w:rFonts w:ascii="Arial" w:hAnsi="Arial" w:cs="Arial"/>
      <w:b/>
      <w:bCs/>
    </w:rPr>
  </w:style>
  <w:style w:type="paragraph" w:customStyle="1" w:styleId="3483">
    <w:name w:val="列表接续 53"/>
    <w:basedOn w:val="1"/>
    <w:qFormat/>
    <w:uiPriority w:val="0"/>
    <w:pPr>
      <w:spacing w:after="120"/>
      <w:ind w:left="2100" w:leftChars="1000"/>
    </w:pPr>
  </w:style>
  <w:style w:type="paragraph" w:customStyle="1" w:styleId="3484">
    <w:name w:val="列表 43"/>
    <w:basedOn w:val="1"/>
    <w:qFormat/>
    <w:uiPriority w:val="0"/>
    <w:pPr>
      <w:ind w:left="100" w:leftChars="600" w:hanging="200" w:hangingChars="200"/>
    </w:pPr>
  </w:style>
  <w:style w:type="paragraph" w:customStyle="1" w:styleId="3485">
    <w:name w:val="列表编号 44"/>
    <w:basedOn w:val="1"/>
    <w:qFormat/>
    <w:uiPriority w:val="0"/>
    <w:pPr>
      <w:tabs>
        <w:tab w:val="left" w:pos="360"/>
        <w:tab w:val="left" w:pos="1620"/>
      </w:tabs>
      <w:ind w:left="360" w:hanging="360"/>
    </w:pPr>
  </w:style>
  <w:style w:type="paragraph" w:customStyle="1" w:styleId="3486">
    <w:name w:val="寄信人地址4"/>
    <w:basedOn w:val="1"/>
    <w:qFormat/>
    <w:uiPriority w:val="0"/>
    <w:pPr>
      <w:snapToGrid w:val="0"/>
    </w:pPr>
    <w:rPr>
      <w:rFonts w:ascii="Arial" w:hAnsi="Arial" w:cs="Arial"/>
    </w:rPr>
  </w:style>
  <w:style w:type="paragraph" w:customStyle="1" w:styleId="3487">
    <w:name w:val="列表编号 54"/>
    <w:basedOn w:val="1"/>
    <w:qFormat/>
    <w:uiPriority w:val="0"/>
    <w:pPr>
      <w:tabs>
        <w:tab w:val="left" w:pos="2040"/>
      </w:tabs>
      <w:ind w:left="2040" w:hanging="360"/>
    </w:pPr>
  </w:style>
  <w:style w:type="paragraph" w:customStyle="1" w:styleId="3488">
    <w:name w:val="索引 74"/>
    <w:basedOn w:val="1"/>
    <w:next w:val="1"/>
    <w:qFormat/>
    <w:uiPriority w:val="0"/>
    <w:pPr>
      <w:ind w:left="1200" w:leftChars="1200"/>
    </w:pPr>
  </w:style>
  <w:style w:type="paragraph" w:customStyle="1" w:styleId="3489">
    <w:name w:val="图表目录3"/>
    <w:basedOn w:val="1"/>
    <w:next w:val="1"/>
    <w:qFormat/>
    <w:uiPriority w:val="0"/>
    <w:pPr>
      <w:ind w:left="200" w:leftChars="200" w:hanging="200" w:hangingChars="200"/>
    </w:pPr>
  </w:style>
  <w:style w:type="paragraph" w:customStyle="1" w:styleId="3490">
    <w:name w:val="引文目录标题4"/>
    <w:basedOn w:val="1"/>
    <w:next w:val="1"/>
    <w:qFormat/>
    <w:uiPriority w:val="0"/>
    <w:pPr>
      <w:spacing w:before="120"/>
    </w:pPr>
    <w:rPr>
      <w:rFonts w:ascii="Arial" w:hAnsi="Arial" w:cs="Arial"/>
      <w:sz w:val="24"/>
    </w:rPr>
  </w:style>
  <w:style w:type="paragraph" w:customStyle="1" w:styleId="3491">
    <w:name w:val="列表 33"/>
    <w:basedOn w:val="1"/>
    <w:qFormat/>
    <w:uiPriority w:val="0"/>
    <w:pPr>
      <w:ind w:left="100" w:leftChars="400" w:hanging="200" w:hangingChars="200"/>
    </w:pPr>
  </w:style>
  <w:style w:type="paragraph" w:customStyle="1" w:styleId="3492">
    <w:name w:val="Char1 Char Char Char Char Char1 Char15"/>
    <w:basedOn w:val="1"/>
    <w:qFormat/>
    <w:uiPriority w:val="0"/>
    <w:rPr>
      <w:szCs w:val="21"/>
    </w:rPr>
  </w:style>
  <w:style w:type="paragraph" w:customStyle="1" w:styleId="3493">
    <w:name w:val="字元5"/>
    <w:basedOn w:val="1"/>
    <w:qFormat/>
    <w:uiPriority w:val="0"/>
    <w:rPr>
      <w:sz w:val="24"/>
    </w:rPr>
  </w:style>
  <w:style w:type="paragraph" w:customStyle="1" w:styleId="3494">
    <w:name w:val="Char3 Char Char Char Char Char Char5"/>
    <w:basedOn w:val="1"/>
    <w:qFormat/>
    <w:uiPriority w:val="0"/>
    <w:rPr>
      <w:szCs w:val="21"/>
    </w:rPr>
  </w:style>
  <w:style w:type="paragraph" w:customStyle="1" w:styleId="3495">
    <w:name w:val="列出段落5"/>
    <w:basedOn w:val="1"/>
    <w:qFormat/>
    <w:uiPriority w:val="99"/>
    <w:pPr>
      <w:adjustRightInd w:val="0"/>
      <w:snapToGrid w:val="0"/>
      <w:spacing w:line="360" w:lineRule="auto"/>
      <w:ind w:firstLine="420" w:firstLineChars="200"/>
    </w:pPr>
    <w:rPr>
      <w:rFonts w:ascii="仿宋_GB2312" w:hAnsi="仿宋_GB2312" w:eastAsia="仿宋_GB2312"/>
      <w:sz w:val="28"/>
      <w:szCs w:val="20"/>
    </w:rPr>
  </w:style>
  <w:style w:type="paragraph" w:customStyle="1" w:styleId="3496">
    <w:name w:val="Char Char20 Char Char Char Char Char Char Char Char5"/>
    <w:basedOn w:val="1"/>
    <w:qFormat/>
    <w:uiPriority w:val="0"/>
    <w:pPr>
      <w:widowControl/>
      <w:jc w:val="left"/>
    </w:pPr>
    <w:rPr>
      <w:rFonts w:ascii="宋体"/>
      <w:kern w:val="0"/>
      <w:sz w:val="24"/>
    </w:rPr>
  </w:style>
  <w:style w:type="paragraph" w:customStyle="1" w:styleId="3497">
    <w:name w:val="Char Char Char Char Char Char Char Char Char1 Char Char Char Char Char Char1 Char5"/>
    <w:basedOn w:val="1"/>
    <w:qFormat/>
    <w:uiPriority w:val="0"/>
    <w:rPr>
      <w:szCs w:val="21"/>
    </w:rPr>
  </w:style>
  <w:style w:type="paragraph" w:customStyle="1" w:styleId="3498">
    <w:name w:val="TOC 标题3"/>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499">
    <w:name w:val="标题 35"/>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3500">
    <w:name w:val="字元 字元3"/>
    <w:basedOn w:val="1"/>
    <w:qFormat/>
    <w:uiPriority w:val="0"/>
    <w:rPr>
      <w:sz w:val="24"/>
    </w:rPr>
  </w:style>
  <w:style w:type="paragraph" w:customStyle="1" w:styleId="3501">
    <w:name w:val="Char Char Char Char1 Char Char Char Char Char Char Char3"/>
    <w:basedOn w:val="1"/>
    <w:qFormat/>
    <w:uiPriority w:val="0"/>
    <w:pPr>
      <w:tabs>
        <w:tab w:val="left" w:pos="360"/>
      </w:tabs>
      <w:snapToGrid w:val="0"/>
      <w:spacing w:line="360" w:lineRule="auto"/>
    </w:pPr>
    <w:rPr>
      <w:rFonts w:eastAsia="仿宋_GB2312" w:cs="宋体"/>
      <w:sz w:val="24"/>
    </w:rPr>
  </w:style>
  <w:style w:type="paragraph" w:customStyle="1" w:styleId="3502">
    <w:name w:val="Char Char16 Char Char Char Char3"/>
    <w:basedOn w:val="1"/>
    <w:qFormat/>
    <w:uiPriority w:val="0"/>
    <w:rPr>
      <w:szCs w:val="21"/>
    </w:rPr>
  </w:style>
  <w:style w:type="paragraph" w:customStyle="1" w:styleId="3503">
    <w:name w:val="Char33"/>
    <w:basedOn w:val="1"/>
    <w:qFormat/>
    <w:uiPriority w:val="0"/>
    <w:rPr>
      <w:szCs w:val="21"/>
    </w:rPr>
  </w:style>
  <w:style w:type="paragraph" w:customStyle="1" w:styleId="3504">
    <w:name w:val="Char Char Char Char Char Char Char Char Char1 Char3"/>
    <w:basedOn w:val="1"/>
    <w:qFormat/>
    <w:uiPriority w:val="0"/>
    <w:rPr>
      <w:sz w:val="24"/>
    </w:rPr>
  </w:style>
  <w:style w:type="paragraph" w:customStyle="1" w:styleId="3505">
    <w:name w:val="Char Char Char Char Char Char Char Char Char Char Char Char Char Char Char Char Char Char Char Char Char Char3"/>
    <w:basedOn w:val="1"/>
    <w:qFormat/>
    <w:uiPriority w:val="0"/>
    <w:rPr>
      <w:sz w:val="24"/>
    </w:rPr>
  </w:style>
  <w:style w:type="paragraph" w:customStyle="1" w:styleId="3506">
    <w:name w:val="Char Char Char14"/>
    <w:basedOn w:val="1"/>
    <w:qFormat/>
    <w:uiPriority w:val="0"/>
    <w:rPr>
      <w:szCs w:val="21"/>
    </w:rPr>
  </w:style>
  <w:style w:type="paragraph" w:customStyle="1" w:styleId="3507">
    <w:name w:val="Char Char Char1 Char Char Char Char Char Char Char Char Char Char Char Char Char Char Char1 Char Char Char Char Char Char Char Char Char Char Char Char Char Char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3508">
    <w:name w:val="Char Char Char Char Char Char Char Char Char Char Char Char Char Char Char Char Char Char Char Char Char Char Char Char Char Char Char Char Char Char Char Char Char Char Char Char Char Char Char Char3"/>
    <w:basedOn w:val="1"/>
    <w:qFormat/>
    <w:uiPriority w:val="0"/>
    <w:rPr>
      <w:sz w:val="24"/>
    </w:rPr>
  </w:style>
  <w:style w:type="paragraph" w:customStyle="1" w:styleId="3509">
    <w:name w:val="Char Char Char Char Char Char Char Char Char Char Char Char Char Char Char Char Char Char Char Char Char Char Char Char Char Char Char Char3"/>
    <w:basedOn w:val="1"/>
    <w:qFormat/>
    <w:uiPriority w:val="0"/>
    <w:rPr>
      <w:sz w:val="24"/>
    </w:rPr>
  </w:style>
  <w:style w:type="paragraph" w:customStyle="1" w:styleId="3510">
    <w:name w:val="Char4 Char Char Char Char Char Char Char Char Char Char Char Char Char Char Char Char Char1 Char Char Char Char3"/>
    <w:basedOn w:val="1"/>
    <w:qFormat/>
    <w:uiPriority w:val="0"/>
    <w:pPr>
      <w:spacing w:line="240" w:lineRule="exact"/>
      <w:ind w:firstLine="200" w:firstLineChars="200"/>
    </w:pPr>
    <w:rPr>
      <w:sz w:val="28"/>
      <w:szCs w:val="28"/>
    </w:rPr>
  </w:style>
  <w:style w:type="paragraph" w:customStyle="1" w:styleId="3511">
    <w:name w:val="Char Char Char Char Char Char Char Char Char Char Char Char Char Char Char Char Char Char Char Char Char Char Char Char Char Char Char Char Char Char Char3"/>
    <w:basedOn w:val="1"/>
    <w:qFormat/>
    <w:uiPriority w:val="0"/>
    <w:pPr>
      <w:spacing w:line="360" w:lineRule="auto"/>
      <w:ind w:firstLine="200" w:firstLineChars="200"/>
      <w:jc w:val="center"/>
    </w:pPr>
    <w:rPr>
      <w:rFonts w:ascii="宋体" w:hAnsi="宋体"/>
      <w:sz w:val="24"/>
    </w:rPr>
  </w:style>
  <w:style w:type="paragraph" w:customStyle="1" w:styleId="3512">
    <w:name w:val="Char Char20 Char Char3"/>
    <w:basedOn w:val="1"/>
    <w:qFormat/>
    <w:uiPriority w:val="0"/>
    <w:pPr>
      <w:widowControl/>
      <w:jc w:val="left"/>
    </w:pPr>
    <w:rPr>
      <w:rFonts w:ascii="宋体"/>
      <w:kern w:val="0"/>
      <w:sz w:val="24"/>
    </w:rPr>
  </w:style>
  <w:style w:type="paragraph" w:customStyle="1" w:styleId="3513">
    <w:name w:val="Char Char Char1 Char Char Char Char Char Char Char Char Char Char Char Char Char Char Char1 Char Char Char Char Char Char Char Char Char Char Char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3514">
    <w:name w:val="正文文本缩进 34"/>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3515">
    <w:name w:val="Char Char Char Char Char Char Char Char Char Char Char Char Char Char Char Char3"/>
    <w:basedOn w:val="1"/>
    <w:qFormat/>
    <w:uiPriority w:val="0"/>
    <w:rPr>
      <w:szCs w:val="20"/>
    </w:rPr>
  </w:style>
  <w:style w:type="paragraph" w:customStyle="1" w:styleId="3516">
    <w:name w:val="Char Char Char1 Char Char Char Char Char Char Char Char Char Char Char Char Char Char Char1 Char Char Char Char Char Char Char Char Char Char Char Char3"/>
    <w:basedOn w:val="1"/>
    <w:qFormat/>
    <w:uiPriority w:val="0"/>
    <w:rPr>
      <w:szCs w:val="21"/>
    </w:rPr>
  </w:style>
  <w:style w:type="paragraph" w:customStyle="1" w:styleId="3517">
    <w:name w:val="Char Char Char1 Char Char3"/>
    <w:basedOn w:val="1"/>
    <w:qFormat/>
    <w:uiPriority w:val="0"/>
    <w:rPr>
      <w:rFonts w:ascii="黑体" w:hAnsi="黑体" w:eastAsia="黑体"/>
      <w:b/>
      <w:spacing w:val="10"/>
      <w:sz w:val="28"/>
      <w:szCs w:val="20"/>
    </w:rPr>
  </w:style>
  <w:style w:type="paragraph" w:customStyle="1" w:styleId="3518">
    <w:name w:val="Char3 Char Char3"/>
    <w:basedOn w:val="1"/>
    <w:qFormat/>
    <w:uiPriority w:val="0"/>
    <w:rPr>
      <w:rFonts w:ascii="宋体" w:hAnsi="宋体" w:cs="宋体"/>
      <w:color w:val="000000"/>
      <w:kern w:val="0"/>
      <w:sz w:val="24"/>
    </w:rPr>
  </w:style>
  <w:style w:type="paragraph" w:customStyle="1" w:styleId="3519">
    <w:name w:val="Char Char Char1 Char Char Char Char Char Char3"/>
    <w:basedOn w:val="1"/>
    <w:qFormat/>
    <w:uiPriority w:val="0"/>
    <w:rPr>
      <w:szCs w:val="21"/>
    </w:rPr>
  </w:style>
  <w:style w:type="paragraph" w:customStyle="1" w:styleId="3520">
    <w:name w:val="Char4 Char Char Char Char Char Char Char Char Char Char Char Char Char Char Char Char Char1 Char Char Char Char Char Char1 Char Char Char Char Char Char Char Char Char Char Char Char Char Char Char Char3"/>
    <w:basedOn w:val="1"/>
    <w:qFormat/>
    <w:uiPriority w:val="0"/>
    <w:pPr>
      <w:spacing w:line="240" w:lineRule="exact"/>
      <w:ind w:firstLine="200" w:firstLineChars="200"/>
    </w:pPr>
    <w:rPr>
      <w:sz w:val="28"/>
      <w:szCs w:val="28"/>
    </w:rPr>
  </w:style>
  <w:style w:type="paragraph" w:customStyle="1" w:styleId="3521">
    <w:name w:val="Char1 Char Char Char Char Char Char Char Char Char1 Char Char Char Char Char Char3"/>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522">
    <w:name w:val="字元 字元 字元3"/>
    <w:basedOn w:val="1"/>
    <w:qFormat/>
    <w:uiPriority w:val="0"/>
    <w:pPr>
      <w:spacing w:line="360" w:lineRule="auto"/>
      <w:ind w:firstLine="200" w:firstLineChars="200"/>
    </w:pPr>
    <w:rPr>
      <w:rFonts w:ascii="宋体" w:hAnsi="宋体"/>
      <w:sz w:val="24"/>
    </w:rPr>
  </w:style>
  <w:style w:type="paragraph" w:customStyle="1" w:styleId="3523">
    <w:name w:val="Char Char Char Char Char Char Char Char Char Char Char Char Char Char Char Char Char Char Char Char Char Char Char Char Char3"/>
    <w:basedOn w:val="1"/>
    <w:qFormat/>
    <w:uiPriority w:val="0"/>
  </w:style>
  <w:style w:type="paragraph" w:customStyle="1" w:styleId="3524">
    <w:name w:val="Char Char Char Char Char Char Char Char3"/>
    <w:basedOn w:val="1"/>
    <w:qFormat/>
    <w:uiPriority w:val="0"/>
    <w:rPr>
      <w:szCs w:val="21"/>
    </w:rPr>
  </w:style>
  <w:style w:type="paragraph" w:customStyle="1" w:styleId="3525">
    <w:name w:val="Char Char Char1 Char Char Char Char Char Char Char Char Char3"/>
    <w:basedOn w:val="1"/>
    <w:qFormat/>
    <w:uiPriority w:val="0"/>
    <w:rPr>
      <w:szCs w:val="21"/>
    </w:rPr>
  </w:style>
  <w:style w:type="paragraph" w:customStyle="1" w:styleId="3526">
    <w:name w:val="Char Char Char1 Char Char Char Char Char Char Char Char Char Char Char Char Char Char Char Char Char Char Char Char Char Char3"/>
    <w:basedOn w:val="1"/>
    <w:qFormat/>
    <w:uiPriority w:val="0"/>
    <w:rPr>
      <w:szCs w:val="20"/>
    </w:rPr>
  </w:style>
  <w:style w:type="paragraph" w:customStyle="1" w:styleId="3527">
    <w:name w:val="Char Char Char Char Char Char Char Char Char1 Char Char Char Char Char Char Char3"/>
    <w:basedOn w:val="1"/>
    <w:qFormat/>
    <w:uiPriority w:val="0"/>
    <w:rPr>
      <w:szCs w:val="21"/>
    </w:rPr>
  </w:style>
  <w:style w:type="paragraph" w:customStyle="1" w:styleId="3528">
    <w:name w:val="Char2 Char Char Char Char Char3"/>
    <w:basedOn w:val="1"/>
    <w:qFormat/>
    <w:uiPriority w:val="0"/>
    <w:rPr>
      <w:sz w:val="24"/>
    </w:rPr>
  </w:style>
  <w:style w:type="paragraph" w:customStyle="1" w:styleId="3529">
    <w:name w:val="Char Char Char Char Char Char Char Char Char Char Char Char Char Char Char Char Char Char Char Char Char Char Char Char Char Char Char Char Char Char Char Char Char Char Char Char Char3"/>
    <w:basedOn w:val="1"/>
    <w:qFormat/>
    <w:uiPriority w:val="0"/>
    <w:rPr>
      <w:sz w:val="24"/>
    </w:rPr>
  </w:style>
  <w:style w:type="paragraph" w:customStyle="1" w:styleId="3530">
    <w:name w:val="Char Char Char Char Char Char Char Char Char Char Char Char Char Char Char Char Char Char Char Char Char Char Char Char Char Char Char Char Char Char Char Char Char Char3"/>
    <w:basedOn w:val="1"/>
    <w:qFormat/>
    <w:uiPriority w:val="0"/>
    <w:rPr>
      <w:sz w:val="24"/>
    </w:rPr>
  </w:style>
  <w:style w:type="character" w:customStyle="1" w:styleId="3531">
    <w:name w:val="HTML 键盘3"/>
    <w:qFormat/>
    <w:uiPriority w:val="0"/>
    <w:rPr>
      <w:rFonts w:ascii="Courier New" w:hAnsi="Courier New" w:cs="Courier New"/>
      <w:sz w:val="20"/>
      <w:szCs w:val="20"/>
    </w:rPr>
  </w:style>
  <w:style w:type="character" w:customStyle="1" w:styleId="3532">
    <w:name w:val="HTML 样本3"/>
    <w:qFormat/>
    <w:uiPriority w:val="0"/>
    <w:rPr>
      <w:rFonts w:ascii="Courier New" w:hAnsi="Courier New" w:cs="Courier New"/>
    </w:rPr>
  </w:style>
  <w:style w:type="character" w:customStyle="1" w:styleId="3533">
    <w:name w:val="Char Char364"/>
    <w:qFormat/>
    <w:uiPriority w:val="0"/>
    <w:rPr>
      <w:kern w:val="2"/>
      <w:sz w:val="21"/>
    </w:rPr>
  </w:style>
  <w:style w:type="character" w:customStyle="1" w:styleId="3534">
    <w:name w:val="HTML 打字机3"/>
    <w:qFormat/>
    <w:uiPriority w:val="0"/>
    <w:rPr>
      <w:rFonts w:ascii="Courier New" w:hAnsi="Courier New" w:cs="Courier New"/>
      <w:sz w:val="20"/>
      <w:szCs w:val="20"/>
    </w:rPr>
  </w:style>
  <w:style w:type="character" w:customStyle="1" w:styleId="3535">
    <w:name w:val="标题6"/>
    <w:basedOn w:val="133"/>
    <w:qFormat/>
    <w:uiPriority w:val="0"/>
  </w:style>
  <w:style w:type="character" w:customStyle="1" w:styleId="3536">
    <w:name w:val="Char Char383"/>
    <w:qFormat/>
    <w:uiPriority w:val="0"/>
    <w:rPr>
      <w:rFonts w:ascii="Cambria" w:hAnsi="Cambria" w:eastAsia="宋体" w:cs="Times New Roman"/>
      <w:b/>
      <w:bCs/>
      <w:kern w:val="2"/>
      <w:sz w:val="32"/>
      <w:szCs w:val="32"/>
    </w:rPr>
  </w:style>
  <w:style w:type="character" w:customStyle="1" w:styleId="3537">
    <w:name w:val="Char Char514"/>
    <w:qFormat/>
    <w:locked/>
    <w:uiPriority w:val="0"/>
    <w:rPr>
      <w:rFonts w:eastAsia="宋体"/>
      <w:kern w:val="2"/>
      <w:sz w:val="24"/>
      <w:lang w:val="en-US" w:eastAsia="zh-CN" w:bidi="ar-SA"/>
    </w:rPr>
  </w:style>
  <w:style w:type="character" w:customStyle="1" w:styleId="3538">
    <w:name w:val="HTML 定义3"/>
    <w:qFormat/>
    <w:uiPriority w:val="0"/>
    <w:rPr>
      <w:i/>
      <w:iCs/>
    </w:rPr>
  </w:style>
  <w:style w:type="character" w:customStyle="1" w:styleId="3539">
    <w:name w:val="HTML 缩写3"/>
    <w:basedOn w:val="133"/>
    <w:qFormat/>
    <w:uiPriority w:val="0"/>
  </w:style>
  <w:style w:type="character" w:customStyle="1" w:styleId="3540">
    <w:name w:val="批注引用3"/>
    <w:qFormat/>
    <w:uiPriority w:val="0"/>
    <w:rPr>
      <w:sz w:val="21"/>
      <w:szCs w:val="21"/>
    </w:rPr>
  </w:style>
  <w:style w:type="character" w:customStyle="1" w:styleId="3541">
    <w:name w:val="页码4"/>
    <w:basedOn w:val="133"/>
    <w:qFormat/>
    <w:uiPriority w:val="0"/>
  </w:style>
  <w:style w:type="character" w:customStyle="1" w:styleId="3542">
    <w:name w:val="Char Char264"/>
    <w:qFormat/>
    <w:uiPriority w:val="0"/>
    <w:rPr>
      <w:rFonts w:ascii="Arial" w:hAnsi="Arial" w:eastAsia="黑体"/>
      <w:b/>
      <w:kern w:val="2"/>
      <w:sz w:val="28"/>
    </w:rPr>
  </w:style>
  <w:style w:type="character" w:customStyle="1" w:styleId="3543">
    <w:name w:val="Char Char134"/>
    <w:qFormat/>
    <w:uiPriority w:val="0"/>
    <w:rPr>
      <w:rFonts w:ascii="宋体" w:hAnsi="Courier New"/>
      <w:sz w:val="21"/>
      <w:szCs w:val="21"/>
      <w:lang w:bidi="ar-SA"/>
    </w:rPr>
  </w:style>
  <w:style w:type="character" w:customStyle="1" w:styleId="3544">
    <w:name w:val="HTML 变量3"/>
    <w:qFormat/>
    <w:uiPriority w:val="0"/>
    <w:rPr>
      <w:i/>
      <w:iCs/>
    </w:rPr>
  </w:style>
  <w:style w:type="character" w:customStyle="1" w:styleId="3545">
    <w:name w:val="Char Char513"/>
    <w:qFormat/>
    <w:uiPriority w:val="0"/>
    <w:rPr>
      <w:rFonts w:eastAsia="宋体"/>
      <w:kern w:val="2"/>
      <w:sz w:val="21"/>
      <w:szCs w:val="24"/>
      <w:lang w:val="en-US" w:eastAsia="zh-CN" w:bidi="ar-SA"/>
    </w:rPr>
  </w:style>
  <w:style w:type="character" w:customStyle="1" w:styleId="3546">
    <w:name w:val="Char Char Char6"/>
    <w:qFormat/>
    <w:uiPriority w:val="0"/>
    <w:rPr>
      <w:rFonts w:eastAsia="黑体" w:cs="Arial"/>
      <w:b/>
      <w:bCs/>
      <w:color w:val="000000"/>
      <w:kern w:val="2"/>
      <w:sz w:val="28"/>
      <w:szCs w:val="24"/>
      <w:lang w:val="en-US" w:eastAsia="zh-CN" w:bidi="ar-SA"/>
    </w:rPr>
  </w:style>
  <w:style w:type="character" w:customStyle="1" w:styleId="3547">
    <w:name w:val="行号3"/>
    <w:basedOn w:val="133"/>
    <w:qFormat/>
    <w:uiPriority w:val="0"/>
  </w:style>
  <w:style w:type="character" w:customStyle="1" w:styleId="3548">
    <w:name w:val="Char Char324"/>
    <w:qFormat/>
    <w:uiPriority w:val="0"/>
    <w:rPr>
      <w:rFonts w:cs="Arial"/>
      <w:b/>
      <w:kern w:val="2"/>
      <w:sz w:val="21"/>
    </w:rPr>
  </w:style>
  <w:style w:type="character" w:customStyle="1" w:styleId="3549">
    <w:name w:val="Char Char71"/>
    <w:qFormat/>
    <w:uiPriority w:val="0"/>
    <w:rPr>
      <w:rFonts w:eastAsia="宋体"/>
      <w:b/>
      <w:bCs/>
      <w:kern w:val="2"/>
      <w:sz w:val="32"/>
      <w:szCs w:val="32"/>
      <w:lang w:val="en-US" w:eastAsia="zh-CN" w:bidi="ar-SA"/>
    </w:rPr>
  </w:style>
  <w:style w:type="character" w:customStyle="1" w:styleId="3550">
    <w:name w:val="Char Char114"/>
    <w:qFormat/>
    <w:uiPriority w:val="0"/>
    <w:rPr>
      <w:rFonts w:eastAsia="宋体"/>
      <w:kern w:val="2"/>
      <w:sz w:val="21"/>
      <w:szCs w:val="24"/>
      <w:lang w:val="en-US" w:eastAsia="zh-CN" w:bidi="ar-SA"/>
    </w:rPr>
  </w:style>
  <w:style w:type="character" w:customStyle="1" w:styleId="3551">
    <w:name w:val="Char Char284"/>
    <w:qFormat/>
    <w:uiPriority w:val="0"/>
    <w:rPr>
      <w:rFonts w:eastAsia="宋体"/>
      <w:kern w:val="2"/>
      <w:sz w:val="18"/>
      <w:szCs w:val="18"/>
      <w:lang w:val="en-US" w:eastAsia="zh-CN" w:bidi="ar-SA"/>
    </w:rPr>
  </w:style>
  <w:style w:type="character" w:customStyle="1" w:styleId="3552">
    <w:name w:val="HTML 代码3"/>
    <w:qFormat/>
    <w:uiPriority w:val="0"/>
    <w:rPr>
      <w:rFonts w:hint="eastAsia" w:ascii="黑体" w:hAnsi="Courier New" w:eastAsia="黑体"/>
      <w:sz w:val="24"/>
    </w:rPr>
  </w:style>
  <w:style w:type="character" w:customStyle="1" w:styleId="3553">
    <w:name w:val="Char Char304"/>
    <w:qFormat/>
    <w:uiPriority w:val="0"/>
    <w:rPr>
      <w:rFonts w:ascii="Arial" w:hAnsi="Arial" w:eastAsia="黑体"/>
      <w:b/>
      <w:bCs/>
      <w:kern w:val="2"/>
      <w:sz w:val="32"/>
      <w:szCs w:val="32"/>
      <w:lang w:val="en-US" w:eastAsia="zh-CN" w:bidi="ar-SA"/>
    </w:rPr>
  </w:style>
  <w:style w:type="character" w:customStyle="1" w:styleId="3554">
    <w:name w:val="Char Char214"/>
    <w:qFormat/>
    <w:uiPriority w:val="0"/>
    <w:rPr>
      <w:rFonts w:ascii="Arial" w:hAnsi="Arial" w:eastAsia="黑体"/>
      <w:kern w:val="2"/>
      <w:sz w:val="21"/>
      <w:szCs w:val="21"/>
      <w:lang w:val="en-US" w:eastAsia="zh-CN" w:bidi="ar-SA"/>
    </w:rPr>
  </w:style>
  <w:style w:type="character" w:customStyle="1" w:styleId="3555">
    <w:name w:val="Char Char164"/>
    <w:qFormat/>
    <w:uiPriority w:val="0"/>
    <w:rPr>
      <w:rFonts w:ascii="Times New Roman" w:hAnsi="Times New Roman" w:eastAsia="宋体" w:cs="Times New Roman"/>
      <w:color w:val="000000"/>
      <w:sz w:val="24"/>
      <w:szCs w:val="15"/>
    </w:rPr>
  </w:style>
  <w:style w:type="character" w:customStyle="1" w:styleId="3556">
    <w:name w:val="Char Char84"/>
    <w:qFormat/>
    <w:uiPriority w:val="0"/>
    <w:rPr>
      <w:rFonts w:ascii="Arial" w:hAnsi="Arial" w:eastAsia="宋体" w:cs="Arial"/>
      <w:kern w:val="2"/>
      <w:sz w:val="24"/>
      <w:szCs w:val="24"/>
      <w:lang w:val="en-US" w:eastAsia="zh-CN" w:bidi="ar-SA"/>
    </w:rPr>
  </w:style>
  <w:style w:type="character" w:customStyle="1" w:styleId="3557">
    <w:name w:val="HTML 引文3"/>
    <w:qFormat/>
    <w:uiPriority w:val="0"/>
    <w:rPr>
      <w:i/>
      <w:iCs/>
    </w:rPr>
  </w:style>
  <w:style w:type="character" w:customStyle="1" w:styleId="3558">
    <w:name w:val="Char Char374"/>
    <w:qFormat/>
    <w:uiPriority w:val="0"/>
    <w:rPr>
      <w:rFonts w:ascii="宋体"/>
      <w:kern w:val="2"/>
      <w:sz w:val="18"/>
      <w:szCs w:val="18"/>
    </w:rPr>
  </w:style>
  <w:style w:type="character" w:customStyle="1" w:styleId="3559">
    <w:name w:val="Char Char354"/>
    <w:qFormat/>
    <w:uiPriority w:val="0"/>
    <w:rPr>
      <w:kern w:val="2"/>
      <w:sz w:val="18"/>
      <w:szCs w:val="18"/>
    </w:rPr>
  </w:style>
  <w:style w:type="character" w:customStyle="1" w:styleId="3560">
    <w:name w:val="访问过的超链接4"/>
    <w:qFormat/>
    <w:uiPriority w:val="0"/>
    <w:rPr>
      <w:rFonts w:hint="default" w:ascii="Times New Roman"/>
      <w:color w:val="800080"/>
      <w:u w:val="single"/>
    </w:rPr>
  </w:style>
  <w:style w:type="character" w:customStyle="1" w:styleId="3561">
    <w:name w:val="书籍标题3"/>
    <w:qFormat/>
    <w:uiPriority w:val="0"/>
    <w:rPr>
      <w:rFonts w:cs="Times New Roman"/>
      <w:b/>
      <w:bCs/>
      <w:smallCaps/>
      <w:spacing w:val="5"/>
    </w:rPr>
  </w:style>
  <w:style w:type="character" w:customStyle="1" w:styleId="3562">
    <w:name w:val="Char Char174"/>
    <w:qFormat/>
    <w:uiPriority w:val="0"/>
    <w:rPr>
      <w:rFonts w:eastAsia="宋体"/>
      <w:kern w:val="2"/>
      <w:sz w:val="18"/>
      <w:szCs w:val="18"/>
      <w:lang w:val="en-US" w:eastAsia="zh-CN" w:bidi="ar-SA"/>
    </w:rPr>
  </w:style>
  <w:style w:type="character" w:customStyle="1" w:styleId="3563">
    <w:name w:val="Char Char294"/>
    <w:qFormat/>
    <w:uiPriority w:val="0"/>
    <w:rPr>
      <w:rFonts w:ascii="黑体" w:eastAsia="黑体"/>
      <w:bCs/>
      <w:kern w:val="2"/>
      <w:sz w:val="24"/>
      <w:lang w:val="en-US" w:eastAsia="zh-CN" w:bidi="ar-SA"/>
    </w:rPr>
  </w:style>
  <w:style w:type="character" w:customStyle="1" w:styleId="3564">
    <w:name w:val="Char Char184"/>
    <w:qFormat/>
    <w:uiPriority w:val="0"/>
    <w:rPr>
      <w:rFonts w:ascii="华文行楷" w:eastAsia="华文行楷"/>
      <w:i/>
      <w:iCs/>
      <w:color w:val="FF0000"/>
      <w:kern w:val="2"/>
      <w:sz w:val="32"/>
      <w:szCs w:val="24"/>
      <w:lang w:val="en-US" w:eastAsia="zh-CN" w:bidi="ar-SA"/>
    </w:rPr>
  </w:style>
  <w:style w:type="character" w:customStyle="1" w:styleId="3565">
    <w:name w:val="Char Char45"/>
    <w:qFormat/>
    <w:uiPriority w:val="0"/>
    <w:rPr>
      <w:rFonts w:eastAsia="宋体"/>
      <w:b/>
      <w:bCs/>
      <w:kern w:val="2"/>
      <w:sz w:val="24"/>
      <w:szCs w:val="24"/>
      <w:lang w:val="en-US" w:eastAsia="zh-CN" w:bidi="ar-SA"/>
    </w:rPr>
  </w:style>
  <w:style w:type="character" w:customStyle="1" w:styleId="3566">
    <w:name w:val="超链接5"/>
    <w:qFormat/>
    <w:uiPriority w:val="0"/>
    <w:rPr>
      <w:color w:val="0000FF"/>
      <w:u w:val="single"/>
    </w:rPr>
  </w:style>
  <w:style w:type="character" w:customStyle="1" w:styleId="3567">
    <w:name w:val="Char Char272"/>
    <w:qFormat/>
    <w:uiPriority w:val="0"/>
    <w:rPr>
      <w:rFonts w:ascii="Arial" w:hAnsi="Arial" w:eastAsia="黑体"/>
      <w:b/>
      <w:bCs/>
      <w:kern w:val="2"/>
      <w:sz w:val="28"/>
      <w:szCs w:val="28"/>
      <w:lang w:val="en-US" w:eastAsia="zh-CN" w:bidi="ar-SA"/>
    </w:rPr>
  </w:style>
  <w:style w:type="character" w:customStyle="1" w:styleId="3568">
    <w:name w:val="Char Char232"/>
    <w:qFormat/>
    <w:uiPriority w:val="0"/>
    <w:rPr>
      <w:rFonts w:ascii="Arial" w:hAnsi="Arial" w:eastAsia="黑体"/>
      <w:sz w:val="24"/>
      <w:lang w:val="en-US" w:eastAsia="zh-CN" w:bidi="ar-SA"/>
    </w:rPr>
  </w:style>
  <w:style w:type="character" w:customStyle="1" w:styleId="3569">
    <w:name w:val="Char Char192"/>
    <w:qFormat/>
    <w:uiPriority w:val="0"/>
    <w:rPr>
      <w:rFonts w:eastAsia="宋体"/>
      <w:kern w:val="2"/>
      <w:sz w:val="21"/>
      <w:lang w:val="en-US" w:eastAsia="zh-CN" w:bidi="ar-SA"/>
    </w:rPr>
  </w:style>
  <w:style w:type="character" w:customStyle="1" w:styleId="3570">
    <w:name w:val="Char Char213"/>
    <w:qFormat/>
    <w:uiPriority w:val="0"/>
    <w:rPr>
      <w:rFonts w:eastAsia="宋体"/>
      <w:color w:val="000000"/>
      <w:sz w:val="24"/>
      <w:szCs w:val="15"/>
      <w:lang w:bidi="ar-SA"/>
    </w:rPr>
  </w:style>
  <w:style w:type="character" w:customStyle="1" w:styleId="3571">
    <w:name w:val="Char Char202"/>
    <w:qFormat/>
    <w:uiPriority w:val="0"/>
    <w:rPr>
      <w:rFonts w:eastAsia="宋体"/>
      <w:color w:val="000000"/>
      <w:sz w:val="24"/>
      <w:szCs w:val="15"/>
      <w:lang w:bidi="ar-SA"/>
    </w:rPr>
  </w:style>
  <w:style w:type="character" w:customStyle="1" w:styleId="3572">
    <w:name w:val="Char Char522"/>
    <w:qFormat/>
    <w:uiPriority w:val="0"/>
    <w:rPr>
      <w:rFonts w:eastAsia="宋体"/>
      <w:b/>
      <w:sz w:val="24"/>
      <w:lang w:val="en-US" w:eastAsia="zh-CN" w:bidi="ar-SA"/>
    </w:rPr>
  </w:style>
  <w:style w:type="character" w:customStyle="1" w:styleId="3573">
    <w:name w:val="Char Char552"/>
    <w:qFormat/>
    <w:uiPriority w:val="0"/>
    <w:rPr>
      <w:rFonts w:ascii="宋体" w:hAnsi="Tms Rmn"/>
      <w:b/>
      <w:sz w:val="24"/>
    </w:rPr>
  </w:style>
  <w:style w:type="character" w:customStyle="1" w:styleId="3574">
    <w:name w:val="Char Char602"/>
    <w:qFormat/>
    <w:uiPriority w:val="0"/>
    <w:rPr>
      <w:rFonts w:ascii="Arial" w:hAnsi="Arial" w:eastAsia="黑体"/>
      <w:b/>
      <w:kern w:val="2"/>
      <w:sz w:val="32"/>
    </w:rPr>
  </w:style>
  <w:style w:type="character" w:customStyle="1" w:styleId="3575">
    <w:name w:val="Char Char582"/>
    <w:uiPriority w:val="0"/>
    <w:rPr>
      <w:rFonts w:ascii="Arial" w:hAnsi="Arial" w:eastAsia="黑体"/>
      <w:b/>
      <w:bCs/>
      <w:kern w:val="2"/>
      <w:sz w:val="28"/>
      <w:szCs w:val="28"/>
    </w:rPr>
  </w:style>
  <w:style w:type="character" w:customStyle="1" w:styleId="3576">
    <w:name w:val="Char Char562"/>
    <w:qFormat/>
    <w:uiPriority w:val="0"/>
    <w:rPr>
      <w:rFonts w:ascii="Arial" w:hAnsi="Arial" w:eastAsia="黑体"/>
      <w:b/>
      <w:sz w:val="24"/>
    </w:rPr>
  </w:style>
  <w:style w:type="character" w:customStyle="1" w:styleId="3577">
    <w:name w:val="Char Char542"/>
    <w:uiPriority w:val="0"/>
    <w:rPr>
      <w:rFonts w:ascii="Arial" w:hAnsi="Arial" w:eastAsia="黑体"/>
      <w:sz w:val="24"/>
    </w:rPr>
  </w:style>
  <w:style w:type="character" w:customStyle="1" w:styleId="3578">
    <w:name w:val="Char Char572"/>
    <w:uiPriority w:val="0"/>
    <w:rPr>
      <w:rFonts w:ascii="宋体" w:hAnsi="Tms Rmn"/>
      <w:b/>
      <w:sz w:val="28"/>
    </w:rPr>
  </w:style>
  <w:style w:type="character" w:customStyle="1" w:styleId="3579">
    <w:name w:val="Char Char612"/>
    <w:qFormat/>
    <w:uiPriority w:val="0"/>
    <w:rPr>
      <w:b/>
      <w:kern w:val="44"/>
      <w:sz w:val="44"/>
    </w:rPr>
  </w:style>
  <w:style w:type="character" w:customStyle="1" w:styleId="3580">
    <w:name w:val="Char Char532"/>
    <w:qFormat/>
    <w:uiPriority w:val="0"/>
    <w:rPr>
      <w:rFonts w:ascii="Arial" w:hAnsi="Arial" w:eastAsia="黑体"/>
      <w:sz w:val="21"/>
    </w:rPr>
  </w:style>
  <w:style w:type="character" w:customStyle="1" w:styleId="3581">
    <w:name w:val="Char Char592"/>
    <w:qFormat/>
    <w:uiPriority w:val="0"/>
    <w:rPr>
      <w:b/>
      <w:kern w:val="2"/>
      <w:sz w:val="32"/>
    </w:rPr>
  </w:style>
  <w:style w:type="paragraph" w:customStyle="1" w:styleId="3582">
    <w:name w:val="称呼4"/>
    <w:basedOn w:val="1"/>
    <w:next w:val="1"/>
    <w:qFormat/>
    <w:uiPriority w:val="99"/>
    <w:rPr>
      <w:rFonts w:eastAsia="Times New Roman"/>
      <w:kern w:val="0"/>
      <w:sz w:val="20"/>
    </w:rPr>
  </w:style>
  <w:style w:type="paragraph" w:customStyle="1" w:styleId="3583">
    <w:name w:val="Char Char Char Char Char Char1 Char Char Char1 Char Char Char1 Char Char Char Char Char Char Char Char Char Char4"/>
    <w:basedOn w:val="1"/>
    <w:next w:val="1"/>
    <w:qFormat/>
    <w:uiPriority w:val="0"/>
    <w:pPr>
      <w:spacing w:line="360" w:lineRule="auto"/>
      <w:ind w:firstLine="200" w:firstLineChars="200"/>
    </w:pPr>
    <w:rPr>
      <w:rFonts w:ascii="宋体" w:hAnsi="宋体" w:cs="宋体"/>
      <w:sz w:val="24"/>
    </w:rPr>
  </w:style>
  <w:style w:type="paragraph" w:customStyle="1" w:styleId="3584">
    <w:name w:val="结束语4"/>
    <w:basedOn w:val="1"/>
    <w:qFormat/>
    <w:uiPriority w:val="0"/>
    <w:pPr>
      <w:ind w:left="100" w:leftChars="2100"/>
    </w:pPr>
    <w:rPr>
      <w:rFonts w:eastAsia="Times New Roman"/>
    </w:rPr>
  </w:style>
  <w:style w:type="paragraph" w:customStyle="1" w:styleId="3585">
    <w:name w:val="正文13"/>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3586">
    <w:name w:val="Char Char Char Char Char Char Char Char Char1 Char Char Char Char6"/>
    <w:basedOn w:val="1"/>
    <w:qFormat/>
    <w:uiPriority w:val="0"/>
    <w:rPr>
      <w:sz w:val="24"/>
    </w:rPr>
  </w:style>
  <w:style w:type="paragraph" w:customStyle="1" w:styleId="3587">
    <w:name w:val="Char Char Char Char Char Char6"/>
    <w:basedOn w:val="1"/>
    <w:qFormat/>
    <w:uiPriority w:val="0"/>
  </w:style>
  <w:style w:type="paragraph" w:customStyle="1" w:styleId="3588">
    <w:name w:val="Char Char1 Char Char Char Char Char Char Char Char Char Char Char Char Char Char Char Char Char Char Char Char1 Char5"/>
    <w:basedOn w:val="1"/>
    <w:qFormat/>
    <w:uiPriority w:val="0"/>
    <w:pPr>
      <w:spacing w:line="360" w:lineRule="auto"/>
      <w:ind w:firstLine="200" w:firstLineChars="200"/>
    </w:pPr>
    <w:rPr>
      <w:rFonts w:ascii="宋体" w:hAnsi="宋体" w:cs="宋体"/>
      <w:sz w:val="24"/>
    </w:rPr>
  </w:style>
  <w:style w:type="paragraph" w:customStyle="1" w:styleId="3589">
    <w:name w:val="正文14"/>
    <w:basedOn w:val="1"/>
    <w:qFormat/>
    <w:uiPriority w:val="0"/>
    <w:pPr>
      <w:adjustRightInd w:val="0"/>
      <w:spacing w:after="156" w:afterLines="50" w:line="315" w:lineRule="atLeast"/>
      <w:jc w:val="left"/>
      <w:textAlignment w:val="baseline"/>
    </w:pPr>
    <w:rPr>
      <w:rFonts w:ascii="宋体"/>
      <w:kern w:val="0"/>
      <w:szCs w:val="20"/>
    </w:rPr>
  </w:style>
  <w:style w:type="paragraph" w:customStyle="1" w:styleId="3590">
    <w:name w:val="明显引用5"/>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3591">
    <w:name w:val="日期4"/>
    <w:basedOn w:val="1"/>
    <w:next w:val="1"/>
    <w:qFormat/>
    <w:uiPriority w:val="0"/>
    <w:pPr>
      <w:adjustRightInd w:val="0"/>
      <w:textAlignment w:val="baseline"/>
    </w:pPr>
    <w:rPr>
      <w:sz w:val="24"/>
      <w:szCs w:val="20"/>
    </w:rPr>
  </w:style>
  <w:style w:type="paragraph" w:customStyle="1" w:styleId="3592">
    <w:name w:val="字元 字元 Char Char 字元 字元14"/>
    <w:basedOn w:val="1"/>
    <w:uiPriority w:val="0"/>
    <w:rPr>
      <w:sz w:val="24"/>
    </w:rPr>
  </w:style>
  <w:style w:type="paragraph" w:customStyle="1" w:styleId="3593">
    <w:name w:val="批注主题5"/>
    <w:basedOn w:val="28"/>
    <w:next w:val="28"/>
    <w:qFormat/>
    <w:uiPriority w:val="0"/>
    <w:rPr>
      <w:rFonts w:ascii="宋体" w:hAnsi="宋体" w:eastAsia="Times New Roman"/>
      <w:b/>
      <w:bCs/>
      <w:sz w:val="28"/>
    </w:rPr>
  </w:style>
  <w:style w:type="paragraph" w:customStyle="1" w:styleId="3594">
    <w:name w:val="普通(网站)4"/>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3595">
    <w:name w:val="Char Char Char Char Char Char Char Char Char Char4"/>
    <w:basedOn w:val="1"/>
    <w:qFormat/>
    <w:uiPriority w:val="0"/>
    <w:pPr>
      <w:spacing w:line="360" w:lineRule="auto"/>
      <w:ind w:firstLine="200" w:firstLineChars="200"/>
    </w:pPr>
    <w:rPr>
      <w:sz w:val="24"/>
      <w:szCs w:val="20"/>
    </w:rPr>
  </w:style>
  <w:style w:type="paragraph" w:customStyle="1" w:styleId="3596">
    <w:name w:val="Char Char Char Char Char Char Char6"/>
    <w:basedOn w:val="1"/>
    <w:qFormat/>
    <w:uiPriority w:val="0"/>
    <w:pPr>
      <w:spacing w:line="360" w:lineRule="auto"/>
      <w:ind w:firstLine="200" w:firstLineChars="200"/>
    </w:pPr>
    <w:rPr>
      <w:rFonts w:ascii="宋体" w:hAnsi="宋体" w:cs="宋体"/>
      <w:sz w:val="24"/>
    </w:rPr>
  </w:style>
  <w:style w:type="paragraph" w:customStyle="1" w:styleId="3597">
    <w:name w:val="Char Char3 Char Char Char1 Char4"/>
    <w:basedOn w:val="1"/>
    <w:uiPriority w:val="0"/>
    <w:rPr>
      <w:szCs w:val="20"/>
    </w:rPr>
  </w:style>
  <w:style w:type="paragraph" w:customStyle="1" w:styleId="3598">
    <w:name w:val="z-窗体顶端4"/>
    <w:basedOn w:val="1"/>
    <w:next w:val="1"/>
    <w:qFormat/>
    <w:uiPriority w:val="0"/>
    <w:pPr>
      <w:pBdr>
        <w:bottom w:val="single" w:color="auto" w:sz="6" w:space="1"/>
      </w:pBdr>
      <w:jc w:val="center"/>
    </w:pPr>
    <w:rPr>
      <w:rFonts w:hint="eastAsia" w:ascii="Arial" w:hAnsi="Arial"/>
      <w:vanish/>
      <w:sz w:val="16"/>
      <w:szCs w:val="20"/>
    </w:rPr>
  </w:style>
  <w:style w:type="paragraph" w:customStyle="1" w:styleId="3599">
    <w:name w:val="宏文本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customStyle="1" w:styleId="3600">
    <w:name w:val="正文文本缩进 25"/>
    <w:basedOn w:val="1"/>
    <w:qFormat/>
    <w:uiPriority w:val="0"/>
    <w:pPr>
      <w:adjustRightInd w:val="0"/>
      <w:spacing w:line="360" w:lineRule="auto"/>
      <w:ind w:firstLine="510"/>
      <w:textAlignment w:val="baseline"/>
    </w:pPr>
    <w:rPr>
      <w:rFonts w:ascii="宋体" w:hAnsi="宋体"/>
      <w:sz w:val="28"/>
      <w:szCs w:val="20"/>
    </w:rPr>
  </w:style>
  <w:style w:type="paragraph" w:customStyle="1" w:styleId="3601">
    <w:name w:val="Char14"/>
    <w:basedOn w:val="1"/>
    <w:qFormat/>
    <w:uiPriority w:val="0"/>
    <w:pPr>
      <w:spacing w:line="360" w:lineRule="auto"/>
      <w:ind w:firstLine="200" w:firstLineChars="200"/>
    </w:pPr>
    <w:rPr>
      <w:szCs w:val="20"/>
    </w:rPr>
  </w:style>
  <w:style w:type="paragraph" w:customStyle="1" w:styleId="3602">
    <w:name w:val="Char27"/>
    <w:basedOn w:val="1"/>
    <w:qFormat/>
    <w:uiPriority w:val="0"/>
    <w:rPr>
      <w:sz w:val="24"/>
    </w:rPr>
  </w:style>
  <w:style w:type="paragraph" w:customStyle="1" w:styleId="3603">
    <w:name w:val="Char Char Char Char Char Char Char Char Char Char Char Char1 Char Char Char Char Char Char Char Char Char Char Char Char Char Char Char Char Char Char Char4"/>
    <w:basedOn w:val="1"/>
    <w:qFormat/>
    <w:uiPriority w:val="0"/>
    <w:pPr>
      <w:spacing w:line="360" w:lineRule="auto"/>
      <w:ind w:firstLine="200" w:firstLineChars="200"/>
    </w:pPr>
    <w:rPr>
      <w:rFonts w:ascii="Calibri" w:hAnsi="Calibri"/>
      <w:szCs w:val="20"/>
    </w:rPr>
  </w:style>
  <w:style w:type="paragraph" w:customStyle="1" w:styleId="3604">
    <w:name w:val="Char1 Char Char Char4"/>
    <w:basedOn w:val="1"/>
    <w:qFormat/>
    <w:uiPriority w:val="0"/>
    <w:pPr>
      <w:spacing w:line="360" w:lineRule="auto"/>
      <w:ind w:firstLine="200" w:firstLineChars="200"/>
    </w:pPr>
    <w:rPr>
      <w:rFonts w:ascii="宋体" w:hAnsi="宋体" w:cs="宋体"/>
      <w:sz w:val="24"/>
    </w:rPr>
  </w:style>
  <w:style w:type="paragraph" w:customStyle="1" w:styleId="3605">
    <w:name w:val="HTML 预设格式5"/>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3606">
    <w:name w:val="HTML 地址5"/>
    <w:basedOn w:val="1"/>
    <w:qFormat/>
    <w:uiPriority w:val="99"/>
    <w:rPr>
      <w:rFonts w:eastAsia="Times New Roman"/>
      <w:i/>
      <w:iCs/>
      <w:kern w:val="0"/>
      <w:sz w:val="20"/>
    </w:rPr>
  </w:style>
  <w:style w:type="paragraph" w:customStyle="1" w:styleId="3607">
    <w:name w:val="无间隔4"/>
    <w:qFormat/>
    <w:uiPriority w:val="0"/>
    <w:pPr>
      <w:widowControl w:val="0"/>
      <w:jc w:val="both"/>
    </w:pPr>
    <w:rPr>
      <w:rFonts w:ascii="Calibri" w:hAnsi="Calibri" w:eastAsia="宋体" w:cs="Calibri"/>
      <w:kern w:val="2"/>
      <w:sz w:val="21"/>
      <w:szCs w:val="21"/>
      <w:lang w:val="en-US" w:eastAsia="zh-CN" w:bidi="ar-SA"/>
    </w:rPr>
  </w:style>
  <w:style w:type="paragraph" w:customStyle="1" w:styleId="3608">
    <w:name w:val="Char Char Char Char Char Char Char Char Char Char Char Char Char4"/>
    <w:basedOn w:val="1"/>
    <w:uiPriority w:val="0"/>
  </w:style>
  <w:style w:type="paragraph" w:customStyle="1" w:styleId="3609">
    <w:name w:val="批注框文本4"/>
    <w:basedOn w:val="1"/>
    <w:qFormat/>
    <w:uiPriority w:val="0"/>
    <w:rPr>
      <w:sz w:val="18"/>
      <w:szCs w:val="18"/>
    </w:rPr>
  </w:style>
  <w:style w:type="paragraph" w:customStyle="1" w:styleId="3610">
    <w:name w:val="正文首行缩进 24"/>
    <w:basedOn w:val="1"/>
    <w:qFormat/>
    <w:uiPriority w:val="0"/>
    <w:pPr>
      <w:spacing w:after="120"/>
      <w:ind w:left="420" w:leftChars="200" w:firstLine="420" w:firstLineChars="200"/>
    </w:pPr>
    <w:rPr>
      <w:rFonts w:ascii="Arial" w:hAnsi="Arial" w:cs="Courier New"/>
      <w:snapToGrid w:val="0"/>
      <w:sz w:val="28"/>
      <w:szCs w:val="32"/>
    </w:rPr>
  </w:style>
  <w:style w:type="paragraph" w:customStyle="1" w:styleId="3611">
    <w:name w:val="Char Char Char Char Char Char1 Char4"/>
    <w:basedOn w:val="1"/>
    <w:qFormat/>
    <w:uiPriority w:val="0"/>
    <w:pPr>
      <w:spacing w:line="360" w:lineRule="auto"/>
      <w:ind w:firstLine="200" w:firstLineChars="200"/>
    </w:pPr>
    <w:rPr>
      <w:rFonts w:ascii="宋体" w:hAnsi="宋体" w:cs="宋体"/>
      <w:sz w:val="24"/>
    </w:rPr>
  </w:style>
  <w:style w:type="paragraph" w:customStyle="1" w:styleId="3612">
    <w:name w:val="签名4"/>
    <w:basedOn w:val="1"/>
    <w:qFormat/>
    <w:uiPriority w:val="0"/>
    <w:pPr>
      <w:ind w:left="100" w:leftChars="2100"/>
    </w:pPr>
    <w:rPr>
      <w:rFonts w:eastAsia="Times New Roman"/>
    </w:rPr>
  </w:style>
  <w:style w:type="paragraph" w:customStyle="1" w:styleId="3613">
    <w:name w:val="Char2 Char Char Char Char Char Char4"/>
    <w:basedOn w:val="1"/>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4">
    <w:name w:val="文档结构图4"/>
    <w:basedOn w:val="1"/>
    <w:qFormat/>
    <w:uiPriority w:val="0"/>
    <w:pPr>
      <w:spacing w:line="440" w:lineRule="exact"/>
      <w:ind w:firstLine="480" w:firstLineChars="200"/>
    </w:pPr>
    <w:rPr>
      <w:rFonts w:ascii="宋体" w:eastAsia="Times New Roman"/>
      <w:color w:val="000000"/>
      <w:kern w:val="0"/>
      <w:sz w:val="18"/>
      <w:szCs w:val="18"/>
    </w:rPr>
  </w:style>
  <w:style w:type="paragraph" w:customStyle="1" w:styleId="3615">
    <w:name w:val="纯文本7"/>
    <w:basedOn w:val="1"/>
    <w:qFormat/>
    <w:uiPriority w:val="0"/>
    <w:pPr>
      <w:adjustRightInd w:val="0"/>
      <w:jc w:val="left"/>
      <w:textAlignment w:val="baseline"/>
    </w:pPr>
    <w:rPr>
      <w:rFonts w:ascii="宋体"/>
      <w:kern w:val="0"/>
      <w:sz w:val="24"/>
      <w:szCs w:val="20"/>
    </w:rPr>
  </w:style>
  <w:style w:type="paragraph" w:customStyle="1" w:styleId="3616">
    <w:name w:val="Char44"/>
    <w:basedOn w:val="1"/>
    <w:qFormat/>
    <w:uiPriority w:val="0"/>
    <w:pPr>
      <w:spacing w:line="360" w:lineRule="auto"/>
      <w:ind w:firstLine="200" w:firstLineChars="200"/>
    </w:pPr>
    <w:rPr>
      <w:rFonts w:ascii="宋体" w:hAnsi="宋体" w:cs="宋体"/>
      <w:sz w:val="24"/>
    </w:rPr>
  </w:style>
  <w:style w:type="paragraph" w:customStyle="1" w:styleId="3617">
    <w:name w:val="正文文本缩进7"/>
    <w:basedOn w:val="1"/>
    <w:qFormat/>
    <w:uiPriority w:val="0"/>
    <w:pPr>
      <w:spacing w:after="120" w:line="440" w:lineRule="exact"/>
      <w:ind w:left="420" w:leftChars="200" w:firstLine="480" w:firstLineChars="200"/>
    </w:pPr>
    <w:rPr>
      <w:rFonts w:eastAsia="Times New Roman"/>
      <w:color w:val="000000"/>
      <w:kern w:val="0"/>
      <w:sz w:val="24"/>
      <w:szCs w:val="15"/>
    </w:rPr>
  </w:style>
  <w:style w:type="paragraph" w:customStyle="1" w:styleId="3618">
    <w:name w:val="电子邮件签名5"/>
    <w:basedOn w:val="1"/>
    <w:qFormat/>
    <w:uiPriority w:val="99"/>
    <w:rPr>
      <w:rFonts w:eastAsia="Times New Roman"/>
      <w:kern w:val="0"/>
      <w:sz w:val="20"/>
    </w:rPr>
  </w:style>
  <w:style w:type="paragraph" w:customStyle="1" w:styleId="3619">
    <w:name w:val="Char5"/>
    <w:basedOn w:val="1"/>
    <w:qFormat/>
    <w:uiPriority w:val="0"/>
  </w:style>
  <w:style w:type="paragraph" w:customStyle="1" w:styleId="3620">
    <w:name w:val="Char Char1 Char Char Char Char Char Char Char4"/>
    <w:basedOn w:val="1"/>
    <w:qFormat/>
    <w:uiPriority w:val="0"/>
    <w:rPr>
      <w:szCs w:val="20"/>
    </w:rPr>
  </w:style>
  <w:style w:type="paragraph" w:customStyle="1" w:styleId="3621">
    <w:name w:val="Char Char Char Char24"/>
    <w:basedOn w:val="1"/>
    <w:uiPriority w:val="0"/>
    <w:rPr>
      <w:sz w:val="24"/>
    </w:rPr>
  </w:style>
  <w:style w:type="paragraph" w:customStyle="1" w:styleId="3622">
    <w:name w:val="Char Char Char Char Char Char1 Char Char Char Char4"/>
    <w:basedOn w:val="1"/>
    <w:qFormat/>
    <w:uiPriority w:val="0"/>
    <w:rPr>
      <w:sz w:val="24"/>
    </w:rPr>
  </w:style>
  <w:style w:type="paragraph" w:customStyle="1" w:styleId="3623">
    <w:name w:val="Char Char Char Char7"/>
    <w:basedOn w:val="1"/>
    <w:qFormat/>
    <w:uiPriority w:val="0"/>
    <w:rPr>
      <w:sz w:val="24"/>
      <w:szCs w:val="20"/>
    </w:rPr>
  </w:style>
  <w:style w:type="paragraph" w:customStyle="1" w:styleId="3624">
    <w:name w:val="z-窗体底端4"/>
    <w:basedOn w:val="1"/>
    <w:next w:val="1"/>
    <w:qFormat/>
    <w:uiPriority w:val="0"/>
    <w:pPr>
      <w:pBdr>
        <w:top w:val="single" w:color="auto" w:sz="6" w:space="1"/>
      </w:pBdr>
      <w:jc w:val="center"/>
    </w:pPr>
    <w:rPr>
      <w:rFonts w:hint="eastAsia" w:ascii="Arial" w:hAnsi="Arial"/>
      <w:vanish/>
      <w:sz w:val="16"/>
      <w:szCs w:val="20"/>
    </w:rPr>
  </w:style>
  <w:style w:type="paragraph" w:customStyle="1" w:styleId="3625">
    <w:name w:val="Char Char16 Char Char4"/>
    <w:basedOn w:val="1"/>
    <w:qFormat/>
    <w:uiPriority w:val="0"/>
    <w:rPr>
      <w:szCs w:val="21"/>
    </w:rPr>
  </w:style>
  <w:style w:type="paragraph" w:customStyle="1" w:styleId="3626">
    <w:name w:val="Char Char1 Char4"/>
    <w:basedOn w:val="1"/>
    <w:uiPriority w:val="0"/>
    <w:pPr>
      <w:spacing w:line="360" w:lineRule="auto"/>
      <w:ind w:firstLine="200" w:firstLineChars="200"/>
    </w:pPr>
    <w:rPr>
      <w:rFonts w:ascii="宋体" w:hAnsi="宋体" w:cs="宋体"/>
      <w:sz w:val="24"/>
    </w:rPr>
  </w:style>
  <w:style w:type="paragraph" w:customStyle="1" w:styleId="3627">
    <w:name w:val="正文文本 34"/>
    <w:basedOn w:val="1"/>
    <w:qFormat/>
    <w:uiPriority w:val="0"/>
    <w:pPr>
      <w:adjustRightInd w:val="0"/>
      <w:textAlignment w:val="baseline"/>
    </w:pPr>
    <w:rPr>
      <w:sz w:val="24"/>
      <w:szCs w:val="20"/>
    </w:rPr>
  </w:style>
  <w:style w:type="paragraph" w:customStyle="1" w:styleId="3628">
    <w:name w:val="Char Char1 Char Char Char Char Char4"/>
    <w:basedOn w:val="1"/>
    <w:qFormat/>
    <w:uiPriority w:val="0"/>
    <w:rPr>
      <w:sz w:val="24"/>
    </w:rPr>
  </w:style>
  <w:style w:type="paragraph" w:customStyle="1" w:styleId="3629">
    <w:name w:val="Char Char2 Char Char Char Char4"/>
    <w:basedOn w:val="1"/>
    <w:qFormat/>
    <w:uiPriority w:val="0"/>
    <w:rPr>
      <w:sz w:val="30"/>
      <w:szCs w:val="30"/>
    </w:rPr>
  </w:style>
  <w:style w:type="paragraph" w:customStyle="1" w:styleId="3630">
    <w:name w:val="InstÀÀll6"/>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631">
    <w:name w:val="Char Char Char2 Char4"/>
    <w:basedOn w:val="1"/>
    <w:uiPriority w:val="0"/>
    <w:pPr>
      <w:spacing w:line="360" w:lineRule="auto"/>
      <w:ind w:firstLine="200" w:firstLineChars="200"/>
    </w:pPr>
    <w:rPr>
      <w:rFonts w:ascii="宋体" w:hAnsi="宋体" w:cs="宋体"/>
      <w:sz w:val="24"/>
    </w:rPr>
  </w:style>
  <w:style w:type="paragraph" w:customStyle="1" w:styleId="3632">
    <w:name w:val="Char Char1 Char Char Char Char4"/>
    <w:basedOn w:val="1"/>
    <w:uiPriority w:val="0"/>
    <w:rPr>
      <w:sz w:val="24"/>
    </w:rPr>
  </w:style>
  <w:style w:type="paragraph" w:customStyle="1" w:styleId="3633">
    <w:name w:val="正文15"/>
    <w:basedOn w:val="34"/>
    <w:qFormat/>
    <w:uiPriority w:val="0"/>
    <w:pPr>
      <w:spacing w:line="240" w:lineRule="auto"/>
    </w:pPr>
    <w:rPr>
      <w:rFonts w:ascii="Times New Roman" w:hAnsi="Times New Roman" w:cs="Times New Roman"/>
    </w:rPr>
  </w:style>
  <w:style w:type="paragraph" w:customStyle="1" w:styleId="3634">
    <w:name w:val="列出段落6"/>
    <w:basedOn w:val="1"/>
    <w:qFormat/>
    <w:uiPriority w:val="0"/>
    <w:pPr>
      <w:adjustRightInd w:val="0"/>
      <w:snapToGrid w:val="0"/>
      <w:spacing w:line="360" w:lineRule="auto"/>
      <w:ind w:firstLine="420" w:firstLineChars="200"/>
    </w:pPr>
    <w:rPr>
      <w:rFonts w:ascii="仿宋_GB2312" w:hAnsi="仿宋_GB2312" w:eastAsia="仿宋_GB2312"/>
      <w:sz w:val="28"/>
      <w:szCs w:val="20"/>
    </w:rPr>
  </w:style>
  <w:style w:type="paragraph" w:customStyle="1" w:styleId="3635">
    <w:name w:val="Char Char2 Char Char Char Char Char Char6"/>
    <w:basedOn w:val="1"/>
    <w:qFormat/>
    <w:uiPriority w:val="0"/>
    <w:pPr>
      <w:spacing w:line="360" w:lineRule="auto"/>
    </w:pPr>
    <w:rPr>
      <w:rFonts w:ascii="宋体" w:hAnsi="宋体"/>
      <w:sz w:val="22"/>
    </w:rPr>
  </w:style>
  <w:style w:type="paragraph" w:customStyle="1" w:styleId="3636">
    <w:name w:val="Char1 Char Char Char Char Char1 Char14"/>
    <w:basedOn w:val="1"/>
    <w:qFormat/>
    <w:uiPriority w:val="0"/>
    <w:rPr>
      <w:szCs w:val="21"/>
    </w:rPr>
  </w:style>
  <w:style w:type="paragraph" w:customStyle="1" w:styleId="3637">
    <w:name w:val="Char Char20 Char Char Char Char Char Char Char Char4"/>
    <w:basedOn w:val="1"/>
    <w:qFormat/>
    <w:uiPriority w:val="0"/>
    <w:pPr>
      <w:widowControl/>
      <w:jc w:val="left"/>
    </w:pPr>
    <w:rPr>
      <w:rFonts w:ascii="宋体"/>
      <w:kern w:val="0"/>
      <w:sz w:val="24"/>
    </w:rPr>
  </w:style>
  <w:style w:type="paragraph" w:customStyle="1" w:styleId="3638">
    <w:name w:val="Char Char Char Char Char Char Char Char Char Char Char Char1 Char Char Char Char Char Char Char Char Char Char Char Char Char Char Char Char Char Char1 Char Char Char1 Char Char Char Char Char Char Char Char4"/>
    <w:basedOn w:val="1"/>
    <w:qFormat/>
    <w:uiPriority w:val="0"/>
    <w:pPr>
      <w:widowControl/>
      <w:spacing w:after="160" w:line="240" w:lineRule="exact"/>
      <w:jc w:val="left"/>
    </w:pPr>
    <w:rPr>
      <w:rFonts w:ascii="Verdana" w:hAnsi="Verdana"/>
      <w:kern w:val="0"/>
      <w:sz w:val="20"/>
      <w:szCs w:val="20"/>
      <w:lang w:eastAsia="en-US"/>
    </w:rPr>
  </w:style>
  <w:style w:type="paragraph" w:customStyle="1" w:styleId="3639">
    <w:name w:val="Char Char2 Char4"/>
    <w:basedOn w:val="5"/>
    <w:qFormat/>
    <w:uiPriority w:val="0"/>
    <w:pPr>
      <w:widowControl w:val="0"/>
      <w:numPr>
        <w:ilvl w:val="0"/>
        <w:numId w:val="0"/>
      </w:numPr>
      <w:tabs>
        <w:tab w:val="left" w:pos="360"/>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3640">
    <w:name w:val="Char Char Char1 Char Char Char Char4"/>
    <w:basedOn w:val="1"/>
    <w:next w:val="1"/>
    <w:uiPriority w:val="0"/>
    <w:pPr>
      <w:spacing w:line="360" w:lineRule="auto"/>
      <w:ind w:firstLine="200" w:firstLineChars="200"/>
    </w:pPr>
    <w:rPr>
      <w:rFonts w:ascii="宋体" w:hAnsi="宋体" w:eastAsia="汉鼎简书宋" w:cs="宋体"/>
      <w:sz w:val="24"/>
    </w:rPr>
  </w:style>
  <w:style w:type="paragraph" w:customStyle="1" w:styleId="3641">
    <w:name w:val="正文首行缩进4"/>
    <w:basedOn w:val="34"/>
    <w:qFormat/>
    <w:uiPriority w:val="0"/>
    <w:pPr>
      <w:adjustRightInd w:val="0"/>
      <w:spacing w:after="120" w:line="240" w:lineRule="auto"/>
      <w:ind w:firstLine="420"/>
      <w:textAlignment w:val="baseline"/>
    </w:pPr>
    <w:rPr>
      <w:rFonts w:ascii="Times New Roman" w:hAnsi="Times New Roman" w:cs="宋体"/>
      <w:szCs w:val="20"/>
    </w:rPr>
  </w:style>
  <w:style w:type="paragraph" w:customStyle="1" w:styleId="3642">
    <w:name w:val="Char Char Char Char Char Char1 Char Char Char1 Char4"/>
    <w:basedOn w:val="1"/>
    <w:uiPriority w:val="0"/>
    <w:pPr>
      <w:widowControl/>
      <w:spacing w:after="160" w:line="240" w:lineRule="exact"/>
      <w:jc w:val="left"/>
    </w:pPr>
    <w:rPr>
      <w:rFonts w:ascii="Verdana" w:hAnsi="Verdana"/>
      <w:kern w:val="0"/>
      <w:sz w:val="20"/>
      <w:szCs w:val="20"/>
      <w:lang w:eastAsia="en-US"/>
    </w:rPr>
  </w:style>
  <w:style w:type="paragraph" w:customStyle="1" w:styleId="3643">
    <w:name w:val="信息标题5"/>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3644">
    <w:name w:val="正文缩进6"/>
    <w:basedOn w:val="1"/>
    <w:qFormat/>
    <w:uiPriority w:val="0"/>
    <w:pPr>
      <w:ind w:firstLine="420"/>
    </w:pPr>
    <w:rPr>
      <w:color w:val="000000"/>
      <w:sz w:val="24"/>
      <w:szCs w:val="15"/>
    </w:rPr>
  </w:style>
  <w:style w:type="paragraph" w:customStyle="1" w:styleId="3645">
    <w:name w:val="索引 94"/>
    <w:basedOn w:val="1"/>
    <w:next w:val="1"/>
    <w:qFormat/>
    <w:uiPriority w:val="0"/>
    <w:pPr>
      <w:ind w:left="1600" w:leftChars="1600"/>
    </w:pPr>
  </w:style>
  <w:style w:type="paragraph" w:customStyle="1" w:styleId="3646">
    <w:name w:val="列表 24"/>
    <w:basedOn w:val="1"/>
    <w:qFormat/>
    <w:uiPriority w:val="0"/>
    <w:pPr>
      <w:ind w:left="100" w:leftChars="200" w:hanging="200" w:hangingChars="200"/>
    </w:pPr>
  </w:style>
  <w:style w:type="paragraph" w:customStyle="1" w:styleId="3647">
    <w:name w:val="索引 54"/>
    <w:basedOn w:val="1"/>
    <w:next w:val="1"/>
    <w:qFormat/>
    <w:uiPriority w:val="0"/>
    <w:pPr>
      <w:ind w:left="800" w:leftChars="800"/>
    </w:pPr>
  </w:style>
  <w:style w:type="paragraph" w:customStyle="1" w:styleId="3648">
    <w:name w:val="索引 15"/>
    <w:basedOn w:val="1"/>
    <w:next w:val="1"/>
    <w:qFormat/>
    <w:uiPriority w:val="0"/>
    <w:pPr>
      <w:ind w:left="210" w:hanging="210"/>
      <w:jc w:val="left"/>
    </w:pPr>
  </w:style>
  <w:style w:type="paragraph" w:customStyle="1" w:styleId="3649">
    <w:name w:val="列表接续5"/>
    <w:basedOn w:val="1"/>
    <w:qFormat/>
    <w:uiPriority w:val="0"/>
    <w:pPr>
      <w:spacing w:after="120"/>
      <w:ind w:left="420" w:leftChars="200"/>
    </w:pPr>
  </w:style>
  <w:style w:type="paragraph" w:customStyle="1" w:styleId="3650">
    <w:name w:val="索引 45"/>
    <w:basedOn w:val="1"/>
    <w:next w:val="1"/>
    <w:qFormat/>
    <w:uiPriority w:val="0"/>
    <w:pPr>
      <w:ind w:left="600" w:leftChars="600"/>
    </w:pPr>
  </w:style>
  <w:style w:type="paragraph" w:customStyle="1" w:styleId="3651">
    <w:name w:val="列表编号 35"/>
    <w:basedOn w:val="1"/>
    <w:qFormat/>
    <w:uiPriority w:val="0"/>
    <w:pPr>
      <w:tabs>
        <w:tab w:val="left" w:pos="780"/>
        <w:tab w:val="left" w:pos="1200"/>
      </w:tabs>
      <w:ind w:left="780" w:hanging="360"/>
    </w:pPr>
  </w:style>
  <w:style w:type="paragraph" w:customStyle="1" w:styleId="3652">
    <w:name w:val="索引 85"/>
    <w:basedOn w:val="1"/>
    <w:next w:val="1"/>
    <w:qFormat/>
    <w:uiPriority w:val="0"/>
    <w:pPr>
      <w:ind w:left="1400" w:leftChars="1400"/>
    </w:pPr>
  </w:style>
  <w:style w:type="paragraph" w:customStyle="1" w:styleId="3653">
    <w:name w:val="列表编号 25"/>
    <w:basedOn w:val="1"/>
    <w:qFormat/>
    <w:uiPriority w:val="0"/>
    <w:pPr>
      <w:tabs>
        <w:tab w:val="left" w:pos="780"/>
        <w:tab w:val="left" w:pos="1200"/>
      </w:tabs>
      <w:ind w:left="1200" w:hanging="360"/>
    </w:pPr>
  </w:style>
  <w:style w:type="paragraph" w:customStyle="1" w:styleId="3654">
    <w:name w:val="索引 25"/>
    <w:basedOn w:val="1"/>
    <w:next w:val="1"/>
    <w:qFormat/>
    <w:uiPriority w:val="0"/>
    <w:pPr>
      <w:ind w:left="200" w:leftChars="200"/>
    </w:pPr>
  </w:style>
  <w:style w:type="paragraph" w:customStyle="1" w:styleId="3655">
    <w:name w:val="列表接续 25"/>
    <w:basedOn w:val="1"/>
    <w:qFormat/>
    <w:uiPriority w:val="0"/>
    <w:pPr>
      <w:spacing w:after="120"/>
      <w:ind w:left="840" w:leftChars="400"/>
    </w:pPr>
  </w:style>
  <w:style w:type="paragraph" w:customStyle="1" w:styleId="3656">
    <w:name w:val="收信人地址5"/>
    <w:basedOn w:val="1"/>
    <w:qFormat/>
    <w:uiPriority w:val="0"/>
    <w:pPr>
      <w:snapToGrid w:val="0"/>
      <w:ind w:left="100" w:leftChars="1400"/>
    </w:pPr>
    <w:rPr>
      <w:rFonts w:ascii="Arial" w:hAnsi="Arial" w:cs="Arial"/>
      <w:sz w:val="24"/>
    </w:rPr>
  </w:style>
  <w:style w:type="paragraph" w:customStyle="1" w:styleId="3657">
    <w:name w:val="索引 35"/>
    <w:basedOn w:val="1"/>
    <w:next w:val="1"/>
    <w:qFormat/>
    <w:uiPriority w:val="0"/>
    <w:pPr>
      <w:ind w:left="400" w:leftChars="400"/>
    </w:pPr>
  </w:style>
  <w:style w:type="paragraph" w:customStyle="1" w:styleId="3658">
    <w:name w:val="列表 55"/>
    <w:basedOn w:val="1"/>
    <w:qFormat/>
    <w:uiPriority w:val="0"/>
    <w:pPr>
      <w:ind w:left="100" w:leftChars="800" w:hanging="200" w:hangingChars="200"/>
    </w:pPr>
  </w:style>
  <w:style w:type="paragraph" w:customStyle="1" w:styleId="3659">
    <w:name w:val="索引 65"/>
    <w:basedOn w:val="1"/>
    <w:next w:val="1"/>
    <w:qFormat/>
    <w:uiPriority w:val="0"/>
    <w:pPr>
      <w:ind w:left="1000" w:leftChars="1000"/>
    </w:pPr>
  </w:style>
  <w:style w:type="paragraph" w:customStyle="1" w:styleId="3660">
    <w:name w:val="列表接续 44"/>
    <w:basedOn w:val="1"/>
    <w:qFormat/>
    <w:uiPriority w:val="0"/>
    <w:pPr>
      <w:spacing w:after="120"/>
      <w:ind w:left="1680" w:leftChars="800"/>
    </w:pPr>
  </w:style>
  <w:style w:type="paragraph" w:customStyle="1" w:styleId="3661">
    <w:name w:val="引文目录4"/>
    <w:basedOn w:val="1"/>
    <w:next w:val="1"/>
    <w:qFormat/>
    <w:uiPriority w:val="0"/>
    <w:pPr>
      <w:ind w:left="420" w:leftChars="200"/>
    </w:pPr>
  </w:style>
  <w:style w:type="paragraph" w:customStyle="1" w:styleId="3662">
    <w:name w:val="列表接续 34"/>
    <w:basedOn w:val="1"/>
    <w:qFormat/>
    <w:uiPriority w:val="0"/>
    <w:pPr>
      <w:spacing w:after="120"/>
      <w:ind w:left="1260" w:leftChars="600"/>
    </w:pPr>
  </w:style>
  <w:style w:type="paragraph" w:customStyle="1" w:styleId="3663">
    <w:name w:val="索引标题5"/>
    <w:basedOn w:val="1"/>
    <w:next w:val="3648"/>
    <w:qFormat/>
    <w:uiPriority w:val="0"/>
    <w:rPr>
      <w:rFonts w:ascii="Arial" w:hAnsi="Arial" w:cs="Arial"/>
      <w:b/>
      <w:bCs/>
    </w:rPr>
  </w:style>
  <w:style w:type="paragraph" w:customStyle="1" w:styleId="3664">
    <w:name w:val="列表接续 54"/>
    <w:basedOn w:val="1"/>
    <w:qFormat/>
    <w:uiPriority w:val="0"/>
    <w:pPr>
      <w:spacing w:after="120"/>
      <w:ind w:left="2100" w:leftChars="1000"/>
    </w:pPr>
  </w:style>
  <w:style w:type="paragraph" w:customStyle="1" w:styleId="3665">
    <w:name w:val="列表 44"/>
    <w:basedOn w:val="1"/>
    <w:qFormat/>
    <w:uiPriority w:val="0"/>
    <w:pPr>
      <w:ind w:left="100" w:leftChars="600" w:hanging="200" w:hangingChars="200"/>
    </w:pPr>
  </w:style>
  <w:style w:type="paragraph" w:customStyle="1" w:styleId="3666">
    <w:name w:val="列表编号 45"/>
    <w:basedOn w:val="1"/>
    <w:qFormat/>
    <w:uiPriority w:val="0"/>
    <w:pPr>
      <w:tabs>
        <w:tab w:val="left" w:pos="360"/>
        <w:tab w:val="left" w:pos="1620"/>
      </w:tabs>
      <w:ind w:left="360" w:hanging="360"/>
    </w:pPr>
  </w:style>
  <w:style w:type="paragraph" w:customStyle="1" w:styleId="3667">
    <w:name w:val="寄信人地址5"/>
    <w:basedOn w:val="1"/>
    <w:qFormat/>
    <w:uiPriority w:val="0"/>
    <w:pPr>
      <w:snapToGrid w:val="0"/>
    </w:pPr>
    <w:rPr>
      <w:rFonts w:ascii="Arial" w:hAnsi="Arial" w:cs="Arial"/>
    </w:rPr>
  </w:style>
  <w:style w:type="paragraph" w:customStyle="1" w:styleId="3668">
    <w:name w:val="列表编号 55"/>
    <w:basedOn w:val="1"/>
    <w:qFormat/>
    <w:uiPriority w:val="0"/>
    <w:pPr>
      <w:tabs>
        <w:tab w:val="left" w:pos="2040"/>
      </w:tabs>
      <w:ind w:left="2040" w:hanging="360"/>
    </w:pPr>
  </w:style>
  <w:style w:type="paragraph" w:customStyle="1" w:styleId="3669">
    <w:name w:val="索引 75"/>
    <w:basedOn w:val="1"/>
    <w:next w:val="1"/>
    <w:qFormat/>
    <w:uiPriority w:val="0"/>
    <w:pPr>
      <w:ind w:left="1200" w:leftChars="1200"/>
    </w:pPr>
  </w:style>
  <w:style w:type="paragraph" w:customStyle="1" w:styleId="3670">
    <w:name w:val="图表目录4"/>
    <w:basedOn w:val="1"/>
    <w:next w:val="1"/>
    <w:qFormat/>
    <w:uiPriority w:val="0"/>
    <w:pPr>
      <w:ind w:left="200" w:leftChars="200" w:hanging="200" w:hangingChars="200"/>
    </w:pPr>
  </w:style>
  <w:style w:type="paragraph" w:customStyle="1" w:styleId="3671">
    <w:name w:val="引文目录标题5"/>
    <w:basedOn w:val="1"/>
    <w:next w:val="1"/>
    <w:qFormat/>
    <w:uiPriority w:val="0"/>
    <w:pPr>
      <w:spacing w:before="120"/>
    </w:pPr>
    <w:rPr>
      <w:rFonts w:ascii="Arial" w:hAnsi="Arial" w:cs="Arial"/>
      <w:sz w:val="24"/>
    </w:rPr>
  </w:style>
  <w:style w:type="paragraph" w:customStyle="1" w:styleId="3672">
    <w:name w:val="列表 34"/>
    <w:basedOn w:val="1"/>
    <w:qFormat/>
    <w:uiPriority w:val="0"/>
    <w:pPr>
      <w:ind w:left="100" w:leftChars="400" w:hanging="200" w:hangingChars="200"/>
    </w:pPr>
  </w:style>
  <w:style w:type="paragraph" w:customStyle="1" w:styleId="3673">
    <w:name w:val="字元4"/>
    <w:basedOn w:val="1"/>
    <w:uiPriority w:val="0"/>
    <w:rPr>
      <w:sz w:val="24"/>
    </w:rPr>
  </w:style>
  <w:style w:type="paragraph" w:customStyle="1" w:styleId="3674">
    <w:name w:val="TOC 标题4"/>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675">
    <w:name w:val="Char Char Char Char Char Char Char Char Char1 Char Char Char Char Char Char1 Char4"/>
    <w:basedOn w:val="1"/>
    <w:qFormat/>
    <w:uiPriority w:val="0"/>
    <w:rPr>
      <w:szCs w:val="21"/>
    </w:rPr>
  </w:style>
  <w:style w:type="paragraph" w:customStyle="1" w:styleId="3676">
    <w:name w:val="标题 36"/>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3677">
    <w:name w:val="Char3 Char Char Char Char Char Char4"/>
    <w:basedOn w:val="1"/>
    <w:qFormat/>
    <w:uiPriority w:val="0"/>
    <w:rPr>
      <w:szCs w:val="21"/>
    </w:rPr>
  </w:style>
  <w:style w:type="paragraph" w:customStyle="1" w:styleId="3678">
    <w:name w:val="正文文本缩进 35"/>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3679">
    <w:name w:val="Char Char Char Char Char Char Char Char Char Char Char Char Char Char Char Char2"/>
    <w:basedOn w:val="1"/>
    <w:qFormat/>
    <w:uiPriority w:val="0"/>
    <w:rPr>
      <w:szCs w:val="20"/>
    </w:rPr>
  </w:style>
  <w:style w:type="paragraph" w:customStyle="1" w:styleId="3680">
    <w:name w:val="字元 字元2"/>
    <w:basedOn w:val="1"/>
    <w:qFormat/>
    <w:uiPriority w:val="0"/>
    <w:rPr>
      <w:sz w:val="24"/>
    </w:rPr>
  </w:style>
  <w:style w:type="paragraph" w:customStyle="1" w:styleId="3681">
    <w:name w:val="Char32"/>
    <w:basedOn w:val="1"/>
    <w:qFormat/>
    <w:uiPriority w:val="0"/>
    <w:rPr>
      <w:szCs w:val="21"/>
    </w:rPr>
  </w:style>
  <w:style w:type="paragraph" w:customStyle="1" w:styleId="3682">
    <w:name w:val="Char Char Char1 Char Char Char Char Char Char Char Char Char Char Char Char Char Char Char1 Char Char Char Char Char Char Char Char Char Char Char Char2"/>
    <w:basedOn w:val="1"/>
    <w:qFormat/>
    <w:uiPriority w:val="0"/>
    <w:rPr>
      <w:szCs w:val="21"/>
    </w:rPr>
  </w:style>
  <w:style w:type="paragraph" w:customStyle="1" w:styleId="3683">
    <w:name w:val="Char Char Char1 Char Char2"/>
    <w:basedOn w:val="1"/>
    <w:qFormat/>
    <w:uiPriority w:val="0"/>
    <w:rPr>
      <w:rFonts w:ascii="黑体" w:hAnsi="黑体" w:eastAsia="黑体"/>
      <w:b/>
      <w:spacing w:val="10"/>
      <w:sz w:val="28"/>
      <w:szCs w:val="20"/>
    </w:rPr>
  </w:style>
  <w:style w:type="paragraph" w:customStyle="1" w:styleId="3684">
    <w:name w:val="Char3 Char Char2"/>
    <w:basedOn w:val="1"/>
    <w:qFormat/>
    <w:uiPriority w:val="0"/>
    <w:rPr>
      <w:rFonts w:ascii="宋体" w:hAnsi="宋体" w:cs="宋体"/>
      <w:color w:val="000000"/>
      <w:kern w:val="0"/>
      <w:sz w:val="24"/>
    </w:rPr>
  </w:style>
  <w:style w:type="paragraph" w:customStyle="1" w:styleId="3685">
    <w:name w:val="Char Char Char Char Char Char Char Char Char Char Char Char Char Char Char Char Char Char Char Char Char Char2"/>
    <w:basedOn w:val="1"/>
    <w:qFormat/>
    <w:uiPriority w:val="0"/>
    <w:rPr>
      <w:sz w:val="24"/>
    </w:rPr>
  </w:style>
  <w:style w:type="paragraph" w:customStyle="1" w:styleId="3686">
    <w:name w:val="Char Char Char1 Char Char Char Char Char Char2"/>
    <w:basedOn w:val="1"/>
    <w:qFormat/>
    <w:uiPriority w:val="0"/>
    <w:rPr>
      <w:szCs w:val="21"/>
    </w:rPr>
  </w:style>
  <w:style w:type="paragraph" w:customStyle="1" w:styleId="3687">
    <w:name w:val="Char Char16 Char Char Char Char2"/>
    <w:basedOn w:val="1"/>
    <w:uiPriority w:val="0"/>
    <w:rPr>
      <w:szCs w:val="21"/>
    </w:rPr>
  </w:style>
  <w:style w:type="paragraph" w:customStyle="1" w:styleId="3688">
    <w:name w:val="Char Char Char13"/>
    <w:basedOn w:val="1"/>
    <w:qFormat/>
    <w:uiPriority w:val="0"/>
    <w:rPr>
      <w:szCs w:val="21"/>
    </w:rPr>
  </w:style>
  <w:style w:type="paragraph" w:customStyle="1" w:styleId="3689">
    <w:name w:val="Char4 Char Char Char Char Char Char Char Char Char Char Char Char Char Char Char Char Char1 Char Char Char Char Char Char1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3690">
    <w:name w:val="Char Char Char Char Char Char Char Char Char1 Char2"/>
    <w:basedOn w:val="1"/>
    <w:qFormat/>
    <w:uiPriority w:val="0"/>
    <w:rPr>
      <w:sz w:val="24"/>
    </w:rPr>
  </w:style>
  <w:style w:type="paragraph" w:customStyle="1" w:styleId="3691">
    <w:name w:val="Char1 Char Char Char Char Char Char Char Char Char1 Char Char Char Char Char Char2"/>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3692">
    <w:name w:val="字元 字元 字元2"/>
    <w:basedOn w:val="1"/>
    <w:qFormat/>
    <w:uiPriority w:val="0"/>
    <w:pPr>
      <w:spacing w:line="360" w:lineRule="auto"/>
      <w:ind w:firstLine="200" w:firstLineChars="200"/>
    </w:pPr>
    <w:rPr>
      <w:rFonts w:ascii="宋体" w:hAnsi="宋体"/>
      <w:sz w:val="24"/>
    </w:rPr>
  </w:style>
  <w:style w:type="paragraph" w:customStyle="1" w:styleId="3693">
    <w:name w:val="Char Char Char Char1 Char Char Char Char Char Char Char2"/>
    <w:basedOn w:val="1"/>
    <w:qFormat/>
    <w:uiPriority w:val="0"/>
    <w:pPr>
      <w:tabs>
        <w:tab w:val="left" w:pos="360"/>
      </w:tabs>
      <w:snapToGrid w:val="0"/>
      <w:spacing w:line="360" w:lineRule="auto"/>
    </w:pPr>
    <w:rPr>
      <w:rFonts w:eastAsia="仿宋_GB2312" w:cs="宋体"/>
      <w:sz w:val="24"/>
    </w:rPr>
  </w:style>
  <w:style w:type="paragraph" w:customStyle="1" w:styleId="3694">
    <w:name w:val="Char Char Char Char Char Char Char Char Char Char Char Char Char Char Char Char Char Char Char Char Char Char Char Char Char2"/>
    <w:basedOn w:val="1"/>
    <w:qFormat/>
    <w:uiPriority w:val="0"/>
  </w:style>
  <w:style w:type="paragraph" w:customStyle="1" w:styleId="3695">
    <w:name w:val="Char Char Char Char Char Char Char Char2"/>
    <w:basedOn w:val="1"/>
    <w:qFormat/>
    <w:uiPriority w:val="0"/>
    <w:rPr>
      <w:szCs w:val="21"/>
    </w:rPr>
  </w:style>
  <w:style w:type="paragraph" w:customStyle="1" w:styleId="3696">
    <w:name w:val="Char Char Char1 Char Char Char Char Char Char Char Char Char2"/>
    <w:basedOn w:val="1"/>
    <w:qFormat/>
    <w:uiPriority w:val="0"/>
    <w:rPr>
      <w:szCs w:val="21"/>
    </w:rPr>
  </w:style>
  <w:style w:type="paragraph" w:customStyle="1" w:styleId="3697">
    <w:name w:val="Char4 Char Char Char Char Char Char Char Char Char Char Char Char Char Char Char Char Char1 Char Char Char Char2"/>
    <w:basedOn w:val="1"/>
    <w:qFormat/>
    <w:uiPriority w:val="0"/>
    <w:pPr>
      <w:spacing w:line="240" w:lineRule="exact"/>
      <w:ind w:firstLine="200" w:firstLineChars="200"/>
    </w:pPr>
    <w:rPr>
      <w:sz w:val="28"/>
      <w:szCs w:val="28"/>
    </w:rPr>
  </w:style>
  <w:style w:type="paragraph" w:customStyle="1" w:styleId="3698">
    <w:name w:val="Char Char Char1 Char Char Char Char Char Char Char Char Char Char Char Char Char Char Char Char Char Char Char Char Char Char2"/>
    <w:basedOn w:val="1"/>
    <w:qFormat/>
    <w:uiPriority w:val="0"/>
    <w:rPr>
      <w:szCs w:val="20"/>
    </w:rPr>
  </w:style>
  <w:style w:type="paragraph" w:customStyle="1" w:styleId="3699">
    <w:name w:val="Char Char Char Char Char Char Char Char Char1 Char Char Char Char Char Char Char2"/>
    <w:basedOn w:val="1"/>
    <w:qFormat/>
    <w:uiPriority w:val="0"/>
    <w:rPr>
      <w:szCs w:val="21"/>
    </w:rPr>
  </w:style>
  <w:style w:type="paragraph" w:customStyle="1" w:styleId="3700">
    <w:name w:val="Char Char Char1 Char Char Char Char Char Char Char Char Char Char Char Char Char Char Char1 Char Char Char Char Char Char Char Char Char Char Char Char Char Char Char Char Char Char Char Char Char Char Char Char Char Char Char2"/>
    <w:basedOn w:val="1"/>
    <w:uiPriority w:val="0"/>
    <w:pPr>
      <w:spacing w:line="240" w:lineRule="exact"/>
      <w:ind w:firstLine="200" w:firstLineChars="200"/>
    </w:pPr>
    <w:rPr>
      <w:sz w:val="28"/>
      <w:szCs w:val="28"/>
    </w:rPr>
  </w:style>
  <w:style w:type="paragraph" w:customStyle="1" w:styleId="3701">
    <w:name w:val="Char Char Char1 Char Char Char Char Char Char Char Char Char Char Char Char Char Char Char1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sz w:val="28"/>
      <w:szCs w:val="28"/>
    </w:rPr>
  </w:style>
  <w:style w:type="paragraph" w:customStyle="1" w:styleId="3702">
    <w:name w:val="Char2 Char Char Char Char Char2"/>
    <w:basedOn w:val="1"/>
    <w:qFormat/>
    <w:uiPriority w:val="0"/>
    <w:rPr>
      <w:sz w:val="24"/>
    </w:rPr>
  </w:style>
  <w:style w:type="paragraph" w:customStyle="1" w:styleId="3703">
    <w:name w:val="Char Char Char Char Char Char Char Char Char Char Char Char Char Char Char Char Char Char Char Char Char Char Char Char Char Char Char Char2"/>
    <w:basedOn w:val="1"/>
    <w:qFormat/>
    <w:uiPriority w:val="0"/>
    <w:rPr>
      <w:sz w:val="24"/>
    </w:rPr>
  </w:style>
  <w:style w:type="paragraph" w:customStyle="1" w:styleId="3704">
    <w:name w:val="Char Char Char Char Char Char 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3705">
    <w:name w:val="Char Char Char 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3706">
    <w:name w:val="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3707">
    <w:name w:val="Char Char20 Char Char2"/>
    <w:basedOn w:val="1"/>
    <w:qFormat/>
    <w:uiPriority w:val="0"/>
    <w:pPr>
      <w:widowControl/>
      <w:jc w:val="left"/>
    </w:pPr>
    <w:rPr>
      <w:rFonts w:ascii="宋体"/>
      <w:kern w:val="0"/>
      <w:sz w:val="24"/>
    </w:rPr>
  </w:style>
  <w:style w:type="paragraph" w:customStyle="1" w:styleId="3708">
    <w:name w:val="Char Char Char Char Char Char Char Char Char Char Char Char Char Char Char Char Char Char Char Char Char Char Char Char Char Char Char Char Char Char Char2"/>
    <w:basedOn w:val="1"/>
    <w:qFormat/>
    <w:uiPriority w:val="0"/>
    <w:pPr>
      <w:spacing w:line="360" w:lineRule="auto"/>
      <w:ind w:firstLine="200" w:firstLineChars="200"/>
      <w:jc w:val="center"/>
    </w:pPr>
    <w:rPr>
      <w:rFonts w:ascii="宋体" w:hAnsi="宋体"/>
      <w:sz w:val="24"/>
    </w:rPr>
  </w:style>
  <w:style w:type="paragraph" w:customStyle="1" w:styleId="3709">
    <w:name w:val="表格内内容"/>
    <w:basedOn w:val="1"/>
    <w:qFormat/>
    <w:uiPriority w:val="0"/>
    <w:pPr>
      <w:jc w:val="center"/>
    </w:pPr>
    <w:rPr>
      <w:bCs/>
      <w:szCs w:val="21"/>
    </w:rPr>
  </w:style>
  <w:style w:type="table" w:customStyle="1" w:styleId="3710">
    <w:name w:val="网格型11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1">
    <w:name w:val="列表型 72"/>
    <w:basedOn w:val="88"/>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12">
    <w:name w:val="列表型 52"/>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13">
    <w:name w:val="列表型 32"/>
    <w:basedOn w:val="88"/>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14">
    <w:name w:val="表格主题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5">
    <w:name w:val="列表型 62"/>
    <w:basedOn w:val="88"/>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16">
    <w:name w:val="彩色型 12"/>
    <w:basedOn w:val="88"/>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17">
    <w:name w:val="精巧型 22"/>
    <w:basedOn w:val="88"/>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18">
    <w:name w:val="彩色型 22"/>
    <w:basedOn w:val="88"/>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19">
    <w:name w:val="彩色型 32"/>
    <w:basedOn w:val="88"/>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20">
    <w:name w:val="典雅型2"/>
    <w:basedOn w:val="88"/>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721">
    <w:name w:val="古典型 12"/>
    <w:basedOn w:val="88"/>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2">
    <w:name w:val="古典型 22"/>
    <w:basedOn w:val="88"/>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23">
    <w:name w:val="网页型 32"/>
    <w:basedOn w:val="88"/>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24">
    <w:name w:val="古典型 32"/>
    <w:basedOn w:val="88"/>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25">
    <w:name w:val="古典型 42"/>
    <w:basedOn w:val="88"/>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26">
    <w:name w:val="简明型 12"/>
    <w:basedOn w:val="88"/>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27">
    <w:name w:val="网页型 22"/>
    <w:basedOn w:val="88"/>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28">
    <w:name w:val="简明型 22"/>
    <w:basedOn w:val="88"/>
    <w:qFormat/>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29">
    <w:name w:val="网格型 82"/>
    <w:basedOn w:val="88"/>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30">
    <w:name w:val="简明型 32"/>
    <w:basedOn w:val="88"/>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31">
    <w:name w:val="网格型 72"/>
    <w:basedOn w:val="88"/>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32">
    <w:name w:val="精巧型 12"/>
    <w:basedOn w:val="88"/>
    <w:uiPriority w:val="99"/>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3">
    <w:name w:val="表三维效果 11"/>
    <w:basedOn w:val="88"/>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34">
    <w:name w:val="表三维效果 21"/>
    <w:basedOn w:val="88"/>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5">
    <w:name w:val="表三维效果 31"/>
    <w:basedOn w:val="88"/>
    <w:qFormat/>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6">
    <w:name w:val="列表型 12"/>
    <w:basedOn w:val="88"/>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7">
    <w:name w:val="专业型2"/>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738">
    <w:name w:val="列表型 22"/>
    <w:basedOn w:val="88"/>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39">
    <w:name w:val="列表型 42"/>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40">
    <w:name w:val="列表型 82"/>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41">
    <w:name w:val="流行型2"/>
    <w:basedOn w:val="88"/>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742">
    <w:name w:val="竖列型 12"/>
    <w:basedOn w:val="88"/>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43">
    <w:name w:val="网格型 62"/>
    <w:basedOn w:val="88"/>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44">
    <w:name w:val="竖列型 22"/>
    <w:basedOn w:val="88"/>
    <w:uiPriority w:val="99"/>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45">
    <w:name w:val="竖列型 32"/>
    <w:basedOn w:val="88"/>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46">
    <w:name w:val="竖列型 42"/>
    <w:basedOn w:val="88"/>
    <w:qFormat/>
    <w:uiPriority w:val="99"/>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47">
    <w:name w:val="竖列型 52"/>
    <w:basedOn w:val="88"/>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48">
    <w:name w:val="网页型 12"/>
    <w:basedOn w:val="88"/>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749">
    <w:name w:val="网格型 12"/>
    <w:basedOn w:val="88"/>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0">
    <w:name w:val="网格型 52"/>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1">
    <w:name w:val="网格型 22"/>
    <w:basedOn w:val="88"/>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52">
    <w:name w:val="网格型 32"/>
    <w:basedOn w:val="88"/>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3">
    <w:name w:val="网格型 42"/>
    <w:basedOn w:val="88"/>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54">
    <w:name w:val="彩色型 311"/>
    <w:basedOn w:val="88"/>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55">
    <w:name w:val="列表型 311"/>
    <w:basedOn w:val="88"/>
    <w:semiHidden/>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756">
    <w:name w:val="网格型 611"/>
    <w:basedOn w:val="88"/>
    <w:semiHidden/>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7">
    <w:name w:val="设计院1"/>
    <w:basedOn w:val="90"/>
    <w:qFormat/>
    <w:uiPriority w:val="0"/>
    <w:rPr>
      <w:szCs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3758">
    <w:name w:val="立体型 211"/>
    <w:basedOn w:val="88"/>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59">
    <w:name w:val="列表型 51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760">
    <w:name w:val="列表型 41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761">
    <w:name w:val="列表型 711"/>
    <w:basedOn w:val="88"/>
    <w:semiHidden/>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762">
    <w:name w:val="网页型 211"/>
    <w:basedOn w:val="88"/>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763">
    <w:name w:val="精巧型 111"/>
    <w:basedOn w:val="88"/>
    <w:semiHidden/>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64">
    <w:name w:val="竖列型 511"/>
    <w:basedOn w:val="88"/>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765">
    <w:name w:val="彩色型 211"/>
    <w:basedOn w:val="88"/>
    <w:semiHidden/>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766">
    <w:name w:val="立体型 311"/>
    <w:basedOn w:val="88"/>
    <w:semiHidden/>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67">
    <w:name w:val="网格型 811"/>
    <w:basedOn w:val="88"/>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68">
    <w:name w:val="精巧型 211"/>
    <w:basedOn w:val="88"/>
    <w:semiHidden/>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69">
    <w:name w:val="竖列型 311"/>
    <w:basedOn w:val="88"/>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770">
    <w:name w:val="网格型 211"/>
    <w:basedOn w:val="88"/>
    <w:semiHidden/>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771">
    <w:name w:val="网格型31"/>
    <w:basedOn w:val="88"/>
    <w:qFormat/>
    <w:uiPriority w:val="0"/>
    <w:pPr>
      <w:jc w:val="center"/>
    </w:pPr>
    <w:tblPr>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jc w:val="center"/>
    </w:trPr>
  </w:style>
  <w:style w:type="table" w:customStyle="1" w:styleId="3772">
    <w:name w:val="网页型 111"/>
    <w:basedOn w:val="88"/>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773">
    <w:name w:val="竖列型 411"/>
    <w:basedOn w:val="88"/>
    <w:semiHidden/>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774">
    <w:name w:val="网格型 51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5">
    <w:name w:val="网格型 411"/>
    <w:basedOn w:val="88"/>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776">
    <w:name w:val="简明型 111"/>
    <w:basedOn w:val="88"/>
    <w:semiHidden/>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77">
    <w:name w:val="列表型 111"/>
    <w:basedOn w:val="88"/>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78">
    <w:name w:val="简明型 311"/>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779">
    <w:name w:val="网页型 311"/>
    <w:basedOn w:val="88"/>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780">
    <w:name w:val="ljw11"/>
    <w:basedOn w:val="90"/>
    <w:semiHidden/>
    <w:qFormat/>
    <w:uiPriority w:val="0"/>
    <w:pPr>
      <w:snapToGrid w:val="0"/>
      <w:spacing w:line="440" w:lineRule="exact"/>
      <w:ind w:firstLine="200" w:firstLineChars="200"/>
    </w:pPr>
    <w:rPr>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3781">
    <w:name w:val="古典型 211"/>
    <w:basedOn w:val="88"/>
    <w:semiHidden/>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782">
    <w:name w:val="Table Normal1"/>
    <w:unhideWhenUsed/>
    <w:qFormat/>
    <w:uiPriority w:val="2"/>
    <w:pPr>
      <w:widowControl w:val="0"/>
    </w:pPr>
    <w:rPr>
      <w:rFonts w:ascii="等线" w:hAnsi="等线" w:eastAsia="等线"/>
      <w:sz w:val="22"/>
      <w:lang w:eastAsia="en-US"/>
    </w:rPr>
    <w:tblPr>
      <w:tblCellMar>
        <w:top w:w="0" w:type="dxa"/>
        <w:left w:w="0" w:type="dxa"/>
        <w:bottom w:w="0" w:type="dxa"/>
        <w:right w:w="0" w:type="dxa"/>
      </w:tblCellMar>
    </w:tblPr>
  </w:style>
  <w:style w:type="table" w:customStyle="1" w:styleId="3783">
    <w:name w:val="(环评报告表）2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84">
    <w:name w:val="典雅型11"/>
    <w:basedOn w:val="88"/>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785">
    <w:name w:val="网格型21"/>
    <w:basedOn w:val="88"/>
    <w:qFormat/>
    <w:uiPriority w:val="0"/>
    <w:rPr>
      <w:rFonts w:ascii="Calibri" w:hAnsi="Calibri" w:eastAsia="微软雅黑"/>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786">
    <w:name w:val="样板1"/>
    <w:basedOn w:val="90"/>
    <w:qFormat/>
    <w:uiPriority w:val="0"/>
    <w:tblPr>
      <w:tblBorders>
        <w:top w:val="single" w:color="auto" w:sz="12" w:space="0"/>
        <w:bottom w:val="single" w:color="auto" w:sz="12" w:space="0"/>
      </w:tblBorders>
      <w:tblCellMar>
        <w:top w:w="0" w:type="dxa"/>
        <w:left w:w="108" w:type="dxa"/>
        <w:bottom w:w="0" w:type="dxa"/>
        <w:right w:w="108" w:type="dxa"/>
      </w:tblCellMar>
    </w:tblPr>
  </w:style>
  <w:style w:type="table" w:customStyle="1" w:styleId="3787">
    <w:name w:val="古典型 311"/>
    <w:basedOn w:val="88"/>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788">
    <w:name w:val="网格型 711"/>
    <w:basedOn w:val="8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89">
    <w:name w:val="网格型 11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0">
    <w:name w:val="网格型 311"/>
    <w:basedOn w:val="88"/>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91">
    <w:name w:val="列表型 81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792">
    <w:name w:val="古典型 111"/>
    <w:basedOn w:val="88"/>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3">
    <w:name w:val="ljw2"/>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3794">
    <w:name w:val="竖列型 111"/>
    <w:basedOn w:val="8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5">
    <w:name w:val="简明型 211"/>
    <w:basedOn w:val="88"/>
    <w:semiHidden/>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796">
    <w:name w:val="网格型12"/>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97">
    <w:name w:val="表格样式21"/>
    <w:basedOn w:val="88"/>
    <w:qFormat/>
    <w:uiPriority w:val="0"/>
    <w:tblPr>
      <w:tblBorders>
        <w:top w:val="single" w:color="auto" w:sz="18" w:space="0"/>
        <w:bottom w:val="single" w:color="auto" w:sz="18" w:space="0"/>
        <w:insideH w:val="single" w:color="auto" w:sz="2" w:space="0"/>
        <w:insideV w:val="single" w:color="auto" w:sz="2" w:space="0"/>
      </w:tblBorders>
      <w:tblCellMar>
        <w:top w:w="0" w:type="dxa"/>
        <w:left w:w="108" w:type="dxa"/>
        <w:bottom w:w="0" w:type="dxa"/>
        <w:right w:w="108" w:type="dxa"/>
      </w:tblCellMar>
    </w:tblPr>
  </w:style>
  <w:style w:type="table" w:customStyle="1" w:styleId="3798">
    <w:name w:val="(环评报告表）11"/>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99">
    <w:name w:val="列表型 211"/>
    <w:basedOn w:val="88"/>
    <w:semiHidden/>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00">
    <w:name w:val="古典型 411"/>
    <w:basedOn w:val="88"/>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01">
    <w:name w:val="专业型1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02">
    <w:name w:val="立体型 111"/>
    <w:basedOn w:val="88"/>
    <w:semiHidden/>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03">
    <w:name w:val="列表型 611"/>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04">
    <w:name w:val="竖列型 211"/>
    <w:basedOn w:val="88"/>
    <w:semiHidden/>
    <w:qFormat/>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05">
    <w:name w:val="流行型11"/>
    <w:basedOn w:val="88"/>
    <w:semiHidden/>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806">
    <w:name w:val="彩色型 111"/>
    <w:basedOn w:val="88"/>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807">
    <w:name w:val="文中表格1"/>
    <w:basedOn w:val="88"/>
    <w:qFormat/>
    <w:uiPriority w:val="0"/>
    <w:pPr>
      <w:jc w:val="center"/>
    </w:pPr>
    <w:rPr>
      <w:rFonts w:ascii="Calibri" w:hAnsi="Calibri"/>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3808">
    <w:name w:val="A表格样式11"/>
    <w:basedOn w:val="90"/>
    <w:qFormat/>
    <w:uiPriority w:val="0"/>
    <w:pPr>
      <w:jc w:val="center"/>
    </w:pPr>
    <w:rPr>
      <w:sz w:val="21"/>
    </w:r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3809">
    <w:name w:val="网格型41"/>
    <w:basedOn w:val="8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0">
    <w:name w:val="表格主题21"/>
    <w:basedOn w:val="88"/>
    <w:qFormat/>
    <w:uiPriority w:val="0"/>
    <w:pPr>
      <w:widowControl w:val="0"/>
      <w:adjustRightInd w:val="0"/>
      <w:spacing w:line="360" w:lineRule="atLeast"/>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style>
  <w:style w:type="character" w:customStyle="1" w:styleId="3811">
    <w:name w:val="未处理的提及11"/>
    <w:basedOn w:val="133"/>
    <w:unhideWhenUsed/>
    <w:uiPriority w:val="99"/>
    <w:rPr>
      <w:color w:val="605E5C"/>
      <w:shd w:val="clear" w:color="auto" w:fill="E1DFDD"/>
    </w:rPr>
  </w:style>
  <w:style w:type="character" w:customStyle="1" w:styleId="3812">
    <w:name w:val="签名 Char4"/>
    <w:qFormat/>
    <w:uiPriority w:val="0"/>
    <w:rPr>
      <w:kern w:val="2"/>
      <w:sz w:val="21"/>
      <w:szCs w:val="24"/>
      <w:lang w:bidi="ar-SA"/>
    </w:rPr>
  </w:style>
  <w:style w:type="character" w:customStyle="1" w:styleId="3813">
    <w:name w:val="批注框文本 Char"/>
    <w:qFormat/>
    <w:uiPriority w:val="0"/>
    <w:rPr>
      <w:snapToGrid w:val="0"/>
      <w:sz w:val="18"/>
      <w:szCs w:val="18"/>
    </w:rPr>
  </w:style>
  <w:style w:type="character" w:customStyle="1" w:styleId="3814">
    <w:name w:val="z-窗体底端 Char"/>
    <w:qFormat/>
    <w:uiPriority w:val="0"/>
    <w:rPr>
      <w:rFonts w:ascii="Arial" w:hAnsi="Arial" w:eastAsia="宋体" w:cs="Arial"/>
      <w:vanish/>
      <w:kern w:val="2"/>
      <w:sz w:val="16"/>
      <w:szCs w:val="16"/>
      <w:lang w:val="en-US" w:eastAsia="zh-CN" w:bidi="ar-SA"/>
    </w:rPr>
  </w:style>
  <w:style w:type="character" w:customStyle="1" w:styleId="3815">
    <w:name w:val="纯文本 Char"/>
    <w:qFormat/>
    <w:uiPriority w:val="99"/>
    <w:rPr>
      <w:rFonts w:ascii="宋体" w:hAnsi="Courier New" w:eastAsia="宋体"/>
      <w:kern w:val="2"/>
      <w:sz w:val="21"/>
      <w:lang w:val="en-US" w:eastAsia="zh-CN" w:bidi="ar-SA"/>
    </w:rPr>
  </w:style>
  <w:style w:type="character" w:customStyle="1" w:styleId="3816">
    <w:name w:val="明显引用 Char"/>
    <w:qFormat/>
    <w:locked/>
    <w:uiPriority w:val="0"/>
    <w:rPr>
      <w:b/>
      <w:bCs/>
      <w:i/>
      <w:iCs/>
      <w:color w:val="4F81BD"/>
      <w:kern w:val="2"/>
      <w:sz w:val="21"/>
      <w:szCs w:val="24"/>
    </w:rPr>
  </w:style>
  <w:style w:type="character" w:customStyle="1" w:styleId="3817">
    <w:name w:val="称呼 Char4"/>
    <w:uiPriority w:val="0"/>
    <w:rPr>
      <w:rFonts w:eastAsia="宋体"/>
      <w:kern w:val="2"/>
      <w:sz w:val="21"/>
      <w:szCs w:val="24"/>
      <w:lang w:val="en-US" w:eastAsia="zh-CN" w:bidi="ar-SA"/>
    </w:rPr>
  </w:style>
  <w:style w:type="character" w:customStyle="1" w:styleId="3818">
    <w:name w:val="无间隔 Char"/>
    <w:uiPriority w:val="1"/>
    <w:rPr>
      <w:rFonts w:eastAsia="宋体"/>
      <w:kern w:val="2"/>
      <w:sz w:val="24"/>
      <w:szCs w:val="22"/>
      <w:lang w:val="en-US" w:eastAsia="zh-CN" w:bidi="ar-SA"/>
    </w:rPr>
  </w:style>
  <w:style w:type="character" w:customStyle="1" w:styleId="3819">
    <w:name w:val="正文文本 Char"/>
    <w:qFormat/>
    <w:uiPriority w:val="0"/>
    <w:rPr>
      <w:rFonts w:ascii="宋体" w:hAnsi="宋体" w:eastAsia="宋体"/>
      <w:kern w:val="2"/>
      <w:sz w:val="21"/>
      <w:szCs w:val="24"/>
      <w:lang w:val="en-US" w:eastAsia="zh-CN" w:bidi="ar-SA"/>
    </w:rPr>
  </w:style>
  <w:style w:type="character" w:customStyle="1" w:styleId="3820">
    <w:name w:val="HTML 地址 Char3"/>
    <w:qFormat/>
    <w:uiPriority w:val="99"/>
    <w:rPr>
      <w:i/>
      <w:iCs/>
      <w:kern w:val="2"/>
      <w:sz w:val="21"/>
      <w:szCs w:val="24"/>
      <w:lang w:bidi="ar-SA"/>
    </w:rPr>
  </w:style>
  <w:style w:type="character" w:customStyle="1" w:styleId="3821">
    <w:name w:val="HTML 变量4"/>
    <w:qFormat/>
    <w:uiPriority w:val="0"/>
    <w:rPr>
      <w:i/>
      <w:iCs/>
    </w:rPr>
  </w:style>
  <w:style w:type="character" w:customStyle="1" w:styleId="3822">
    <w:name w:val="页脚 Char"/>
    <w:qFormat/>
    <w:uiPriority w:val="0"/>
    <w:rPr>
      <w:rFonts w:eastAsia="宋体"/>
      <w:kern w:val="2"/>
      <w:sz w:val="18"/>
      <w:szCs w:val="18"/>
      <w:lang w:val="en-US" w:eastAsia="zh-CN" w:bidi="ar-SA"/>
    </w:rPr>
  </w:style>
  <w:style w:type="character" w:customStyle="1" w:styleId="3823">
    <w:name w:val="HTML 样本4"/>
    <w:qFormat/>
    <w:uiPriority w:val="0"/>
    <w:rPr>
      <w:rFonts w:ascii="Courier New" w:hAnsi="Courier New" w:cs="Courier New"/>
    </w:rPr>
  </w:style>
  <w:style w:type="character" w:customStyle="1" w:styleId="3824">
    <w:name w:val="HTML 引文4"/>
    <w:uiPriority w:val="0"/>
    <w:rPr>
      <w:i/>
      <w:iCs/>
    </w:rPr>
  </w:style>
  <w:style w:type="character" w:customStyle="1" w:styleId="3825">
    <w:name w:val="标题 6 Char"/>
    <w:qFormat/>
    <w:uiPriority w:val="9"/>
    <w:rPr>
      <w:rFonts w:ascii="Arial" w:hAnsi="Arial" w:eastAsia="黑体"/>
      <w:b/>
      <w:sz w:val="24"/>
    </w:rPr>
  </w:style>
  <w:style w:type="character" w:customStyle="1" w:styleId="3826">
    <w:name w:val="标题 2 Char"/>
    <w:qFormat/>
    <w:uiPriority w:val="0"/>
    <w:rPr>
      <w:rFonts w:eastAsia="黑体"/>
      <w:b/>
      <w:bCs/>
      <w:color w:val="000000"/>
      <w:kern w:val="2"/>
      <w:sz w:val="30"/>
      <w:szCs w:val="28"/>
      <w:lang w:val="en-US" w:eastAsia="zh-CN" w:bidi="ar-SA"/>
    </w:rPr>
  </w:style>
  <w:style w:type="character" w:customStyle="1" w:styleId="3827">
    <w:name w:val="题注 Char2"/>
    <w:qFormat/>
    <w:uiPriority w:val="0"/>
    <w:rPr>
      <w:rFonts w:ascii="华文行楷" w:eastAsia="华文行楷"/>
      <w:i/>
      <w:iCs/>
      <w:color w:val="FF0000"/>
      <w:kern w:val="2"/>
      <w:sz w:val="32"/>
      <w:szCs w:val="24"/>
      <w:lang w:val="en-US" w:eastAsia="zh-CN" w:bidi="ar-SA"/>
    </w:rPr>
  </w:style>
  <w:style w:type="character" w:customStyle="1" w:styleId="3828">
    <w:name w:val="标题 3 Char"/>
    <w:qFormat/>
    <w:uiPriority w:val="0"/>
    <w:rPr>
      <w:rFonts w:ascii="宋体" w:hAnsi="宋体"/>
      <w:b/>
      <w:bCs/>
      <w:kern w:val="2"/>
      <w:sz w:val="32"/>
      <w:szCs w:val="32"/>
    </w:rPr>
  </w:style>
  <w:style w:type="character" w:customStyle="1" w:styleId="3829">
    <w:name w:val="正文首行缩进 Char"/>
    <w:basedOn w:val="3819"/>
    <w:qFormat/>
    <w:uiPriority w:val="99"/>
    <w:rPr>
      <w:rFonts w:ascii="宋体" w:hAnsi="宋体" w:eastAsia="宋体"/>
      <w:kern w:val="2"/>
      <w:sz w:val="21"/>
      <w:szCs w:val="24"/>
      <w:lang w:val="en-US" w:eastAsia="zh-CN" w:bidi="ar-SA"/>
    </w:rPr>
  </w:style>
  <w:style w:type="character" w:customStyle="1" w:styleId="3830">
    <w:name w:val="标题 8 Char"/>
    <w:qFormat/>
    <w:uiPriority w:val="9"/>
    <w:rPr>
      <w:rFonts w:ascii="Arial" w:hAnsi="Arial" w:eastAsia="黑体"/>
      <w:spacing w:val="8"/>
      <w:sz w:val="24"/>
      <w:lang w:val="en-US" w:eastAsia="zh-CN" w:bidi="ar-SA"/>
    </w:rPr>
  </w:style>
  <w:style w:type="character" w:customStyle="1" w:styleId="3831">
    <w:name w:val="批注文字 Char"/>
    <w:qFormat/>
    <w:uiPriority w:val="0"/>
    <w:rPr>
      <w:kern w:val="2"/>
      <w:sz w:val="21"/>
      <w:szCs w:val="24"/>
    </w:rPr>
  </w:style>
  <w:style w:type="character" w:customStyle="1" w:styleId="3832">
    <w:name w:val="标题 1 Char1"/>
    <w:qFormat/>
    <w:uiPriority w:val="0"/>
    <w:rPr>
      <w:rFonts w:eastAsia="黑体"/>
      <w:b/>
      <w:bCs/>
      <w:kern w:val="44"/>
      <w:sz w:val="32"/>
      <w:szCs w:val="32"/>
      <w:lang w:val="en-US" w:eastAsia="zh-CN" w:bidi="ar-SA"/>
    </w:rPr>
  </w:style>
  <w:style w:type="character" w:customStyle="1" w:styleId="3833">
    <w:name w:val="列表 2 Char"/>
    <w:uiPriority w:val="0"/>
    <w:rPr>
      <w:rFonts w:eastAsia="宋体"/>
      <w:kern w:val="2"/>
      <w:sz w:val="24"/>
      <w:lang w:val="en-US" w:eastAsia="zh-CN" w:bidi="ar-SA"/>
    </w:rPr>
  </w:style>
  <w:style w:type="character" w:customStyle="1" w:styleId="3834">
    <w:name w:val="页眉 Char"/>
    <w:qFormat/>
    <w:uiPriority w:val="0"/>
    <w:rPr>
      <w:rFonts w:eastAsia="宋体"/>
      <w:kern w:val="2"/>
      <w:sz w:val="18"/>
      <w:szCs w:val="18"/>
      <w:lang w:val="en-US" w:eastAsia="zh-CN" w:bidi="ar-SA"/>
    </w:rPr>
  </w:style>
  <w:style w:type="character" w:customStyle="1" w:styleId="3835">
    <w:name w:val="HTML 预设格式 Char"/>
    <w:qFormat/>
    <w:uiPriority w:val="0"/>
    <w:rPr>
      <w:rFonts w:ascii="Arial" w:hAnsi="Arial"/>
      <w:sz w:val="21"/>
      <w:szCs w:val="21"/>
      <w:lang w:bidi="ar-SA"/>
    </w:rPr>
  </w:style>
  <w:style w:type="character" w:customStyle="1" w:styleId="3836">
    <w:name w:val="访问过的超链接5"/>
    <w:uiPriority w:val="0"/>
    <w:rPr>
      <w:rFonts w:hint="default" w:ascii="Times New Roman"/>
      <w:color w:val="800080"/>
      <w:u w:val="single"/>
    </w:rPr>
  </w:style>
  <w:style w:type="character" w:customStyle="1" w:styleId="3837">
    <w:name w:val="批注引用4"/>
    <w:uiPriority w:val="0"/>
    <w:rPr>
      <w:sz w:val="21"/>
      <w:szCs w:val="21"/>
    </w:rPr>
  </w:style>
  <w:style w:type="character" w:customStyle="1" w:styleId="3838">
    <w:name w:val="书籍标题4"/>
    <w:qFormat/>
    <w:uiPriority w:val="0"/>
    <w:rPr>
      <w:rFonts w:cs="Times New Roman"/>
      <w:b/>
      <w:bCs/>
      <w:smallCaps/>
      <w:spacing w:val="5"/>
    </w:rPr>
  </w:style>
  <w:style w:type="character" w:customStyle="1" w:styleId="3839">
    <w:name w:val="宏文本 Char4"/>
    <w:qFormat/>
    <w:uiPriority w:val="0"/>
    <w:rPr>
      <w:rFonts w:ascii="Courier New" w:hAnsi="Courier New"/>
      <w:kern w:val="2"/>
      <w:sz w:val="24"/>
      <w:szCs w:val="24"/>
      <w:lang w:val="en-US" w:eastAsia="zh-CN" w:bidi="ar-SA"/>
    </w:rPr>
  </w:style>
  <w:style w:type="character" w:customStyle="1" w:styleId="3840">
    <w:name w:val="标题 9 Char"/>
    <w:qFormat/>
    <w:uiPriority w:val="9"/>
    <w:rPr>
      <w:rFonts w:ascii="Arial" w:hAnsi="Arial" w:eastAsia="黑体"/>
      <w:spacing w:val="8"/>
      <w:sz w:val="24"/>
      <w:lang w:val="en-US" w:eastAsia="zh-CN" w:bidi="ar-SA"/>
    </w:rPr>
  </w:style>
  <w:style w:type="character" w:customStyle="1" w:styleId="3841">
    <w:name w:val="HTML 代码4"/>
    <w:uiPriority w:val="0"/>
    <w:rPr>
      <w:rFonts w:hint="eastAsia" w:ascii="黑体" w:hAnsi="Courier New" w:eastAsia="黑体"/>
      <w:sz w:val="24"/>
    </w:rPr>
  </w:style>
  <w:style w:type="character" w:customStyle="1" w:styleId="3842">
    <w:name w:val="页码5"/>
    <w:basedOn w:val="133"/>
    <w:uiPriority w:val="0"/>
  </w:style>
  <w:style w:type="character" w:customStyle="1" w:styleId="3843">
    <w:name w:val="普通(网站) Char"/>
    <w:qFormat/>
    <w:uiPriority w:val="0"/>
    <w:rPr>
      <w:rFonts w:ascii="宋体" w:hAnsi="宋体" w:eastAsia="宋体" w:cs="宋体"/>
      <w:sz w:val="24"/>
      <w:szCs w:val="24"/>
      <w:lang w:val="en-US" w:eastAsia="zh-CN" w:bidi="ar-SA"/>
    </w:rPr>
  </w:style>
  <w:style w:type="character" w:customStyle="1" w:styleId="3844">
    <w:name w:val="信息标题 Char3"/>
    <w:qFormat/>
    <w:uiPriority w:val="0"/>
    <w:rPr>
      <w:rFonts w:ascii="Arial" w:hAnsi="Arial"/>
      <w:kern w:val="2"/>
      <w:sz w:val="24"/>
      <w:szCs w:val="24"/>
      <w:shd w:val="pct20" w:color="auto" w:fill="auto"/>
      <w:lang w:bidi="ar-SA"/>
    </w:rPr>
  </w:style>
  <w:style w:type="character" w:customStyle="1" w:styleId="3845">
    <w:name w:val="正文首行缩进 2 Char2"/>
    <w:qFormat/>
    <w:uiPriority w:val="0"/>
    <w:rPr>
      <w:rFonts w:eastAsia="宋体"/>
      <w:kern w:val="2"/>
      <w:sz w:val="21"/>
      <w:lang w:val="en-US" w:eastAsia="zh-CN" w:bidi="ar-SA"/>
    </w:rPr>
  </w:style>
  <w:style w:type="character" w:customStyle="1" w:styleId="3846">
    <w:name w:val="z-窗体顶端 Char"/>
    <w:qFormat/>
    <w:uiPriority w:val="0"/>
    <w:rPr>
      <w:rFonts w:ascii="Arial" w:hAnsi="Arial" w:eastAsia="宋体" w:cs="Arial"/>
      <w:vanish/>
      <w:kern w:val="2"/>
      <w:sz w:val="16"/>
      <w:szCs w:val="16"/>
      <w:lang w:val="en-US" w:eastAsia="zh-CN" w:bidi="ar-SA"/>
    </w:rPr>
  </w:style>
  <w:style w:type="character" w:customStyle="1" w:styleId="3847">
    <w:name w:val="正文文本缩进 2 Char1"/>
    <w:qFormat/>
    <w:uiPriority w:val="0"/>
    <w:rPr>
      <w:rFonts w:eastAsia="宋体"/>
      <w:kern w:val="2"/>
      <w:sz w:val="28"/>
      <w:szCs w:val="24"/>
      <w:lang w:val="en-US" w:eastAsia="zh-CN" w:bidi="ar-SA"/>
    </w:rPr>
  </w:style>
  <w:style w:type="character" w:customStyle="1" w:styleId="3848">
    <w:name w:val="正文文本 3 Char"/>
    <w:qFormat/>
    <w:uiPriority w:val="0"/>
    <w:rPr>
      <w:rFonts w:eastAsia="宋体"/>
      <w:kern w:val="2"/>
      <w:sz w:val="24"/>
      <w:szCs w:val="24"/>
      <w:lang w:val="en-US" w:eastAsia="zh-CN" w:bidi="ar-SA"/>
    </w:rPr>
  </w:style>
  <w:style w:type="character" w:customStyle="1" w:styleId="3849">
    <w:name w:val="电子邮件签名 Char4"/>
    <w:qFormat/>
    <w:uiPriority w:val="0"/>
    <w:rPr>
      <w:rFonts w:eastAsia="宋体"/>
      <w:kern w:val="2"/>
      <w:sz w:val="21"/>
      <w:szCs w:val="24"/>
      <w:lang w:val="en-US" w:eastAsia="zh-CN" w:bidi="ar-SA"/>
    </w:rPr>
  </w:style>
  <w:style w:type="character" w:customStyle="1" w:styleId="3850">
    <w:name w:val="结束语 Char4"/>
    <w:qFormat/>
    <w:uiPriority w:val="0"/>
    <w:rPr>
      <w:rFonts w:ascii="Arial" w:hAnsi="Arial" w:eastAsia="MS Gothic"/>
      <w:spacing w:val="-5"/>
      <w:sz w:val="21"/>
      <w:lang w:eastAsia="ja-JP" w:bidi="he-IL"/>
    </w:rPr>
  </w:style>
  <w:style w:type="character" w:customStyle="1" w:styleId="3851">
    <w:name w:val="列出段落 Char"/>
    <w:link w:val="3852"/>
    <w:qFormat/>
    <w:uiPriority w:val="1"/>
    <w:rPr>
      <w:rFonts w:ascii="Calibri" w:hAnsi="Calibri" w:eastAsia="宋体"/>
    </w:rPr>
  </w:style>
  <w:style w:type="paragraph" w:customStyle="1" w:styleId="3852">
    <w:name w:val="13"/>
    <w:basedOn w:val="1"/>
    <w:link w:val="3851"/>
    <w:uiPriority w:val="0"/>
    <w:rPr>
      <w:rFonts w:ascii="Calibri" w:hAnsi="Calibri" w:cstheme="minorBidi"/>
      <w:szCs w:val="22"/>
    </w:rPr>
  </w:style>
  <w:style w:type="character" w:customStyle="1" w:styleId="3853">
    <w:name w:val="未处理的提及3"/>
    <w:unhideWhenUsed/>
    <w:qFormat/>
    <w:uiPriority w:val="99"/>
    <w:rPr>
      <w:color w:val="605E5C"/>
      <w:shd w:val="clear" w:color="auto" w:fill="E1DFDD"/>
    </w:rPr>
  </w:style>
  <w:style w:type="character" w:customStyle="1" w:styleId="3854">
    <w:name w:val="HTML 键盘4"/>
    <w:qFormat/>
    <w:uiPriority w:val="0"/>
    <w:rPr>
      <w:rFonts w:ascii="Courier New" w:hAnsi="Courier New" w:cs="Courier New"/>
      <w:sz w:val="20"/>
      <w:szCs w:val="20"/>
    </w:rPr>
  </w:style>
  <w:style w:type="character" w:customStyle="1" w:styleId="3855">
    <w:name w:val="标题 4 Char"/>
    <w:qFormat/>
    <w:uiPriority w:val="0"/>
    <w:rPr>
      <w:rFonts w:ascii="Calibri Light" w:hAnsi="Calibri Light" w:eastAsia="宋体" w:cs="Times New Roman"/>
      <w:b/>
      <w:bCs/>
      <w:kern w:val="2"/>
      <w:sz w:val="28"/>
      <w:szCs w:val="28"/>
    </w:rPr>
  </w:style>
  <w:style w:type="character" w:customStyle="1" w:styleId="3856">
    <w:name w:val="HTML 打字机4"/>
    <w:qFormat/>
    <w:uiPriority w:val="0"/>
    <w:rPr>
      <w:rFonts w:ascii="Courier New" w:hAnsi="Courier New" w:cs="Courier New"/>
      <w:sz w:val="20"/>
      <w:szCs w:val="20"/>
    </w:rPr>
  </w:style>
  <w:style w:type="character" w:customStyle="1" w:styleId="3857">
    <w:name w:val="标题7"/>
    <w:basedOn w:val="133"/>
    <w:qFormat/>
    <w:uiPriority w:val="0"/>
  </w:style>
  <w:style w:type="character" w:customStyle="1" w:styleId="3858">
    <w:name w:val="正文缩进 Char1"/>
    <w:qFormat/>
    <w:uiPriority w:val="0"/>
    <w:rPr>
      <w:rFonts w:eastAsia="宋体"/>
      <w:kern w:val="2"/>
      <w:sz w:val="21"/>
      <w:lang w:bidi="ar-SA"/>
    </w:rPr>
  </w:style>
  <w:style w:type="character" w:customStyle="1" w:styleId="3859">
    <w:name w:val="@他2"/>
    <w:qFormat/>
    <w:uiPriority w:val="0"/>
    <w:rPr>
      <w:color w:val="2B579A"/>
      <w:shd w:val="clear" w:color="auto" w:fill="E6E6E6"/>
    </w:rPr>
  </w:style>
  <w:style w:type="character" w:customStyle="1" w:styleId="3860">
    <w:name w:val="文档结构图 Char"/>
    <w:qFormat/>
    <w:uiPriority w:val="0"/>
    <w:rPr>
      <w:rFonts w:ascii="宋体"/>
      <w:kern w:val="2"/>
      <w:sz w:val="18"/>
      <w:szCs w:val="18"/>
      <w:lang w:bidi="ar-SA"/>
    </w:rPr>
  </w:style>
  <w:style w:type="character" w:customStyle="1" w:styleId="3861">
    <w:name w:val="正文文本缩进 3 Char"/>
    <w:qFormat/>
    <w:uiPriority w:val="0"/>
    <w:rPr>
      <w:rFonts w:ascii="宋体" w:hAnsi="宋体" w:eastAsia="宋体"/>
      <w:kern w:val="2"/>
      <w:sz w:val="24"/>
      <w:szCs w:val="24"/>
      <w:lang w:val="en-US" w:eastAsia="zh-CN" w:bidi="ar-SA"/>
    </w:rPr>
  </w:style>
  <w:style w:type="character" w:customStyle="1" w:styleId="3862">
    <w:name w:val="日期 Char"/>
    <w:qFormat/>
    <w:uiPriority w:val="0"/>
    <w:rPr>
      <w:rFonts w:eastAsia="宋体"/>
      <w:sz w:val="28"/>
      <w:lang w:val="en-US" w:eastAsia="zh-CN" w:bidi="ar-SA"/>
    </w:rPr>
  </w:style>
  <w:style w:type="character" w:customStyle="1" w:styleId="3863">
    <w:name w:val="标题 7 Char"/>
    <w:qFormat/>
    <w:uiPriority w:val="9"/>
    <w:rPr>
      <w:b/>
      <w:sz w:val="24"/>
    </w:rPr>
  </w:style>
  <w:style w:type="character" w:customStyle="1" w:styleId="3864">
    <w:name w:val="HTML 定义4"/>
    <w:qFormat/>
    <w:uiPriority w:val="0"/>
    <w:rPr>
      <w:i/>
      <w:iCs/>
    </w:rPr>
  </w:style>
  <w:style w:type="character" w:customStyle="1" w:styleId="3865">
    <w:name w:val="HTML 缩写4"/>
    <w:basedOn w:val="133"/>
    <w:qFormat/>
    <w:uiPriority w:val="0"/>
  </w:style>
  <w:style w:type="character" w:customStyle="1" w:styleId="3866">
    <w:name w:val="正文文本 2 Char"/>
    <w:qFormat/>
    <w:uiPriority w:val="0"/>
    <w:rPr>
      <w:rFonts w:eastAsia="宋体"/>
      <w:kern w:val="2"/>
      <w:sz w:val="28"/>
      <w:szCs w:val="24"/>
      <w:lang w:val="en-US" w:eastAsia="zh-CN" w:bidi="ar-SA"/>
    </w:rPr>
  </w:style>
  <w:style w:type="character" w:customStyle="1" w:styleId="3867">
    <w:name w:val="脚注文本 Char4"/>
    <w:uiPriority w:val="0"/>
    <w:rPr>
      <w:kern w:val="2"/>
      <w:sz w:val="21"/>
      <w:szCs w:val="24"/>
      <w:lang w:bidi="ar-SA"/>
    </w:rPr>
  </w:style>
  <w:style w:type="character" w:customStyle="1" w:styleId="3868">
    <w:name w:val="标题 Char"/>
    <w:qFormat/>
    <w:uiPriority w:val="0"/>
    <w:rPr>
      <w:rFonts w:ascii="Cambria" w:hAnsi="Cambria" w:eastAsia="黑体"/>
      <w:b/>
      <w:kern w:val="28"/>
      <w:sz w:val="32"/>
      <w:lang w:eastAsia="en-US"/>
    </w:rPr>
  </w:style>
  <w:style w:type="character" w:customStyle="1" w:styleId="3869">
    <w:name w:val="尾注文本 Char"/>
    <w:qFormat/>
    <w:uiPriority w:val="0"/>
    <w:rPr>
      <w:rFonts w:ascii="Arial" w:hAnsi="Arial"/>
      <w:b/>
      <w:bCs/>
      <w:sz w:val="32"/>
      <w:szCs w:val="32"/>
      <w:lang w:bidi="ar-SA"/>
    </w:rPr>
  </w:style>
  <w:style w:type="character" w:customStyle="1" w:styleId="3870">
    <w:name w:val="注释标题 Char"/>
    <w:qFormat/>
    <w:uiPriority w:val="0"/>
    <w:rPr>
      <w:rFonts w:eastAsia="宋体"/>
      <w:kern w:val="2"/>
      <w:sz w:val="21"/>
      <w:szCs w:val="24"/>
      <w:lang w:val="en-US" w:eastAsia="zh-CN" w:bidi="ar-SA"/>
    </w:rPr>
  </w:style>
  <w:style w:type="character" w:customStyle="1" w:styleId="3871">
    <w:name w:val="批注主题 Char"/>
    <w:qFormat/>
    <w:uiPriority w:val="0"/>
    <w:rPr>
      <w:rFonts w:ascii="Times New Roman" w:hAnsi="Times New Roman"/>
      <w:b/>
      <w:bCs/>
      <w:color w:val="000000"/>
      <w:kern w:val="2"/>
      <w:sz w:val="24"/>
      <w:szCs w:val="24"/>
    </w:rPr>
  </w:style>
  <w:style w:type="character" w:customStyle="1" w:styleId="3872">
    <w:name w:val="副标题 Char"/>
    <w:qFormat/>
    <w:uiPriority w:val="0"/>
    <w:rPr>
      <w:rFonts w:ascii="Cambria" w:hAnsi="Cambria" w:eastAsia="黑体"/>
      <w:sz w:val="24"/>
      <w:lang w:eastAsia="en-US"/>
    </w:rPr>
  </w:style>
  <w:style w:type="character" w:customStyle="1" w:styleId="3873">
    <w:name w:val="引用 Char"/>
    <w:qFormat/>
    <w:locked/>
    <w:uiPriority w:val="0"/>
    <w:rPr>
      <w:i/>
      <w:iCs/>
      <w:color w:val="000000"/>
      <w:kern w:val="2"/>
      <w:sz w:val="21"/>
      <w:szCs w:val="24"/>
    </w:rPr>
  </w:style>
  <w:style w:type="character" w:customStyle="1" w:styleId="3874">
    <w:name w:val="超链接6"/>
    <w:qFormat/>
    <w:uiPriority w:val="0"/>
    <w:rPr>
      <w:color w:val="0000FF"/>
      <w:u w:val="single"/>
    </w:rPr>
  </w:style>
  <w:style w:type="character" w:customStyle="1" w:styleId="3875">
    <w:name w:val="标题 5 Char"/>
    <w:qFormat/>
    <w:uiPriority w:val="0"/>
    <w:rPr>
      <w:rFonts w:eastAsia="华文隶书"/>
      <w:b/>
      <w:bCs/>
      <w:kern w:val="2"/>
      <w:sz w:val="24"/>
      <w:szCs w:val="28"/>
      <w:lang w:val="en-US" w:eastAsia="zh-CN" w:bidi="ar-SA"/>
    </w:rPr>
  </w:style>
  <w:style w:type="character" w:customStyle="1" w:styleId="3876">
    <w:name w:val="行号4"/>
    <w:basedOn w:val="133"/>
    <w:qFormat/>
    <w:uiPriority w:val="0"/>
  </w:style>
  <w:style w:type="paragraph" w:customStyle="1" w:styleId="3877">
    <w:name w:val="列表 35"/>
    <w:basedOn w:val="1"/>
    <w:qFormat/>
    <w:uiPriority w:val="0"/>
    <w:pPr>
      <w:ind w:left="100" w:leftChars="400" w:hanging="200" w:hangingChars="200"/>
    </w:pPr>
  </w:style>
  <w:style w:type="paragraph" w:customStyle="1" w:styleId="3878">
    <w:name w:val="引文目录标题6"/>
    <w:basedOn w:val="1"/>
    <w:next w:val="1"/>
    <w:qFormat/>
    <w:uiPriority w:val="0"/>
    <w:pPr>
      <w:spacing w:before="120"/>
    </w:pPr>
    <w:rPr>
      <w:rFonts w:ascii="Arial" w:hAnsi="Arial" w:cs="Arial"/>
      <w:sz w:val="24"/>
    </w:rPr>
  </w:style>
  <w:style w:type="paragraph" w:customStyle="1" w:styleId="3879">
    <w:name w:val="图表目录5"/>
    <w:basedOn w:val="1"/>
    <w:next w:val="1"/>
    <w:qFormat/>
    <w:uiPriority w:val="0"/>
    <w:pPr>
      <w:ind w:left="200" w:leftChars="200" w:hanging="200" w:hangingChars="200"/>
    </w:pPr>
  </w:style>
  <w:style w:type="paragraph" w:customStyle="1" w:styleId="3880">
    <w:name w:val="HTML 预设格式6"/>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hint="eastAsia" w:ascii="Arial" w:hAnsi="Arial"/>
      <w:szCs w:val="20"/>
    </w:rPr>
  </w:style>
  <w:style w:type="paragraph" w:customStyle="1" w:styleId="3881">
    <w:name w:val="z-窗体底端5"/>
    <w:basedOn w:val="1"/>
    <w:next w:val="1"/>
    <w:qFormat/>
    <w:uiPriority w:val="0"/>
    <w:pPr>
      <w:pBdr>
        <w:top w:val="single" w:color="auto" w:sz="6" w:space="1"/>
      </w:pBdr>
      <w:jc w:val="center"/>
    </w:pPr>
    <w:rPr>
      <w:rFonts w:hint="eastAsia" w:ascii="Arial" w:hAnsi="Arial"/>
      <w:vanish/>
      <w:sz w:val="16"/>
      <w:szCs w:val="20"/>
    </w:rPr>
  </w:style>
  <w:style w:type="paragraph" w:customStyle="1" w:styleId="3882">
    <w:name w:val="结束语5"/>
    <w:basedOn w:val="1"/>
    <w:qFormat/>
    <w:uiPriority w:val="0"/>
    <w:pPr>
      <w:ind w:left="100" w:leftChars="2100"/>
    </w:pPr>
    <w:rPr>
      <w:rFonts w:eastAsia="Times New Roman"/>
    </w:rPr>
  </w:style>
  <w:style w:type="paragraph" w:customStyle="1" w:styleId="3883">
    <w:name w:val="日期5"/>
    <w:basedOn w:val="1"/>
    <w:next w:val="1"/>
    <w:qFormat/>
    <w:uiPriority w:val="0"/>
    <w:pPr>
      <w:adjustRightInd w:val="0"/>
      <w:textAlignment w:val="baseline"/>
    </w:pPr>
    <w:rPr>
      <w:sz w:val="24"/>
      <w:szCs w:val="20"/>
    </w:rPr>
  </w:style>
  <w:style w:type="paragraph" w:customStyle="1" w:styleId="3884">
    <w:name w:val="无间隔5"/>
    <w:qFormat/>
    <w:uiPriority w:val="0"/>
    <w:pPr>
      <w:widowControl w:val="0"/>
      <w:jc w:val="both"/>
    </w:pPr>
    <w:rPr>
      <w:rFonts w:ascii="Calibri" w:hAnsi="Calibri" w:eastAsia="宋体" w:cs="Calibri"/>
      <w:kern w:val="2"/>
      <w:sz w:val="21"/>
      <w:szCs w:val="21"/>
      <w:lang w:val="en-US" w:eastAsia="zh-CN" w:bidi="ar-SA"/>
    </w:rPr>
  </w:style>
  <w:style w:type="paragraph" w:customStyle="1" w:styleId="3885">
    <w:name w:val="明显引用6"/>
    <w:basedOn w:val="1"/>
    <w:next w:val="1"/>
    <w:unhideWhenUsed/>
    <w:qFormat/>
    <w:uiPriority w:val="0"/>
    <w:pPr>
      <w:pBdr>
        <w:bottom w:val="single" w:color="4F81BD" w:sz="4" w:space="4"/>
      </w:pBdr>
      <w:spacing w:before="200" w:after="280" w:line="360" w:lineRule="auto"/>
      <w:ind w:left="936" w:right="936" w:firstLine="200" w:firstLineChars="200"/>
      <w:jc w:val="left"/>
    </w:pPr>
    <w:rPr>
      <w:rFonts w:eastAsia="Times New Roman"/>
      <w:b/>
      <w:bCs/>
      <w:i/>
      <w:iCs/>
      <w:color w:val="4F81BD"/>
      <w:sz w:val="28"/>
    </w:rPr>
  </w:style>
  <w:style w:type="paragraph" w:customStyle="1" w:styleId="3886">
    <w:name w:val="普通(网站)5"/>
    <w:basedOn w:val="1"/>
    <w:qFormat/>
    <w:uiPriority w:val="0"/>
    <w:pPr>
      <w:widowControl/>
      <w:spacing w:before="100" w:beforeAutospacing="1" w:after="100" w:afterAutospacing="1"/>
      <w:jc w:val="left"/>
    </w:pPr>
    <w:rPr>
      <w:rFonts w:hint="eastAsia" w:ascii="Arial Unicode MS" w:hAnsi="Arial Unicode MS" w:eastAsia="Arial Unicode MS"/>
      <w:sz w:val="24"/>
      <w:szCs w:val="20"/>
    </w:rPr>
  </w:style>
  <w:style w:type="paragraph" w:customStyle="1" w:styleId="3887">
    <w:name w:val="正文文本首行缩进 21"/>
    <w:basedOn w:val="1"/>
    <w:qFormat/>
    <w:uiPriority w:val="0"/>
    <w:pPr>
      <w:spacing w:after="120"/>
      <w:ind w:left="420" w:leftChars="200" w:firstLine="420" w:firstLineChars="200"/>
    </w:pPr>
    <w:rPr>
      <w:rFonts w:ascii="Arial" w:hAnsi="Arial" w:cs="Courier New"/>
      <w:snapToGrid w:val="0"/>
      <w:sz w:val="28"/>
      <w:szCs w:val="32"/>
    </w:rPr>
  </w:style>
  <w:style w:type="paragraph" w:customStyle="1" w:styleId="3888">
    <w:name w:val="称呼5"/>
    <w:basedOn w:val="1"/>
    <w:next w:val="1"/>
    <w:qFormat/>
    <w:uiPriority w:val="99"/>
    <w:rPr>
      <w:rFonts w:eastAsia="Times New Roman"/>
      <w:kern w:val="0"/>
      <w:sz w:val="20"/>
    </w:rPr>
  </w:style>
  <w:style w:type="paragraph" w:customStyle="1" w:styleId="3889">
    <w:name w:val="正文16"/>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3890">
    <w:name w:val="正文文本缩进 26"/>
    <w:basedOn w:val="1"/>
    <w:qFormat/>
    <w:uiPriority w:val="0"/>
    <w:pPr>
      <w:adjustRightInd w:val="0"/>
      <w:spacing w:line="360" w:lineRule="auto"/>
      <w:ind w:firstLine="510"/>
      <w:textAlignment w:val="baseline"/>
    </w:pPr>
    <w:rPr>
      <w:rFonts w:ascii="宋体" w:hAnsi="宋体"/>
      <w:sz w:val="28"/>
      <w:szCs w:val="20"/>
    </w:rPr>
  </w:style>
  <w:style w:type="paragraph" w:customStyle="1" w:styleId="3891">
    <w:name w:val="正文17"/>
    <w:basedOn w:val="1"/>
    <w:uiPriority w:val="0"/>
    <w:pPr>
      <w:adjustRightInd w:val="0"/>
      <w:spacing w:after="156" w:afterLines="50" w:line="315" w:lineRule="atLeast"/>
      <w:jc w:val="left"/>
      <w:textAlignment w:val="baseline"/>
    </w:pPr>
    <w:rPr>
      <w:rFonts w:ascii="宋体"/>
      <w:kern w:val="0"/>
      <w:szCs w:val="20"/>
    </w:rPr>
  </w:style>
  <w:style w:type="paragraph" w:customStyle="1" w:styleId="3892">
    <w:name w:val="HTML 地址6"/>
    <w:basedOn w:val="1"/>
    <w:qFormat/>
    <w:uiPriority w:val="99"/>
    <w:rPr>
      <w:rFonts w:eastAsia="Times New Roman"/>
      <w:i/>
      <w:iCs/>
      <w:kern w:val="0"/>
      <w:sz w:val="20"/>
    </w:rPr>
  </w:style>
  <w:style w:type="paragraph" w:customStyle="1" w:styleId="3893">
    <w:name w:val="宏文本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customStyle="1" w:styleId="3894">
    <w:name w:val="批注框文本5"/>
    <w:basedOn w:val="1"/>
    <w:qFormat/>
    <w:uiPriority w:val="0"/>
    <w:rPr>
      <w:sz w:val="18"/>
      <w:szCs w:val="18"/>
    </w:rPr>
  </w:style>
  <w:style w:type="paragraph" w:customStyle="1" w:styleId="3895">
    <w:name w:val="批注主题6"/>
    <w:basedOn w:val="28"/>
    <w:next w:val="28"/>
    <w:qFormat/>
    <w:uiPriority w:val="0"/>
    <w:rPr>
      <w:rFonts w:ascii="宋体" w:hAnsi="宋体" w:eastAsia="Times New Roman"/>
      <w:b/>
      <w:bCs/>
      <w:sz w:val="28"/>
    </w:rPr>
  </w:style>
  <w:style w:type="paragraph" w:customStyle="1" w:styleId="3896">
    <w:name w:val="z-窗体顶端5"/>
    <w:basedOn w:val="1"/>
    <w:next w:val="1"/>
    <w:qFormat/>
    <w:uiPriority w:val="0"/>
    <w:pPr>
      <w:pBdr>
        <w:bottom w:val="single" w:color="auto" w:sz="6" w:space="1"/>
      </w:pBdr>
      <w:jc w:val="center"/>
    </w:pPr>
    <w:rPr>
      <w:rFonts w:hint="eastAsia" w:ascii="Arial" w:hAnsi="Arial"/>
      <w:vanish/>
      <w:sz w:val="16"/>
      <w:szCs w:val="20"/>
    </w:rPr>
  </w:style>
  <w:style w:type="paragraph" w:customStyle="1" w:styleId="3897">
    <w:name w:val="签名5"/>
    <w:basedOn w:val="1"/>
    <w:qFormat/>
    <w:uiPriority w:val="0"/>
    <w:pPr>
      <w:ind w:left="100" w:leftChars="2100"/>
    </w:pPr>
    <w:rPr>
      <w:rFonts w:eastAsia="Times New Roman"/>
    </w:rPr>
  </w:style>
  <w:style w:type="paragraph" w:customStyle="1" w:styleId="3898">
    <w:name w:val="文档结构图5"/>
    <w:basedOn w:val="1"/>
    <w:qFormat/>
    <w:uiPriority w:val="0"/>
    <w:pPr>
      <w:spacing w:line="440" w:lineRule="exact"/>
      <w:ind w:firstLine="480" w:firstLineChars="200"/>
    </w:pPr>
    <w:rPr>
      <w:rFonts w:ascii="宋体" w:eastAsia="Times New Roman"/>
      <w:color w:val="000000"/>
      <w:kern w:val="0"/>
      <w:sz w:val="18"/>
      <w:szCs w:val="18"/>
    </w:rPr>
  </w:style>
  <w:style w:type="paragraph" w:customStyle="1" w:styleId="3899">
    <w:name w:val="纯文本8"/>
    <w:basedOn w:val="1"/>
    <w:qFormat/>
    <w:uiPriority w:val="0"/>
    <w:pPr>
      <w:adjustRightInd w:val="0"/>
      <w:jc w:val="left"/>
      <w:textAlignment w:val="baseline"/>
    </w:pPr>
    <w:rPr>
      <w:rFonts w:ascii="宋体"/>
      <w:kern w:val="0"/>
      <w:sz w:val="24"/>
      <w:szCs w:val="20"/>
    </w:rPr>
  </w:style>
  <w:style w:type="paragraph" w:customStyle="1" w:styleId="3900">
    <w:name w:val="正文文本缩进8"/>
    <w:basedOn w:val="1"/>
    <w:qFormat/>
    <w:uiPriority w:val="0"/>
    <w:pPr>
      <w:spacing w:after="120" w:line="440" w:lineRule="exact"/>
      <w:ind w:left="420" w:leftChars="200" w:firstLine="480" w:firstLineChars="200"/>
    </w:pPr>
    <w:rPr>
      <w:rFonts w:eastAsia="Times New Roman"/>
      <w:color w:val="000000"/>
      <w:kern w:val="0"/>
      <w:sz w:val="24"/>
      <w:szCs w:val="15"/>
    </w:rPr>
  </w:style>
  <w:style w:type="paragraph" w:customStyle="1" w:styleId="3901">
    <w:name w:val="电子邮件签名6"/>
    <w:basedOn w:val="1"/>
    <w:qFormat/>
    <w:uiPriority w:val="99"/>
    <w:rPr>
      <w:rFonts w:eastAsia="Times New Roman"/>
      <w:kern w:val="0"/>
      <w:sz w:val="20"/>
    </w:rPr>
  </w:style>
  <w:style w:type="paragraph" w:customStyle="1" w:styleId="3902">
    <w:name w:val="正文18"/>
    <w:basedOn w:val="34"/>
    <w:qFormat/>
    <w:uiPriority w:val="0"/>
    <w:pPr>
      <w:spacing w:line="240" w:lineRule="auto"/>
    </w:pPr>
    <w:rPr>
      <w:rFonts w:ascii="Times New Roman" w:hAnsi="Times New Roman" w:cs="Times New Roman"/>
    </w:rPr>
  </w:style>
  <w:style w:type="paragraph" w:customStyle="1" w:styleId="3903">
    <w:name w:val="列表段落1"/>
    <w:basedOn w:val="1"/>
    <w:qFormat/>
    <w:uiPriority w:val="34"/>
    <w:pPr>
      <w:adjustRightInd w:val="0"/>
      <w:snapToGrid w:val="0"/>
      <w:spacing w:line="360" w:lineRule="auto"/>
      <w:ind w:firstLine="420" w:firstLineChars="200"/>
    </w:pPr>
    <w:rPr>
      <w:rFonts w:ascii="仿宋_GB2312" w:hAnsi="仿宋_GB2312" w:eastAsia="仿宋_GB2312"/>
      <w:sz w:val="28"/>
      <w:szCs w:val="20"/>
    </w:rPr>
  </w:style>
  <w:style w:type="paragraph" w:customStyle="1" w:styleId="3904">
    <w:name w:val="正文文本 35"/>
    <w:basedOn w:val="1"/>
    <w:qFormat/>
    <w:uiPriority w:val="0"/>
    <w:pPr>
      <w:adjustRightInd w:val="0"/>
      <w:textAlignment w:val="baseline"/>
    </w:pPr>
    <w:rPr>
      <w:sz w:val="24"/>
      <w:szCs w:val="20"/>
    </w:rPr>
  </w:style>
  <w:style w:type="paragraph" w:customStyle="1" w:styleId="3905">
    <w:name w:val="正文文本首行缩进1"/>
    <w:basedOn w:val="34"/>
    <w:qFormat/>
    <w:uiPriority w:val="0"/>
    <w:pPr>
      <w:adjustRightInd w:val="0"/>
      <w:spacing w:after="120" w:line="240" w:lineRule="auto"/>
      <w:ind w:firstLine="420"/>
      <w:textAlignment w:val="baseline"/>
    </w:pPr>
    <w:rPr>
      <w:rFonts w:ascii="Times New Roman" w:hAnsi="Times New Roman" w:cs="宋体"/>
      <w:szCs w:val="20"/>
    </w:rPr>
  </w:style>
  <w:style w:type="paragraph" w:customStyle="1" w:styleId="3906">
    <w:name w:val="信息标题6"/>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24"/>
      <w:shd w:val="pct20" w:color="auto" w:fill="auto"/>
    </w:rPr>
  </w:style>
  <w:style w:type="paragraph" w:customStyle="1" w:styleId="3907">
    <w:name w:val="正文缩进7"/>
    <w:basedOn w:val="1"/>
    <w:qFormat/>
    <w:uiPriority w:val="0"/>
    <w:pPr>
      <w:ind w:firstLine="420"/>
    </w:pPr>
    <w:rPr>
      <w:color w:val="000000"/>
      <w:sz w:val="24"/>
      <w:szCs w:val="15"/>
    </w:rPr>
  </w:style>
  <w:style w:type="paragraph" w:customStyle="1" w:styleId="3908">
    <w:name w:val="索引 95"/>
    <w:basedOn w:val="1"/>
    <w:next w:val="1"/>
    <w:qFormat/>
    <w:uiPriority w:val="0"/>
    <w:pPr>
      <w:ind w:left="1600" w:leftChars="1600"/>
    </w:pPr>
  </w:style>
  <w:style w:type="paragraph" w:customStyle="1" w:styleId="3909">
    <w:name w:val="列表 25"/>
    <w:basedOn w:val="1"/>
    <w:qFormat/>
    <w:uiPriority w:val="0"/>
    <w:pPr>
      <w:ind w:left="100" w:leftChars="200" w:hanging="200" w:hangingChars="200"/>
    </w:pPr>
  </w:style>
  <w:style w:type="paragraph" w:customStyle="1" w:styleId="3910">
    <w:name w:val="索引 55"/>
    <w:basedOn w:val="1"/>
    <w:next w:val="1"/>
    <w:qFormat/>
    <w:uiPriority w:val="0"/>
    <w:pPr>
      <w:ind w:left="800" w:leftChars="800"/>
    </w:pPr>
  </w:style>
  <w:style w:type="paragraph" w:customStyle="1" w:styleId="3911">
    <w:name w:val="索引 16"/>
    <w:basedOn w:val="1"/>
    <w:next w:val="1"/>
    <w:qFormat/>
    <w:uiPriority w:val="0"/>
    <w:pPr>
      <w:ind w:left="210" w:hanging="210"/>
      <w:jc w:val="left"/>
    </w:pPr>
  </w:style>
  <w:style w:type="paragraph" w:customStyle="1" w:styleId="3912">
    <w:name w:val="列表接续6"/>
    <w:basedOn w:val="1"/>
    <w:qFormat/>
    <w:uiPriority w:val="0"/>
    <w:pPr>
      <w:spacing w:after="120"/>
      <w:ind w:left="420" w:leftChars="200"/>
    </w:pPr>
  </w:style>
  <w:style w:type="paragraph" w:customStyle="1" w:styleId="3913">
    <w:name w:val="索引 46"/>
    <w:basedOn w:val="1"/>
    <w:next w:val="1"/>
    <w:qFormat/>
    <w:uiPriority w:val="0"/>
    <w:pPr>
      <w:ind w:left="600" w:leftChars="600"/>
    </w:pPr>
  </w:style>
  <w:style w:type="paragraph" w:customStyle="1" w:styleId="3914">
    <w:name w:val="列表编号 36"/>
    <w:basedOn w:val="1"/>
    <w:qFormat/>
    <w:uiPriority w:val="0"/>
    <w:pPr>
      <w:tabs>
        <w:tab w:val="left" w:pos="780"/>
        <w:tab w:val="left" w:pos="1200"/>
      </w:tabs>
      <w:ind w:left="780" w:hanging="360"/>
    </w:pPr>
  </w:style>
  <w:style w:type="paragraph" w:customStyle="1" w:styleId="3915">
    <w:name w:val="索引 86"/>
    <w:basedOn w:val="1"/>
    <w:next w:val="1"/>
    <w:qFormat/>
    <w:uiPriority w:val="0"/>
    <w:pPr>
      <w:ind w:left="1400" w:leftChars="1400"/>
    </w:pPr>
  </w:style>
  <w:style w:type="paragraph" w:customStyle="1" w:styleId="3916">
    <w:name w:val="列表编号 26"/>
    <w:basedOn w:val="1"/>
    <w:qFormat/>
    <w:uiPriority w:val="0"/>
    <w:pPr>
      <w:tabs>
        <w:tab w:val="left" w:pos="780"/>
        <w:tab w:val="left" w:pos="1200"/>
      </w:tabs>
      <w:ind w:left="1200" w:hanging="360"/>
    </w:pPr>
  </w:style>
  <w:style w:type="paragraph" w:customStyle="1" w:styleId="3917">
    <w:name w:val="索引 26"/>
    <w:basedOn w:val="1"/>
    <w:next w:val="1"/>
    <w:qFormat/>
    <w:uiPriority w:val="0"/>
    <w:pPr>
      <w:ind w:left="200" w:leftChars="200"/>
    </w:pPr>
  </w:style>
  <w:style w:type="paragraph" w:customStyle="1" w:styleId="3918">
    <w:name w:val="列表接续 26"/>
    <w:basedOn w:val="1"/>
    <w:qFormat/>
    <w:uiPriority w:val="0"/>
    <w:pPr>
      <w:spacing w:after="120"/>
      <w:ind w:left="840" w:leftChars="400"/>
    </w:pPr>
  </w:style>
  <w:style w:type="paragraph" w:customStyle="1" w:styleId="3919">
    <w:name w:val="收信人地址6"/>
    <w:basedOn w:val="1"/>
    <w:qFormat/>
    <w:uiPriority w:val="0"/>
    <w:pPr>
      <w:snapToGrid w:val="0"/>
      <w:ind w:left="100" w:leftChars="1400"/>
    </w:pPr>
    <w:rPr>
      <w:rFonts w:ascii="Arial" w:hAnsi="Arial" w:cs="Arial"/>
      <w:sz w:val="24"/>
    </w:rPr>
  </w:style>
  <w:style w:type="paragraph" w:customStyle="1" w:styleId="3920">
    <w:name w:val="索引 36"/>
    <w:basedOn w:val="1"/>
    <w:next w:val="1"/>
    <w:qFormat/>
    <w:uiPriority w:val="0"/>
    <w:pPr>
      <w:ind w:left="400" w:leftChars="400"/>
    </w:pPr>
  </w:style>
  <w:style w:type="paragraph" w:customStyle="1" w:styleId="3921">
    <w:name w:val="列表 56"/>
    <w:basedOn w:val="1"/>
    <w:qFormat/>
    <w:uiPriority w:val="0"/>
    <w:pPr>
      <w:ind w:left="100" w:leftChars="800" w:hanging="200" w:hangingChars="200"/>
    </w:pPr>
  </w:style>
  <w:style w:type="paragraph" w:customStyle="1" w:styleId="3922">
    <w:name w:val="索引 66"/>
    <w:basedOn w:val="1"/>
    <w:next w:val="1"/>
    <w:qFormat/>
    <w:uiPriority w:val="0"/>
    <w:pPr>
      <w:ind w:left="1000" w:leftChars="1000"/>
    </w:pPr>
  </w:style>
  <w:style w:type="paragraph" w:customStyle="1" w:styleId="3923">
    <w:name w:val="列表接续 45"/>
    <w:basedOn w:val="1"/>
    <w:qFormat/>
    <w:uiPriority w:val="0"/>
    <w:pPr>
      <w:spacing w:after="120"/>
      <w:ind w:left="1680" w:leftChars="800"/>
    </w:pPr>
  </w:style>
  <w:style w:type="paragraph" w:customStyle="1" w:styleId="3924">
    <w:name w:val="引文目录5"/>
    <w:basedOn w:val="1"/>
    <w:next w:val="1"/>
    <w:qFormat/>
    <w:uiPriority w:val="0"/>
    <w:pPr>
      <w:ind w:left="420" w:leftChars="200"/>
    </w:pPr>
  </w:style>
  <w:style w:type="paragraph" w:customStyle="1" w:styleId="3925">
    <w:name w:val="标题 37"/>
    <w:basedOn w:val="1"/>
    <w:next w:val="1"/>
    <w:qFormat/>
    <w:uiPriority w:val="0"/>
    <w:pPr>
      <w:keepNext/>
      <w:keepLines/>
      <w:adjustRightInd w:val="0"/>
      <w:spacing w:before="120" w:after="120" w:line="500" w:lineRule="exact"/>
    </w:pPr>
    <w:rPr>
      <w:rFonts w:ascii="宋体" w:hAnsi="宋体" w:eastAsia="黑体"/>
      <w:sz w:val="30"/>
      <w:szCs w:val="20"/>
    </w:rPr>
  </w:style>
  <w:style w:type="paragraph" w:customStyle="1" w:styleId="3926">
    <w:name w:val="列表接续 35"/>
    <w:basedOn w:val="1"/>
    <w:qFormat/>
    <w:uiPriority w:val="0"/>
    <w:pPr>
      <w:spacing w:after="120"/>
      <w:ind w:left="1260" w:leftChars="600"/>
    </w:pPr>
  </w:style>
  <w:style w:type="paragraph" w:customStyle="1" w:styleId="3927">
    <w:name w:val="索引标题6"/>
    <w:basedOn w:val="1"/>
    <w:next w:val="3911"/>
    <w:qFormat/>
    <w:uiPriority w:val="0"/>
    <w:rPr>
      <w:rFonts w:ascii="Arial" w:hAnsi="Arial" w:cs="Arial"/>
      <w:b/>
      <w:bCs/>
    </w:rPr>
  </w:style>
  <w:style w:type="paragraph" w:customStyle="1" w:styleId="3928">
    <w:name w:val="列表接续 55"/>
    <w:basedOn w:val="1"/>
    <w:qFormat/>
    <w:uiPriority w:val="0"/>
    <w:pPr>
      <w:spacing w:after="120"/>
      <w:ind w:left="2100" w:leftChars="1000"/>
    </w:pPr>
  </w:style>
  <w:style w:type="paragraph" w:customStyle="1" w:styleId="3929">
    <w:name w:val="列表 45"/>
    <w:basedOn w:val="1"/>
    <w:qFormat/>
    <w:uiPriority w:val="0"/>
    <w:pPr>
      <w:ind w:left="100" w:leftChars="600" w:hanging="200" w:hangingChars="200"/>
    </w:pPr>
  </w:style>
  <w:style w:type="paragraph" w:customStyle="1" w:styleId="3930">
    <w:name w:val="列表编号 46"/>
    <w:basedOn w:val="1"/>
    <w:qFormat/>
    <w:uiPriority w:val="0"/>
    <w:pPr>
      <w:tabs>
        <w:tab w:val="left" w:pos="360"/>
        <w:tab w:val="left" w:pos="1620"/>
      </w:tabs>
      <w:ind w:left="360" w:hanging="360"/>
    </w:pPr>
  </w:style>
  <w:style w:type="paragraph" w:customStyle="1" w:styleId="3931">
    <w:name w:val="寄信人地址6"/>
    <w:basedOn w:val="1"/>
    <w:qFormat/>
    <w:uiPriority w:val="0"/>
    <w:pPr>
      <w:snapToGrid w:val="0"/>
    </w:pPr>
    <w:rPr>
      <w:rFonts w:ascii="Arial" w:hAnsi="Arial" w:cs="Arial"/>
    </w:rPr>
  </w:style>
  <w:style w:type="paragraph" w:customStyle="1" w:styleId="3932">
    <w:name w:val="列表编号 56"/>
    <w:basedOn w:val="1"/>
    <w:qFormat/>
    <w:uiPriority w:val="0"/>
    <w:pPr>
      <w:tabs>
        <w:tab w:val="left" w:pos="2040"/>
      </w:tabs>
      <w:ind w:left="2040" w:hanging="360"/>
    </w:pPr>
  </w:style>
  <w:style w:type="paragraph" w:customStyle="1" w:styleId="3933">
    <w:name w:val="索引 76"/>
    <w:basedOn w:val="1"/>
    <w:next w:val="1"/>
    <w:qFormat/>
    <w:uiPriority w:val="0"/>
    <w:pPr>
      <w:ind w:left="1200" w:leftChars="1200"/>
    </w:pPr>
  </w:style>
  <w:style w:type="paragraph" w:customStyle="1" w:styleId="3934">
    <w:name w:val="TOC 标题5"/>
    <w:basedOn w:val="3"/>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35">
    <w:name w:val="A样式 阜正文 + 首行缩进:  2 字符"/>
    <w:basedOn w:val="1"/>
    <w:qFormat/>
    <w:uiPriority w:val="0"/>
    <w:pPr>
      <w:widowControl/>
      <w:adjustRightInd w:val="0"/>
      <w:snapToGrid w:val="0"/>
      <w:spacing w:line="360" w:lineRule="auto"/>
      <w:ind w:firstLine="480" w:firstLineChars="200"/>
    </w:pPr>
    <w:rPr>
      <w:rFonts w:ascii="宋体" w:hAnsi="宋体" w:cs="宋体"/>
      <w:color w:val="000000"/>
      <w:kern w:val="44"/>
      <w:sz w:val="24"/>
    </w:rPr>
  </w:style>
  <w:style w:type="paragraph" w:customStyle="1" w:styleId="3936">
    <w:name w:val="正文文本缩进 36"/>
    <w:basedOn w:val="1"/>
    <w:qFormat/>
    <w:uiPriority w:val="0"/>
    <w:pPr>
      <w:adjustRightInd w:val="0"/>
      <w:spacing w:line="480" w:lineRule="exact"/>
      <w:ind w:firstLine="525"/>
    </w:pPr>
    <w:rPr>
      <w:rFonts w:ascii="宋体" w:hAnsi="宋体" w:cs="宋体"/>
      <w:color w:val="000000"/>
      <w:kern w:val="0"/>
      <w:sz w:val="28"/>
      <w:szCs w:val="20"/>
    </w:rPr>
  </w:style>
  <w:style w:type="paragraph" w:customStyle="1" w:styleId="3937">
    <w:name w:val="lfu正文"/>
    <w:basedOn w:val="1"/>
    <w:qFormat/>
    <w:uiPriority w:val="0"/>
    <w:pPr>
      <w:spacing w:line="360" w:lineRule="auto"/>
      <w:ind w:firstLine="200" w:firstLineChars="200"/>
    </w:pPr>
    <w:rPr>
      <w:rFonts w:ascii="宋体" w:hAnsi="宋体"/>
      <w:color w:val="000000"/>
      <w:sz w:val="24"/>
    </w:rPr>
  </w:style>
  <w:style w:type="character" w:customStyle="1" w:styleId="3938">
    <w:name w:val="纯文本 字符1"/>
    <w:qFormat/>
    <w:locked/>
    <w:uiPriority w:val="0"/>
    <w:rPr>
      <w:rFonts w:ascii="宋体" w:hAnsi="Courier New" w:cs="Courier New"/>
      <w:kern w:val="2"/>
      <w:sz w:val="21"/>
      <w:szCs w:val="21"/>
    </w:rPr>
  </w:style>
  <w:style w:type="character" w:customStyle="1" w:styleId="3939">
    <w:name w:val="未处理的提及31"/>
    <w:unhideWhenUsed/>
    <w:qFormat/>
    <w:uiPriority w:val="99"/>
    <w:rPr>
      <w:color w:val="605E5C"/>
      <w:shd w:val="clear" w:color="auto" w:fill="E1DFDD"/>
    </w:rPr>
  </w:style>
  <w:style w:type="character" w:customStyle="1" w:styleId="3940">
    <w:name w:val="未处理的提及4"/>
    <w:basedOn w:val="133"/>
    <w:semiHidden/>
    <w:unhideWhenUsed/>
    <w:uiPriority w:val="99"/>
    <w:rPr>
      <w:color w:val="605E5C"/>
      <w:shd w:val="clear" w:color="auto" w:fill="E1DFDD"/>
    </w:rPr>
  </w:style>
  <w:style w:type="character" w:customStyle="1" w:styleId="3941">
    <w:name w:val="未处理的提及5"/>
    <w:basedOn w:val="133"/>
    <w:semiHidden/>
    <w:unhideWhenUsed/>
    <w:qFormat/>
    <w:uiPriority w:val="99"/>
    <w:rPr>
      <w:color w:val="605E5C"/>
      <w:shd w:val="clear" w:color="auto" w:fill="E1DFDD"/>
    </w:rPr>
  </w:style>
  <w:style w:type="character" w:customStyle="1" w:styleId="3942">
    <w:name w:val="未处理的提及6"/>
    <w:basedOn w:val="133"/>
    <w:semiHidden/>
    <w:unhideWhenUsed/>
    <w:qFormat/>
    <w:uiPriority w:val="99"/>
    <w:rPr>
      <w:color w:val="605E5C"/>
      <w:shd w:val="clear" w:color="auto" w:fill="E1DFDD"/>
    </w:rPr>
  </w:style>
  <w:style w:type="character" w:customStyle="1" w:styleId="3943">
    <w:name w:val="未处理的提及7"/>
    <w:basedOn w:val="133"/>
    <w:semiHidden/>
    <w:unhideWhenUsed/>
    <w:qFormat/>
    <w:uiPriority w:val="99"/>
    <w:rPr>
      <w:color w:val="605E5C"/>
      <w:shd w:val="clear" w:color="auto" w:fill="E1DFDD"/>
    </w:rPr>
  </w:style>
  <w:style w:type="paragraph" w:customStyle="1" w:styleId="3944">
    <w:name w:val="Char1 Char Char Char Char Char Char Char Char Char1 Char Char Char Char Char Char5"/>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character" w:customStyle="1" w:styleId="3945">
    <w:name w:val="未处理的提及71"/>
    <w:basedOn w:val="133"/>
    <w:semiHidden/>
    <w:unhideWhenUsed/>
    <w:qFormat/>
    <w:uiPriority w:val="99"/>
    <w:rPr>
      <w:color w:val="605E5C"/>
      <w:shd w:val="clear" w:color="auto" w:fill="E1DFDD"/>
    </w:rPr>
  </w:style>
  <w:style w:type="character" w:customStyle="1" w:styleId="3946">
    <w:name w:val="未处理的提及8"/>
    <w:basedOn w:val="133"/>
    <w:semiHidden/>
    <w:unhideWhenUsed/>
    <w:qFormat/>
    <w:uiPriority w:val="99"/>
    <w:rPr>
      <w:color w:val="605E5C"/>
      <w:shd w:val="clear" w:color="auto" w:fill="E1DFDD"/>
    </w:rPr>
  </w:style>
  <w:style w:type="table" w:customStyle="1" w:styleId="3947">
    <w:name w:val="网格型13"/>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48">
    <w:name w:val="项目居中"/>
    <w:basedOn w:val="88"/>
    <w:qFormat/>
    <w:uiPriority w:val="99"/>
    <w:pPr>
      <w:spacing w:line="320" w:lineRule="exact"/>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3949">
    <w:name w:val="00表格题头"/>
    <w:basedOn w:val="1"/>
    <w:link w:val="3950"/>
    <w:qFormat/>
    <w:uiPriority w:val="0"/>
    <w:pPr>
      <w:spacing w:line="360" w:lineRule="auto"/>
      <w:jc w:val="center"/>
    </w:pPr>
    <w:rPr>
      <w:b/>
      <w:sz w:val="24"/>
    </w:rPr>
  </w:style>
  <w:style w:type="character" w:customStyle="1" w:styleId="3950">
    <w:name w:val="00表格题头 Char"/>
    <w:link w:val="3949"/>
    <w:uiPriority w:val="0"/>
    <w:rPr>
      <w:rFonts w:ascii="Times New Roman" w:hAnsi="Times New Roman" w:eastAsia="宋体" w:cs="Times New Roman"/>
      <w:b/>
      <w:kern w:val="2"/>
      <w:sz w:val="24"/>
      <w:szCs w:val="24"/>
    </w:rPr>
  </w:style>
  <w:style w:type="character" w:customStyle="1" w:styleId="3951">
    <w:name w:val="表格题注 Char"/>
    <w:link w:val="3952"/>
    <w:qFormat/>
    <w:uiPriority w:val="0"/>
    <w:rPr>
      <w:rFonts w:ascii="宋体" w:hAnsi="Arial"/>
      <w:kern w:val="2"/>
      <w:sz w:val="24"/>
      <w:szCs w:val="24"/>
    </w:rPr>
  </w:style>
  <w:style w:type="paragraph" w:customStyle="1" w:styleId="3952">
    <w:name w:val="表格题注"/>
    <w:basedOn w:val="1"/>
    <w:link w:val="3951"/>
    <w:qFormat/>
    <w:uiPriority w:val="0"/>
    <w:pPr>
      <w:adjustRightInd w:val="0"/>
      <w:snapToGrid w:val="0"/>
      <w:ind w:firstLine="200" w:firstLineChars="200"/>
      <w:jc w:val="center"/>
    </w:pPr>
    <w:rPr>
      <w:rFonts w:ascii="宋体" w:hAnsi="Arial" w:eastAsiaTheme="minorEastAsia" w:cstheme="minorBidi"/>
      <w:sz w:val="24"/>
    </w:rPr>
  </w:style>
  <w:style w:type="paragraph" w:customStyle="1" w:styleId="3953">
    <w:name w:val="照片名称"/>
    <w:basedOn w:val="1"/>
    <w:link w:val="3954"/>
    <w:qFormat/>
    <w:uiPriority w:val="0"/>
    <w:pPr>
      <w:spacing w:line="360" w:lineRule="auto"/>
      <w:ind w:firstLine="643" w:firstLineChars="200"/>
      <w:jc w:val="center"/>
    </w:pPr>
    <w:rPr>
      <w:rFonts w:eastAsia="黑体"/>
      <w:sz w:val="24"/>
      <w:szCs w:val="28"/>
    </w:rPr>
  </w:style>
  <w:style w:type="character" w:customStyle="1" w:styleId="3954">
    <w:name w:val="照片名称 Char"/>
    <w:link w:val="3953"/>
    <w:qFormat/>
    <w:uiPriority w:val="0"/>
    <w:rPr>
      <w:rFonts w:ascii="Times New Roman" w:hAnsi="Times New Roman" w:eastAsia="黑体" w:cs="Times New Roman"/>
      <w:kern w:val="2"/>
      <w:sz w:val="24"/>
      <w:szCs w:val="28"/>
    </w:rPr>
  </w:style>
  <w:style w:type="table" w:customStyle="1" w:styleId="3955">
    <w:name w:val="网格型112"/>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56">
    <w:name w:val="表格主题3"/>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57">
    <w:name w:val="彩色型 13"/>
    <w:basedOn w:val="88"/>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958">
    <w:name w:val="彩色型 23"/>
    <w:basedOn w:val="88"/>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959">
    <w:name w:val="彩色型 33"/>
    <w:basedOn w:val="88"/>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960">
    <w:name w:val="典雅型3"/>
    <w:basedOn w:val="88"/>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961">
    <w:name w:val="古典型 13"/>
    <w:basedOn w:val="88"/>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62">
    <w:name w:val="古典型 23"/>
    <w:basedOn w:val="88"/>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963">
    <w:name w:val="古典型 33"/>
    <w:basedOn w:val="88"/>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3964">
    <w:name w:val="古典型 43"/>
    <w:basedOn w:val="88"/>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965">
    <w:name w:val="简明型 13"/>
    <w:basedOn w:val="88"/>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66">
    <w:name w:val="简明型 23"/>
    <w:basedOn w:val="88"/>
    <w:qFormat/>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67">
    <w:name w:val="简明型 33"/>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968">
    <w:name w:val="精巧型 13"/>
    <w:basedOn w:val="88"/>
    <w:qFormat/>
    <w:uiPriority w:val="99"/>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69">
    <w:name w:val="精巧型 23"/>
    <w:basedOn w:val="88"/>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0">
    <w:name w:val="立体型 12"/>
    <w:basedOn w:val="88"/>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971">
    <w:name w:val="立体型 22"/>
    <w:basedOn w:val="88"/>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2">
    <w:name w:val="立体型 32"/>
    <w:basedOn w:val="88"/>
    <w:qFormat/>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3">
    <w:name w:val="列表型 13"/>
    <w:basedOn w:val="88"/>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4">
    <w:name w:val="列表型 23"/>
    <w:basedOn w:val="88"/>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75">
    <w:name w:val="列表型 33"/>
    <w:basedOn w:val="88"/>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76">
    <w:name w:val="列表型 43"/>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977">
    <w:name w:val="列表型 53"/>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978">
    <w:name w:val="列表型 63"/>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9">
    <w:name w:val="列表型 73"/>
    <w:basedOn w:val="88"/>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3980">
    <w:name w:val="列表型 83"/>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3981">
    <w:name w:val="流行型3"/>
    <w:basedOn w:val="88"/>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3982">
    <w:name w:val="竖列型 13"/>
    <w:basedOn w:val="88"/>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83">
    <w:name w:val="竖列型 23"/>
    <w:basedOn w:val="88"/>
    <w:qFormat/>
    <w:uiPriority w:val="99"/>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84">
    <w:name w:val="竖列型 33"/>
    <w:basedOn w:val="88"/>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3985">
    <w:name w:val="竖列型 43"/>
    <w:basedOn w:val="88"/>
    <w:qFormat/>
    <w:uiPriority w:val="99"/>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3986">
    <w:name w:val="竖列型 53"/>
    <w:basedOn w:val="88"/>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3987">
    <w:name w:val="网格型 13"/>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8">
    <w:name w:val="网格型 23"/>
    <w:basedOn w:val="88"/>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989">
    <w:name w:val="网格型 33"/>
    <w:basedOn w:val="88"/>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0">
    <w:name w:val="网格型 43"/>
    <w:basedOn w:val="88"/>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991">
    <w:name w:val="网格型 53"/>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2">
    <w:name w:val="网格型 63"/>
    <w:basedOn w:val="88"/>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3">
    <w:name w:val="网格型 73"/>
    <w:basedOn w:val="88"/>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4">
    <w:name w:val="网格型 83"/>
    <w:basedOn w:val="88"/>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995">
    <w:name w:val="网页型 13"/>
    <w:basedOn w:val="88"/>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96">
    <w:name w:val="网页型 23"/>
    <w:basedOn w:val="88"/>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97">
    <w:name w:val="网页型 33"/>
    <w:basedOn w:val="88"/>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98">
    <w:name w:val="专业型3"/>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character" w:customStyle="1" w:styleId="3999">
    <w:name w:val="引用 字符1"/>
    <w:basedOn w:val="133"/>
    <w:qFormat/>
    <w:uiPriority w:val="0"/>
    <w:rPr>
      <w:rFonts w:ascii="Times New Roman" w:hAnsi="Times New Roman" w:eastAsia="宋体" w:cs="Times New Roman"/>
      <w:i/>
      <w:iCs/>
      <w:color w:val="404040" w:themeColor="text1" w:themeTint="BF"/>
      <w:kern w:val="2"/>
      <w:sz w:val="21"/>
      <w:szCs w:val="24"/>
      <w14:textFill>
        <w14:solidFill>
          <w14:schemeClr w14:val="tx1">
            <w14:lumMod w14:val="75000"/>
            <w14:lumOff w14:val="25000"/>
          </w14:schemeClr>
        </w14:solidFill>
      </w14:textFill>
    </w:rPr>
  </w:style>
  <w:style w:type="character" w:customStyle="1" w:styleId="4000">
    <w:name w:val="明显引用 字符1"/>
    <w:basedOn w:val="133"/>
    <w:qFormat/>
    <w:uiPriority w:val="0"/>
    <w:rPr>
      <w:rFonts w:ascii="Times New Roman" w:hAnsi="Times New Roman" w:eastAsia="宋体" w:cs="Times New Roman"/>
      <w:i/>
      <w:iCs/>
      <w:color w:val="5B9BD5" w:themeColor="accent1"/>
      <w:kern w:val="2"/>
      <w:sz w:val="21"/>
      <w:szCs w:val="24"/>
      <w14:textFill>
        <w14:solidFill>
          <w14:schemeClr w14:val="accent1"/>
        </w14:solidFill>
      </w14:textFill>
    </w:rPr>
  </w:style>
  <w:style w:type="table" w:customStyle="1" w:styleId="4001">
    <w:name w:val="彩色型 312"/>
    <w:basedOn w:val="88"/>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02">
    <w:name w:val="列表型 312"/>
    <w:basedOn w:val="88"/>
    <w:semiHidden/>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4003">
    <w:name w:val="网格型 612"/>
    <w:basedOn w:val="88"/>
    <w:semiHidden/>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4">
    <w:name w:val="设计院2"/>
    <w:basedOn w:val="90"/>
    <w:uiPriority w:val="0"/>
    <w:rPr>
      <w:szCs w:val="21"/>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4005">
    <w:name w:val="立体型 212"/>
    <w:basedOn w:val="88"/>
    <w:semiHidden/>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06">
    <w:name w:val="列表型 512"/>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07">
    <w:name w:val="列表型 412"/>
    <w:basedOn w:val="88"/>
    <w:semiHidden/>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4008">
    <w:name w:val="列表型 712"/>
    <w:basedOn w:val="88"/>
    <w:semiHidden/>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4009">
    <w:name w:val="网页型 212"/>
    <w:basedOn w:val="88"/>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4010">
    <w:name w:val="精巧型 112"/>
    <w:basedOn w:val="88"/>
    <w:semiHidden/>
    <w:qFormat/>
    <w:uiPriority w:val="0"/>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1">
    <w:name w:val="竖列型 512"/>
    <w:basedOn w:val="88"/>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4012">
    <w:name w:val="彩色型 212"/>
    <w:basedOn w:val="88"/>
    <w:semiHidden/>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13">
    <w:name w:val="立体型 312"/>
    <w:basedOn w:val="88"/>
    <w:semiHidden/>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4">
    <w:name w:val="网格型 812"/>
    <w:basedOn w:val="88"/>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4015">
    <w:name w:val="精巧型 212"/>
    <w:basedOn w:val="88"/>
    <w:semiHidden/>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16">
    <w:name w:val="竖列型 312"/>
    <w:basedOn w:val="88"/>
    <w:semiHidden/>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4017">
    <w:name w:val="网格型 212"/>
    <w:basedOn w:val="88"/>
    <w:semiHidden/>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4018">
    <w:name w:val="网格型32"/>
    <w:basedOn w:val="88"/>
    <w:qFormat/>
    <w:uiPriority w:val="0"/>
    <w:pPr>
      <w:jc w:val="center"/>
    </w:pPr>
    <w:tblPr>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jc w:val="center"/>
    </w:trPr>
  </w:style>
  <w:style w:type="table" w:customStyle="1" w:styleId="4019">
    <w:name w:val="网页型 112"/>
    <w:basedOn w:val="88"/>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4020">
    <w:name w:val="竖列型 412"/>
    <w:basedOn w:val="88"/>
    <w:semiHidden/>
    <w:qFormat/>
    <w:uiPriority w:val="0"/>
    <w:pPr>
      <w:widowControl w:val="0"/>
      <w:jc w:val="both"/>
    </w:p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4021">
    <w:name w:val="网格型 512"/>
    <w:basedOn w:val="88"/>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22">
    <w:name w:val="网格型 412"/>
    <w:basedOn w:val="88"/>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4023">
    <w:name w:val="简明型 112"/>
    <w:basedOn w:val="88"/>
    <w:semiHidden/>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4024">
    <w:name w:val="列表型 112"/>
    <w:basedOn w:val="88"/>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25">
    <w:name w:val="简明型 312"/>
    <w:basedOn w:val="88"/>
    <w:semiHidden/>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26">
    <w:name w:val="网页型 312"/>
    <w:basedOn w:val="88"/>
    <w:semiHidden/>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4027">
    <w:name w:val="ljw12"/>
    <w:basedOn w:val="90"/>
    <w:semiHidden/>
    <w:uiPriority w:val="0"/>
    <w:pPr>
      <w:snapToGrid w:val="0"/>
      <w:spacing w:line="440" w:lineRule="exact"/>
      <w:ind w:firstLine="200" w:firstLineChars="200"/>
    </w:pPr>
    <w:rPr>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4028">
    <w:name w:val="古典型 212"/>
    <w:basedOn w:val="88"/>
    <w:semiHidden/>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29">
    <w:name w:val="Table Normal2"/>
    <w:unhideWhenUsed/>
    <w:qFormat/>
    <w:uiPriority w:val="2"/>
    <w:pPr>
      <w:widowControl w:val="0"/>
    </w:pPr>
    <w:rPr>
      <w:rFonts w:ascii="等线" w:hAnsi="等线" w:eastAsia="等线"/>
      <w:sz w:val="22"/>
      <w:lang w:eastAsia="en-US"/>
    </w:rPr>
    <w:tblPr>
      <w:tblCellMar>
        <w:top w:w="0" w:type="dxa"/>
        <w:left w:w="0" w:type="dxa"/>
        <w:bottom w:w="0" w:type="dxa"/>
        <w:right w:w="0" w:type="dxa"/>
      </w:tblCellMar>
    </w:tblPr>
  </w:style>
  <w:style w:type="table" w:customStyle="1" w:styleId="4030">
    <w:name w:val="(环评报告表）22"/>
    <w:basedOn w:val="8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31">
    <w:name w:val="典雅型12"/>
    <w:basedOn w:val="88"/>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4032">
    <w:name w:val="网格型22"/>
    <w:basedOn w:val="88"/>
    <w:qFormat/>
    <w:uiPriority w:val="0"/>
    <w:rPr>
      <w:rFonts w:ascii="Calibri" w:hAnsi="Calibri" w:eastAsia="微软雅黑"/>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4033">
    <w:name w:val="样板2"/>
    <w:basedOn w:val="90"/>
    <w:qFormat/>
    <w:uiPriority w:val="0"/>
    <w:tblPr>
      <w:tblBorders>
        <w:top w:val="single" w:color="auto" w:sz="12" w:space="0"/>
        <w:bottom w:val="single" w:color="auto" w:sz="12" w:space="0"/>
      </w:tblBorders>
      <w:tblCellMar>
        <w:top w:w="0" w:type="dxa"/>
        <w:left w:w="108" w:type="dxa"/>
        <w:bottom w:w="0" w:type="dxa"/>
        <w:right w:w="108" w:type="dxa"/>
      </w:tblCellMar>
    </w:tblPr>
  </w:style>
  <w:style w:type="table" w:customStyle="1" w:styleId="4034">
    <w:name w:val="古典型 312"/>
    <w:basedOn w:val="88"/>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4035">
    <w:name w:val="网格型 712"/>
    <w:basedOn w:val="88"/>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6">
    <w:name w:val="网格型 112"/>
    <w:basedOn w:val="88"/>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7">
    <w:name w:val="网格型 312"/>
    <w:basedOn w:val="88"/>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38">
    <w:name w:val="列表型 812"/>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4039">
    <w:name w:val="古典型 112"/>
    <w:basedOn w:val="88"/>
    <w:semiHidden/>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40">
    <w:name w:val="ljw3"/>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table" w:customStyle="1" w:styleId="4041">
    <w:name w:val="竖列型 112"/>
    <w:basedOn w:val="88"/>
    <w:semiHidden/>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42">
    <w:name w:val="简明型 212"/>
    <w:basedOn w:val="88"/>
    <w:semiHidden/>
    <w:qFormat/>
    <w:uiPriority w:val="0"/>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43">
    <w:name w:val="网格型14"/>
    <w:basedOn w:val="88"/>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4">
    <w:name w:val="表格样式22"/>
    <w:basedOn w:val="88"/>
    <w:qFormat/>
    <w:uiPriority w:val="0"/>
    <w:tblPr>
      <w:tblBorders>
        <w:top w:val="single" w:color="auto" w:sz="18" w:space="0"/>
        <w:bottom w:val="single" w:color="auto" w:sz="18" w:space="0"/>
        <w:insideH w:val="single" w:color="auto" w:sz="2" w:space="0"/>
        <w:insideV w:val="single" w:color="auto" w:sz="2" w:space="0"/>
      </w:tblBorders>
      <w:tblCellMar>
        <w:top w:w="0" w:type="dxa"/>
        <w:left w:w="108" w:type="dxa"/>
        <w:bottom w:w="0" w:type="dxa"/>
        <w:right w:w="108" w:type="dxa"/>
      </w:tblCellMar>
    </w:tblPr>
  </w:style>
  <w:style w:type="table" w:customStyle="1" w:styleId="4045">
    <w:name w:val="(环评报告表）1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46">
    <w:name w:val="列表型 212"/>
    <w:basedOn w:val="88"/>
    <w:semiHidden/>
    <w:qFormat/>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47">
    <w:name w:val="古典型 412"/>
    <w:basedOn w:val="88"/>
    <w:semiHidden/>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48">
    <w:name w:val="专业型12"/>
    <w:basedOn w:val="88"/>
    <w:semiHidden/>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4049">
    <w:name w:val="立体型 112"/>
    <w:basedOn w:val="88"/>
    <w:semiHidden/>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50">
    <w:name w:val="列表型 612"/>
    <w:basedOn w:val="88"/>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51">
    <w:name w:val="竖列型 212"/>
    <w:basedOn w:val="88"/>
    <w:semiHidden/>
    <w:uiPriority w:val="0"/>
    <w:pPr>
      <w:widowControl w:val="0"/>
      <w:jc w:val="both"/>
    </w:pPr>
    <w:rPr>
      <w:b/>
      <w:bCs/>
    </w:rPr>
    <w:tblPr>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52">
    <w:name w:val="流行型12"/>
    <w:basedOn w:val="88"/>
    <w:semiHidden/>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4053">
    <w:name w:val="彩色型 112"/>
    <w:basedOn w:val="88"/>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54">
    <w:name w:val="文中表格2"/>
    <w:basedOn w:val="88"/>
    <w:qFormat/>
    <w:uiPriority w:val="0"/>
    <w:pPr>
      <w:jc w:val="center"/>
    </w:pPr>
    <w:rPr>
      <w:rFonts w:ascii="Calibri" w:hAnsi="Calibri"/>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table" w:customStyle="1" w:styleId="4055">
    <w:name w:val="A表格样式12"/>
    <w:basedOn w:val="90"/>
    <w:uiPriority w:val="0"/>
    <w:pPr>
      <w:jc w:val="center"/>
    </w:pPr>
    <w:rPr>
      <w:sz w:val="21"/>
    </w:r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4056">
    <w:name w:val="网格型42"/>
    <w:basedOn w:val="8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7">
    <w:name w:val="表格主题22"/>
    <w:basedOn w:val="88"/>
    <w:qFormat/>
    <w:uiPriority w:val="0"/>
    <w:pPr>
      <w:widowControl w:val="0"/>
      <w:adjustRightInd w:val="0"/>
      <w:spacing w:line="360" w:lineRule="atLeast"/>
    </w:pPr>
    <w:rPr>
      <w:sz w:val="24"/>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rPr>
        <w:b/>
      </w:rPr>
    </w:tblStylePr>
  </w:style>
  <w:style w:type="table" w:customStyle="1" w:styleId="4058">
    <w:name w:val="网格型111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59">
    <w:name w:val="列表型 721"/>
    <w:basedOn w:val="88"/>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4060">
    <w:name w:val="列表型 521"/>
    <w:basedOn w:val="88"/>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61">
    <w:name w:val="列表型 321"/>
    <w:basedOn w:val="88"/>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4062">
    <w:name w:val="表格主题11"/>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63">
    <w:name w:val="列表型 621"/>
    <w:basedOn w:val="88"/>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4">
    <w:name w:val="彩色型 121"/>
    <w:basedOn w:val="88"/>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65">
    <w:name w:val="精巧型 221"/>
    <w:basedOn w:val="88"/>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66">
    <w:name w:val="彩色型 221"/>
    <w:basedOn w:val="88"/>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4067">
    <w:name w:val="彩色型 321"/>
    <w:basedOn w:val="88"/>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68">
    <w:name w:val="典雅型21"/>
    <w:basedOn w:val="88"/>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069">
    <w:name w:val="古典型 121"/>
    <w:basedOn w:val="88"/>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0">
    <w:name w:val="古典型 221"/>
    <w:basedOn w:val="88"/>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71">
    <w:name w:val="网页型 321"/>
    <w:basedOn w:val="88"/>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4072">
    <w:name w:val="古典型 321"/>
    <w:basedOn w:val="88"/>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4073">
    <w:name w:val="古典型 421"/>
    <w:basedOn w:val="88"/>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74">
    <w:name w:val="简明型 121"/>
    <w:basedOn w:val="88"/>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4075">
    <w:name w:val="网页型 221"/>
    <w:basedOn w:val="88"/>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4076">
    <w:name w:val="简明型 221"/>
    <w:basedOn w:val="88"/>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7">
    <w:name w:val="网格型 821"/>
    <w:basedOn w:val="88"/>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4078">
    <w:name w:val="简明型 321"/>
    <w:basedOn w:val="88"/>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79">
    <w:name w:val="网格型 721"/>
    <w:basedOn w:val="88"/>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0">
    <w:name w:val="精巧型 121"/>
    <w:basedOn w:val="88"/>
    <w:uiPriority w:val="99"/>
    <w:pPr>
      <w:widowControl w:val="0"/>
      <w:jc w:val="both"/>
    </w:pPr>
    <w:tblPr>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1">
    <w:name w:val="表三维效果 111"/>
    <w:basedOn w:val="88"/>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82">
    <w:name w:val="表三维效果 211"/>
    <w:basedOn w:val="88"/>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83">
    <w:name w:val="表三维效果 311"/>
    <w:basedOn w:val="88"/>
    <w:uiPriority w:val="99"/>
    <w:pPr>
      <w:widowControl w:val="0"/>
      <w:jc w:val="both"/>
    </w:pPr>
    <w:tblPr>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4084">
    <w:name w:val="访问过的超链接6"/>
    <w:uiPriority w:val="0"/>
    <w:rPr>
      <w:rFonts w:hint="default" w:ascii="Times New Roman"/>
      <w:color w:val="800080"/>
      <w:u w:val="single"/>
    </w:rPr>
  </w:style>
  <w:style w:type="table" w:customStyle="1" w:styleId="4085">
    <w:name w:val="表格样式智汇元"/>
    <w:basedOn w:val="88"/>
    <w:qFormat/>
    <w:uiPriority w:val="0"/>
    <w:pPr>
      <w:widowControl w:val="0"/>
      <w:jc w:val="both"/>
    </w:p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4086">
    <w:name w:val="正文表格"/>
    <w:basedOn w:val="632"/>
    <w:link w:val="4088"/>
    <w:qFormat/>
    <w:uiPriority w:val="0"/>
    <w:pPr>
      <w:adjustRightInd/>
      <w:snapToGrid/>
      <w:spacing w:before="0" w:beforeLines="0" w:after="0" w:afterLines="0"/>
    </w:pPr>
    <w:rPr>
      <w:rFonts w:ascii="Times New Roman" w:hAnsi="Times New Roman" w:eastAsia="宋体" w:cs="Times New Roman"/>
      <w:szCs w:val="21"/>
    </w:rPr>
  </w:style>
  <w:style w:type="paragraph" w:customStyle="1" w:styleId="4087">
    <w:name w:val="正文表头"/>
    <w:basedOn w:val="1"/>
    <w:link w:val="4089"/>
    <w:qFormat/>
    <w:uiPriority w:val="0"/>
    <w:pPr>
      <w:autoSpaceDE w:val="0"/>
      <w:autoSpaceDN w:val="0"/>
      <w:adjustRightInd w:val="0"/>
      <w:spacing w:line="360" w:lineRule="auto"/>
      <w:jc w:val="center"/>
    </w:pPr>
    <w:rPr>
      <w:b/>
      <w:color w:val="000000"/>
      <w:kern w:val="0"/>
      <w:sz w:val="24"/>
    </w:rPr>
  </w:style>
  <w:style w:type="character" w:customStyle="1" w:styleId="4088">
    <w:name w:val="正文表格 Char"/>
    <w:basedOn w:val="631"/>
    <w:link w:val="4086"/>
    <w:qFormat/>
    <w:uiPriority w:val="0"/>
    <w:rPr>
      <w:rFonts w:ascii="Times New Roman" w:hAnsi="Times New Roman" w:eastAsia="宋体" w:cs="Times New Roman"/>
      <w:kern w:val="2"/>
      <w:sz w:val="21"/>
      <w:szCs w:val="21"/>
    </w:rPr>
  </w:style>
  <w:style w:type="character" w:customStyle="1" w:styleId="4089">
    <w:name w:val="正文表头 Char"/>
    <w:basedOn w:val="133"/>
    <w:link w:val="4087"/>
    <w:qFormat/>
    <w:uiPriority w:val="0"/>
    <w:rPr>
      <w:rFonts w:ascii="Times New Roman" w:hAnsi="Times New Roman" w:eastAsia="宋体" w:cs="Times New Roman"/>
      <w:b/>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emf"/><Relationship Id="rId22" Type="http://schemas.openxmlformats.org/officeDocument/2006/relationships/oleObject" Target="embeddings/oleObject1.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48AEFC-9C1F-4935-A24D-BC8E5350F5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281</Pages>
  <Words>8584</Words>
  <Characters>10342</Characters>
  <Lines>1591</Lines>
  <Paragraphs>448</Paragraphs>
  <TotalTime>302</TotalTime>
  <ScaleCrop>false</ScaleCrop>
  <LinksUpToDate>false</LinksUpToDate>
  <CharactersWithSpaces>10820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2023-04-19T06:50:00Z</dcterms:created>
  <dc:creator>SkyUser</dc:creator>
  <cp:lastModifiedBy>Zippo_MM</cp:lastModifiedBy>
  <cp:lastPrinted>2024-10-10T10:56:00Z</cp:lastPrinted>
  <dcterms:modified xsi:type="dcterms:W3CDTF">2025-08-28T11:36:56Z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2BD054173DD44113828799185C944143</vt:lpwstr>
  </property>
  <property fmtid="{D5CDD505-2E9C-101B-9397-08002B2CF9AE}" pid="4" name="KSOTemplateDocerSaveRecord">
    <vt:lpwstr>eyJoZGlkIjoiNmNjN2Y4NGQzMmNjMDU3YjAxOTY0NmJmNTdhOTM4ZGYiLCJ1c2VySWQiOiIyNTE2Mjk1NjQifQ==</vt:lpwstr>
  </property>
</Properties>
</file>